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1C562" w14:textId="0B9ECFCD" w:rsidR="00DB7E9B" w:rsidRDefault="00000000">
      <w:pPr>
        <w:spacing w:line="360" w:lineRule="auto"/>
        <w:jc w:val="both"/>
        <w:rPr>
          <w:rFonts w:ascii="Arial" w:hAnsi="Arial" w:cs="Arial"/>
          <w:b/>
          <w:bCs/>
        </w:rPr>
      </w:pPr>
      <w:r>
        <w:rPr>
          <w:rFonts w:ascii="Arial" w:hAnsi="Arial" w:cs="Arial"/>
          <w:b/>
          <w:bCs/>
        </w:rPr>
        <w:t>NAME:</w:t>
      </w:r>
      <w:r w:rsidR="004E4915">
        <w:rPr>
          <w:rFonts w:ascii="Arial" w:hAnsi="Arial" w:cs="Arial"/>
          <w:b/>
          <w:bCs/>
        </w:rPr>
        <w:t xml:space="preserve"> NINSIIMA FRED</w:t>
      </w:r>
    </w:p>
    <w:p w14:paraId="678E03E3" w14:textId="77777777" w:rsidR="00DB7E9B" w:rsidRDefault="00DB7E9B">
      <w:pPr>
        <w:spacing w:line="360" w:lineRule="auto"/>
        <w:jc w:val="both"/>
        <w:rPr>
          <w:rFonts w:ascii="Arial" w:hAnsi="Arial" w:cs="Arial"/>
          <w:b/>
          <w:bCs/>
        </w:rPr>
      </w:pPr>
    </w:p>
    <w:p w14:paraId="4E37F9A7" w14:textId="77777777" w:rsidR="00DB7E9B" w:rsidRDefault="00DB7E9B">
      <w:pPr>
        <w:spacing w:line="360" w:lineRule="auto"/>
        <w:jc w:val="both"/>
        <w:rPr>
          <w:rFonts w:ascii="Arial" w:hAnsi="Arial" w:cs="Arial"/>
          <w:b/>
          <w:bCs/>
        </w:rPr>
      </w:pPr>
    </w:p>
    <w:p w14:paraId="54715282" w14:textId="77777777" w:rsidR="00DB7E9B" w:rsidRDefault="00DB7E9B">
      <w:pPr>
        <w:spacing w:line="360" w:lineRule="auto"/>
        <w:jc w:val="both"/>
        <w:rPr>
          <w:rFonts w:ascii="Arial" w:hAnsi="Arial" w:cs="Arial"/>
          <w:b/>
          <w:bCs/>
        </w:rPr>
      </w:pPr>
    </w:p>
    <w:p w14:paraId="1A773313" w14:textId="213D506A" w:rsidR="00DB7E9B" w:rsidRDefault="00000000">
      <w:pPr>
        <w:spacing w:line="360" w:lineRule="auto"/>
        <w:jc w:val="both"/>
        <w:rPr>
          <w:rFonts w:ascii="Arial" w:hAnsi="Arial" w:cs="Arial"/>
          <w:b/>
          <w:bCs/>
        </w:rPr>
      </w:pPr>
      <w:r>
        <w:rPr>
          <w:rFonts w:ascii="Arial" w:hAnsi="Arial" w:cs="Arial"/>
          <w:b/>
          <w:bCs/>
        </w:rPr>
        <w:t>STUDENT NUMBER:</w:t>
      </w:r>
      <w:r w:rsidR="004E4915">
        <w:rPr>
          <w:rFonts w:ascii="Arial" w:hAnsi="Arial" w:cs="Arial"/>
          <w:b/>
          <w:bCs/>
        </w:rPr>
        <w:t xml:space="preserve"> 2419430</w:t>
      </w:r>
    </w:p>
    <w:p w14:paraId="69EF1E51" w14:textId="77777777" w:rsidR="00DB7E9B" w:rsidRDefault="00DB7E9B">
      <w:pPr>
        <w:spacing w:line="360" w:lineRule="auto"/>
        <w:jc w:val="both"/>
        <w:rPr>
          <w:rFonts w:ascii="Arial" w:hAnsi="Arial" w:cs="Arial"/>
          <w:b/>
          <w:bCs/>
        </w:rPr>
      </w:pPr>
    </w:p>
    <w:p w14:paraId="156AEF08" w14:textId="77777777" w:rsidR="00DB7E9B" w:rsidRDefault="00DB7E9B">
      <w:pPr>
        <w:spacing w:line="360" w:lineRule="auto"/>
        <w:jc w:val="both"/>
        <w:rPr>
          <w:rFonts w:ascii="Arial" w:hAnsi="Arial" w:cs="Arial"/>
          <w:b/>
          <w:bCs/>
        </w:rPr>
      </w:pPr>
    </w:p>
    <w:p w14:paraId="4260C512" w14:textId="77777777" w:rsidR="00DB7E9B" w:rsidRDefault="00DB7E9B">
      <w:pPr>
        <w:spacing w:line="360" w:lineRule="auto"/>
        <w:jc w:val="both"/>
        <w:rPr>
          <w:rFonts w:ascii="Arial" w:hAnsi="Arial" w:cs="Arial"/>
          <w:b/>
          <w:bCs/>
        </w:rPr>
      </w:pPr>
    </w:p>
    <w:p w14:paraId="1575221A" w14:textId="77777777" w:rsidR="00DB7E9B" w:rsidRDefault="00000000">
      <w:pPr>
        <w:spacing w:line="360" w:lineRule="auto"/>
        <w:jc w:val="both"/>
        <w:rPr>
          <w:rFonts w:ascii="Arial" w:hAnsi="Arial" w:cs="Arial"/>
          <w:b/>
          <w:bCs/>
        </w:rPr>
      </w:pPr>
      <w:r>
        <w:rPr>
          <w:rFonts w:ascii="Arial" w:hAnsi="Arial" w:cs="Arial"/>
          <w:b/>
          <w:bCs/>
        </w:rPr>
        <w:t xml:space="preserve">MODULE CODE: BMHP5016 </w:t>
      </w:r>
    </w:p>
    <w:p w14:paraId="49A9FBC3" w14:textId="77777777" w:rsidR="00DB7E9B" w:rsidRDefault="00DB7E9B">
      <w:pPr>
        <w:spacing w:line="360" w:lineRule="auto"/>
        <w:jc w:val="both"/>
        <w:rPr>
          <w:rFonts w:ascii="Arial" w:hAnsi="Arial" w:cs="Arial"/>
          <w:b/>
          <w:bCs/>
        </w:rPr>
      </w:pPr>
    </w:p>
    <w:p w14:paraId="192C4A26" w14:textId="77777777" w:rsidR="00DB7E9B" w:rsidRDefault="00DB7E9B">
      <w:pPr>
        <w:spacing w:line="360" w:lineRule="auto"/>
        <w:jc w:val="both"/>
        <w:rPr>
          <w:rFonts w:ascii="Arial" w:hAnsi="Arial" w:cs="Arial"/>
          <w:b/>
          <w:bCs/>
        </w:rPr>
      </w:pPr>
    </w:p>
    <w:p w14:paraId="53255345" w14:textId="77777777" w:rsidR="00DB7E9B" w:rsidRDefault="00DB7E9B">
      <w:pPr>
        <w:spacing w:line="360" w:lineRule="auto"/>
        <w:jc w:val="both"/>
        <w:rPr>
          <w:rFonts w:ascii="Arial" w:hAnsi="Arial" w:cs="Arial"/>
          <w:b/>
          <w:bCs/>
        </w:rPr>
      </w:pPr>
    </w:p>
    <w:p w14:paraId="59F85222" w14:textId="1D4F0C45" w:rsidR="00DB7E9B" w:rsidRDefault="00000000">
      <w:pPr>
        <w:spacing w:line="360" w:lineRule="auto"/>
        <w:jc w:val="both"/>
        <w:rPr>
          <w:rFonts w:ascii="Arial" w:hAnsi="Arial" w:cs="Arial"/>
          <w:b/>
          <w:bCs/>
        </w:rPr>
      </w:pPr>
      <w:r>
        <w:rPr>
          <w:rFonts w:ascii="Arial" w:hAnsi="Arial" w:cs="Arial"/>
          <w:b/>
          <w:bCs/>
        </w:rPr>
        <w:t>MODULE TITLE: PRINCIPLE OF HEALT</w:t>
      </w:r>
      <w:r w:rsidR="004E4915">
        <w:rPr>
          <w:rFonts w:ascii="Arial" w:hAnsi="Arial" w:cs="Arial"/>
          <w:b/>
          <w:bCs/>
        </w:rPr>
        <w:t xml:space="preserve">H </w:t>
      </w:r>
      <w:r>
        <w:rPr>
          <w:rFonts w:ascii="Arial" w:hAnsi="Arial" w:cs="Arial"/>
          <w:b/>
          <w:bCs/>
        </w:rPr>
        <w:t>AND SOCIAL PRACTICE</w:t>
      </w:r>
    </w:p>
    <w:p w14:paraId="2673DAEA" w14:textId="77777777" w:rsidR="00DB7E9B" w:rsidRDefault="00DB7E9B">
      <w:pPr>
        <w:spacing w:line="360" w:lineRule="auto"/>
        <w:jc w:val="both"/>
        <w:rPr>
          <w:rFonts w:ascii="Arial" w:hAnsi="Arial" w:cs="Arial"/>
          <w:b/>
          <w:bCs/>
        </w:rPr>
      </w:pPr>
    </w:p>
    <w:p w14:paraId="45A20073" w14:textId="77777777" w:rsidR="00DB7E9B" w:rsidRDefault="00DB7E9B">
      <w:pPr>
        <w:spacing w:line="360" w:lineRule="auto"/>
        <w:jc w:val="both"/>
        <w:rPr>
          <w:rFonts w:ascii="Arial" w:hAnsi="Arial" w:cs="Arial"/>
          <w:b/>
          <w:bCs/>
        </w:rPr>
      </w:pPr>
    </w:p>
    <w:p w14:paraId="72F81384" w14:textId="77777777" w:rsidR="00DB7E9B" w:rsidRDefault="00DB7E9B">
      <w:pPr>
        <w:spacing w:line="360" w:lineRule="auto"/>
        <w:jc w:val="both"/>
        <w:rPr>
          <w:rFonts w:ascii="Arial" w:hAnsi="Arial" w:cs="Arial"/>
          <w:b/>
          <w:bCs/>
        </w:rPr>
      </w:pPr>
    </w:p>
    <w:p w14:paraId="3211A3B1" w14:textId="7FB5D666" w:rsidR="00DB7E9B" w:rsidRDefault="00000000">
      <w:pPr>
        <w:spacing w:line="360" w:lineRule="auto"/>
        <w:jc w:val="both"/>
        <w:rPr>
          <w:rFonts w:ascii="Arial" w:hAnsi="Arial" w:cs="Arial"/>
          <w:b/>
          <w:bCs/>
        </w:rPr>
      </w:pPr>
      <w:r>
        <w:rPr>
          <w:rFonts w:ascii="Arial" w:hAnsi="Arial" w:cs="Arial"/>
          <w:b/>
          <w:bCs/>
        </w:rPr>
        <w:t xml:space="preserve">LECTURER NAME: </w:t>
      </w:r>
      <w:r w:rsidR="004E4915">
        <w:rPr>
          <w:rFonts w:ascii="Arial" w:hAnsi="Arial" w:cs="Arial"/>
          <w:b/>
          <w:bCs/>
        </w:rPr>
        <w:t xml:space="preserve"> ITSE OLAOYE</w:t>
      </w:r>
    </w:p>
    <w:p w14:paraId="69C19723" w14:textId="77777777" w:rsidR="00DB7E9B" w:rsidRDefault="00DB7E9B">
      <w:pPr>
        <w:spacing w:line="360" w:lineRule="auto"/>
        <w:jc w:val="both"/>
        <w:rPr>
          <w:rFonts w:ascii="Arial" w:hAnsi="Arial" w:cs="Arial"/>
          <w:b/>
          <w:bCs/>
        </w:rPr>
      </w:pPr>
    </w:p>
    <w:p w14:paraId="42D011C0" w14:textId="77777777" w:rsidR="00DB7E9B" w:rsidRDefault="00DB7E9B">
      <w:pPr>
        <w:spacing w:line="360" w:lineRule="auto"/>
        <w:jc w:val="both"/>
        <w:rPr>
          <w:rFonts w:ascii="Arial" w:hAnsi="Arial" w:cs="Arial"/>
          <w:b/>
          <w:bCs/>
        </w:rPr>
      </w:pPr>
    </w:p>
    <w:p w14:paraId="4345CC24" w14:textId="77777777" w:rsidR="00DB7E9B" w:rsidRDefault="00DB7E9B">
      <w:pPr>
        <w:spacing w:line="360" w:lineRule="auto"/>
        <w:jc w:val="both"/>
        <w:rPr>
          <w:rFonts w:ascii="Arial" w:hAnsi="Arial" w:cs="Arial"/>
          <w:b/>
          <w:bCs/>
        </w:rPr>
      </w:pPr>
    </w:p>
    <w:p w14:paraId="67B54F4D" w14:textId="77777777" w:rsidR="00DB7E9B" w:rsidRDefault="00000000">
      <w:pPr>
        <w:spacing w:line="360" w:lineRule="auto"/>
        <w:jc w:val="both"/>
        <w:rPr>
          <w:rFonts w:ascii="Arial" w:hAnsi="Arial" w:cs="Arial"/>
          <w:b/>
          <w:bCs/>
        </w:rPr>
      </w:pPr>
      <w:r>
        <w:rPr>
          <w:rFonts w:ascii="Arial" w:hAnsi="Arial" w:cs="Arial"/>
          <w:b/>
          <w:bCs/>
        </w:rPr>
        <w:t>ASSIGMNENT TITLE: COMPONENT 1: WRITTEN ASSIGNMENT (REFLECTIVE REPORT)</w:t>
      </w:r>
    </w:p>
    <w:p w14:paraId="31B02F17" w14:textId="77777777" w:rsidR="00DB7E9B" w:rsidRDefault="00DB7E9B">
      <w:pPr>
        <w:spacing w:line="360" w:lineRule="auto"/>
        <w:jc w:val="both"/>
        <w:rPr>
          <w:rFonts w:ascii="Arial" w:hAnsi="Arial" w:cs="Arial"/>
          <w:b/>
          <w:bCs/>
        </w:rPr>
      </w:pPr>
    </w:p>
    <w:p w14:paraId="4F0B5155" w14:textId="77777777" w:rsidR="00DB7E9B" w:rsidRDefault="00DB7E9B">
      <w:pPr>
        <w:spacing w:line="360" w:lineRule="auto"/>
        <w:jc w:val="both"/>
        <w:rPr>
          <w:rFonts w:ascii="Arial" w:hAnsi="Arial" w:cs="Arial"/>
          <w:b/>
          <w:bCs/>
        </w:rPr>
      </w:pPr>
    </w:p>
    <w:p w14:paraId="003C0AC4" w14:textId="77777777" w:rsidR="00DB7E9B" w:rsidRDefault="00DB7E9B">
      <w:pPr>
        <w:spacing w:line="360" w:lineRule="auto"/>
        <w:jc w:val="both"/>
        <w:rPr>
          <w:rFonts w:ascii="Arial" w:hAnsi="Arial" w:cs="Arial"/>
          <w:b/>
          <w:bCs/>
        </w:rPr>
      </w:pPr>
    </w:p>
    <w:p w14:paraId="1A75AF5D" w14:textId="77777777" w:rsidR="00DB7E9B" w:rsidRDefault="00DB7E9B">
      <w:pPr>
        <w:spacing w:line="360" w:lineRule="auto"/>
        <w:jc w:val="both"/>
        <w:rPr>
          <w:rFonts w:ascii="Arial" w:hAnsi="Arial" w:cs="Arial"/>
          <w:b/>
          <w:bCs/>
        </w:rPr>
      </w:pPr>
    </w:p>
    <w:p w14:paraId="2FD53211" w14:textId="77777777" w:rsidR="00DB7E9B" w:rsidRDefault="00DB7E9B">
      <w:pPr>
        <w:spacing w:line="360" w:lineRule="auto"/>
        <w:jc w:val="both"/>
        <w:rPr>
          <w:rFonts w:ascii="Arial" w:hAnsi="Arial" w:cs="Arial"/>
          <w:b/>
          <w:bCs/>
        </w:rPr>
      </w:pPr>
    </w:p>
    <w:p w14:paraId="20EE8FA0" w14:textId="77777777" w:rsidR="00DB7E9B" w:rsidRDefault="00000000">
      <w:pPr>
        <w:spacing w:line="360" w:lineRule="auto"/>
        <w:jc w:val="both"/>
        <w:rPr>
          <w:rFonts w:ascii="Arial" w:hAnsi="Arial" w:cs="Arial"/>
          <w:b/>
          <w:bCs/>
        </w:rPr>
      </w:pPr>
      <w:r>
        <w:rPr>
          <w:rFonts w:ascii="Arial" w:hAnsi="Arial" w:cs="Arial"/>
          <w:b/>
          <w:bCs/>
        </w:rPr>
        <w:lastRenderedPageBreak/>
        <w:t>Introduction</w:t>
      </w:r>
    </w:p>
    <w:p w14:paraId="7B08A3D2" w14:textId="77777777" w:rsidR="00DB7E9B" w:rsidRDefault="00000000">
      <w:pPr>
        <w:spacing w:line="360" w:lineRule="auto"/>
        <w:jc w:val="both"/>
        <w:rPr>
          <w:rFonts w:ascii="Arial" w:hAnsi="Arial" w:cs="Arial"/>
        </w:rPr>
      </w:pPr>
      <w:r>
        <w:rPr>
          <w:rFonts w:ascii="Arial" w:hAnsi="Arial" w:cs="Arial"/>
        </w:rPr>
        <w:t>In the UK, the health and social care practice is guided by key principles that ensure the delivery of effective, compassionate and safe care. Maintaining professional standards and improving patient outcomes are the significant role played in ethical practice, person-centred and partnership working. Collaboration among healthcare professionals is promoted by these principles as they not only support the physical and emotional needs of individuals but ensures that care decisions are made in a morally responsible manner.</w:t>
      </w:r>
    </w:p>
    <w:p w14:paraId="1581A00F" w14:textId="77777777" w:rsidR="00DB7E9B" w:rsidRDefault="00000000">
      <w:pPr>
        <w:spacing w:line="360" w:lineRule="auto"/>
        <w:jc w:val="both"/>
        <w:rPr>
          <w:rFonts w:ascii="Arial" w:hAnsi="Arial" w:cs="Arial"/>
        </w:rPr>
      </w:pPr>
      <w:r>
        <w:rPr>
          <w:rFonts w:ascii="Arial" w:hAnsi="Arial" w:cs="Arial"/>
        </w:rPr>
        <w:t>This report will reflect in details the significance of these principles, explore their application in real-world healthcare settings and evaluate how they influence my development as a future health and social care professional. Modern practices have moved far beyond a strictly medical focus and now centres on holistic, ethical and joined-up ways of working. The report examines the theoretical importance of these principles (Task 1), illustrates their application in a real-world hospital discharge scenario (Task 2), and uses Gibbs’ (1988) reflective cycle to re-evaluate my own professional skills and plan further development as a future health and social care practitioner (Task 3).</w:t>
      </w:r>
    </w:p>
    <w:p w14:paraId="28E6212A" w14:textId="77777777" w:rsidR="00DB7E9B" w:rsidRDefault="00000000">
      <w:pPr>
        <w:spacing w:line="360" w:lineRule="auto"/>
        <w:jc w:val="both"/>
        <w:rPr>
          <w:rFonts w:ascii="Arial" w:hAnsi="Arial" w:cs="Arial"/>
          <w:b/>
          <w:bCs/>
        </w:rPr>
      </w:pPr>
      <w:r>
        <w:rPr>
          <w:rFonts w:ascii="Arial" w:hAnsi="Arial" w:cs="Arial"/>
          <w:b/>
          <w:bCs/>
        </w:rPr>
        <w:t>Task 1: Reflection on the Importance of Principle of Health and Social Care</w:t>
      </w:r>
    </w:p>
    <w:p w14:paraId="1F930733" w14:textId="77777777" w:rsidR="00DB7E9B" w:rsidRDefault="00000000">
      <w:pPr>
        <w:spacing w:line="360" w:lineRule="auto"/>
        <w:jc w:val="both"/>
        <w:rPr>
          <w:rFonts w:ascii="Arial" w:hAnsi="Arial" w:cs="Arial"/>
        </w:rPr>
      </w:pPr>
      <w:r>
        <w:rPr>
          <w:rFonts w:ascii="Arial" w:hAnsi="Arial" w:cs="Arial"/>
        </w:rPr>
        <w:t xml:space="preserve">Person-centred care is a fundamental principle in health and social care that focuses on respecting and valuing the individuality of patients. The specific needs, preferences, and value of each individual are met by the tailored care it ensures. Person-centred care (PCC) is a central part of the UK health and social care, as a result of the move away from the old paternalistic medical model that was practiced before. McCormack and McCance (2017) explain that PCC shifts the emphasis from treating a disease to caring for the whole person, taking full account of their individual values, believes and life experiences. This approach matters because it gives people genuine control over their own health. It also fits well with Maslow’s (1943) Hierarchy of Needs: while medical treatment usually covers the basic physiological and safety layers, PCC reaches the higher level of esteem and self-actualisation by recognising and respecting who the person really is. The Care Act 2014 puts this idea into law, requiring practitioners to focus on the outcomes that matter most to the service user rather than imposing what the professional believes is best. </w:t>
      </w:r>
    </w:p>
    <w:p w14:paraId="6687F92E" w14:textId="77777777" w:rsidR="00DB7E9B" w:rsidRDefault="00000000">
      <w:pPr>
        <w:spacing w:line="360" w:lineRule="auto"/>
        <w:jc w:val="both"/>
        <w:rPr>
          <w:rFonts w:ascii="Arial" w:hAnsi="Arial" w:cs="Arial"/>
        </w:rPr>
      </w:pPr>
      <w:r>
        <w:rPr>
          <w:rFonts w:ascii="Arial" w:hAnsi="Arial" w:cs="Arial"/>
        </w:rPr>
        <w:t xml:space="preserve">Partnership working involves collaboration between healthcare professionals, patients, families and all stakeholders to deliver the best and coordinated care. An effective partnership working enhances communication, reduces duplication of services and ensures that the patients receive holistic care. This implies that partnership working is equally important for maintaining care quality. Health and social care needs are rarely confined to one professional group, so effective collaboration is essential. Day (2013) stresses that good interprofessional </w:t>
      </w:r>
      <w:r>
        <w:rPr>
          <w:rFonts w:ascii="Arial" w:hAnsi="Arial" w:cs="Arial"/>
        </w:rPr>
        <w:lastRenderedPageBreak/>
        <w:t xml:space="preserve">working, whether between NHS trusts, local authorities or within a multidisciplinary team, stops care from becoming fragmented and spares service users the distress of repeating their story to different agencies. The health and care Act 2022 strengthened this requirement by creating Integrated Care Systems (ICSs) across England and placing a legal duty on all relevant organisations to work together. When professionals pool their expertise, they can produce rounded care plans that address clinical, social and psychological needs at the same time, which in turn helps reduce hospital readmissions and improves safety. A Cochrane review by Reeves </w:t>
      </w:r>
      <w:r>
        <w:rPr>
          <w:rFonts w:ascii="Arial" w:hAnsi="Arial" w:cs="Arial"/>
          <w:i/>
          <w:iCs/>
        </w:rPr>
        <w:t>et al.,</w:t>
      </w:r>
      <w:r>
        <w:rPr>
          <w:rFonts w:ascii="Arial" w:hAnsi="Arial" w:cs="Arial"/>
        </w:rPr>
        <w:t xml:space="preserve"> (2017) confirms that interprofessional collaboration leads to measurable improvements in both professional practice and patient outcomes. </w:t>
      </w:r>
    </w:p>
    <w:p w14:paraId="096F48C2" w14:textId="77777777" w:rsidR="00DB7E9B" w:rsidRDefault="00000000">
      <w:pPr>
        <w:spacing w:line="360" w:lineRule="auto"/>
        <w:jc w:val="both"/>
        <w:rPr>
          <w:rFonts w:ascii="Arial" w:hAnsi="Arial" w:cs="Arial"/>
        </w:rPr>
      </w:pPr>
      <w:r>
        <w:rPr>
          <w:rFonts w:ascii="Arial" w:hAnsi="Arial" w:cs="Arial"/>
        </w:rPr>
        <w:t xml:space="preserve">Putting person-centred care and partnership working into practice often raises difficult moral questions, which is why a clear ethical framework is indispensable. Ethics in health and social care refers to the moral principles that guide professional behaviour. The most widely used guide remains Beauchamp and Childress’s (2019) four principles of biomedical ethics: autonomy, beneficence, non-maleficence and justice. These principles give practitioners a structured way to handle complex situations. Respecting a patient’s autonomy (their right to choose) can, for example, conflict with the duty of beneficence (doing good) or non-maleficence (avoiding harm). Ethical frameworks ensure decisions are based on reasoned, justifiable assessment rather than personal opinion, thereby protecting human rights and prompting fair care for everyone. </w:t>
      </w:r>
    </w:p>
    <w:p w14:paraId="0D46F54C" w14:textId="77777777" w:rsidR="00DB7E9B" w:rsidRDefault="00000000">
      <w:pPr>
        <w:spacing w:line="360" w:lineRule="auto"/>
        <w:jc w:val="both"/>
        <w:rPr>
          <w:rFonts w:ascii="Arial" w:hAnsi="Arial" w:cs="Arial"/>
          <w:b/>
          <w:bCs/>
        </w:rPr>
      </w:pPr>
      <w:r>
        <w:rPr>
          <w:rFonts w:ascii="Arial" w:hAnsi="Arial" w:cs="Arial"/>
          <w:b/>
          <w:bCs/>
        </w:rPr>
        <w:t xml:space="preserve"> Task 2: Practical Examples of Concepts in Practice</w:t>
      </w:r>
    </w:p>
    <w:p w14:paraId="763D2EA3" w14:textId="77777777" w:rsidR="00DB7E9B" w:rsidRDefault="00000000">
      <w:pPr>
        <w:spacing w:line="360" w:lineRule="auto"/>
        <w:jc w:val="both"/>
        <w:rPr>
          <w:rFonts w:ascii="Arial" w:hAnsi="Arial" w:cs="Arial"/>
        </w:rPr>
      </w:pPr>
      <w:r>
        <w:rPr>
          <w:rFonts w:ascii="Arial" w:hAnsi="Arial" w:cs="Arial"/>
        </w:rPr>
        <w:t xml:space="preserve">A routine hospital discharge of an older adult illustrates how these principles work in real life. Consider the case of an 84-year-old man with an early-stage dementia and diabetes who was admitted to an acute ward after a fall at home. </w:t>
      </w:r>
    </w:p>
    <w:p w14:paraId="24330EBD" w14:textId="77777777" w:rsidR="00DB7E9B" w:rsidRDefault="00000000">
      <w:pPr>
        <w:spacing w:line="360" w:lineRule="auto"/>
        <w:jc w:val="both"/>
        <w:rPr>
          <w:rFonts w:ascii="Arial" w:hAnsi="Arial" w:cs="Arial"/>
        </w:rPr>
      </w:pPr>
      <w:r>
        <w:rPr>
          <w:rFonts w:ascii="Arial" w:hAnsi="Arial" w:cs="Arial"/>
        </w:rPr>
        <w:t>Person-centred care was central to planning safe yet respectful discharge. Drawing on guidance from the Social Care Institute for Excellence (SCIE, 2020), the ward team carried out life-story work and learned that the man was a fiercely independent retired engineer. Instead of offering a standard rehabilitation timetable, the occupational therapists created a reablement programme built around his usual daily routine at home. This personal approach not only motivated the man but also fulfilled the Care Act 2014’s requirement to promote his emotional wellbeing and independence. This approach improved the patient’s comfort and anxiety.</w:t>
      </w:r>
    </w:p>
    <w:p w14:paraId="55C93550" w14:textId="77777777" w:rsidR="00DB7E9B" w:rsidRDefault="00000000">
      <w:pPr>
        <w:spacing w:line="360" w:lineRule="auto"/>
        <w:jc w:val="both"/>
        <w:rPr>
          <w:rFonts w:ascii="Arial" w:hAnsi="Arial" w:cs="Arial"/>
        </w:rPr>
      </w:pPr>
      <w:r>
        <w:rPr>
          <w:rFonts w:ascii="Arial" w:hAnsi="Arial" w:cs="Arial"/>
        </w:rPr>
        <w:t xml:space="preserve">Collaboration between healthcare professionals, social services and family members is evident of partnership working. Partnership working here made the discharge feasible. Safe transfer of care for a vulnerable older adult demands close coordination across services. Regular meetings were held to review the patient’s care plans and ensuring all stakeholders </w:t>
      </w:r>
      <w:r>
        <w:rPr>
          <w:rFonts w:ascii="Arial" w:hAnsi="Arial" w:cs="Arial"/>
        </w:rPr>
        <w:lastRenderedPageBreak/>
        <w:t xml:space="preserve">are contributing to the decision-making. These meetings are in line with the collaborative requirements of the Health and Care Act 2022, a multidisciplinary team (MDT) meeting brought together the ward nurse, local authority social worker, community diabetes nurse and the man’s daughter. The social worker arranged home adaptations and a daily care package, while the community nurse scheduled insulin reviews. The joined-up approach bridged acute NHS care and community social services effectively. </w:t>
      </w:r>
    </w:p>
    <w:p w14:paraId="230F10EF" w14:textId="77777777" w:rsidR="00DB7E9B" w:rsidRDefault="00000000">
      <w:pPr>
        <w:spacing w:line="360" w:lineRule="auto"/>
        <w:jc w:val="both"/>
        <w:rPr>
          <w:rFonts w:ascii="Arial" w:hAnsi="Arial" w:cs="Arial"/>
        </w:rPr>
      </w:pPr>
      <w:r>
        <w:rPr>
          <w:rFonts w:ascii="Arial" w:hAnsi="Arial" w:cs="Arial"/>
        </w:rPr>
        <w:t xml:space="preserve">Ethical considerations were equally important, especially the tension between autonomous and non-maleficence. The man was determined to return home but the medical team had serious concerns about his risk of further falls. Following the Mental Capacity Act 2005 and NICE (2018) guidance, the team carried out a capacity assessment focused specifically on his understanding of the discharge plan. He was judged to have capacity, so his decision had to be respected even though the team considered it unwise. By putting the agreed care package in place, the MDT still fulfilled their duty of beneficence and managed risk as far as possible, showing how ethical principles protect patient rights while addressing clinical concerns. </w:t>
      </w:r>
    </w:p>
    <w:p w14:paraId="1409769F" w14:textId="77777777" w:rsidR="00DB7E9B" w:rsidRDefault="00000000">
      <w:pPr>
        <w:tabs>
          <w:tab w:val="left" w:pos="6990"/>
        </w:tabs>
        <w:spacing w:line="360" w:lineRule="auto"/>
        <w:jc w:val="both"/>
        <w:rPr>
          <w:rFonts w:ascii="Arial" w:hAnsi="Arial" w:cs="Arial"/>
          <w:b/>
          <w:bCs/>
        </w:rPr>
      </w:pPr>
      <w:r>
        <w:rPr>
          <w:rFonts w:ascii="Arial" w:hAnsi="Arial" w:cs="Arial"/>
          <w:b/>
          <w:bCs/>
        </w:rPr>
        <w:t>Task 3: Self-Reflection as a Health and Social Care Professional</w:t>
      </w:r>
    </w:p>
    <w:p w14:paraId="4A18646A" w14:textId="77777777" w:rsidR="00DB7E9B" w:rsidRDefault="00000000">
      <w:pPr>
        <w:tabs>
          <w:tab w:val="left" w:pos="6990"/>
        </w:tabs>
        <w:spacing w:line="360" w:lineRule="auto"/>
        <w:jc w:val="both"/>
        <w:rPr>
          <w:rFonts w:ascii="Arial" w:hAnsi="Arial" w:cs="Arial"/>
        </w:rPr>
      </w:pPr>
      <w:r>
        <w:rPr>
          <w:rFonts w:ascii="Arial" w:hAnsi="Arial" w:cs="Arial"/>
        </w:rPr>
        <w:t xml:space="preserve">As a future health and social care professional, these three principles shape my daily practice, yet applying them consistently remains an ongoing process of learning. Using Gibbs’ (1988) reflective cycle, Descriptive, Feeling, Evaluation, Analysis, Conclusion and Action Plan, I have examined how I currently incorporate person-centred care, partnership working and ethics, and where I need to develop further. </w:t>
      </w:r>
    </w:p>
    <w:p w14:paraId="24D10842" w14:textId="77777777" w:rsidR="00DB7E9B" w:rsidRDefault="00000000">
      <w:pPr>
        <w:tabs>
          <w:tab w:val="left" w:pos="6990"/>
        </w:tabs>
        <w:spacing w:line="360" w:lineRule="auto"/>
        <w:jc w:val="both"/>
        <w:rPr>
          <w:rFonts w:ascii="Arial" w:hAnsi="Arial" w:cs="Arial"/>
        </w:rPr>
      </w:pPr>
      <w:r>
        <w:rPr>
          <w:rFonts w:ascii="Arial" w:hAnsi="Arial" w:cs="Arial"/>
        </w:rPr>
        <w:t>Learning by doing (1988) was developed Graham Gibbs. The model consists of six sequential stages that guide practitioners from a simple description of an event through to concrete future actions. The stages are:</w:t>
      </w:r>
    </w:p>
    <w:p w14:paraId="023685FA" w14:textId="492B3D71" w:rsidR="00DB7E9B" w:rsidRDefault="00335C7F">
      <w:pPr>
        <w:pStyle w:val="ListParagraph"/>
        <w:numPr>
          <w:ilvl w:val="0"/>
          <w:numId w:val="1"/>
        </w:numPr>
        <w:tabs>
          <w:tab w:val="left" w:pos="6990"/>
        </w:tabs>
        <w:spacing w:line="360" w:lineRule="auto"/>
        <w:jc w:val="both"/>
        <w:rPr>
          <w:rFonts w:ascii="Arial" w:hAnsi="Arial" w:cs="Arial"/>
        </w:rPr>
      </w:pPr>
      <w:r>
        <w:rPr>
          <w:rFonts w:ascii="Arial" w:hAnsi="Arial" w:cs="Arial"/>
          <w:b/>
          <w:bCs/>
        </w:rPr>
        <w:t>Description:</w:t>
      </w:r>
      <w:r>
        <w:rPr>
          <w:rFonts w:ascii="Arial" w:hAnsi="Arial" w:cs="Arial"/>
        </w:rPr>
        <w:t xml:space="preserve"> In</w:t>
      </w:r>
      <w:r w:rsidR="00000000">
        <w:rPr>
          <w:rFonts w:ascii="Arial" w:hAnsi="Arial" w:cs="Arial"/>
        </w:rPr>
        <w:t xml:space="preserve"> my current role, I regularly support services users with complex needs. In a recent example that involved a non-verbal adult with learning disabilities whose care plan needed updating, a multidisciplinary team (MDT) meeting to plan hospital discharge for another service user and a situation where a patient with capacity refused personal-hygiene assistance. All these events required me to apply person-centred care, partnership working and ethical decision-making simultaneously.</w:t>
      </w:r>
    </w:p>
    <w:p w14:paraId="00BE6B91" w14:textId="436D0FD4" w:rsidR="00DB7E9B" w:rsidRDefault="00335C7F">
      <w:pPr>
        <w:pStyle w:val="ListParagraph"/>
        <w:numPr>
          <w:ilvl w:val="0"/>
          <w:numId w:val="1"/>
        </w:numPr>
        <w:tabs>
          <w:tab w:val="left" w:pos="6990"/>
        </w:tabs>
        <w:spacing w:line="360" w:lineRule="auto"/>
        <w:jc w:val="both"/>
        <w:rPr>
          <w:rFonts w:ascii="Arial" w:hAnsi="Arial" w:cs="Arial"/>
        </w:rPr>
      </w:pPr>
      <w:r>
        <w:rPr>
          <w:rFonts w:ascii="Arial" w:hAnsi="Arial" w:cs="Arial"/>
          <w:b/>
          <w:bCs/>
        </w:rPr>
        <w:t>Feelings:</w:t>
      </w:r>
      <w:r>
        <w:rPr>
          <w:rFonts w:ascii="Arial" w:hAnsi="Arial" w:cs="Arial"/>
        </w:rPr>
        <w:t xml:space="preserve"> During</w:t>
      </w:r>
      <w:r w:rsidR="00000000">
        <w:rPr>
          <w:rFonts w:ascii="Arial" w:hAnsi="Arial" w:cs="Arial"/>
        </w:rPr>
        <w:t xml:space="preserve"> the non-verbal service user’s care-plan review I initially felt anxious that I might overlook their wishes. The moment we used visual communication tools with the family input, I felt relieved and satisfied when the individual responded positively. In the MDT meeting too, I felt frustrated and undervalued because other </w:t>
      </w:r>
      <w:r w:rsidR="00000000">
        <w:rPr>
          <w:rFonts w:ascii="Arial" w:hAnsi="Arial" w:cs="Arial"/>
        </w:rPr>
        <w:lastRenderedPageBreak/>
        <w:t xml:space="preserve">clinical colleagues prioritised rapid discharge while I social risks of the patient was all I was concerned about. When the patient refuses hygiene support, I experienced moral distress and discomfort. My instinct was to encourage acceptance for their dignity and health, yet I knew I must respect their autonomy. </w:t>
      </w:r>
    </w:p>
    <w:p w14:paraId="24313F72" w14:textId="30A710ED" w:rsidR="00DB7E9B" w:rsidRDefault="00335C7F">
      <w:pPr>
        <w:pStyle w:val="ListParagraph"/>
        <w:numPr>
          <w:ilvl w:val="0"/>
          <w:numId w:val="1"/>
        </w:numPr>
        <w:tabs>
          <w:tab w:val="left" w:pos="6990"/>
        </w:tabs>
        <w:spacing w:line="360" w:lineRule="auto"/>
        <w:jc w:val="both"/>
        <w:rPr>
          <w:rFonts w:ascii="Arial" w:hAnsi="Arial" w:cs="Arial"/>
        </w:rPr>
      </w:pPr>
      <w:r>
        <w:rPr>
          <w:rFonts w:ascii="Arial" w:hAnsi="Arial" w:cs="Arial"/>
          <w:b/>
          <w:bCs/>
        </w:rPr>
        <w:t>Evaluation:</w:t>
      </w:r>
      <w:r>
        <w:rPr>
          <w:rFonts w:ascii="Arial" w:hAnsi="Arial" w:cs="Arial"/>
        </w:rPr>
        <w:t xml:space="preserve"> The</w:t>
      </w:r>
      <w:r w:rsidR="00000000">
        <w:rPr>
          <w:rFonts w:ascii="Arial" w:hAnsi="Arial" w:cs="Arial"/>
        </w:rPr>
        <w:t xml:space="preserve"> person-centred episode </w:t>
      </w:r>
      <w:r>
        <w:rPr>
          <w:rFonts w:ascii="Arial" w:hAnsi="Arial" w:cs="Arial"/>
        </w:rPr>
        <w:t>proved</w:t>
      </w:r>
      <w:r w:rsidR="00000000">
        <w:rPr>
          <w:rFonts w:ascii="Arial" w:hAnsi="Arial" w:cs="Arial"/>
        </w:rPr>
        <w:t xml:space="preserve"> successful, active listening and creative communication tools produced a care plan the service user clearly preferred, demonstrating the Care Act 2014’s focus on wellbeing. </w:t>
      </w:r>
    </w:p>
    <w:p w14:paraId="105BB182" w14:textId="77777777" w:rsidR="00DB7E9B" w:rsidRDefault="00000000">
      <w:pPr>
        <w:pStyle w:val="ListParagraph"/>
        <w:numPr>
          <w:ilvl w:val="0"/>
          <w:numId w:val="1"/>
        </w:numPr>
        <w:tabs>
          <w:tab w:val="left" w:pos="6990"/>
        </w:tabs>
        <w:spacing w:line="360" w:lineRule="auto"/>
        <w:jc w:val="both"/>
        <w:rPr>
          <w:rFonts w:ascii="Arial" w:hAnsi="Arial" w:cs="Arial"/>
          <w:b/>
          <w:bCs/>
        </w:rPr>
      </w:pPr>
      <w:r>
        <w:rPr>
          <w:rFonts w:ascii="Arial" w:hAnsi="Arial" w:cs="Arial"/>
          <w:b/>
          <w:bCs/>
        </w:rPr>
        <w:t xml:space="preserve">Analysis: </w:t>
      </w:r>
      <w:r>
        <w:rPr>
          <w:rFonts w:ascii="Arial" w:hAnsi="Arial" w:cs="Arial"/>
        </w:rPr>
        <w:t xml:space="preserve">Partnership working, by contrast, is often a source of frustration for me. In MDT meetings I frequently find myself advocating for the social aspects of a service user’s needs when clinical colleagues focus mainly on quick discharge that I believe is socially unsafe, I struggle to assert my professional view with confidence. Analysing this through Day’s (2013) work on interprofessional practice, I can see that traditional professional hierarchies still affect communication. Although the Health and Care Act 2022 legally require integrated care, dismantling long standing silos is difficult in reality. My lack of confidence when challenging senior staff is a clear area for improvement that limits genuine partnership working. </w:t>
      </w:r>
    </w:p>
    <w:p w14:paraId="28B5784B" w14:textId="77777777" w:rsidR="00DB7E9B" w:rsidRDefault="00000000">
      <w:pPr>
        <w:pStyle w:val="ListParagraph"/>
        <w:numPr>
          <w:ilvl w:val="0"/>
          <w:numId w:val="1"/>
        </w:numPr>
        <w:tabs>
          <w:tab w:val="left" w:pos="6990"/>
        </w:tabs>
        <w:spacing w:line="360" w:lineRule="auto"/>
        <w:jc w:val="both"/>
        <w:rPr>
          <w:rFonts w:ascii="Arial" w:hAnsi="Arial" w:cs="Arial"/>
        </w:rPr>
      </w:pPr>
      <w:r>
        <w:rPr>
          <w:rFonts w:ascii="Arial" w:hAnsi="Arial" w:cs="Arial"/>
          <w:b/>
          <w:bCs/>
        </w:rPr>
        <w:t xml:space="preserve">Conclusion: </w:t>
      </w:r>
      <w:r>
        <w:rPr>
          <w:rFonts w:ascii="Arial" w:hAnsi="Arial" w:cs="Arial"/>
        </w:rPr>
        <w:t xml:space="preserve">Ethically, I am guided by the Health and Care Profession Council (HCPC, 2016) standards, which require me to act in the best interests of service users. Even so, I sometimes experience moral distress. Recently I had to support a patient who refused personal hygiene intervention. My instinct was to encourage acceptance for the sake of dignity and health (beneficence), yet the Mental Capacity Act 2005 made it clear the patient had the right to refuse. It felt uncomfortable to step back. In conclusion, while I understand Beauchamp and Childress’s (2019) principle of autonomy on paper, applying it when it clashes with my natural desire to help remains emotionally demanding. I need to develop better strategies for managing my own discomfort so that I can uphold legal and professional duties without becoming distressed. </w:t>
      </w:r>
    </w:p>
    <w:p w14:paraId="54D4AFF2" w14:textId="77777777" w:rsidR="00DB7E9B" w:rsidRDefault="00DB7E9B">
      <w:pPr>
        <w:pStyle w:val="ListParagraph"/>
        <w:tabs>
          <w:tab w:val="left" w:pos="6990"/>
        </w:tabs>
        <w:spacing w:line="360" w:lineRule="auto"/>
        <w:ind w:left="0"/>
        <w:jc w:val="both"/>
        <w:rPr>
          <w:rFonts w:ascii="Arial" w:hAnsi="Arial" w:cs="Arial"/>
        </w:rPr>
      </w:pPr>
    </w:p>
    <w:p w14:paraId="7E6EBF2C" w14:textId="77777777" w:rsidR="00DB7E9B" w:rsidRDefault="00000000">
      <w:pPr>
        <w:pStyle w:val="ListParagraph"/>
        <w:tabs>
          <w:tab w:val="left" w:pos="6990"/>
        </w:tabs>
        <w:spacing w:line="360" w:lineRule="auto"/>
        <w:ind w:left="0"/>
        <w:jc w:val="both"/>
        <w:rPr>
          <w:rFonts w:ascii="Arial" w:hAnsi="Arial" w:cs="Arial"/>
        </w:rPr>
      </w:pPr>
      <w:r>
        <w:rPr>
          <w:rFonts w:ascii="Arial" w:hAnsi="Arial" w:cs="Arial"/>
        </w:rPr>
        <w:t>My main daily focus is using communication to support person-centred care. I make a point of active listening and always involve services directly in writing their own care plans. Recently I supported a non-verbal service user and initially felt anxious that I might miss their wishes. By working closely with the family and using alternative communication tools, however, we created a routine that the individual clearly responded to positively. Evaluating the experience, it was very successful because it demonstrated that the Care Act 2014’s emphasis on wellbeing includes finding creative ways to give every person a voice. My empathy and patience in building rapport are definite strengths here.</w:t>
      </w:r>
    </w:p>
    <w:p w14:paraId="79A904D9" w14:textId="77777777" w:rsidR="00DB7E9B" w:rsidRDefault="00DB7E9B">
      <w:pPr>
        <w:pStyle w:val="ListParagraph"/>
        <w:tabs>
          <w:tab w:val="left" w:pos="6990"/>
        </w:tabs>
        <w:spacing w:line="360" w:lineRule="auto"/>
        <w:ind w:left="0"/>
        <w:jc w:val="both"/>
        <w:rPr>
          <w:rFonts w:ascii="Arial" w:hAnsi="Arial" w:cs="Arial"/>
        </w:rPr>
      </w:pPr>
    </w:p>
    <w:p w14:paraId="642C016D" w14:textId="475FA07B" w:rsidR="00DB7E9B" w:rsidRDefault="00000000">
      <w:pPr>
        <w:pStyle w:val="ListParagraph"/>
        <w:numPr>
          <w:ilvl w:val="0"/>
          <w:numId w:val="1"/>
        </w:numPr>
        <w:tabs>
          <w:tab w:val="left" w:pos="6990"/>
        </w:tabs>
        <w:spacing w:line="360" w:lineRule="auto"/>
        <w:jc w:val="both"/>
        <w:rPr>
          <w:rFonts w:ascii="Arial" w:hAnsi="Arial" w:cs="Arial"/>
        </w:rPr>
      </w:pPr>
      <w:r>
        <w:rPr>
          <w:rFonts w:ascii="Arial" w:hAnsi="Arial" w:cs="Arial"/>
          <w:b/>
          <w:bCs/>
        </w:rPr>
        <w:t xml:space="preserve">Action Plan: </w:t>
      </w:r>
      <w:r>
        <w:rPr>
          <w:rFonts w:ascii="Arial" w:hAnsi="Arial" w:cs="Arial"/>
        </w:rPr>
        <w:t xml:space="preserve">These are specific, realistic steps I intend to </w:t>
      </w:r>
      <w:proofErr w:type="gramStart"/>
      <w:r>
        <w:rPr>
          <w:rFonts w:ascii="Arial" w:hAnsi="Arial" w:cs="Arial"/>
        </w:rPr>
        <w:t>use  to</w:t>
      </w:r>
      <w:proofErr w:type="gramEnd"/>
      <w:r>
        <w:rPr>
          <w:rFonts w:ascii="Arial" w:hAnsi="Arial" w:cs="Arial"/>
        </w:rPr>
        <w:t xml:space="preserve"> improve practice if a similar situation arises again. These are clearly </w:t>
      </w:r>
      <w:r w:rsidR="004E4915">
        <w:rPr>
          <w:rFonts w:ascii="Arial" w:hAnsi="Arial" w:cs="Arial"/>
        </w:rPr>
        <w:t>outlined</w:t>
      </w:r>
      <w:r>
        <w:rPr>
          <w:rFonts w:ascii="Arial" w:hAnsi="Arial" w:cs="Arial"/>
        </w:rPr>
        <w:t xml:space="preserve"> below. </w:t>
      </w:r>
    </w:p>
    <w:p w14:paraId="073F9189" w14:textId="77777777" w:rsidR="00DB7E9B" w:rsidRDefault="00000000">
      <w:pPr>
        <w:tabs>
          <w:tab w:val="left" w:pos="6990"/>
        </w:tabs>
        <w:spacing w:line="360" w:lineRule="auto"/>
        <w:jc w:val="both"/>
        <w:rPr>
          <w:rFonts w:ascii="Arial" w:hAnsi="Arial" w:cs="Arial"/>
          <w:b/>
          <w:bCs/>
        </w:rPr>
      </w:pPr>
      <w:r>
        <w:rPr>
          <w:rFonts w:ascii="Arial" w:hAnsi="Arial" w:cs="Arial"/>
          <w:b/>
          <w:bCs/>
        </w:rPr>
        <w:t>Action Plan for Professional Development</w:t>
      </w:r>
    </w:p>
    <w:p w14:paraId="2CBEED91" w14:textId="77777777" w:rsidR="00DB7E9B" w:rsidRDefault="00000000">
      <w:pPr>
        <w:tabs>
          <w:tab w:val="left" w:pos="6990"/>
        </w:tabs>
        <w:spacing w:line="360" w:lineRule="auto"/>
        <w:jc w:val="both"/>
        <w:rPr>
          <w:rFonts w:ascii="Arial" w:hAnsi="Arial" w:cs="Arial"/>
        </w:rPr>
      </w:pPr>
      <w:r>
        <w:rPr>
          <w:rFonts w:ascii="Arial" w:hAnsi="Arial" w:cs="Arial"/>
        </w:rPr>
        <w:t>To strengthen my knowledge and skills over the next twelve months I have identified the following targeted actions:</w:t>
      </w:r>
    </w:p>
    <w:p w14:paraId="33ACA161" w14:textId="77777777" w:rsidR="00DB7E9B" w:rsidRDefault="00000000">
      <w:pPr>
        <w:pStyle w:val="ListParagraph"/>
        <w:numPr>
          <w:ilvl w:val="0"/>
          <w:numId w:val="2"/>
        </w:numPr>
        <w:tabs>
          <w:tab w:val="left" w:pos="6990"/>
        </w:tabs>
        <w:spacing w:line="360" w:lineRule="auto"/>
        <w:jc w:val="both"/>
        <w:rPr>
          <w:rFonts w:ascii="Arial" w:hAnsi="Arial" w:cs="Arial"/>
        </w:rPr>
      </w:pPr>
      <w:r>
        <w:rPr>
          <w:rFonts w:ascii="Arial" w:hAnsi="Arial" w:cs="Arial"/>
        </w:rPr>
        <w:t>Improving assertiveness in MDTs (partnership working): I will enrol in enrol in a CPD course on assertive communication and negotiation skills specifically for healthcare professionals. I will also ask my line manager for the opportunity to shadow a senior colleague during complex case conferences so I can observe constructive ways of raising concerns while preserving collaborative relationships.</w:t>
      </w:r>
    </w:p>
    <w:p w14:paraId="00B7C794" w14:textId="77777777" w:rsidR="00DB7E9B" w:rsidRDefault="00000000">
      <w:pPr>
        <w:pStyle w:val="ListParagraph"/>
        <w:numPr>
          <w:ilvl w:val="0"/>
          <w:numId w:val="2"/>
        </w:numPr>
        <w:tabs>
          <w:tab w:val="left" w:pos="6990"/>
        </w:tabs>
        <w:spacing w:line="360" w:lineRule="auto"/>
        <w:jc w:val="both"/>
        <w:rPr>
          <w:rFonts w:ascii="Arial" w:hAnsi="Arial" w:cs="Arial"/>
        </w:rPr>
      </w:pPr>
      <w:r>
        <w:rPr>
          <w:rFonts w:ascii="Arial" w:hAnsi="Arial" w:cs="Arial"/>
        </w:rPr>
        <w:t>Managing moral distress (ethics): I will set up formal monthly clinical supervision sessions. These will provide a confidential space to reflect on cases where autonomy and beneficence conflict, helping me process the emotional impact and avoid burnout.</w:t>
      </w:r>
    </w:p>
    <w:p w14:paraId="25703B3B" w14:textId="77777777" w:rsidR="00DB7E9B" w:rsidRDefault="00000000">
      <w:pPr>
        <w:pStyle w:val="ListParagraph"/>
        <w:numPr>
          <w:ilvl w:val="0"/>
          <w:numId w:val="2"/>
        </w:numPr>
        <w:tabs>
          <w:tab w:val="left" w:pos="6990"/>
        </w:tabs>
        <w:spacing w:line="360" w:lineRule="auto"/>
        <w:jc w:val="both"/>
        <w:rPr>
          <w:rFonts w:ascii="Arial" w:hAnsi="Arial" w:cs="Arial"/>
        </w:rPr>
      </w:pPr>
      <w:r>
        <w:rPr>
          <w:rFonts w:ascii="Arial" w:hAnsi="Arial" w:cs="Arial"/>
        </w:rPr>
        <w:t xml:space="preserve">Keeping current with policy (person-centred care): Because legislation and guidance change frequently, I will allocate one hour each month to reviewing the latest resources from the Social Care Institute for Excellence (SCIE). This will ensure my knowledge of Care Act 2014 and Mental Capacity Act 2005 stays up to date so I can advocate more effectively for service users. </w:t>
      </w:r>
    </w:p>
    <w:p w14:paraId="5D9CFE54" w14:textId="77777777" w:rsidR="00DB7E9B" w:rsidRDefault="00000000">
      <w:pPr>
        <w:tabs>
          <w:tab w:val="left" w:pos="6990"/>
        </w:tabs>
        <w:spacing w:line="360" w:lineRule="auto"/>
        <w:jc w:val="both"/>
        <w:rPr>
          <w:rFonts w:ascii="Arial" w:hAnsi="Arial" w:cs="Arial"/>
        </w:rPr>
      </w:pPr>
      <w:r>
        <w:rPr>
          <w:rFonts w:ascii="Arial" w:hAnsi="Arial" w:cs="Arial"/>
        </w:rPr>
        <w:t xml:space="preserve">By committing to these steps, I intend to move from simply understanding the principles of health and social care to applying them confidently and consistently in every interaction. </w:t>
      </w:r>
    </w:p>
    <w:p w14:paraId="6AD5D52F" w14:textId="77777777" w:rsidR="00DB7E9B" w:rsidRDefault="00DB7E9B">
      <w:pPr>
        <w:spacing w:line="360" w:lineRule="auto"/>
        <w:jc w:val="both"/>
        <w:rPr>
          <w:rFonts w:ascii="Arial" w:hAnsi="Arial" w:cs="Arial"/>
        </w:rPr>
      </w:pPr>
    </w:p>
    <w:p w14:paraId="28606D8D" w14:textId="77777777" w:rsidR="00DB7E9B" w:rsidRDefault="00DB7E9B">
      <w:pPr>
        <w:spacing w:line="360" w:lineRule="auto"/>
        <w:jc w:val="both"/>
        <w:rPr>
          <w:rFonts w:ascii="Arial" w:hAnsi="Arial" w:cs="Arial"/>
        </w:rPr>
      </w:pPr>
    </w:p>
    <w:p w14:paraId="16578F45" w14:textId="77777777" w:rsidR="00DB7E9B" w:rsidRDefault="00DB7E9B">
      <w:pPr>
        <w:spacing w:line="360" w:lineRule="auto"/>
        <w:jc w:val="both"/>
        <w:rPr>
          <w:rFonts w:ascii="Arial" w:hAnsi="Arial" w:cs="Arial"/>
        </w:rPr>
      </w:pPr>
    </w:p>
    <w:p w14:paraId="382003C3" w14:textId="77777777" w:rsidR="00DB7E9B" w:rsidRDefault="00DB7E9B">
      <w:pPr>
        <w:spacing w:line="360" w:lineRule="auto"/>
        <w:jc w:val="both"/>
        <w:rPr>
          <w:rFonts w:ascii="Arial" w:hAnsi="Arial" w:cs="Arial"/>
        </w:rPr>
      </w:pPr>
    </w:p>
    <w:p w14:paraId="3F3D246F" w14:textId="77777777" w:rsidR="00DB7E9B" w:rsidRDefault="00DB7E9B">
      <w:pPr>
        <w:spacing w:line="360" w:lineRule="auto"/>
        <w:jc w:val="both"/>
        <w:rPr>
          <w:rFonts w:ascii="Arial" w:hAnsi="Arial" w:cs="Arial"/>
        </w:rPr>
      </w:pPr>
    </w:p>
    <w:p w14:paraId="27AB92F0" w14:textId="77777777" w:rsidR="00DB7E9B" w:rsidRDefault="00DB7E9B">
      <w:pPr>
        <w:spacing w:line="360" w:lineRule="auto"/>
        <w:jc w:val="both"/>
        <w:rPr>
          <w:rFonts w:ascii="Arial" w:hAnsi="Arial" w:cs="Arial"/>
        </w:rPr>
      </w:pPr>
    </w:p>
    <w:p w14:paraId="7C30C824" w14:textId="77777777" w:rsidR="00DB7E9B" w:rsidRDefault="00DB7E9B">
      <w:pPr>
        <w:spacing w:line="360" w:lineRule="auto"/>
        <w:jc w:val="both"/>
        <w:rPr>
          <w:rFonts w:ascii="Arial" w:hAnsi="Arial" w:cs="Arial"/>
        </w:rPr>
      </w:pPr>
    </w:p>
    <w:p w14:paraId="767B0DCD" w14:textId="77777777" w:rsidR="00DB7E9B" w:rsidRDefault="00DB7E9B">
      <w:pPr>
        <w:spacing w:line="360" w:lineRule="auto"/>
        <w:jc w:val="both"/>
        <w:rPr>
          <w:rFonts w:ascii="Arial" w:hAnsi="Arial" w:cs="Arial"/>
        </w:rPr>
      </w:pPr>
    </w:p>
    <w:p w14:paraId="69CD7412" w14:textId="77777777" w:rsidR="00DB7E9B" w:rsidRDefault="00000000">
      <w:pPr>
        <w:spacing w:line="360" w:lineRule="auto"/>
        <w:jc w:val="both"/>
        <w:rPr>
          <w:rFonts w:ascii="Arial" w:hAnsi="Arial" w:cs="Arial"/>
          <w:b/>
          <w:bCs/>
        </w:rPr>
      </w:pPr>
      <w:r>
        <w:rPr>
          <w:rFonts w:ascii="Arial" w:hAnsi="Arial" w:cs="Arial"/>
          <w:b/>
          <w:bCs/>
        </w:rPr>
        <w:t>References</w:t>
      </w:r>
    </w:p>
    <w:p w14:paraId="09EAC776" w14:textId="77777777" w:rsidR="00DB7E9B" w:rsidRDefault="00000000">
      <w:pPr>
        <w:spacing w:line="360" w:lineRule="auto"/>
        <w:jc w:val="both"/>
        <w:rPr>
          <w:rFonts w:ascii="Arial" w:hAnsi="Arial" w:cs="Arial"/>
        </w:rPr>
      </w:pPr>
      <w:r>
        <w:rPr>
          <w:rFonts w:ascii="Arial" w:hAnsi="Arial" w:cs="Arial"/>
        </w:rPr>
        <w:lastRenderedPageBreak/>
        <w:t>Beauchamp, T.L. and Childress, J.F. (2019) Principles of Biomedical Ethics. 8th edn. Oxford: Oxford University Press.</w:t>
      </w:r>
    </w:p>
    <w:p w14:paraId="0EF2A315" w14:textId="77777777" w:rsidR="00DB7E9B" w:rsidRDefault="00000000">
      <w:pPr>
        <w:spacing w:line="360" w:lineRule="auto"/>
        <w:jc w:val="both"/>
        <w:rPr>
          <w:rFonts w:ascii="Arial" w:hAnsi="Arial" w:cs="Arial"/>
        </w:rPr>
      </w:pPr>
      <w:r>
        <w:rPr>
          <w:rFonts w:ascii="Arial" w:hAnsi="Arial" w:cs="Arial"/>
        </w:rPr>
        <w:t>Day, J. (2013) Interprofessional Working: An Essential Guide for Health and Social Care Professionals. 2nd edn. Andover: Cengage Learning.</w:t>
      </w:r>
    </w:p>
    <w:p w14:paraId="0D670C5D" w14:textId="77777777" w:rsidR="00DB7E9B" w:rsidRDefault="00000000">
      <w:pPr>
        <w:spacing w:line="360" w:lineRule="auto"/>
        <w:jc w:val="both"/>
        <w:rPr>
          <w:rFonts w:ascii="Arial" w:hAnsi="Arial" w:cs="Arial"/>
        </w:rPr>
      </w:pPr>
      <w:r>
        <w:rPr>
          <w:rFonts w:ascii="Arial" w:hAnsi="Arial" w:cs="Arial"/>
        </w:rPr>
        <w:t xml:space="preserve">Department of Health and Social Care (2014) Care Act 2014. Available at: </w:t>
      </w:r>
      <w:hyperlink r:id="rId7" w:history="1">
        <w:r>
          <w:rPr>
            <w:rStyle w:val="Hyperlink"/>
            <w:rFonts w:ascii="Arial" w:hAnsi="Arial" w:cs="Arial"/>
          </w:rPr>
          <w:t>https://www.legislation.gov.uk/ukpga/2014/23/contents</w:t>
        </w:r>
      </w:hyperlink>
      <w:r>
        <w:rPr>
          <w:rFonts w:ascii="Arial" w:hAnsi="Arial" w:cs="Arial"/>
        </w:rPr>
        <w:t xml:space="preserve">  (Accessed: 5 April 2026).</w:t>
      </w:r>
    </w:p>
    <w:p w14:paraId="4551F3F2" w14:textId="77777777" w:rsidR="00DB7E9B" w:rsidRDefault="00000000">
      <w:pPr>
        <w:spacing w:line="360" w:lineRule="auto"/>
        <w:jc w:val="both"/>
        <w:rPr>
          <w:rFonts w:ascii="Arial" w:hAnsi="Arial" w:cs="Arial"/>
        </w:rPr>
      </w:pPr>
      <w:r>
        <w:rPr>
          <w:rFonts w:ascii="Arial" w:hAnsi="Arial" w:cs="Arial"/>
        </w:rPr>
        <w:t xml:space="preserve">Department of Health and Social Care (2022) Health and Care Act 2022. Available at: </w:t>
      </w:r>
      <w:hyperlink r:id="rId8" w:history="1">
        <w:r>
          <w:rPr>
            <w:rStyle w:val="Hyperlink"/>
            <w:rFonts w:ascii="Arial" w:hAnsi="Arial" w:cs="Arial"/>
          </w:rPr>
          <w:t>https://www.legislation.gov.uk/ukpga/2022/31/contents</w:t>
        </w:r>
      </w:hyperlink>
      <w:r>
        <w:rPr>
          <w:rFonts w:ascii="Arial" w:hAnsi="Arial" w:cs="Arial"/>
        </w:rPr>
        <w:t xml:space="preserve">  (Accessed: 5 April 2026).</w:t>
      </w:r>
    </w:p>
    <w:p w14:paraId="74087289" w14:textId="77777777" w:rsidR="00DB7E9B" w:rsidRDefault="00000000">
      <w:pPr>
        <w:spacing w:line="360" w:lineRule="auto"/>
        <w:jc w:val="both"/>
        <w:rPr>
          <w:rFonts w:ascii="Arial" w:hAnsi="Arial" w:cs="Arial"/>
        </w:rPr>
      </w:pPr>
      <w:r>
        <w:rPr>
          <w:rFonts w:ascii="Arial" w:hAnsi="Arial" w:cs="Arial"/>
        </w:rPr>
        <w:t>Gibbs, G. (1988) Learning by Doing: A guide to teaching and learning methods. Oxford: Further Education Unit.</w:t>
      </w:r>
    </w:p>
    <w:p w14:paraId="031EF9FE" w14:textId="77777777" w:rsidR="00DB7E9B" w:rsidRDefault="00000000">
      <w:pPr>
        <w:spacing w:line="360" w:lineRule="auto"/>
        <w:jc w:val="both"/>
        <w:rPr>
          <w:rFonts w:ascii="Arial" w:hAnsi="Arial" w:cs="Arial"/>
        </w:rPr>
      </w:pPr>
      <w:r>
        <w:rPr>
          <w:rFonts w:ascii="Arial" w:hAnsi="Arial" w:cs="Arial"/>
        </w:rPr>
        <w:t xml:space="preserve">Great Britain (2005) Mental Capacity Act 2005. Available at: </w:t>
      </w:r>
      <w:hyperlink r:id="rId9" w:history="1">
        <w:r>
          <w:rPr>
            <w:rStyle w:val="Hyperlink"/>
            <w:rFonts w:ascii="Arial" w:hAnsi="Arial" w:cs="Arial"/>
          </w:rPr>
          <w:t>https://www.legislation.gov.uk/ukpga/2005/9/contents</w:t>
        </w:r>
      </w:hyperlink>
      <w:r>
        <w:rPr>
          <w:rFonts w:ascii="Arial" w:hAnsi="Arial" w:cs="Arial"/>
        </w:rPr>
        <w:t xml:space="preserve">  (Accessed: 5 April 2026).</w:t>
      </w:r>
    </w:p>
    <w:p w14:paraId="56694171" w14:textId="77777777" w:rsidR="00DB7E9B" w:rsidRDefault="00000000">
      <w:pPr>
        <w:spacing w:line="360" w:lineRule="auto"/>
        <w:jc w:val="both"/>
        <w:rPr>
          <w:rFonts w:ascii="Arial" w:hAnsi="Arial" w:cs="Arial"/>
        </w:rPr>
      </w:pPr>
      <w:r>
        <w:rPr>
          <w:rFonts w:ascii="Arial" w:hAnsi="Arial" w:cs="Arial"/>
        </w:rPr>
        <w:t>Health and Care Professions Council (HCPC) (2016) Standards of conduct, performance and ethics. London: HCPC.</w:t>
      </w:r>
    </w:p>
    <w:p w14:paraId="1F00606D" w14:textId="77777777" w:rsidR="00DB7E9B" w:rsidRDefault="00000000">
      <w:pPr>
        <w:spacing w:line="360" w:lineRule="auto"/>
        <w:jc w:val="both"/>
        <w:rPr>
          <w:rFonts w:ascii="Arial" w:hAnsi="Arial" w:cs="Arial"/>
        </w:rPr>
      </w:pPr>
      <w:r>
        <w:rPr>
          <w:rFonts w:ascii="Arial" w:hAnsi="Arial" w:cs="Arial"/>
        </w:rPr>
        <w:t>Maslow, A.H. (1943) 'A theory of human motivation', Psychological Review, 50(4), pp. 370-396.</w:t>
      </w:r>
    </w:p>
    <w:p w14:paraId="6C7FEDF1" w14:textId="77777777" w:rsidR="00DB7E9B" w:rsidRDefault="00000000">
      <w:pPr>
        <w:spacing w:line="360" w:lineRule="auto"/>
        <w:jc w:val="both"/>
        <w:rPr>
          <w:rFonts w:ascii="Arial" w:hAnsi="Arial" w:cs="Arial"/>
        </w:rPr>
      </w:pPr>
      <w:r>
        <w:rPr>
          <w:rFonts w:ascii="Arial" w:hAnsi="Arial" w:cs="Arial"/>
        </w:rPr>
        <w:t>McCormack, B. and McCance, T. (2017) Person-centred Practice in Nursing and Health Care: Theory and Practice. 2nd edn. Oxford: Wiley-Blackwell.</w:t>
      </w:r>
    </w:p>
    <w:p w14:paraId="02D8272C" w14:textId="77777777" w:rsidR="00DB7E9B" w:rsidRDefault="00000000">
      <w:pPr>
        <w:spacing w:line="360" w:lineRule="auto"/>
        <w:jc w:val="both"/>
        <w:rPr>
          <w:rFonts w:ascii="Arial" w:hAnsi="Arial" w:cs="Arial"/>
        </w:rPr>
      </w:pPr>
      <w:r>
        <w:rPr>
          <w:rFonts w:ascii="Arial" w:hAnsi="Arial" w:cs="Arial"/>
        </w:rPr>
        <w:t xml:space="preserve">National Institute for Health and Care Excellence (NICE) (2018) Decision-making and mental capacity. [NG108]. Available at: </w:t>
      </w:r>
      <w:hyperlink r:id="rId10" w:history="1">
        <w:r>
          <w:rPr>
            <w:rStyle w:val="Hyperlink"/>
            <w:rFonts w:ascii="Arial" w:hAnsi="Arial" w:cs="Arial"/>
          </w:rPr>
          <w:t>https://www.nice.org.uk/guidance/ng108</w:t>
        </w:r>
      </w:hyperlink>
      <w:r>
        <w:rPr>
          <w:rFonts w:ascii="Arial" w:hAnsi="Arial" w:cs="Arial"/>
        </w:rPr>
        <w:t xml:space="preserve">  (Accessed: 5 April 2026).</w:t>
      </w:r>
    </w:p>
    <w:p w14:paraId="396376C3" w14:textId="77777777" w:rsidR="00DB7E9B" w:rsidRDefault="00000000">
      <w:pPr>
        <w:spacing w:line="360" w:lineRule="auto"/>
        <w:jc w:val="both"/>
        <w:rPr>
          <w:rFonts w:ascii="Arial" w:hAnsi="Arial" w:cs="Arial"/>
        </w:rPr>
      </w:pPr>
      <w:r>
        <w:rPr>
          <w:rFonts w:ascii="Arial" w:hAnsi="Arial" w:cs="Arial"/>
        </w:rPr>
        <w:t>Reeves, S., Pelone, F., Harrison, R., Goldman, J. and Zwarenstein, M. (2017) 'Interprofessional collaboration to improve professional practice and healthcare outcomes', Cochrane Database of Systematic Reviews, (6).</w:t>
      </w:r>
    </w:p>
    <w:p w14:paraId="37CFDE06" w14:textId="77777777" w:rsidR="00DB7E9B" w:rsidRDefault="00000000">
      <w:pPr>
        <w:spacing w:line="360" w:lineRule="auto"/>
        <w:jc w:val="both"/>
        <w:rPr>
          <w:rFonts w:ascii="Arial" w:hAnsi="Arial" w:cs="Arial"/>
        </w:rPr>
      </w:pPr>
      <w:r>
        <w:rPr>
          <w:rFonts w:ascii="Arial" w:hAnsi="Arial" w:cs="Arial"/>
        </w:rPr>
        <w:t xml:space="preserve">Social Care Institute for Excellence (SCIE) (2020) Person-centred care. Available at: </w:t>
      </w:r>
      <w:hyperlink r:id="rId11" w:history="1">
        <w:r>
          <w:rPr>
            <w:rStyle w:val="Hyperlink"/>
            <w:rFonts w:ascii="Arial" w:hAnsi="Arial" w:cs="Arial"/>
          </w:rPr>
          <w:t>https://www.scie.org.uk/person-centred-care</w:t>
        </w:r>
      </w:hyperlink>
      <w:r>
        <w:rPr>
          <w:rFonts w:ascii="Arial" w:hAnsi="Arial" w:cs="Arial"/>
        </w:rPr>
        <w:t xml:space="preserve">  (Accessed: 5 April 2026).</w:t>
      </w:r>
    </w:p>
    <w:p w14:paraId="3C856C17" w14:textId="77777777" w:rsidR="00DB7E9B" w:rsidRDefault="00DB7E9B">
      <w:pPr>
        <w:spacing w:line="360" w:lineRule="auto"/>
        <w:jc w:val="both"/>
        <w:rPr>
          <w:rFonts w:ascii="Arial" w:hAnsi="Arial" w:cs="Arial"/>
        </w:rPr>
      </w:pPr>
    </w:p>
    <w:p w14:paraId="65907503" w14:textId="77777777" w:rsidR="00DB7E9B" w:rsidRDefault="00DB7E9B">
      <w:pPr>
        <w:spacing w:line="360" w:lineRule="auto"/>
        <w:jc w:val="both"/>
        <w:rPr>
          <w:rFonts w:ascii="Arial" w:hAnsi="Arial" w:cs="Arial"/>
          <w:b/>
          <w:bCs/>
        </w:rPr>
      </w:pPr>
    </w:p>
    <w:sectPr w:rsidR="00DB7E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AEFA5" w14:textId="77777777" w:rsidR="00D06085" w:rsidRDefault="00D06085">
      <w:pPr>
        <w:spacing w:line="240" w:lineRule="auto"/>
      </w:pPr>
      <w:r>
        <w:separator/>
      </w:r>
    </w:p>
  </w:endnote>
  <w:endnote w:type="continuationSeparator" w:id="0">
    <w:p w14:paraId="5111DE89" w14:textId="77777777" w:rsidR="00D06085" w:rsidRDefault="00D060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Segoe Print"/>
    <w:charset w:val="00"/>
    <w:family w:val="auto"/>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CC38C" w14:textId="77777777" w:rsidR="00D06085" w:rsidRDefault="00D06085">
      <w:pPr>
        <w:spacing w:after="0"/>
      </w:pPr>
      <w:r>
        <w:separator/>
      </w:r>
    </w:p>
  </w:footnote>
  <w:footnote w:type="continuationSeparator" w:id="0">
    <w:p w14:paraId="1A506B89" w14:textId="77777777" w:rsidR="00D06085" w:rsidRDefault="00D0608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9D2147"/>
    <w:multiLevelType w:val="multilevel"/>
    <w:tmpl w:val="689D214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693F61C4"/>
    <w:multiLevelType w:val="multilevel"/>
    <w:tmpl w:val="693F61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94048662">
    <w:abstractNumId w:val="1"/>
  </w:num>
  <w:num w:numId="2" w16cid:durableId="287010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578F"/>
    <w:rsid w:val="00081306"/>
    <w:rsid w:val="000D7423"/>
    <w:rsid w:val="0011680C"/>
    <w:rsid w:val="00121E37"/>
    <w:rsid w:val="00143705"/>
    <w:rsid w:val="00192E6E"/>
    <w:rsid w:val="001C58E1"/>
    <w:rsid w:val="00256BEC"/>
    <w:rsid w:val="00282E84"/>
    <w:rsid w:val="002B7099"/>
    <w:rsid w:val="002D63BC"/>
    <w:rsid w:val="003174B7"/>
    <w:rsid w:val="00335ABC"/>
    <w:rsid w:val="00335C7F"/>
    <w:rsid w:val="00346C02"/>
    <w:rsid w:val="0036578F"/>
    <w:rsid w:val="004D6CA7"/>
    <w:rsid w:val="004E4915"/>
    <w:rsid w:val="00503D53"/>
    <w:rsid w:val="005376A8"/>
    <w:rsid w:val="00551878"/>
    <w:rsid w:val="005700C0"/>
    <w:rsid w:val="005D7765"/>
    <w:rsid w:val="00610915"/>
    <w:rsid w:val="00721A2D"/>
    <w:rsid w:val="007B6567"/>
    <w:rsid w:val="007F2BD3"/>
    <w:rsid w:val="00883600"/>
    <w:rsid w:val="008A4A28"/>
    <w:rsid w:val="008A7BDC"/>
    <w:rsid w:val="008C6473"/>
    <w:rsid w:val="008F75A4"/>
    <w:rsid w:val="00930D25"/>
    <w:rsid w:val="009F2B49"/>
    <w:rsid w:val="00A1065A"/>
    <w:rsid w:val="00A228DA"/>
    <w:rsid w:val="00A72CD6"/>
    <w:rsid w:val="00A876C0"/>
    <w:rsid w:val="00AD1122"/>
    <w:rsid w:val="00B71373"/>
    <w:rsid w:val="00C13902"/>
    <w:rsid w:val="00C612C2"/>
    <w:rsid w:val="00C92B94"/>
    <w:rsid w:val="00CB56C9"/>
    <w:rsid w:val="00CE404A"/>
    <w:rsid w:val="00D06085"/>
    <w:rsid w:val="00D06620"/>
    <w:rsid w:val="00D5202E"/>
    <w:rsid w:val="00DA3C70"/>
    <w:rsid w:val="00DB7E9B"/>
    <w:rsid w:val="00E7138C"/>
    <w:rsid w:val="00EB4386"/>
    <w:rsid w:val="00F10771"/>
    <w:rsid w:val="00F83888"/>
    <w:rsid w:val="00F92BBF"/>
    <w:rsid w:val="00FD772D"/>
    <w:rsid w:val="00FE16D1"/>
    <w:rsid w:val="1C6158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D9EDD"/>
  <w15:docId w15:val="{15270FBB-0400-4580-81DF-0E28A9CE8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2/31/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org.uk/person-centred-care" TargetMode="External"/><Relationship Id="rId5" Type="http://schemas.openxmlformats.org/officeDocument/2006/relationships/footnotes" Target="footnotes.xml"/><Relationship Id="rId10" Type="http://schemas.openxmlformats.org/officeDocument/2006/relationships/hyperlink" Target="https://www.nice.org.uk/guidance/ng108" TargetMode="External"/><Relationship Id="rId4" Type="http://schemas.openxmlformats.org/officeDocument/2006/relationships/webSettings" Target="webSettings.xml"/><Relationship Id="rId9" Type="http://schemas.openxmlformats.org/officeDocument/2006/relationships/hyperlink" Target="https://www.legislation.gov.uk/ukpga/2005/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2296</Words>
  <Characters>13089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Abdulsalam Lukman</dc:creator>
  <cp:lastModifiedBy>Fred Ninsiima</cp:lastModifiedBy>
  <cp:revision>2</cp:revision>
  <dcterms:created xsi:type="dcterms:W3CDTF">2026-04-13T10:46:00Z</dcterms:created>
  <dcterms:modified xsi:type="dcterms:W3CDTF">2026-04-13T10:46:00Z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2057-12.2.0.23196</vt:lpwstr>
  </property>
  <property fmtid="{D5CDD505-2E9C-101B-9397-08002B2CF9AE}" pid="3" name="ICV">
    <vt:lpwstr>EB82336B301A467481064FD12B837B86_12</vt:lpwstr>
  </property>
</Properties>
</file>