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E34A2F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805BA" w:rsidRPr="003805BA">
              <w:rPr>
                <w:rFonts w:ascii="Times New Roman" w:hAnsi="Times New Roman" w:cs="Times New Roman"/>
                <w:b/>
                <w:color w:val="auto"/>
                <w:sz w:val="48"/>
              </w:rPr>
              <w:t>India Kruse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E38809" w14:textId="7DFFEDF8" w:rsidR="00986B43" w:rsidRPr="003805BA" w:rsidRDefault="009C337F" w:rsidP="003805BA">
            <w:pPr>
              <w:ind w:right="-957"/>
              <w:rPr>
                <w:rFonts w:ascii="Times New Roman" w:hAnsi="Times New Roman" w:cs="Times New Roman"/>
                <w:b/>
                <w:sz w:val="48"/>
              </w:rPr>
            </w:pPr>
            <w:r>
              <w:rPr>
                <w:rFonts w:ascii="Times New Roman" w:hAnsi="Times New Roman" w:cs="Times New Roman"/>
                <w:b/>
                <w:color w:val="auto"/>
                <w:sz w:val="48"/>
              </w:rPr>
              <w:t>Email address:</w:t>
            </w:r>
            <w:r w:rsidR="003805BA">
              <w:t xml:space="preserve"> </w:t>
            </w:r>
            <w:hyperlink r:id="rId11" w:history="1">
              <w:r w:rsidR="003805BA" w:rsidRPr="00C27561">
                <w:rPr>
                  <w:rStyle w:val="Hyperlink"/>
                  <w:rFonts w:ascii="Times New Roman" w:hAnsi="Times New Roman" w:cs="Times New Roman"/>
                  <w:b/>
                  <w:sz w:val="48"/>
                </w:rPr>
                <w:t>India.kruse@icloud.com/</w:t>
              </w:r>
            </w:hyperlink>
            <w:r w:rsidR="003805BA">
              <w:rPr>
                <w:rFonts w:ascii="Times New Roman" w:hAnsi="Times New Roman" w:cs="Times New Roman"/>
                <w:b/>
                <w:sz w:val="48"/>
              </w:rPr>
              <w:t xml:space="preserve"> 2434707@student.uwtsd.ac.uk</w:t>
            </w:r>
          </w:p>
          <w:p w14:paraId="220D8A2B" w14:textId="77777777" w:rsidR="003805BA"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805BA">
              <w:rPr>
                <w:rFonts w:ascii="Times New Roman" w:hAnsi="Times New Roman" w:cs="Times New Roman"/>
                <w:b/>
                <w:color w:val="auto"/>
                <w:sz w:val="48"/>
              </w:rPr>
              <w:t xml:space="preserve"> </w:t>
            </w:r>
          </w:p>
          <w:p w14:paraId="622FD17A" w14:textId="7C7A619E" w:rsidR="0085230E" w:rsidRPr="005D3F07" w:rsidRDefault="003805B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rPr>
              <w:t>2434707</w:t>
            </w: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219A1D92" w14:textId="77777777" w:rsidR="003805BA" w:rsidRPr="00563EF5" w:rsidRDefault="003805BA" w:rsidP="003805BA">
            <w:pPr>
              <w:spacing w:line="360" w:lineRule="auto"/>
              <w:jc w:val="both"/>
            </w:pPr>
            <w:r w:rsidRPr="00563EF5">
              <w:t>Although my primary area of practice is safeguarding children within intensive intervention services, it is essential to demonstrate robust and current knowledge of the safeguarding framework relating to adults in Wales. Adult safeguarding operates within a distinct but interconnected legal and policy structure, underpinned by a rights-based, person-centred approach that reflects devolved Welsh legislation and the promotion of well-being.</w:t>
            </w:r>
          </w:p>
          <w:p w14:paraId="306D23A9" w14:textId="77777777" w:rsidR="003805BA" w:rsidRPr="00563EF5" w:rsidRDefault="003805BA" w:rsidP="003805BA">
            <w:pPr>
              <w:spacing w:line="360" w:lineRule="auto"/>
              <w:jc w:val="both"/>
            </w:pPr>
          </w:p>
          <w:p w14:paraId="65FDD805" w14:textId="77777777" w:rsidR="003805BA" w:rsidRPr="00563EF5" w:rsidRDefault="003805BA" w:rsidP="003805BA">
            <w:pPr>
              <w:spacing w:line="360" w:lineRule="auto"/>
              <w:jc w:val="both"/>
            </w:pPr>
            <w:r w:rsidRPr="00563EF5">
              <w:t xml:space="preserve">The principal statutory framework is the Social Services and Well-being (Wales) Act 2014 (SSWBA). Part 7 of the Act places a duty on local authorities, health bodies and the police to prevent abuse and neglect and to make enquiries where an adult </w:t>
            </w:r>
            <w:proofErr w:type="gramStart"/>
            <w:r w:rsidRPr="00563EF5">
              <w:t>is considered to be</w:t>
            </w:r>
            <w:proofErr w:type="gramEnd"/>
            <w:r w:rsidRPr="00563EF5">
              <w:t xml:space="preserve"> “at risk” (Welsh Government, 2014). An adult at risk is defined as someone aged 18 or over who is experiencing or at risk of abuse or neglect, has care and support needs (</w:t>
            </w:r>
            <w:proofErr w:type="gramStart"/>
            <w:r w:rsidRPr="00563EF5">
              <w:t>whether or not</w:t>
            </w:r>
            <w:proofErr w:type="gramEnd"/>
            <w:r w:rsidRPr="00563EF5">
              <w:t xml:space="preserve"> these are being met), and </w:t>
            </w:r>
            <w:proofErr w:type="gramStart"/>
            <w:r w:rsidRPr="00563EF5">
              <w:t>as a result of</w:t>
            </w:r>
            <w:proofErr w:type="gramEnd"/>
            <w:r w:rsidRPr="00563EF5">
              <w:t xml:space="preserve"> those needs is unable to protect themselves. This definition shifts the focus away from service eligibility and towards well-being, proportionality and individual circumstances.</w:t>
            </w:r>
          </w:p>
          <w:p w14:paraId="5655188C" w14:textId="77777777" w:rsidR="003805BA" w:rsidRPr="00563EF5" w:rsidRDefault="003805BA" w:rsidP="003805BA">
            <w:pPr>
              <w:spacing w:line="360" w:lineRule="auto"/>
              <w:jc w:val="both"/>
            </w:pPr>
          </w:p>
          <w:p w14:paraId="199B9FCF" w14:textId="77777777" w:rsidR="003805BA" w:rsidRPr="00563EF5" w:rsidRDefault="003805BA" w:rsidP="003805BA">
            <w:pPr>
              <w:spacing w:line="360" w:lineRule="auto"/>
              <w:jc w:val="both"/>
            </w:pPr>
            <w:r w:rsidRPr="00563EF5">
              <w:t>The SSWBA also establishes Safeguarding Adults Boards (SABs), which have statutory responsibility for multi-agency cooperation, learning reviews and the development of regional safeguarding procedures (Welsh Government, 2016). In North Wales, practice is guided by the North Wales Safeguarding Board Procedures, which set out clear expectations for referral, enquiry, information sharing and escalation.</w:t>
            </w:r>
          </w:p>
          <w:p w14:paraId="024E7FBA" w14:textId="77777777" w:rsidR="003805BA" w:rsidRPr="00563EF5" w:rsidRDefault="003805BA" w:rsidP="003805BA">
            <w:pPr>
              <w:spacing w:line="360" w:lineRule="auto"/>
              <w:jc w:val="both"/>
            </w:pPr>
          </w:p>
          <w:p w14:paraId="1886A68A" w14:textId="77777777" w:rsidR="003805BA" w:rsidRPr="00563EF5" w:rsidRDefault="003805BA" w:rsidP="003805BA">
            <w:pPr>
              <w:spacing w:line="360" w:lineRule="auto"/>
              <w:jc w:val="both"/>
            </w:pPr>
            <w:r w:rsidRPr="00563EF5">
              <w:t>At a national level, safeguarding practice is directed by the Wales Safeguarding Procedures (2019, updated regularly). These procedures provide a consistent all-Wales framework for responding to safeguarding concerns and emphasise prevention, early intervention, proportionality and partnership working (Welsh Government, 2019). They also place strong emphasis on capacity and consent, recognising that adults may refuse support even where risk is present.</w:t>
            </w:r>
          </w:p>
          <w:p w14:paraId="00AFB6CF" w14:textId="77777777" w:rsidR="003805BA" w:rsidRPr="00563EF5" w:rsidRDefault="003805BA" w:rsidP="003805BA">
            <w:pPr>
              <w:spacing w:line="360" w:lineRule="auto"/>
              <w:jc w:val="both"/>
            </w:pPr>
          </w:p>
          <w:p w14:paraId="7004CFEE" w14:textId="77777777" w:rsidR="003805BA" w:rsidRPr="00563EF5" w:rsidRDefault="003805BA" w:rsidP="003805BA">
            <w:pPr>
              <w:spacing w:line="360" w:lineRule="auto"/>
              <w:jc w:val="both"/>
            </w:pPr>
            <w:r w:rsidRPr="00563EF5">
              <w:t>Capacity is governed by the Mental Capacity Act 2005 (MCA), which applies in Wales. The MCA establishes the presumption of capacity, the right to make unwise decisions, and the requirement that any act or decision made on behalf of a person who lacks capacity must be in their best interests and the least restrictive option (Department of Health, 2005). It also provides the legal framework for Deprivation of Liberty Safeguards (</w:t>
            </w:r>
            <w:proofErr w:type="spellStart"/>
            <w:r w:rsidRPr="00563EF5">
              <w:t>DoLS</w:t>
            </w:r>
            <w:proofErr w:type="spellEnd"/>
            <w:r w:rsidRPr="00563EF5">
              <w:t>), soon to be replaced by Liberty Protection Safeguards.</w:t>
            </w:r>
          </w:p>
          <w:p w14:paraId="03A9C82A" w14:textId="77777777" w:rsidR="003805BA" w:rsidRPr="00563EF5" w:rsidRDefault="003805BA" w:rsidP="003805BA">
            <w:pPr>
              <w:spacing w:line="360" w:lineRule="auto"/>
              <w:jc w:val="both"/>
            </w:pPr>
          </w:p>
          <w:p w14:paraId="2370A516" w14:textId="77777777" w:rsidR="003805BA" w:rsidRPr="00563EF5" w:rsidRDefault="003805BA" w:rsidP="003805BA">
            <w:pPr>
              <w:spacing w:line="360" w:lineRule="auto"/>
              <w:jc w:val="both"/>
            </w:pPr>
            <w:r w:rsidRPr="00563EF5">
              <w:t>Adult safeguarding is further supported by legislation addressing specific forms of abuse, including the Violence Against Women, Domestic Abuse and Sexual Violence (Wales) Act 2015, the Domestic Abuse Act 2021, and the Modern Slavery Act 2015. Regulated services must comply with the Regulation and Inspection of Social Care (Wales) Act 2016 and relevant NICE guidance.</w:t>
            </w:r>
          </w:p>
          <w:p w14:paraId="337A0ED1" w14:textId="77777777" w:rsidR="003805BA" w:rsidRPr="00563EF5" w:rsidRDefault="003805BA" w:rsidP="003805BA">
            <w:pPr>
              <w:spacing w:line="360" w:lineRule="auto"/>
              <w:jc w:val="both"/>
            </w:pPr>
          </w:p>
          <w:p w14:paraId="6C9728E3" w14:textId="77777777" w:rsidR="003805BA" w:rsidRPr="00563EF5" w:rsidRDefault="003805BA" w:rsidP="003805BA">
            <w:pPr>
              <w:spacing w:line="360" w:lineRule="auto"/>
              <w:jc w:val="both"/>
            </w:pPr>
            <w:r w:rsidRPr="00563EF5">
              <w:t>At a local and organisational level, safeguarding is underpinned by internal policies, whistleblowing procedures, professional allegations processes and escalation routes, all aligned with regional SAB guidance. Practitioners are also bound by the Social Care Wales Code of Professional Practice, which requires safeguarding concerns to be raised promptly, rights to be upheld, and practice to remain ethical, proportionate and person-centred (Social Care Wales, 2022).</w:t>
            </w:r>
          </w:p>
          <w:p w14:paraId="7E0878CF" w14:textId="77777777" w:rsidR="003805BA" w:rsidRPr="00563EF5" w:rsidRDefault="003805BA" w:rsidP="003805BA">
            <w:pPr>
              <w:spacing w:line="360" w:lineRule="auto"/>
              <w:jc w:val="both"/>
            </w:pPr>
          </w:p>
          <w:p w14:paraId="260F9037" w14:textId="77777777" w:rsidR="003805BA" w:rsidRPr="00563EF5" w:rsidRDefault="003805BA" w:rsidP="003805BA">
            <w:pPr>
              <w:spacing w:line="360" w:lineRule="auto"/>
              <w:jc w:val="both"/>
            </w:pPr>
            <w:r w:rsidRPr="00563EF5">
              <w:t>In summary, safeguarding adults in Wales is embedded in a current, robust legal framework that balances protection with autonomy, placing empowerment and well-being at the centre of professional practice.</w:t>
            </w:r>
          </w:p>
          <w:p w14:paraId="206514B9" w14:textId="77777777" w:rsidR="00FC0334" w:rsidRDefault="00FC0334" w:rsidP="00FF7EBB">
            <w:pPr>
              <w:jc w:val="both"/>
              <w:rPr>
                <w:sz w:val="24"/>
                <w:szCs w:val="24"/>
              </w:rPr>
            </w:pPr>
          </w:p>
          <w:p w14:paraId="2B38F687" w14:textId="0991C048" w:rsidR="003805BA" w:rsidRDefault="003805BA" w:rsidP="00FF7EBB">
            <w:pPr>
              <w:jc w:val="both"/>
              <w:rPr>
                <w:sz w:val="24"/>
                <w:szCs w:val="24"/>
              </w:rPr>
            </w:pPr>
            <w:r>
              <w:rPr>
                <w:sz w:val="24"/>
                <w:szCs w:val="24"/>
              </w:rPr>
              <w:t>Words 502</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59767157" w14:textId="77777777" w:rsidR="003805BA" w:rsidRPr="00563EF5" w:rsidRDefault="003805BA" w:rsidP="003805BA">
            <w:pPr>
              <w:spacing w:line="360" w:lineRule="auto"/>
              <w:jc w:val="both"/>
            </w:pPr>
            <w:r w:rsidRPr="00563EF5">
              <w:t>Safeguarding adults and safeguarding children share common aims, including protection from harm, multi-agency collaboration and early intervention. However, they differ significantly in relation to capacity and consent, legal frameworks, thresholds for intervention, understanding of risk and need, and practice culture.</w:t>
            </w:r>
          </w:p>
          <w:p w14:paraId="2FE6F10C" w14:textId="77777777" w:rsidR="003805BA" w:rsidRPr="00563EF5" w:rsidRDefault="003805BA" w:rsidP="003805BA">
            <w:pPr>
              <w:spacing w:line="360" w:lineRule="auto"/>
              <w:jc w:val="both"/>
            </w:pPr>
          </w:p>
          <w:p w14:paraId="49BA160D" w14:textId="77777777" w:rsidR="003805BA" w:rsidRPr="00563EF5" w:rsidRDefault="003805BA" w:rsidP="003805BA">
            <w:pPr>
              <w:spacing w:line="360" w:lineRule="auto"/>
              <w:jc w:val="both"/>
            </w:pPr>
            <w:r w:rsidRPr="00563EF5">
              <w:t xml:space="preserve">A key distinction lies in capacity and autonomy. Under the Mental Capacity Act 2005, adults are presumed to have capacity unless proven otherwise and retain the right to make unwise decisions. Adults may refuse safeguarding support even when risk is evident, provided they have capacity and are not subject to coercion or </w:t>
            </w:r>
            <w:r w:rsidRPr="00563EF5">
              <w:lastRenderedPageBreak/>
              <w:t>undue influence. In contrast, children are not presumed to have full legal capacity. While older children may demonstrate decision-making ability through Gillick competence, this does not override the state’s duty to protect a child from significant harm (Gillick v West Norfolk and Wisbech AHA, 1986).</w:t>
            </w:r>
          </w:p>
          <w:p w14:paraId="02ECCF83" w14:textId="77777777" w:rsidR="003805BA" w:rsidRPr="00563EF5" w:rsidRDefault="003805BA" w:rsidP="003805BA">
            <w:pPr>
              <w:spacing w:line="360" w:lineRule="auto"/>
              <w:jc w:val="both"/>
            </w:pPr>
          </w:p>
          <w:p w14:paraId="51E17F73" w14:textId="77777777" w:rsidR="003805BA" w:rsidRPr="00563EF5" w:rsidRDefault="003805BA" w:rsidP="003805BA">
            <w:pPr>
              <w:spacing w:line="360" w:lineRule="auto"/>
              <w:jc w:val="both"/>
            </w:pPr>
            <w:r w:rsidRPr="00563EF5">
              <w:t>Consent also operates differently. In adult safeguarding, consent is central and intervention without consent is generally limited to circumstances where the adult lacks capacity, is being coerced, or there is a wider public interest or risk to others. In children’s safeguarding, consent is desirable but not required where there is reasonable cause to suspect significant harm.</w:t>
            </w:r>
          </w:p>
          <w:p w14:paraId="52E334B9" w14:textId="77777777" w:rsidR="003805BA" w:rsidRPr="00563EF5" w:rsidRDefault="003805BA" w:rsidP="003805BA">
            <w:pPr>
              <w:spacing w:line="360" w:lineRule="auto"/>
              <w:jc w:val="both"/>
            </w:pPr>
          </w:p>
          <w:p w14:paraId="716A74CC" w14:textId="77777777" w:rsidR="003805BA" w:rsidRPr="00563EF5" w:rsidRDefault="003805BA" w:rsidP="003805BA">
            <w:pPr>
              <w:spacing w:line="360" w:lineRule="auto"/>
              <w:jc w:val="both"/>
            </w:pPr>
            <w:r w:rsidRPr="00563EF5">
              <w:t>Thresholds for intervention differ markedly. Children’s safeguarding operates around the threshold of significant harm under the Children Act 1989. Adult safeguarding thresholds focus on whether an adult has care and support needs that impair their ability to protect themselves, rather than the severity of harm alone (Welsh Government, 2014).</w:t>
            </w:r>
          </w:p>
          <w:p w14:paraId="1C0F9CEA" w14:textId="77777777" w:rsidR="003805BA" w:rsidRPr="00563EF5" w:rsidRDefault="003805BA" w:rsidP="003805BA">
            <w:pPr>
              <w:spacing w:line="360" w:lineRule="auto"/>
              <w:jc w:val="both"/>
            </w:pPr>
          </w:p>
          <w:p w14:paraId="1E037894" w14:textId="77777777" w:rsidR="003805BA" w:rsidRPr="00563EF5" w:rsidRDefault="003805BA" w:rsidP="003805BA">
            <w:pPr>
              <w:spacing w:line="360" w:lineRule="auto"/>
              <w:jc w:val="both"/>
            </w:pPr>
            <w:r w:rsidRPr="00563EF5">
              <w:t>The legal frameworks also diverge. Children’s safeguarding is governed primarily by the Children Act 1989 and Parts 4 and 5 of the SSWBA, emphasising parental responsibility and the state’s duty to intervene. Adult safeguarding is rooted in Part 7 of the SSWBA and the MCA, prioritising empowerment, protection and proportionality.</w:t>
            </w:r>
          </w:p>
          <w:p w14:paraId="063588C1" w14:textId="77777777" w:rsidR="003805BA" w:rsidRPr="00563EF5" w:rsidRDefault="003805BA" w:rsidP="003805BA">
            <w:pPr>
              <w:spacing w:line="360" w:lineRule="auto"/>
              <w:jc w:val="both"/>
            </w:pPr>
          </w:p>
          <w:p w14:paraId="4ECC166D" w14:textId="77777777" w:rsidR="003805BA" w:rsidRPr="00563EF5" w:rsidRDefault="003805BA" w:rsidP="003805BA">
            <w:pPr>
              <w:spacing w:line="360" w:lineRule="auto"/>
              <w:jc w:val="both"/>
            </w:pPr>
            <w:r w:rsidRPr="00563EF5">
              <w:t>Differences are also evident in how risk and need are understood. Children’s vulnerability is universal and developmental, whereas adults’ vulnerability is situational, often linked to disability, mental ill-health, domestic abuse, coercive control, or social isolation. As a result, adults may live with ongoing risk by choice.</w:t>
            </w:r>
          </w:p>
          <w:p w14:paraId="068523ED" w14:textId="77777777" w:rsidR="003805BA" w:rsidRPr="00563EF5" w:rsidRDefault="003805BA" w:rsidP="003805BA">
            <w:pPr>
              <w:spacing w:line="360" w:lineRule="auto"/>
              <w:jc w:val="both"/>
            </w:pPr>
          </w:p>
          <w:p w14:paraId="3CBFE3C9" w14:textId="77777777" w:rsidR="003805BA" w:rsidRPr="00563EF5" w:rsidRDefault="003805BA" w:rsidP="003805BA">
            <w:pPr>
              <w:spacing w:line="360" w:lineRule="auto"/>
              <w:jc w:val="both"/>
            </w:pPr>
            <w:r w:rsidRPr="00563EF5">
              <w:t>Finally, practice culture differs. Children’s safeguarding is often investigative, risk-averse and compliance-driven, with high levels of statutory intervention. Adult safeguarding emphasises Making Safeguarding Personal, negotiation and strengths-based planning, balancing protection with respect for autonomy.</w:t>
            </w:r>
          </w:p>
          <w:p w14:paraId="289261B3" w14:textId="77777777" w:rsidR="003805BA" w:rsidRPr="00563EF5" w:rsidRDefault="003805BA" w:rsidP="003805BA">
            <w:pPr>
              <w:spacing w:line="360" w:lineRule="auto"/>
              <w:jc w:val="both"/>
            </w:pPr>
          </w:p>
          <w:p w14:paraId="12BAD50A" w14:textId="77777777" w:rsidR="003805BA" w:rsidRPr="00563EF5" w:rsidRDefault="003805BA" w:rsidP="003805BA">
            <w:pPr>
              <w:spacing w:line="360" w:lineRule="auto"/>
              <w:jc w:val="both"/>
            </w:pPr>
          </w:p>
          <w:p w14:paraId="67E7ED72" w14:textId="68D0D2B4" w:rsidR="00FC0334" w:rsidRDefault="003805BA" w:rsidP="00FC0334">
            <w:pPr>
              <w:jc w:val="both"/>
              <w:rPr>
                <w:sz w:val="24"/>
                <w:szCs w:val="24"/>
              </w:rPr>
            </w:pPr>
            <w:r>
              <w:rPr>
                <w:sz w:val="24"/>
                <w:szCs w:val="24"/>
              </w:rPr>
              <w:t>Words 400</w:t>
            </w: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765C"/>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5042"/>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05BA"/>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32D"/>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134"/>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392"/>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0CDA"/>
    <w:rsid w:val="00F732DA"/>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dia.kruse@icloud.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1087</Words>
  <Characters>6399</Characters>
  <Application>Microsoft Office Word</Application>
  <DocSecurity>0</DocSecurity>
  <Lines>142</Lines>
  <Paragraphs>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India Kruse</cp:lastModifiedBy>
  <cp:revision>4</cp:revision>
  <cp:lastPrinted>2020-02-11T19:20:00Z</cp:lastPrinted>
  <dcterms:created xsi:type="dcterms:W3CDTF">2026-02-16T11:17:00Z</dcterms:created>
  <dcterms:modified xsi:type="dcterms:W3CDTF">2026-02-16T11:41:00Z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