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7657E8" w14:textId="77777777" w:rsidR="0070290D" w:rsidRDefault="0070290D" w:rsidP="0070290D">
      <w:pPr>
        <w:spacing w:line="720" w:lineRule="auto"/>
        <w:jc w:val="center"/>
        <w:rPr>
          <w:b/>
          <w:bCs/>
          <w:sz w:val="44"/>
          <w:szCs w:val="44"/>
        </w:rPr>
      </w:pPr>
      <w:r>
        <w:rPr>
          <w:b/>
          <w:bCs/>
          <w:sz w:val="44"/>
          <w:szCs w:val="44"/>
        </w:rPr>
        <w:t>Module Title – Principles of Health and Social Care</w:t>
      </w:r>
    </w:p>
    <w:p w14:paraId="0F1722F2" w14:textId="77777777" w:rsidR="0070290D" w:rsidRDefault="0070290D" w:rsidP="0070290D">
      <w:pPr>
        <w:spacing w:line="720" w:lineRule="auto"/>
        <w:jc w:val="center"/>
        <w:rPr>
          <w:b/>
          <w:bCs/>
          <w:sz w:val="44"/>
          <w:szCs w:val="44"/>
        </w:rPr>
      </w:pPr>
      <w:r>
        <w:rPr>
          <w:b/>
          <w:bCs/>
          <w:sz w:val="44"/>
          <w:szCs w:val="44"/>
        </w:rPr>
        <w:t>Module Code – BMHP5016</w:t>
      </w:r>
    </w:p>
    <w:p w14:paraId="05A45238" w14:textId="16E97E8E" w:rsidR="0070290D" w:rsidRDefault="0070290D" w:rsidP="0070290D">
      <w:pPr>
        <w:spacing w:line="720" w:lineRule="auto"/>
        <w:jc w:val="center"/>
        <w:rPr>
          <w:rFonts w:ascii="Arial" w:hAnsi="Arial" w:cs="Arial"/>
          <w:b/>
          <w:sz w:val="44"/>
          <w:szCs w:val="44"/>
        </w:rPr>
      </w:pPr>
      <w:r>
        <w:rPr>
          <w:b/>
          <w:bCs/>
          <w:sz w:val="44"/>
          <w:szCs w:val="44"/>
        </w:rPr>
        <w:t>Assignment Title – Component 2: Person-Centred and Partnership working Report</w:t>
      </w:r>
    </w:p>
    <w:p w14:paraId="0BF2D995" w14:textId="77777777" w:rsidR="0070290D" w:rsidRDefault="0070290D" w:rsidP="0070290D">
      <w:pPr>
        <w:spacing w:line="720" w:lineRule="auto"/>
        <w:jc w:val="center"/>
        <w:rPr>
          <w:rFonts w:ascii="Arial" w:hAnsi="Arial" w:cs="Arial"/>
          <w:b/>
          <w:sz w:val="44"/>
          <w:szCs w:val="44"/>
        </w:rPr>
      </w:pPr>
      <w:r>
        <w:rPr>
          <w:rFonts w:ascii="Arial" w:hAnsi="Arial" w:cs="Arial"/>
          <w:b/>
          <w:sz w:val="44"/>
          <w:szCs w:val="44"/>
        </w:rPr>
        <w:t xml:space="preserve">Student Name – Katelen Summerfield </w:t>
      </w:r>
    </w:p>
    <w:p w14:paraId="7E91D52F" w14:textId="77777777" w:rsidR="0070290D" w:rsidRDefault="0070290D" w:rsidP="0070290D">
      <w:pPr>
        <w:spacing w:line="720" w:lineRule="auto"/>
        <w:jc w:val="center"/>
        <w:rPr>
          <w:rFonts w:ascii="Arial" w:hAnsi="Arial" w:cs="Arial"/>
          <w:b/>
          <w:sz w:val="44"/>
          <w:szCs w:val="44"/>
        </w:rPr>
      </w:pPr>
      <w:r>
        <w:rPr>
          <w:rFonts w:ascii="Arial" w:hAnsi="Arial" w:cs="Arial"/>
          <w:b/>
          <w:sz w:val="44"/>
          <w:szCs w:val="44"/>
        </w:rPr>
        <w:t>Student Number – 2434537</w:t>
      </w:r>
    </w:p>
    <w:p w14:paraId="3BAC64C9" w14:textId="77777777" w:rsidR="0070290D" w:rsidRDefault="0070290D" w:rsidP="0070290D">
      <w:pPr>
        <w:jc w:val="center"/>
        <w:rPr>
          <w:rFonts w:ascii="Arial" w:hAnsi="Arial" w:cs="Arial"/>
          <w:b/>
          <w:sz w:val="44"/>
          <w:szCs w:val="44"/>
        </w:rPr>
      </w:pPr>
      <w:r>
        <w:rPr>
          <w:rFonts w:ascii="Arial" w:hAnsi="Arial" w:cs="Arial"/>
          <w:b/>
          <w:sz w:val="44"/>
          <w:szCs w:val="44"/>
        </w:rPr>
        <w:t xml:space="preserve">Lecturer’s Name – </w:t>
      </w:r>
      <w:proofErr w:type="spellStart"/>
      <w:r>
        <w:rPr>
          <w:rFonts w:ascii="Arial" w:hAnsi="Arial" w:cs="Arial"/>
          <w:b/>
          <w:sz w:val="44"/>
          <w:szCs w:val="44"/>
        </w:rPr>
        <w:t>Azida</w:t>
      </w:r>
      <w:proofErr w:type="spellEnd"/>
      <w:r>
        <w:rPr>
          <w:rFonts w:ascii="Arial" w:hAnsi="Arial" w:cs="Arial"/>
          <w:b/>
          <w:sz w:val="44"/>
          <w:szCs w:val="44"/>
        </w:rPr>
        <w:t xml:space="preserve"> </w:t>
      </w:r>
      <w:proofErr w:type="spellStart"/>
      <w:r>
        <w:rPr>
          <w:rFonts w:ascii="Arial" w:hAnsi="Arial" w:cs="Arial"/>
          <w:b/>
          <w:sz w:val="44"/>
          <w:szCs w:val="44"/>
        </w:rPr>
        <w:t>Zainol</w:t>
      </w:r>
      <w:proofErr w:type="spellEnd"/>
    </w:p>
    <w:p w14:paraId="5FA33E79" w14:textId="77777777" w:rsidR="0070290D" w:rsidRDefault="0070290D" w:rsidP="0070290D">
      <w:pPr>
        <w:jc w:val="center"/>
        <w:rPr>
          <w:rFonts w:ascii="Arial" w:hAnsi="Arial" w:cs="Arial"/>
          <w:b/>
          <w:sz w:val="44"/>
          <w:szCs w:val="44"/>
        </w:rPr>
      </w:pPr>
    </w:p>
    <w:p w14:paraId="38F5F6B7" w14:textId="73285C77" w:rsidR="00D81C75" w:rsidRPr="00CC44F1" w:rsidRDefault="0070290D" w:rsidP="00CF0228">
      <w:pPr>
        <w:jc w:val="center"/>
        <w:rPr>
          <w:rFonts w:ascii="Arial" w:hAnsi="Arial" w:cs="Arial"/>
          <w:b/>
          <w:sz w:val="44"/>
          <w:szCs w:val="44"/>
        </w:rPr>
      </w:pPr>
      <w:r>
        <w:rPr>
          <w:rFonts w:ascii="Arial" w:hAnsi="Arial" w:cs="Arial"/>
          <w:b/>
          <w:sz w:val="44"/>
          <w:szCs w:val="44"/>
        </w:rPr>
        <w:t xml:space="preserve">Word count – </w:t>
      </w:r>
    </w:p>
    <w:p w14:paraId="4CBB10E2" w14:textId="5DFC00B4" w:rsidR="00D81C75" w:rsidRDefault="00D81C75" w:rsidP="00ED2FF5">
      <w:pPr>
        <w:jc w:val="center"/>
        <w:rPr>
          <w:sz w:val="44"/>
          <w:szCs w:val="44"/>
          <w:u w:val="single"/>
        </w:rPr>
      </w:pPr>
      <w:r w:rsidRPr="00D81C75">
        <w:rPr>
          <w:sz w:val="44"/>
          <w:szCs w:val="44"/>
          <w:u w:val="single"/>
        </w:rPr>
        <w:lastRenderedPageBreak/>
        <w:t xml:space="preserve">Report </w:t>
      </w:r>
    </w:p>
    <w:p w14:paraId="4DAB1498" w14:textId="3741D76C" w:rsidR="00D81C75" w:rsidRDefault="00D81C75" w:rsidP="00ED2FF5">
      <w:pPr>
        <w:jc w:val="center"/>
        <w:rPr>
          <w:sz w:val="44"/>
          <w:szCs w:val="44"/>
          <w:u w:val="single"/>
        </w:rPr>
      </w:pPr>
    </w:p>
    <w:p w14:paraId="73F219A8" w14:textId="20E0854B" w:rsidR="00D81C75" w:rsidRDefault="00D81C75" w:rsidP="00D81C75">
      <w:pPr>
        <w:rPr>
          <w:b/>
          <w:bCs/>
          <w:sz w:val="32"/>
          <w:szCs w:val="32"/>
        </w:rPr>
      </w:pPr>
      <w:r>
        <w:rPr>
          <w:b/>
          <w:bCs/>
          <w:sz w:val="32"/>
          <w:szCs w:val="32"/>
        </w:rPr>
        <w:t xml:space="preserve">Abstract </w:t>
      </w:r>
    </w:p>
    <w:p w14:paraId="5F8FCC74" w14:textId="61D8B0F5" w:rsidR="00D81C75" w:rsidRPr="00BC7867" w:rsidRDefault="00BC7867" w:rsidP="00D81C75">
      <w:pPr>
        <w:rPr>
          <w:sz w:val="26"/>
          <w:szCs w:val="26"/>
        </w:rPr>
      </w:pPr>
      <w:r w:rsidRPr="00BC7867">
        <w:rPr>
          <w:sz w:val="26"/>
          <w:szCs w:val="26"/>
        </w:rPr>
        <w:t> Person-centred care is defined as a personal way of bonding with service users rather than a mere technique. It tailors care to individual needs, transforming healthcare by treating the whole person. This approach significantly improves satisfaction, health outcomes, and medication adherence by involving users in decision-making. However, implementation faces challenges like time constraints, lack of staff training, and systemic barriers. Maslow’s Hierarchy of Needs underpins this care by encouraging professionals to address physical, emotional, and social needs. Key ethical principles</w:t>
      </w:r>
      <w:r w:rsidR="0070507E">
        <w:rPr>
          <w:sz w:val="26"/>
          <w:szCs w:val="26"/>
        </w:rPr>
        <w:t xml:space="preserve"> </w:t>
      </w:r>
      <w:r w:rsidRPr="00BC7867">
        <w:rPr>
          <w:sz w:val="26"/>
          <w:szCs w:val="26"/>
        </w:rPr>
        <w:t>autonomy, beneficence, non-maleficence, and justice</w:t>
      </w:r>
      <w:r w:rsidR="0070507E">
        <w:rPr>
          <w:sz w:val="26"/>
          <w:szCs w:val="26"/>
        </w:rPr>
        <w:t xml:space="preserve"> </w:t>
      </w:r>
      <w:r w:rsidRPr="00BC7867">
        <w:rPr>
          <w:sz w:val="26"/>
          <w:szCs w:val="26"/>
        </w:rPr>
        <w:t>are essential for partnership working, though dilemmas arise, such as balancing safety with a dementia patient’s right to leave. Partnership working integrates NHS, local authorities, and communities to improve coordination and reduce inequalities, despite issues like poor communication. Legislation like the Care Act 2014 and Health and Care Act 2022 supports these efforts. Recommendations include personalised care plans, ongoing staff training, and effective technology use to enhance wellbeing and meet CQC standards.</w:t>
      </w:r>
    </w:p>
    <w:p w14:paraId="56EECFCE" w14:textId="3FE92465" w:rsidR="00D81C75" w:rsidRDefault="00D81C75" w:rsidP="00D81C75">
      <w:pPr>
        <w:rPr>
          <w:b/>
          <w:bCs/>
          <w:sz w:val="32"/>
          <w:szCs w:val="32"/>
        </w:rPr>
      </w:pPr>
      <w:r>
        <w:rPr>
          <w:b/>
          <w:bCs/>
          <w:sz w:val="32"/>
          <w:szCs w:val="32"/>
        </w:rPr>
        <w:t>Introduction</w:t>
      </w:r>
    </w:p>
    <w:p w14:paraId="19B2CA62" w14:textId="6E0CC1D4" w:rsidR="00D81C75" w:rsidRPr="0070507E" w:rsidRDefault="0070507E" w:rsidP="00D81C75">
      <w:pPr>
        <w:rPr>
          <w:sz w:val="26"/>
          <w:szCs w:val="26"/>
        </w:rPr>
      </w:pPr>
      <w:r w:rsidRPr="0070507E">
        <w:rPr>
          <w:sz w:val="26"/>
          <w:szCs w:val="26"/>
        </w:rPr>
        <w:t>Person-centred care shifts focus from treating disease to treating the whole person, tailoring support to individual needs. While it improves outcomes, challenges like time pressures and limited training exist. This essay explores its theoretical basis, ethical dilemmas, and the role of partnership working supported by legislation.</w:t>
      </w:r>
    </w:p>
    <w:p w14:paraId="6828D712" w14:textId="232C6F08" w:rsidR="00D81C75" w:rsidRDefault="00D81C75" w:rsidP="00D81C75">
      <w:pPr>
        <w:rPr>
          <w:b/>
          <w:bCs/>
          <w:sz w:val="32"/>
          <w:szCs w:val="32"/>
        </w:rPr>
      </w:pPr>
      <w:r>
        <w:rPr>
          <w:b/>
          <w:bCs/>
          <w:sz w:val="32"/>
          <w:szCs w:val="32"/>
        </w:rPr>
        <w:t>Definition of PCC</w:t>
      </w:r>
    </w:p>
    <w:p w14:paraId="6DD67748" w14:textId="1B98F909" w:rsidR="00D81C75" w:rsidRDefault="007A1BB7" w:rsidP="00D81C75">
      <w:pPr>
        <w:rPr>
          <w:sz w:val="26"/>
          <w:szCs w:val="26"/>
        </w:rPr>
      </w:pPr>
      <w:r>
        <w:rPr>
          <w:sz w:val="26"/>
          <w:szCs w:val="26"/>
        </w:rPr>
        <w:t xml:space="preserve">An article in Sage Journals written by </w:t>
      </w:r>
      <w:proofErr w:type="spellStart"/>
      <w:r w:rsidRPr="007A1BB7">
        <w:rPr>
          <w:sz w:val="26"/>
          <w:szCs w:val="26"/>
        </w:rPr>
        <w:t>Edvardsson</w:t>
      </w:r>
      <w:proofErr w:type="spellEnd"/>
      <w:r w:rsidR="00077062">
        <w:rPr>
          <w:sz w:val="26"/>
          <w:szCs w:val="26"/>
        </w:rPr>
        <w:t xml:space="preserve"> (2015),</w:t>
      </w:r>
      <w:r>
        <w:rPr>
          <w:sz w:val="26"/>
          <w:szCs w:val="26"/>
        </w:rPr>
        <w:t xml:space="preserve"> defines person-centred care as more a technique, skill pr procedure but a more personal way of approaching or bonding and working together with serves users. It also means that the care provided is tailed to the individuals needs and comforts.</w:t>
      </w:r>
    </w:p>
    <w:p w14:paraId="479F86DB" w14:textId="04016E12" w:rsidR="007A1BB7" w:rsidRDefault="007A1BB7" w:rsidP="00D81C75">
      <w:pPr>
        <w:rPr>
          <w:sz w:val="26"/>
          <w:szCs w:val="26"/>
        </w:rPr>
      </w:pPr>
      <w:r w:rsidRPr="007A1BB7">
        <w:rPr>
          <w:sz w:val="26"/>
          <w:szCs w:val="26"/>
        </w:rPr>
        <w:t>Person-centred care transforms healthcare by focus</w:t>
      </w:r>
      <w:r>
        <w:rPr>
          <w:sz w:val="26"/>
          <w:szCs w:val="26"/>
        </w:rPr>
        <w:t xml:space="preserve">ing less on just </w:t>
      </w:r>
      <w:r w:rsidRPr="007A1BB7">
        <w:rPr>
          <w:sz w:val="26"/>
          <w:szCs w:val="26"/>
        </w:rPr>
        <w:t>treating a disease</w:t>
      </w:r>
      <w:r>
        <w:rPr>
          <w:sz w:val="26"/>
          <w:szCs w:val="26"/>
        </w:rPr>
        <w:t xml:space="preserve"> but</w:t>
      </w:r>
      <w:r w:rsidRPr="007A1BB7">
        <w:rPr>
          <w:sz w:val="26"/>
          <w:szCs w:val="26"/>
        </w:rPr>
        <w:t xml:space="preserve"> to </w:t>
      </w:r>
      <w:r>
        <w:rPr>
          <w:sz w:val="26"/>
          <w:szCs w:val="26"/>
        </w:rPr>
        <w:t xml:space="preserve">then </w:t>
      </w:r>
      <w:r w:rsidRPr="007A1BB7">
        <w:rPr>
          <w:sz w:val="26"/>
          <w:szCs w:val="26"/>
        </w:rPr>
        <w:t>treating the whole person</w:t>
      </w:r>
      <w:r>
        <w:rPr>
          <w:sz w:val="26"/>
          <w:szCs w:val="26"/>
        </w:rPr>
        <w:t>. This then</w:t>
      </w:r>
      <w:r w:rsidRPr="007A1BB7">
        <w:rPr>
          <w:sz w:val="26"/>
          <w:szCs w:val="26"/>
        </w:rPr>
        <w:t xml:space="preserve"> significantly higher </w:t>
      </w:r>
      <w:r>
        <w:rPr>
          <w:sz w:val="26"/>
          <w:szCs w:val="26"/>
        </w:rPr>
        <w:t>serves users’</w:t>
      </w:r>
      <w:r w:rsidRPr="007A1BB7">
        <w:rPr>
          <w:sz w:val="26"/>
          <w:szCs w:val="26"/>
        </w:rPr>
        <w:t xml:space="preserve"> satisfaction and measurably better health outcomes</w:t>
      </w:r>
      <w:r>
        <w:rPr>
          <w:sz w:val="26"/>
          <w:szCs w:val="26"/>
        </w:rPr>
        <w:t xml:space="preserve">, </w:t>
      </w:r>
      <w:r w:rsidRPr="007A1BB7">
        <w:rPr>
          <w:sz w:val="26"/>
          <w:szCs w:val="26"/>
        </w:rPr>
        <w:t xml:space="preserve">actively involving </w:t>
      </w:r>
      <w:r>
        <w:rPr>
          <w:sz w:val="26"/>
          <w:szCs w:val="26"/>
        </w:rPr>
        <w:t xml:space="preserve">serves users </w:t>
      </w:r>
      <w:r w:rsidRPr="007A1BB7">
        <w:rPr>
          <w:sz w:val="26"/>
          <w:szCs w:val="26"/>
        </w:rPr>
        <w:t xml:space="preserve">in decision-making and respecting their unique values, this approach builds trust and reduces anxiety, which encourages </w:t>
      </w:r>
      <w:r>
        <w:rPr>
          <w:sz w:val="26"/>
          <w:szCs w:val="26"/>
        </w:rPr>
        <w:t>serves users</w:t>
      </w:r>
      <w:r w:rsidRPr="007A1BB7">
        <w:rPr>
          <w:sz w:val="26"/>
          <w:szCs w:val="26"/>
        </w:rPr>
        <w:t xml:space="preserve"> to follow treatment plans more diligently. Consequently, this leads to higher medication adherence, fewer hospital </w:t>
      </w:r>
      <w:r w:rsidRPr="007A1BB7">
        <w:rPr>
          <w:sz w:val="26"/>
          <w:szCs w:val="26"/>
        </w:rPr>
        <w:lastRenderedPageBreak/>
        <w:t>readmissions, and improved long-term recovery rates, as care becomes a collaborative partnership rather than a standardized procedure.</w:t>
      </w:r>
    </w:p>
    <w:p w14:paraId="2C216798" w14:textId="1D407DB1" w:rsidR="00D81C75" w:rsidRPr="00077062" w:rsidRDefault="007A1BB7" w:rsidP="00D81C75">
      <w:pPr>
        <w:rPr>
          <w:sz w:val="26"/>
          <w:szCs w:val="26"/>
        </w:rPr>
      </w:pPr>
      <w:r w:rsidRPr="007A1BB7">
        <w:rPr>
          <w:sz w:val="26"/>
          <w:szCs w:val="26"/>
        </w:rPr>
        <w:t xml:space="preserve">While person-centred care offers significant advantages, its implementation faces notable challenges, primarily due to the extra time and resources required for meaningful </w:t>
      </w:r>
      <w:r>
        <w:rPr>
          <w:sz w:val="26"/>
          <w:szCs w:val="26"/>
        </w:rPr>
        <w:t>serves users’</w:t>
      </w:r>
      <w:r w:rsidRPr="007A1BB7">
        <w:rPr>
          <w:sz w:val="26"/>
          <w:szCs w:val="26"/>
        </w:rPr>
        <w:t xml:space="preserve"> engagement, which often conflicts with the tight schedules of modern clinical settings. Additionally, many healthcare </w:t>
      </w:r>
      <w:r>
        <w:rPr>
          <w:sz w:val="26"/>
          <w:szCs w:val="26"/>
        </w:rPr>
        <w:t>workers</w:t>
      </w:r>
      <w:r w:rsidRPr="007A1BB7">
        <w:rPr>
          <w:sz w:val="26"/>
          <w:szCs w:val="26"/>
        </w:rPr>
        <w:t xml:space="preserve"> lack specific training in shared decision-making skills, and the approach can be hindered by systemic barriers like rigid reimbursement models or electronic health record designs that prioritize efficiency over personalization. Furthermore, not all </w:t>
      </w:r>
      <w:r>
        <w:rPr>
          <w:sz w:val="26"/>
          <w:szCs w:val="26"/>
        </w:rPr>
        <w:t>serves users</w:t>
      </w:r>
      <w:r w:rsidRPr="007A1BB7">
        <w:rPr>
          <w:sz w:val="26"/>
          <w:szCs w:val="26"/>
        </w:rPr>
        <w:t xml:space="preserve"> are willing or able to participate actively in their care due to factors such as low health literacy, cognitive limitations, or cultural preferences for a more directive medical approach, making consistent delivery difficult to achieve across diverse populations.</w:t>
      </w:r>
    </w:p>
    <w:p w14:paraId="65403A41" w14:textId="6ED2DBAB" w:rsidR="00D81C75" w:rsidRDefault="00D81C75" w:rsidP="00D81C75">
      <w:pPr>
        <w:rPr>
          <w:b/>
          <w:bCs/>
          <w:sz w:val="32"/>
          <w:szCs w:val="32"/>
        </w:rPr>
      </w:pPr>
      <w:r>
        <w:rPr>
          <w:b/>
          <w:bCs/>
          <w:sz w:val="32"/>
          <w:szCs w:val="32"/>
        </w:rPr>
        <w:t>Relevant Theories</w:t>
      </w:r>
    </w:p>
    <w:p w14:paraId="2A422D14" w14:textId="2FC7BA1E" w:rsidR="00D81C75" w:rsidRDefault="00077062" w:rsidP="00D81C75">
      <w:pPr>
        <w:rPr>
          <w:sz w:val="26"/>
          <w:szCs w:val="26"/>
        </w:rPr>
      </w:pPr>
      <w:r>
        <w:rPr>
          <w:sz w:val="26"/>
          <w:szCs w:val="26"/>
        </w:rPr>
        <w:t>The relevant theories that will be used is Maslow’s Hierarchy of Needs (1943).</w:t>
      </w:r>
    </w:p>
    <w:p w14:paraId="1C3BD529" w14:textId="09EF3B5A" w:rsidR="00077062" w:rsidRDefault="004A00E7" w:rsidP="00D81C75">
      <w:pPr>
        <w:rPr>
          <w:sz w:val="26"/>
          <w:szCs w:val="26"/>
        </w:rPr>
      </w:pPr>
      <w:r>
        <w:rPr>
          <w:sz w:val="26"/>
          <w:szCs w:val="26"/>
        </w:rPr>
        <w:t>Maslow’s theory has five levels of needs: physiological needs, safety needs, love and belonging, esteem, and self-actualisation. He argued that basic needs should be first met before individuals can achieve higher levels of personal growth and wellbeing.</w:t>
      </w:r>
    </w:p>
    <w:p w14:paraId="39C4B38D" w14:textId="0ABB3163" w:rsidR="004A00E7" w:rsidRDefault="00E75CB6" w:rsidP="00D81C75">
      <w:pPr>
        <w:rPr>
          <w:sz w:val="26"/>
          <w:szCs w:val="26"/>
        </w:rPr>
      </w:pPr>
      <w:r>
        <w:rPr>
          <w:sz w:val="26"/>
          <w:szCs w:val="26"/>
        </w:rPr>
        <w:t>Maslow’s theory underpins person-centred care by it encourages healthcare professionals to think about the whole person then just focusing on their medical condition. through recognising that individuals have different physical, emotional, social, and psychological needs. This theory supports a holistic way to care and aligns with the principles of person-centred approach, which highlights respecting every promoting wellbeing and personal growth (</w:t>
      </w:r>
      <w:proofErr w:type="spellStart"/>
      <w:r>
        <w:rPr>
          <w:sz w:val="26"/>
          <w:szCs w:val="26"/>
        </w:rPr>
        <w:t>Krikorain</w:t>
      </w:r>
      <w:proofErr w:type="spellEnd"/>
      <w:r>
        <w:rPr>
          <w:sz w:val="26"/>
          <w:szCs w:val="26"/>
        </w:rPr>
        <w:t xml:space="preserve"> 2024).</w:t>
      </w:r>
    </w:p>
    <w:p w14:paraId="59BA6997" w14:textId="4BF2C750" w:rsidR="00D81C75" w:rsidRPr="00F752D1" w:rsidRDefault="00E75CB6" w:rsidP="00D81C75">
      <w:pPr>
        <w:rPr>
          <w:sz w:val="26"/>
          <w:szCs w:val="26"/>
        </w:rPr>
      </w:pPr>
      <w:r>
        <w:rPr>
          <w:sz w:val="26"/>
          <w:szCs w:val="26"/>
        </w:rPr>
        <w:t xml:space="preserve">In a community care home suggested by </w:t>
      </w:r>
      <w:proofErr w:type="spellStart"/>
      <w:r w:rsidR="00F752D1">
        <w:rPr>
          <w:sz w:val="26"/>
          <w:szCs w:val="26"/>
        </w:rPr>
        <w:t>M</w:t>
      </w:r>
      <w:r>
        <w:rPr>
          <w:sz w:val="26"/>
          <w:szCs w:val="26"/>
        </w:rPr>
        <w:t>ota</w:t>
      </w:r>
      <w:proofErr w:type="spellEnd"/>
      <w:r>
        <w:rPr>
          <w:sz w:val="26"/>
          <w:szCs w:val="26"/>
        </w:rPr>
        <w:t xml:space="preserve"> </w:t>
      </w:r>
      <w:r>
        <w:rPr>
          <w:i/>
          <w:iCs/>
          <w:sz w:val="26"/>
          <w:szCs w:val="26"/>
        </w:rPr>
        <w:t>et al</w:t>
      </w:r>
      <w:r>
        <w:rPr>
          <w:sz w:val="26"/>
          <w:szCs w:val="26"/>
        </w:rPr>
        <w:t xml:space="preserve"> (2022), that Maslow’s theory can be applied though ensuring serves users physiological needs are met by providing nutritious meal, help with personal care and to get appropriate healthcare. Safety needs are met though making a secure environment, care workers can help serves users love and belonging needs by making sure family are involved, keeping meaningful relationships, and helping participation in social activities. Esteem needs are promoted though respecting serves users’ choices, motivating independence, and seeing their achievements. Self-actualisation can be helped though enabling serves users to continue hobbies, create new skills and take part in relevant activities that reflect them. </w:t>
      </w:r>
    </w:p>
    <w:p w14:paraId="28D3D5A0" w14:textId="5803371F" w:rsidR="00D81C75" w:rsidRDefault="00D81C75" w:rsidP="00D81C75">
      <w:pPr>
        <w:rPr>
          <w:b/>
          <w:bCs/>
          <w:sz w:val="32"/>
          <w:szCs w:val="32"/>
        </w:rPr>
      </w:pPr>
      <w:r>
        <w:rPr>
          <w:b/>
          <w:bCs/>
          <w:sz w:val="32"/>
          <w:szCs w:val="32"/>
        </w:rPr>
        <w:t>Ethical fundamentals</w:t>
      </w:r>
    </w:p>
    <w:p w14:paraId="5ECE2C2E" w14:textId="175D417E" w:rsidR="00F752D1" w:rsidRDefault="00F752D1" w:rsidP="00D81C75">
      <w:pPr>
        <w:rPr>
          <w:sz w:val="26"/>
          <w:szCs w:val="26"/>
        </w:rPr>
      </w:pPr>
      <w:r>
        <w:rPr>
          <w:sz w:val="26"/>
          <w:szCs w:val="26"/>
        </w:rPr>
        <w:t>The key ethical principles in health and social care are:</w:t>
      </w:r>
    </w:p>
    <w:p w14:paraId="24F288D1" w14:textId="7E5963FE" w:rsidR="00F752D1" w:rsidRPr="00FA198B" w:rsidRDefault="00F752D1" w:rsidP="00D81C75">
      <w:pPr>
        <w:rPr>
          <w:sz w:val="26"/>
          <w:szCs w:val="26"/>
        </w:rPr>
      </w:pPr>
      <w:r>
        <w:rPr>
          <w:b/>
          <w:bCs/>
          <w:sz w:val="26"/>
          <w:szCs w:val="26"/>
        </w:rPr>
        <w:lastRenderedPageBreak/>
        <w:t>Autonomy</w:t>
      </w:r>
      <w:r w:rsidR="00FA198B">
        <w:rPr>
          <w:b/>
          <w:bCs/>
          <w:sz w:val="26"/>
          <w:szCs w:val="26"/>
        </w:rPr>
        <w:t xml:space="preserve">                                                                                                                                                               </w:t>
      </w:r>
      <w:r w:rsidR="00FA198B">
        <w:rPr>
          <w:sz w:val="26"/>
          <w:szCs w:val="26"/>
        </w:rPr>
        <w:t xml:space="preserve">According to SCIE (2024), autonomy is that people have the right to make own decisions about their life and care, meanwhile receiving the help and information they need but not being pressured or controlled.  </w:t>
      </w:r>
    </w:p>
    <w:p w14:paraId="4878AE0E" w14:textId="5BC4F7AC" w:rsidR="00F752D1" w:rsidRPr="00FA198B" w:rsidRDefault="00F752D1" w:rsidP="00FA198B">
      <w:pPr>
        <w:tabs>
          <w:tab w:val="left" w:pos="2370"/>
        </w:tabs>
        <w:rPr>
          <w:sz w:val="26"/>
          <w:szCs w:val="26"/>
        </w:rPr>
      </w:pPr>
      <w:r>
        <w:rPr>
          <w:b/>
          <w:bCs/>
          <w:sz w:val="26"/>
          <w:szCs w:val="26"/>
        </w:rPr>
        <w:t>Beneficence</w:t>
      </w:r>
      <w:r w:rsidR="00FA198B">
        <w:rPr>
          <w:b/>
          <w:bCs/>
          <w:sz w:val="26"/>
          <w:szCs w:val="26"/>
        </w:rPr>
        <w:t xml:space="preserve">                                                                                                                                                           </w:t>
      </w:r>
      <w:r w:rsidR="00FA198B">
        <w:rPr>
          <w:sz w:val="26"/>
          <w:szCs w:val="26"/>
        </w:rPr>
        <w:t>Care Learning (2026), article defines beneficence as the acting in the best interests for individual though promoting wellbeing, improving quality of life and giving care that benefits them.</w:t>
      </w:r>
      <w:r w:rsidR="00FA198B">
        <w:rPr>
          <w:b/>
          <w:bCs/>
          <w:sz w:val="26"/>
          <w:szCs w:val="26"/>
        </w:rPr>
        <w:t xml:space="preserve">                                                                                                                                                     </w:t>
      </w:r>
    </w:p>
    <w:p w14:paraId="2819F039" w14:textId="46B6BEF7" w:rsidR="00F752D1" w:rsidRPr="00FA198B" w:rsidRDefault="00F752D1" w:rsidP="00D81C75">
      <w:pPr>
        <w:rPr>
          <w:sz w:val="26"/>
          <w:szCs w:val="26"/>
        </w:rPr>
      </w:pPr>
      <w:r>
        <w:rPr>
          <w:b/>
          <w:bCs/>
          <w:sz w:val="26"/>
          <w:szCs w:val="26"/>
        </w:rPr>
        <w:t>Non-maleficence</w:t>
      </w:r>
      <w:r w:rsidR="00FA198B">
        <w:rPr>
          <w:b/>
          <w:bCs/>
          <w:sz w:val="26"/>
          <w:szCs w:val="26"/>
        </w:rPr>
        <w:t xml:space="preserve">  </w:t>
      </w:r>
      <w:r w:rsidR="00FA198B">
        <w:rPr>
          <w:sz w:val="26"/>
          <w:szCs w:val="26"/>
        </w:rPr>
        <w:t xml:space="preserve">                                                                                                                                                     From Medical Protection Society (2026), says that non-maleficence as avoiding harm and making sure that healthcare workers do not create unnecessary harm to people that are in their care.</w:t>
      </w:r>
    </w:p>
    <w:p w14:paraId="4BCEEFC5" w14:textId="5A41EA7E" w:rsidR="00F752D1" w:rsidRDefault="00F752D1" w:rsidP="00D81C75">
      <w:pPr>
        <w:rPr>
          <w:sz w:val="26"/>
          <w:szCs w:val="26"/>
        </w:rPr>
      </w:pPr>
      <w:r>
        <w:rPr>
          <w:b/>
          <w:bCs/>
          <w:sz w:val="26"/>
          <w:szCs w:val="26"/>
        </w:rPr>
        <w:t xml:space="preserve">Justice </w:t>
      </w:r>
      <w:r w:rsidR="00FA198B">
        <w:rPr>
          <w:b/>
          <w:bCs/>
          <w:sz w:val="26"/>
          <w:szCs w:val="26"/>
        </w:rPr>
        <w:t xml:space="preserve"> </w:t>
      </w:r>
      <w:r w:rsidR="00FA198B">
        <w:rPr>
          <w:sz w:val="26"/>
          <w:szCs w:val="26"/>
        </w:rPr>
        <w:t xml:space="preserve">                                                                                                                                                                          In article written by Anand (2026), </w:t>
      </w:r>
      <w:r w:rsidR="00A34102">
        <w:rPr>
          <w:sz w:val="26"/>
          <w:szCs w:val="26"/>
        </w:rPr>
        <w:t>he writes that justice is treating people fairly and equitably, making sure everyone has the same access to healthcare, resources, and opportunities according to their needs, with no discrimination.</w:t>
      </w:r>
    </w:p>
    <w:p w14:paraId="2DCDBBD1" w14:textId="2B4EBFE7" w:rsidR="00A34102" w:rsidRDefault="00A34102" w:rsidP="00D81C75">
      <w:pPr>
        <w:rPr>
          <w:sz w:val="26"/>
          <w:szCs w:val="26"/>
        </w:rPr>
      </w:pPr>
      <w:r>
        <w:rPr>
          <w:sz w:val="26"/>
          <w:szCs w:val="26"/>
        </w:rPr>
        <w:t>Theses ethical principles are essential for person-centred care and partnership working because it ensures individuals receive respectful, safe, and fair care.</w:t>
      </w:r>
      <w:r w:rsidRPr="00A34102">
        <w:rPr>
          <w:sz w:val="26"/>
          <w:szCs w:val="26"/>
        </w:rPr>
        <w:t xml:space="preserve"> By following these principles, health and social care </w:t>
      </w:r>
      <w:r>
        <w:rPr>
          <w:sz w:val="26"/>
          <w:szCs w:val="26"/>
        </w:rPr>
        <w:t>workers</w:t>
      </w:r>
      <w:r w:rsidRPr="00A34102">
        <w:rPr>
          <w:sz w:val="26"/>
          <w:szCs w:val="26"/>
        </w:rPr>
        <w:t xml:space="preserve"> can work together with individuals, families, and other </w:t>
      </w:r>
      <w:r>
        <w:rPr>
          <w:sz w:val="26"/>
          <w:szCs w:val="26"/>
        </w:rPr>
        <w:t>workers</w:t>
      </w:r>
      <w:r w:rsidRPr="00A34102">
        <w:rPr>
          <w:sz w:val="26"/>
          <w:szCs w:val="26"/>
        </w:rPr>
        <w:t xml:space="preserve"> to </w:t>
      </w:r>
      <w:r>
        <w:rPr>
          <w:sz w:val="26"/>
          <w:szCs w:val="26"/>
        </w:rPr>
        <w:t>give</w:t>
      </w:r>
      <w:r w:rsidRPr="00A34102">
        <w:rPr>
          <w:sz w:val="26"/>
          <w:szCs w:val="26"/>
        </w:rPr>
        <w:t xml:space="preserve"> care that meets each person's unique needs and preferences.</w:t>
      </w:r>
    </w:p>
    <w:p w14:paraId="0724C149" w14:textId="2D03E856" w:rsidR="002C78B9" w:rsidRDefault="007E5C30" w:rsidP="00D81C75">
      <w:pPr>
        <w:rPr>
          <w:sz w:val="26"/>
          <w:szCs w:val="26"/>
        </w:rPr>
      </w:pPr>
      <w:r w:rsidRPr="007E5C30">
        <w:rPr>
          <w:sz w:val="26"/>
          <w:szCs w:val="26"/>
        </w:rPr>
        <w:t xml:space="preserve">In a care home for older adults with dementia, ethical principles are applied daily when </w:t>
      </w:r>
      <w:r>
        <w:rPr>
          <w:sz w:val="26"/>
          <w:szCs w:val="26"/>
        </w:rPr>
        <w:t>weighing</w:t>
      </w:r>
      <w:r w:rsidRPr="007E5C30">
        <w:rPr>
          <w:sz w:val="26"/>
          <w:szCs w:val="26"/>
        </w:rPr>
        <w:t xml:space="preserve"> an individual's rights with their safety. For example, a </w:t>
      </w:r>
      <w:r>
        <w:rPr>
          <w:sz w:val="26"/>
          <w:szCs w:val="26"/>
        </w:rPr>
        <w:t>serves user</w:t>
      </w:r>
      <w:r w:rsidRPr="007E5C30">
        <w:rPr>
          <w:sz w:val="26"/>
          <w:szCs w:val="26"/>
        </w:rPr>
        <w:t xml:space="preserve"> with dementia may insist on leaving the care home</w:t>
      </w:r>
      <w:r>
        <w:rPr>
          <w:sz w:val="26"/>
          <w:szCs w:val="26"/>
        </w:rPr>
        <w:t xml:space="preserve"> by themselves</w:t>
      </w:r>
      <w:r w:rsidRPr="007E5C30">
        <w:rPr>
          <w:sz w:val="26"/>
          <w:szCs w:val="26"/>
        </w:rPr>
        <w:t xml:space="preserve">. Respecting autonomy means acknowledging the person's right to make decisions about their own life. However, the principles of beneficence and non-maleficence require </w:t>
      </w:r>
      <w:r>
        <w:rPr>
          <w:sz w:val="26"/>
          <w:szCs w:val="26"/>
        </w:rPr>
        <w:t>workers</w:t>
      </w:r>
      <w:r w:rsidRPr="007E5C30">
        <w:rPr>
          <w:sz w:val="26"/>
          <w:szCs w:val="26"/>
        </w:rPr>
        <w:t xml:space="preserve"> to act in the person's best interests and prevent harm, </w:t>
      </w:r>
      <w:r>
        <w:rPr>
          <w:sz w:val="26"/>
          <w:szCs w:val="26"/>
        </w:rPr>
        <w:t>especially</w:t>
      </w:r>
      <w:r w:rsidRPr="007E5C30">
        <w:rPr>
          <w:sz w:val="26"/>
          <w:szCs w:val="26"/>
        </w:rPr>
        <w:t xml:space="preserve"> if the individual lacks the capacity to understand the risks.</w:t>
      </w:r>
      <w:r>
        <w:rPr>
          <w:sz w:val="26"/>
          <w:szCs w:val="26"/>
        </w:rPr>
        <w:t xml:space="preserve"> </w:t>
      </w:r>
      <w:r w:rsidRPr="007E5C30">
        <w:rPr>
          <w:sz w:val="26"/>
          <w:szCs w:val="26"/>
        </w:rPr>
        <w:t xml:space="preserve">This ethical dilemma can be </w:t>
      </w:r>
      <w:r>
        <w:rPr>
          <w:sz w:val="26"/>
          <w:szCs w:val="26"/>
        </w:rPr>
        <w:t>determined</w:t>
      </w:r>
      <w:r w:rsidRPr="007E5C30">
        <w:rPr>
          <w:sz w:val="26"/>
          <w:szCs w:val="26"/>
        </w:rPr>
        <w:t xml:space="preserve"> by carrying out a capacity assessment </w:t>
      </w:r>
      <w:r>
        <w:rPr>
          <w:sz w:val="26"/>
          <w:szCs w:val="26"/>
        </w:rPr>
        <w:t>within the lines of the</w:t>
      </w:r>
      <w:r w:rsidRPr="007E5C30">
        <w:rPr>
          <w:sz w:val="26"/>
          <w:szCs w:val="26"/>
        </w:rPr>
        <w:t xml:space="preserve"> Mental Capacity Act 2005, in</w:t>
      </w:r>
      <w:r>
        <w:rPr>
          <w:sz w:val="26"/>
          <w:szCs w:val="26"/>
        </w:rPr>
        <w:t>cluding</w:t>
      </w:r>
      <w:r w:rsidRPr="007E5C30">
        <w:rPr>
          <w:sz w:val="26"/>
          <w:szCs w:val="26"/>
        </w:rPr>
        <w:t xml:space="preserve"> the multidisciplinary team and family members, and </w:t>
      </w:r>
      <w:r>
        <w:rPr>
          <w:sz w:val="26"/>
          <w:szCs w:val="26"/>
        </w:rPr>
        <w:t>creating</w:t>
      </w:r>
      <w:r w:rsidRPr="007E5C30">
        <w:rPr>
          <w:sz w:val="26"/>
          <w:szCs w:val="26"/>
        </w:rPr>
        <w:t xml:space="preserve"> the least restrictive care plan. </w:t>
      </w:r>
      <w:r>
        <w:rPr>
          <w:sz w:val="26"/>
          <w:szCs w:val="26"/>
        </w:rPr>
        <w:t xml:space="preserve">Instead of </w:t>
      </w:r>
      <w:r w:rsidRPr="007E5C30">
        <w:rPr>
          <w:sz w:val="26"/>
          <w:szCs w:val="26"/>
        </w:rPr>
        <w:t xml:space="preserve">preventing the </w:t>
      </w:r>
      <w:r>
        <w:rPr>
          <w:sz w:val="26"/>
          <w:szCs w:val="26"/>
        </w:rPr>
        <w:t>serves user</w:t>
      </w:r>
      <w:r w:rsidRPr="007E5C30">
        <w:rPr>
          <w:sz w:val="26"/>
          <w:szCs w:val="26"/>
        </w:rPr>
        <w:t xml:space="preserve"> from leaving altogether, </w:t>
      </w:r>
      <w:r>
        <w:rPr>
          <w:sz w:val="26"/>
          <w:szCs w:val="26"/>
        </w:rPr>
        <w:t>workers</w:t>
      </w:r>
      <w:r w:rsidRPr="007E5C30">
        <w:rPr>
          <w:sz w:val="26"/>
          <w:szCs w:val="26"/>
        </w:rPr>
        <w:t xml:space="preserve"> could arrange supervised walks or </w:t>
      </w:r>
      <w:r>
        <w:rPr>
          <w:sz w:val="26"/>
          <w:szCs w:val="26"/>
        </w:rPr>
        <w:t>make</w:t>
      </w:r>
      <w:r w:rsidRPr="007E5C30">
        <w:rPr>
          <w:sz w:val="26"/>
          <w:szCs w:val="26"/>
        </w:rPr>
        <w:t xml:space="preserve"> a safe outdoor area, allowing the person some independence while </w:t>
      </w:r>
      <w:r>
        <w:rPr>
          <w:sz w:val="26"/>
          <w:szCs w:val="26"/>
        </w:rPr>
        <w:t>lowering</w:t>
      </w:r>
      <w:r w:rsidRPr="007E5C30">
        <w:rPr>
          <w:sz w:val="26"/>
          <w:szCs w:val="26"/>
        </w:rPr>
        <w:t xml:space="preserve"> the risk of harm. This approach supports both person-centred care and partnership working.</w:t>
      </w:r>
    </w:p>
    <w:p w14:paraId="1C2B17E0" w14:textId="7868837E" w:rsidR="00D81C75" w:rsidRPr="002972E8" w:rsidRDefault="00387FDB" w:rsidP="00D81C75">
      <w:pPr>
        <w:rPr>
          <w:sz w:val="26"/>
          <w:szCs w:val="26"/>
        </w:rPr>
      </w:pPr>
      <w:r w:rsidRPr="00387FDB">
        <w:rPr>
          <w:sz w:val="26"/>
          <w:szCs w:val="26"/>
        </w:rPr>
        <w:t xml:space="preserve">Different people may have different opinions about how this situation should be managed. The </w:t>
      </w:r>
      <w:r>
        <w:rPr>
          <w:sz w:val="26"/>
          <w:szCs w:val="26"/>
        </w:rPr>
        <w:t>serves user</w:t>
      </w:r>
      <w:r w:rsidRPr="00387FDB">
        <w:rPr>
          <w:sz w:val="26"/>
          <w:szCs w:val="26"/>
        </w:rPr>
        <w:t xml:space="preserve"> may feel their freedom is being restricted, while family members may prioritise safety and request closer supervision. Care </w:t>
      </w:r>
      <w:r>
        <w:rPr>
          <w:sz w:val="26"/>
          <w:szCs w:val="26"/>
        </w:rPr>
        <w:t>worker</w:t>
      </w:r>
      <w:r w:rsidRPr="00387FDB">
        <w:rPr>
          <w:sz w:val="26"/>
          <w:szCs w:val="26"/>
        </w:rPr>
        <w:t xml:space="preserve"> may worry about their legal duty of care if harm occurs, whereas healthcare professionals </w:t>
      </w:r>
      <w:r w:rsidRPr="00387FDB">
        <w:rPr>
          <w:sz w:val="26"/>
          <w:szCs w:val="26"/>
        </w:rPr>
        <w:lastRenderedPageBreak/>
        <w:t xml:space="preserve">such as occupational therapists may suggest alternative strategies that promote independence. </w:t>
      </w:r>
      <w:r>
        <w:rPr>
          <w:sz w:val="26"/>
          <w:szCs w:val="26"/>
        </w:rPr>
        <w:t>weighing</w:t>
      </w:r>
      <w:r w:rsidRPr="00387FDB">
        <w:rPr>
          <w:sz w:val="26"/>
          <w:szCs w:val="26"/>
        </w:rPr>
        <w:t xml:space="preserve"> these perspectives requires effective communication, shared decision-making, and collaboration between all those involved. Partnership working helps ensure that decisions reflect the individual's preferences while protecting their wellbeing.</w:t>
      </w:r>
    </w:p>
    <w:p w14:paraId="73CF72BB" w14:textId="6A4A1F7B" w:rsidR="00D81C75" w:rsidRDefault="00D81C75" w:rsidP="00D81C75">
      <w:pPr>
        <w:rPr>
          <w:b/>
          <w:bCs/>
          <w:sz w:val="32"/>
          <w:szCs w:val="32"/>
        </w:rPr>
      </w:pPr>
      <w:r>
        <w:rPr>
          <w:b/>
          <w:bCs/>
          <w:sz w:val="32"/>
          <w:szCs w:val="32"/>
        </w:rPr>
        <w:t xml:space="preserve">Evaluation of Partnership working </w:t>
      </w:r>
    </w:p>
    <w:p w14:paraId="38A69929" w14:textId="50359A77" w:rsidR="00D81C75" w:rsidRDefault="0055598C" w:rsidP="00E8702E">
      <w:pPr>
        <w:rPr>
          <w:sz w:val="26"/>
          <w:szCs w:val="26"/>
        </w:rPr>
      </w:pPr>
      <w:r>
        <w:rPr>
          <w:sz w:val="26"/>
          <w:szCs w:val="26"/>
        </w:rPr>
        <w:t>The NHS England (2024) defines p</w:t>
      </w:r>
      <w:r w:rsidR="00E8702E" w:rsidRPr="00E8702E">
        <w:rPr>
          <w:sz w:val="26"/>
          <w:szCs w:val="26"/>
        </w:rPr>
        <w:t xml:space="preserve">artnership working </w:t>
      </w:r>
      <w:r>
        <w:rPr>
          <w:sz w:val="26"/>
          <w:szCs w:val="26"/>
        </w:rPr>
        <w:t>as</w:t>
      </w:r>
      <w:r w:rsidR="00E8702E" w:rsidRPr="00E8702E">
        <w:rPr>
          <w:sz w:val="26"/>
          <w:szCs w:val="26"/>
        </w:rPr>
        <w:t xml:space="preserve"> the process of different organisations, professionals, and local communities working together to plan, deliver, and improve health and social care services to meet the needs of individuals.</w:t>
      </w:r>
      <w:r>
        <w:rPr>
          <w:sz w:val="26"/>
          <w:szCs w:val="26"/>
        </w:rPr>
        <w:t xml:space="preserve"> P</w:t>
      </w:r>
      <w:r w:rsidR="00E8702E" w:rsidRPr="00E8702E">
        <w:rPr>
          <w:sz w:val="26"/>
          <w:szCs w:val="26"/>
        </w:rPr>
        <w:t>artnership working brings together the NHS, local authorities, social care providers, voluntary organisations, and other agencies to provide coordinated, person-centred care.</w:t>
      </w:r>
      <w:r>
        <w:rPr>
          <w:sz w:val="26"/>
          <w:szCs w:val="26"/>
        </w:rPr>
        <w:t xml:space="preserve"> They also disuses </w:t>
      </w:r>
      <w:r w:rsidR="00E8702E" w:rsidRPr="00E8702E">
        <w:rPr>
          <w:sz w:val="26"/>
          <w:szCs w:val="26"/>
        </w:rPr>
        <w:t xml:space="preserve">Partnership working is important because it improves communication between services, enhances patient outcomes, reduces health inequalities, and ensures that care is delivered more efficiently by sharing resources and expertise. To support this collaborative approach, Integrated Care </w:t>
      </w:r>
      <w:r w:rsidRPr="00E8702E">
        <w:rPr>
          <w:sz w:val="26"/>
          <w:szCs w:val="26"/>
        </w:rPr>
        <w:t>Systems were</w:t>
      </w:r>
      <w:r w:rsidR="00E8702E" w:rsidRPr="00E8702E">
        <w:rPr>
          <w:sz w:val="26"/>
          <w:szCs w:val="26"/>
        </w:rPr>
        <w:t xml:space="preserve"> introduced across England. An Integrated Care System is a partnership of organisations responsible for planning and delivering joined-up health and care services within a local area. </w:t>
      </w:r>
    </w:p>
    <w:p w14:paraId="74013755" w14:textId="2A658CE9" w:rsidR="00E8702E" w:rsidRPr="00E8702E" w:rsidRDefault="0055598C" w:rsidP="00E8702E">
      <w:pPr>
        <w:rPr>
          <w:sz w:val="26"/>
          <w:szCs w:val="26"/>
        </w:rPr>
      </w:pPr>
      <w:r>
        <w:rPr>
          <w:sz w:val="26"/>
          <w:szCs w:val="26"/>
        </w:rPr>
        <w:t>CQC (2025), says some of the benefits of p</w:t>
      </w:r>
      <w:r w:rsidR="00E8702E" w:rsidRPr="00E8702E">
        <w:rPr>
          <w:sz w:val="26"/>
          <w:szCs w:val="26"/>
        </w:rPr>
        <w:t xml:space="preserve">artnership working </w:t>
      </w:r>
      <w:r>
        <w:rPr>
          <w:sz w:val="26"/>
          <w:szCs w:val="26"/>
        </w:rPr>
        <w:t xml:space="preserve">is </w:t>
      </w:r>
      <w:r w:rsidR="00E8702E" w:rsidRPr="00E8702E">
        <w:rPr>
          <w:sz w:val="26"/>
          <w:szCs w:val="26"/>
        </w:rPr>
        <w:t>improves the coordination of health and social care services by enabling organisations to share information, resources, and expertise. T</w:t>
      </w:r>
      <w:r>
        <w:rPr>
          <w:sz w:val="26"/>
          <w:szCs w:val="26"/>
        </w:rPr>
        <w:t xml:space="preserve">hey also </w:t>
      </w:r>
      <w:r w:rsidRPr="00E8702E">
        <w:rPr>
          <w:sz w:val="26"/>
          <w:szCs w:val="26"/>
        </w:rPr>
        <w:t>state</w:t>
      </w:r>
      <w:r w:rsidR="00E8702E" w:rsidRPr="00E8702E">
        <w:rPr>
          <w:sz w:val="26"/>
          <w:szCs w:val="26"/>
        </w:rPr>
        <w:t xml:space="preserve"> that effective collaboration helps create seamless care for individuals, improves health outcomes, reduces inequalities, and ensures services are designed around the diverse needs of local communities.</w:t>
      </w:r>
      <w:r w:rsidR="00E8702E">
        <w:rPr>
          <w:sz w:val="26"/>
          <w:szCs w:val="26"/>
        </w:rPr>
        <w:t xml:space="preserve"> </w:t>
      </w:r>
      <w:r w:rsidR="00E8702E" w:rsidRPr="00E8702E">
        <w:rPr>
          <w:sz w:val="26"/>
          <w:szCs w:val="26"/>
        </w:rPr>
        <w:t>Strong partnerships also support better communication between agencies, smoother transitions between services, and greater involvement of voluntary and community organisations in meeting local needs.</w:t>
      </w:r>
    </w:p>
    <w:p w14:paraId="6C76F81B" w14:textId="7794A233" w:rsidR="00E8702E" w:rsidRDefault="00E8702E" w:rsidP="00E8702E">
      <w:pPr>
        <w:rPr>
          <w:sz w:val="26"/>
          <w:szCs w:val="26"/>
        </w:rPr>
      </w:pPr>
      <w:r w:rsidRPr="00E8702E">
        <w:rPr>
          <w:sz w:val="26"/>
          <w:szCs w:val="26"/>
        </w:rPr>
        <w:t>Despite its benefits, partnership working can face several challenges. The CQC</w:t>
      </w:r>
      <w:r w:rsidR="001B0499">
        <w:rPr>
          <w:sz w:val="26"/>
          <w:szCs w:val="26"/>
        </w:rPr>
        <w:t xml:space="preserve"> (2024),</w:t>
      </w:r>
      <w:r w:rsidRPr="00E8702E">
        <w:rPr>
          <w:sz w:val="26"/>
          <w:szCs w:val="26"/>
        </w:rPr>
        <w:t xml:space="preserve"> highlights that poor communication, inconsistent information sharing, and unclear roles and responsibilities can limit effective collaboration. Weak governance, lack of trust between organisations, and partners working in isolation may result in fragmented care, delayed decision-making, and people having to repeat their information when moving between services.</w:t>
      </w:r>
      <w:r>
        <w:rPr>
          <w:sz w:val="26"/>
          <w:szCs w:val="26"/>
        </w:rPr>
        <w:t xml:space="preserve"> </w:t>
      </w:r>
      <w:r w:rsidRPr="00E8702E">
        <w:rPr>
          <w:sz w:val="26"/>
          <w:szCs w:val="26"/>
        </w:rPr>
        <w:t>Inconsistent engagement with voluntary organisations and difficulties aligning shared priorities can also reduce the effectiveness of partnership working.</w:t>
      </w:r>
    </w:p>
    <w:p w14:paraId="4AD22471" w14:textId="44B07224" w:rsidR="00D81C75" w:rsidRPr="008B77F5" w:rsidRDefault="005D7C9D" w:rsidP="00D81C75">
      <w:pPr>
        <w:rPr>
          <w:sz w:val="26"/>
          <w:szCs w:val="26"/>
        </w:rPr>
      </w:pPr>
      <w:r>
        <w:rPr>
          <w:sz w:val="26"/>
          <w:szCs w:val="26"/>
        </w:rPr>
        <w:t>An article written by Warmoth, Aylward and Goodman (2024), says p</w:t>
      </w:r>
      <w:r w:rsidR="00E8702E" w:rsidRPr="00E8702E">
        <w:rPr>
          <w:sz w:val="26"/>
          <w:szCs w:val="26"/>
        </w:rPr>
        <w:t xml:space="preserve">artnership working has a positive impact on care homes by strengthening relationships between care home </w:t>
      </w:r>
      <w:r w:rsidR="008B77F5">
        <w:rPr>
          <w:sz w:val="26"/>
          <w:szCs w:val="26"/>
        </w:rPr>
        <w:t>workers</w:t>
      </w:r>
      <w:r w:rsidR="00E8702E" w:rsidRPr="00E8702E">
        <w:rPr>
          <w:sz w:val="26"/>
          <w:szCs w:val="26"/>
        </w:rPr>
        <w:t xml:space="preserve">, GPs, and other healthcare professionals, leading to better communication, shared learning, and improved quality of care for </w:t>
      </w:r>
      <w:r w:rsidR="008B77F5">
        <w:rPr>
          <w:sz w:val="26"/>
          <w:szCs w:val="26"/>
        </w:rPr>
        <w:t>serve users</w:t>
      </w:r>
      <w:r w:rsidR="00E8702E" w:rsidRPr="00E8702E">
        <w:rPr>
          <w:sz w:val="26"/>
          <w:szCs w:val="26"/>
        </w:rPr>
        <w:t xml:space="preserve">. The </w:t>
      </w:r>
      <w:r w:rsidR="00E8702E" w:rsidRPr="00E8702E">
        <w:rPr>
          <w:sz w:val="26"/>
          <w:szCs w:val="26"/>
        </w:rPr>
        <w:lastRenderedPageBreak/>
        <w:t xml:space="preserve">study found that collaborative working helped staff better understand each other's roles, supported coordinated decision-making, and improved access to healthcare services for older people with complex needs. It also highlighted that successful partnership working requires adequate time, staffing, funding, and opportunities for professionals to learn together and share best practice. </w:t>
      </w:r>
    </w:p>
    <w:p w14:paraId="32C60DDC" w14:textId="6F12FB53" w:rsidR="00D81C75" w:rsidRDefault="00D81C75" w:rsidP="00D81C75">
      <w:pPr>
        <w:rPr>
          <w:b/>
          <w:bCs/>
          <w:sz w:val="32"/>
          <w:szCs w:val="32"/>
        </w:rPr>
      </w:pPr>
      <w:r>
        <w:rPr>
          <w:b/>
          <w:bCs/>
          <w:sz w:val="32"/>
          <w:szCs w:val="32"/>
        </w:rPr>
        <w:t xml:space="preserve">Policy and legislation </w:t>
      </w:r>
    </w:p>
    <w:p w14:paraId="72BFF335" w14:textId="0491E511" w:rsidR="008B77F5" w:rsidRDefault="008B77F5" w:rsidP="008B77F5">
      <w:pPr>
        <w:rPr>
          <w:sz w:val="26"/>
          <w:szCs w:val="26"/>
        </w:rPr>
      </w:pPr>
      <w:r w:rsidRPr="008B77F5">
        <w:rPr>
          <w:sz w:val="26"/>
          <w:szCs w:val="26"/>
        </w:rPr>
        <w:t xml:space="preserve">Policies and legislation play a key role in supporting person-centred care and partnership working within health and social care settings. </w:t>
      </w:r>
    </w:p>
    <w:p w14:paraId="750D76F1" w14:textId="24A43153" w:rsidR="008B77F5" w:rsidRPr="008B77F5" w:rsidRDefault="008B77F5" w:rsidP="008B77F5">
      <w:pPr>
        <w:rPr>
          <w:sz w:val="26"/>
          <w:szCs w:val="26"/>
        </w:rPr>
      </w:pPr>
      <w:r w:rsidRPr="008B77F5">
        <w:rPr>
          <w:sz w:val="26"/>
          <w:szCs w:val="26"/>
        </w:rPr>
        <w:t>The Health and Care Act 2022 promotes</w:t>
      </w:r>
      <w:r>
        <w:rPr>
          <w:sz w:val="26"/>
          <w:szCs w:val="26"/>
        </w:rPr>
        <w:t xml:space="preserve"> better</w:t>
      </w:r>
      <w:r w:rsidRPr="008B77F5">
        <w:rPr>
          <w:sz w:val="26"/>
          <w:szCs w:val="26"/>
        </w:rPr>
        <w:t xml:space="preserve"> integration between NHS services, local authorities, and social care providers through Integrated Care Systems. This </w:t>
      </w:r>
      <w:r>
        <w:rPr>
          <w:sz w:val="26"/>
          <w:szCs w:val="26"/>
        </w:rPr>
        <w:t>motivates</w:t>
      </w:r>
      <w:r w:rsidRPr="008B77F5">
        <w:rPr>
          <w:sz w:val="26"/>
          <w:szCs w:val="26"/>
        </w:rPr>
        <w:t xml:space="preserve"> organisations to work </w:t>
      </w:r>
      <w:r>
        <w:rPr>
          <w:sz w:val="26"/>
          <w:szCs w:val="26"/>
        </w:rPr>
        <w:t>together,</w:t>
      </w:r>
      <w:r w:rsidRPr="008B77F5">
        <w:rPr>
          <w:sz w:val="26"/>
          <w:szCs w:val="26"/>
        </w:rPr>
        <w:t xml:space="preserve"> improv</w:t>
      </w:r>
      <w:r>
        <w:rPr>
          <w:sz w:val="26"/>
          <w:szCs w:val="26"/>
        </w:rPr>
        <w:t>ing</w:t>
      </w:r>
      <w:r w:rsidRPr="008B77F5">
        <w:rPr>
          <w:sz w:val="26"/>
          <w:szCs w:val="26"/>
        </w:rPr>
        <w:t xml:space="preserve"> communication, reducing duplication of services, and providing more coordinated care that meets the individual needs of service users.</w:t>
      </w:r>
    </w:p>
    <w:p w14:paraId="46408D12" w14:textId="6632DB86" w:rsidR="00D81C75" w:rsidRPr="008B77F5" w:rsidRDefault="008B77F5" w:rsidP="008B77F5">
      <w:pPr>
        <w:rPr>
          <w:sz w:val="26"/>
          <w:szCs w:val="26"/>
        </w:rPr>
      </w:pPr>
      <w:r w:rsidRPr="008B77F5">
        <w:rPr>
          <w:sz w:val="26"/>
          <w:szCs w:val="26"/>
        </w:rPr>
        <w:t>The Care Act 2014 places a legal duty on local authorities to promote individual wellbeing and involve people in decisions about their care. This supports person-centred care by ensuring individuals have choice, control, and independence.</w:t>
      </w:r>
      <w:r>
        <w:rPr>
          <w:sz w:val="26"/>
          <w:szCs w:val="26"/>
        </w:rPr>
        <w:t xml:space="preserve"> </w:t>
      </w:r>
      <w:r w:rsidRPr="008B77F5">
        <w:rPr>
          <w:sz w:val="26"/>
          <w:szCs w:val="26"/>
        </w:rPr>
        <w:t>It also requires health and social care professionals to work together when assessing and planning care, strengthening partnership working across different services.</w:t>
      </w:r>
    </w:p>
    <w:p w14:paraId="4502CCDF" w14:textId="60587CBC" w:rsidR="00D81C75" w:rsidRDefault="008B77F5" w:rsidP="00D81C75">
      <w:pPr>
        <w:rPr>
          <w:sz w:val="26"/>
          <w:szCs w:val="26"/>
        </w:rPr>
      </w:pPr>
      <w:r w:rsidRPr="008B77F5">
        <w:rPr>
          <w:sz w:val="26"/>
          <w:szCs w:val="26"/>
        </w:rPr>
        <w:t>The Equality Act 2010 protects individuals from discrimination based on protected characteristics such as age, disability, race, religion, or gender. In practice, this means healthcare providers must make reasonable adjustments and provide equitable access to services, ensuring person-centred care is delivered fairly to all individuals. Similarly, the Human Rights Act 1998 protects rights such as dignity, privacy, and respect, requiring professionals to treat service users with compassion and involve them in decisions affecting their lives.</w:t>
      </w:r>
    </w:p>
    <w:p w14:paraId="1875E511" w14:textId="4017ABEA" w:rsidR="008B77F5" w:rsidRPr="008B77F5" w:rsidRDefault="008B77F5" w:rsidP="00D81C75">
      <w:pPr>
        <w:rPr>
          <w:sz w:val="26"/>
          <w:szCs w:val="26"/>
        </w:rPr>
      </w:pPr>
      <w:r w:rsidRPr="008B77F5">
        <w:rPr>
          <w:sz w:val="26"/>
          <w:szCs w:val="26"/>
        </w:rPr>
        <w:t>In practice, these policies support effective care by encouraging multidisciplinary teams to share information appropriately, involve families where appropriate, and develop personalised care plans.</w:t>
      </w:r>
      <w:r>
        <w:rPr>
          <w:sz w:val="26"/>
          <w:szCs w:val="26"/>
        </w:rPr>
        <w:t xml:space="preserve"> </w:t>
      </w:r>
      <w:r w:rsidRPr="008B77F5">
        <w:rPr>
          <w:sz w:val="26"/>
          <w:szCs w:val="26"/>
        </w:rPr>
        <w:t>However, challenges remain. Differences in organisational systems, limited resources, and workforce pressures can make partnership working more difficult, reducing the effectiveness of coordinated care. Despite these barriers, the legislation provides a clear framework that promotes collaboration, protects service users' rights, and ensures care remains focused on individual needs.</w:t>
      </w:r>
    </w:p>
    <w:p w14:paraId="765AFF22" w14:textId="4B51B412" w:rsidR="00D81C75" w:rsidRDefault="00D81C75" w:rsidP="00D81C75">
      <w:pPr>
        <w:rPr>
          <w:b/>
          <w:bCs/>
          <w:sz w:val="32"/>
          <w:szCs w:val="32"/>
        </w:rPr>
      </w:pPr>
      <w:r>
        <w:rPr>
          <w:b/>
          <w:bCs/>
          <w:sz w:val="32"/>
          <w:szCs w:val="32"/>
        </w:rPr>
        <w:t xml:space="preserve">Recommendations </w:t>
      </w:r>
    </w:p>
    <w:p w14:paraId="44FC9AEC" w14:textId="4780F96F" w:rsidR="00D81C75" w:rsidRDefault="008B77F5" w:rsidP="008B77F5">
      <w:pPr>
        <w:rPr>
          <w:sz w:val="26"/>
          <w:szCs w:val="26"/>
        </w:rPr>
      </w:pPr>
      <w:r w:rsidRPr="008B77F5">
        <w:rPr>
          <w:sz w:val="26"/>
          <w:szCs w:val="26"/>
        </w:rPr>
        <w:t>The key areas for improvement in Person-Centred Care</w:t>
      </w:r>
      <w:r>
        <w:rPr>
          <w:sz w:val="26"/>
          <w:szCs w:val="26"/>
        </w:rPr>
        <w:t xml:space="preserve"> </w:t>
      </w:r>
      <w:r w:rsidRPr="008B77F5">
        <w:rPr>
          <w:sz w:val="26"/>
          <w:szCs w:val="26"/>
        </w:rPr>
        <w:t xml:space="preserve">and People's Wellbeing are ensuring people are fully involved in planning and reviewing their care, with care </w:t>
      </w:r>
      <w:r w:rsidRPr="008B77F5">
        <w:rPr>
          <w:sz w:val="26"/>
          <w:szCs w:val="26"/>
        </w:rPr>
        <w:lastRenderedPageBreak/>
        <w:t>plans that are personalised, regularly updated and reflect their preferences, needs, culture and goals. Staff should receive ongoing training in person-centred care, equality, diversity, and human rights to provide respectful, individualised support.</w:t>
      </w:r>
      <w:r>
        <w:rPr>
          <w:sz w:val="26"/>
          <w:szCs w:val="26"/>
        </w:rPr>
        <w:t xml:space="preserve"> </w:t>
      </w:r>
      <w:r w:rsidRPr="008B77F5">
        <w:rPr>
          <w:sz w:val="26"/>
          <w:szCs w:val="26"/>
        </w:rPr>
        <w:t>Services should also promote meaningful activities, independence, community involvement and maintaining relationships with family and friends.</w:t>
      </w:r>
      <w:r>
        <w:rPr>
          <w:sz w:val="26"/>
          <w:szCs w:val="26"/>
        </w:rPr>
        <w:t xml:space="preserve"> </w:t>
      </w:r>
      <w:r w:rsidRPr="008B77F5">
        <w:rPr>
          <w:sz w:val="26"/>
          <w:szCs w:val="26"/>
        </w:rPr>
        <w:t>Communication needs should be identified and met in line with the Accessible Information</w:t>
      </w:r>
      <w:r>
        <w:rPr>
          <w:sz w:val="26"/>
          <w:szCs w:val="26"/>
        </w:rPr>
        <w:t xml:space="preserve"> </w:t>
      </w:r>
      <w:r w:rsidRPr="008B77F5">
        <w:rPr>
          <w:sz w:val="26"/>
          <w:szCs w:val="26"/>
        </w:rPr>
        <w:t>Standard, and technology should be used effectively to enhance care and support positive</w:t>
      </w:r>
      <w:r>
        <w:rPr>
          <w:sz w:val="26"/>
          <w:szCs w:val="26"/>
        </w:rPr>
        <w:t xml:space="preserve"> </w:t>
      </w:r>
      <w:r w:rsidRPr="008B77F5">
        <w:rPr>
          <w:sz w:val="26"/>
          <w:szCs w:val="26"/>
        </w:rPr>
        <w:t>outcomes.</w:t>
      </w:r>
    </w:p>
    <w:p w14:paraId="39EE04CC" w14:textId="22307979" w:rsidR="008B77F5" w:rsidRDefault="008B77F5" w:rsidP="008B77F5">
      <w:pPr>
        <w:rPr>
          <w:sz w:val="26"/>
          <w:szCs w:val="26"/>
        </w:rPr>
      </w:pPr>
      <w:r>
        <w:rPr>
          <w:sz w:val="26"/>
          <w:szCs w:val="26"/>
        </w:rPr>
        <w:t>T</w:t>
      </w:r>
      <w:r w:rsidRPr="008B77F5">
        <w:rPr>
          <w:sz w:val="26"/>
          <w:szCs w:val="26"/>
        </w:rPr>
        <w:t xml:space="preserve">he CQC </w:t>
      </w:r>
      <w:r>
        <w:rPr>
          <w:sz w:val="26"/>
          <w:szCs w:val="26"/>
        </w:rPr>
        <w:t>(2022)</w:t>
      </w:r>
      <w:r w:rsidRPr="008B77F5">
        <w:rPr>
          <w:sz w:val="26"/>
          <w:szCs w:val="26"/>
        </w:rPr>
        <w:t>, recommendations are to ensure people are actively involved in planning and reviewing their care, with personalised care plans that reflect their individual needs, preferences, culture, and goals. Services should provide regular staff training in person-centred care, equality, diversity and human rights, support people to maintain relationships, hobbies, and community involvement, meet communication needs in line with the Accessible Information Standard, and use technology that is accessible and supports timely, responsive care.</w:t>
      </w:r>
    </w:p>
    <w:p w14:paraId="325DB7E7" w14:textId="40B47231" w:rsidR="008B77F5" w:rsidRPr="008B77F5" w:rsidRDefault="008B77F5" w:rsidP="008B77F5">
      <w:pPr>
        <w:rPr>
          <w:sz w:val="26"/>
          <w:szCs w:val="26"/>
        </w:rPr>
      </w:pPr>
      <w:r w:rsidRPr="008B77F5">
        <w:rPr>
          <w:sz w:val="26"/>
          <w:szCs w:val="26"/>
        </w:rPr>
        <w:t xml:space="preserve">In a care home setting, person-centred care and people's wellbeing can be improved by ensuring </w:t>
      </w:r>
      <w:r>
        <w:rPr>
          <w:sz w:val="26"/>
          <w:szCs w:val="26"/>
        </w:rPr>
        <w:t xml:space="preserve">serves users </w:t>
      </w:r>
      <w:r w:rsidRPr="008B77F5">
        <w:rPr>
          <w:sz w:val="26"/>
          <w:szCs w:val="26"/>
        </w:rPr>
        <w:t>are involved in developing and reviewing their care plans, supported by regular staff training in person-centred care, equality, and communication. Using digital care planning systems can help staff keep care records up to date and respond quickly to changing needs, while working collaboratively with healthcare professionals and families ensures residents receive consistent, individualised care. Although barriers such as limited funding, staff shortages and lack of digital skills may affect</w:t>
      </w:r>
      <w:r>
        <w:rPr>
          <w:sz w:val="26"/>
          <w:szCs w:val="26"/>
        </w:rPr>
        <w:t xml:space="preserve"> </w:t>
      </w:r>
      <w:r w:rsidRPr="008B77F5">
        <w:rPr>
          <w:sz w:val="26"/>
          <w:szCs w:val="26"/>
        </w:rPr>
        <w:t xml:space="preserve">implementation, investing in these improvements can enhance </w:t>
      </w:r>
      <w:r>
        <w:rPr>
          <w:sz w:val="26"/>
          <w:szCs w:val="26"/>
        </w:rPr>
        <w:t>serves users</w:t>
      </w:r>
      <w:r w:rsidRPr="008B77F5">
        <w:rPr>
          <w:sz w:val="26"/>
          <w:szCs w:val="26"/>
        </w:rPr>
        <w:t>' wellbeing, independence and quality of life while helping the service meet CQC standards.</w:t>
      </w:r>
    </w:p>
    <w:p w14:paraId="1A6F710A" w14:textId="287387F2" w:rsidR="00D81C75" w:rsidRDefault="00D81C75" w:rsidP="00D81C75">
      <w:pPr>
        <w:rPr>
          <w:b/>
          <w:bCs/>
          <w:sz w:val="32"/>
          <w:szCs w:val="32"/>
        </w:rPr>
      </w:pPr>
      <w:r>
        <w:rPr>
          <w:b/>
          <w:bCs/>
          <w:sz w:val="32"/>
          <w:szCs w:val="32"/>
        </w:rPr>
        <w:t xml:space="preserve">Conclusion </w:t>
      </w:r>
    </w:p>
    <w:p w14:paraId="49A993F2" w14:textId="7FBB144F" w:rsidR="008809D0" w:rsidRPr="008809D0" w:rsidRDefault="008809D0" w:rsidP="008809D0">
      <w:pPr>
        <w:rPr>
          <w:sz w:val="26"/>
          <w:szCs w:val="26"/>
        </w:rPr>
      </w:pPr>
      <w:r w:rsidRPr="008809D0">
        <w:rPr>
          <w:sz w:val="26"/>
          <w:szCs w:val="26"/>
        </w:rPr>
        <w:t>In conclusion, person-centred care and partnership working are vital for delivering respectful, safe, and effective support. Despite challenges, adhering to ethical principles and relevant legislation ensures care remains focused on individual needs. Implementing recommendations like personalised plans and staff training will ultimately enhance service users’ wellbeing and independence.</w:t>
      </w:r>
    </w:p>
    <w:p w14:paraId="1C6FA51D" w14:textId="76E75430" w:rsidR="00D81C75" w:rsidRPr="008809D0" w:rsidRDefault="00D81C75" w:rsidP="00D81C75">
      <w:pPr>
        <w:rPr>
          <w:sz w:val="26"/>
          <w:szCs w:val="26"/>
        </w:rPr>
      </w:pPr>
    </w:p>
    <w:p w14:paraId="2395A2E9" w14:textId="3E9786A8" w:rsidR="00E75CB6" w:rsidRDefault="00E75CB6" w:rsidP="00D81C75">
      <w:pPr>
        <w:rPr>
          <w:b/>
          <w:bCs/>
          <w:sz w:val="32"/>
          <w:szCs w:val="32"/>
        </w:rPr>
      </w:pPr>
    </w:p>
    <w:p w14:paraId="5615B5D8" w14:textId="19EDFF01" w:rsidR="00E75CB6" w:rsidRDefault="00E75CB6" w:rsidP="00D81C75">
      <w:pPr>
        <w:rPr>
          <w:b/>
          <w:bCs/>
          <w:sz w:val="32"/>
          <w:szCs w:val="32"/>
        </w:rPr>
      </w:pPr>
    </w:p>
    <w:p w14:paraId="6F8BFA7C" w14:textId="77777777" w:rsidR="00E63EBE" w:rsidRDefault="00E63EBE" w:rsidP="00D81C75">
      <w:pPr>
        <w:rPr>
          <w:b/>
          <w:bCs/>
          <w:sz w:val="32"/>
          <w:szCs w:val="32"/>
        </w:rPr>
      </w:pPr>
    </w:p>
    <w:p w14:paraId="55D8F2BB" w14:textId="201C40B2" w:rsidR="00D81C75" w:rsidRDefault="00D81C75" w:rsidP="00D81C75">
      <w:pPr>
        <w:rPr>
          <w:b/>
          <w:bCs/>
          <w:sz w:val="32"/>
          <w:szCs w:val="32"/>
        </w:rPr>
      </w:pPr>
      <w:r>
        <w:rPr>
          <w:b/>
          <w:bCs/>
          <w:sz w:val="32"/>
          <w:szCs w:val="32"/>
        </w:rPr>
        <w:lastRenderedPageBreak/>
        <w:t>Reference List</w:t>
      </w:r>
    </w:p>
    <w:p w14:paraId="0C2B2220" w14:textId="67965D97" w:rsidR="00FA1357" w:rsidRPr="00FA1357" w:rsidRDefault="00FA1357" w:rsidP="00D81C75">
      <w:pPr>
        <w:rPr>
          <w:bCs/>
          <w:sz w:val="28"/>
          <w:szCs w:val="28"/>
        </w:rPr>
      </w:pPr>
      <w:bookmarkStart w:id="0" w:name="_Hlk236340850"/>
      <w:r w:rsidRPr="00FA1357">
        <w:rPr>
          <w:bCs/>
          <w:sz w:val="28"/>
          <w:szCs w:val="28"/>
        </w:rPr>
        <w:t>Anand, S. (2026). Health justice. </w:t>
      </w:r>
      <w:r w:rsidRPr="00FA1357">
        <w:rPr>
          <w:bCs/>
          <w:i/>
          <w:iCs/>
          <w:sz w:val="28"/>
          <w:szCs w:val="28"/>
        </w:rPr>
        <w:t>The Lancet</w:t>
      </w:r>
      <w:r w:rsidRPr="00FA1357">
        <w:rPr>
          <w:bCs/>
          <w:sz w:val="28"/>
          <w:szCs w:val="28"/>
        </w:rPr>
        <w:t xml:space="preserve">, 407(10533), pp.1112–1118. </w:t>
      </w:r>
      <w:proofErr w:type="spellStart"/>
      <w:r w:rsidRPr="00FA1357">
        <w:rPr>
          <w:bCs/>
          <w:sz w:val="28"/>
          <w:szCs w:val="28"/>
        </w:rPr>
        <w:t>doi</w:t>
      </w:r>
      <w:proofErr w:type="spellEnd"/>
      <w:r w:rsidRPr="00FA1357">
        <w:rPr>
          <w:bCs/>
          <w:sz w:val="28"/>
          <w:szCs w:val="28"/>
        </w:rPr>
        <w:t>: </w:t>
      </w:r>
      <w:hyperlink r:id="rId4" w:tgtFrame="_blank" w:history="1">
        <w:r w:rsidRPr="00FA1357">
          <w:rPr>
            <w:rStyle w:val="Hyperlink"/>
            <w:bCs/>
            <w:sz w:val="28"/>
            <w:szCs w:val="28"/>
          </w:rPr>
          <w:t>10.1016/S0140-6736(25)02163-4 External Link</w:t>
        </w:r>
      </w:hyperlink>
      <w:r w:rsidRPr="00FA1357">
        <w:rPr>
          <w:bCs/>
          <w:sz w:val="28"/>
          <w:szCs w:val="28"/>
        </w:rPr>
        <w:t xml:space="preserve"> (Accessed 31</w:t>
      </w:r>
      <w:r w:rsidRPr="00FA1357">
        <w:rPr>
          <w:bCs/>
          <w:sz w:val="28"/>
          <w:szCs w:val="28"/>
          <w:vertAlign w:val="superscript"/>
        </w:rPr>
        <w:t>st</w:t>
      </w:r>
      <w:r w:rsidRPr="00FA1357">
        <w:rPr>
          <w:bCs/>
          <w:sz w:val="28"/>
          <w:szCs w:val="28"/>
        </w:rPr>
        <w:t xml:space="preserve"> July 2026).</w:t>
      </w:r>
    </w:p>
    <w:p w14:paraId="1BF5A03E" w14:textId="1AC2C361" w:rsidR="00FA1357" w:rsidRDefault="00FA1357" w:rsidP="00D81C75">
      <w:pPr>
        <w:rPr>
          <w:bCs/>
          <w:sz w:val="28"/>
          <w:szCs w:val="28"/>
        </w:rPr>
      </w:pPr>
      <w:r w:rsidRPr="00FA1357">
        <w:rPr>
          <w:bCs/>
          <w:sz w:val="28"/>
          <w:szCs w:val="28"/>
        </w:rPr>
        <w:t>Care Learning (2026) </w:t>
      </w:r>
      <w:r w:rsidRPr="00FA1357">
        <w:rPr>
          <w:bCs/>
          <w:i/>
          <w:iCs/>
          <w:sz w:val="28"/>
          <w:szCs w:val="28"/>
        </w:rPr>
        <w:t>What is beneficence in health and social care?</w:t>
      </w:r>
      <w:r w:rsidRPr="00FA1357">
        <w:rPr>
          <w:bCs/>
          <w:sz w:val="28"/>
          <w:szCs w:val="28"/>
        </w:rPr>
        <w:t> Available at: </w:t>
      </w:r>
      <w:hyperlink r:id="rId5" w:history="1">
        <w:r w:rsidRPr="00FA1357">
          <w:rPr>
            <w:rStyle w:val="Hyperlink"/>
            <w:bCs/>
            <w:sz w:val="28"/>
            <w:szCs w:val="28"/>
          </w:rPr>
          <w:t>https://carelearning.org.uk/blog/wellbeing/what-is-beneficence-in-health-and-social-care/</w:t>
        </w:r>
      </w:hyperlink>
      <w:r w:rsidRPr="00FA1357">
        <w:rPr>
          <w:bCs/>
          <w:sz w:val="28"/>
          <w:szCs w:val="28"/>
        </w:rPr>
        <w:t xml:space="preserve"> (Accessed 31</w:t>
      </w:r>
      <w:r w:rsidRPr="00FA1357">
        <w:rPr>
          <w:bCs/>
          <w:sz w:val="28"/>
          <w:szCs w:val="28"/>
          <w:vertAlign w:val="superscript"/>
        </w:rPr>
        <w:t>st</w:t>
      </w:r>
      <w:r w:rsidRPr="00FA1357">
        <w:rPr>
          <w:bCs/>
          <w:sz w:val="28"/>
          <w:szCs w:val="28"/>
        </w:rPr>
        <w:t xml:space="preserve"> July 2026). </w:t>
      </w:r>
    </w:p>
    <w:p w14:paraId="211718E1" w14:textId="697A82B7" w:rsidR="00FA1357" w:rsidRDefault="00FA1357" w:rsidP="00D81C75">
      <w:pPr>
        <w:rPr>
          <w:bCs/>
          <w:sz w:val="28"/>
          <w:szCs w:val="28"/>
        </w:rPr>
      </w:pPr>
      <w:r w:rsidRPr="00FA1357">
        <w:rPr>
          <w:bCs/>
          <w:sz w:val="28"/>
          <w:szCs w:val="28"/>
        </w:rPr>
        <w:t>CQC (2025). </w:t>
      </w:r>
      <w:r w:rsidRPr="00FA1357">
        <w:rPr>
          <w:bCs/>
          <w:i/>
          <w:iCs/>
          <w:sz w:val="28"/>
          <w:szCs w:val="28"/>
        </w:rPr>
        <w:t>Partnerships and communities - Care Quality Commission</w:t>
      </w:r>
      <w:r w:rsidRPr="00FA1357">
        <w:rPr>
          <w:bCs/>
          <w:sz w:val="28"/>
          <w:szCs w:val="28"/>
        </w:rPr>
        <w:t xml:space="preserve">. Available at: </w:t>
      </w:r>
      <w:hyperlink r:id="rId6" w:history="1">
        <w:r w:rsidRPr="00FA1357">
          <w:rPr>
            <w:rStyle w:val="Hyperlink"/>
            <w:bCs/>
            <w:sz w:val="28"/>
            <w:szCs w:val="28"/>
          </w:rPr>
          <w:t>https://www.cqc.org.uk/guidance-regulation/local-authorities/assessment-framework/theme2/partnerships</w:t>
        </w:r>
      </w:hyperlink>
      <w:r w:rsidRPr="00FA1357">
        <w:rPr>
          <w:bCs/>
          <w:sz w:val="28"/>
          <w:szCs w:val="28"/>
        </w:rPr>
        <w:t>. (Accessed 31</w:t>
      </w:r>
      <w:r w:rsidRPr="00FA1357">
        <w:rPr>
          <w:bCs/>
          <w:sz w:val="28"/>
          <w:szCs w:val="28"/>
          <w:vertAlign w:val="superscript"/>
        </w:rPr>
        <w:t>st</w:t>
      </w:r>
      <w:r w:rsidRPr="00FA1357">
        <w:rPr>
          <w:bCs/>
          <w:sz w:val="28"/>
          <w:szCs w:val="28"/>
        </w:rPr>
        <w:t xml:space="preserve"> July 2026).</w:t>
      </w:r>
    </w:p>
    <w:p w14:paraId="0D9E8363" w14:textId="434281CE" w:rsidR="00FA1357" w:rsidRPr="00FA1357" w:rsidRDefault="00FA1357" w:rsidP="00D81C75">
      <w:pPr>
        <w:rPr>
          <w:bCs/>
          <w:sz w:val="28"/>
          <w:szCs w:val="28"/>
        </w:rPr>
      </w:pPr>
      <w:r w:rsidRPr="00FA1357">
        <w:rPr>
          <w:bCs/>
          <w:sz w:val="28"/>
          <w:szCs w:val="28"/>
        </w:rPr>
        <w:t>Care Quality Commission (2022). </w:t>
      </w:r>
      <w:r w:rsidRPr="00FA1357">
        <w:rPr>
          <w:bCs/>
          <w:i/>
          <w:iCs/>
          <w:sz w:val="28"/>
          <w:szCs w:val="28"/>
        </w:rPr>
        <w:t>Person-centred care: inadequate - Care Quality Commission</w:t>
      </w:r>
      <w:r w:rsidRPr="00FA1357">
        <w:rPr>
          <w:bCs/>
          <w:sz w:val="28"/>
          <w:szCs w:val="28"/>
        </w:rPr>
        <w:t xml:space="preserve">. Available at: </w:t>
      </w:r>
      <w:hyperlink r:id="rId7" w:history="1">
        <w:r w:rsidRPr="00FA1357">
          <w:rPr>
            <w:rStyle w:val="Hyperlink"/>
            <w:bCs/>
            <w:sz w:val="28"/>
            <w:szCs w:val="28"/>
          </w:rPr>
          <w:t>https://www.cqc.org.uk/guidance-providers/adult-social-care/person-centred-care-inadequate</w:t>
        </w:r>
      </w:hyperlink>
      <w:r w:rsidRPr="00FA1357">
        <w:rPr>
          <w:bCs/>
          <w:sz w:val="28"/>
          <w:szCs w:val="28"/>
        </w:rPr>
        <w:t>. (Accessed 1</w:t>
      </w:r>
      <w:r w:rsidRPr="00FA1357">
        <w:rPr>
          <w:bCs/>
          <w:sz w:val="28"/>
          <w:szCs w:val="28"/>
          <w:vertAlign w:val="superscript"/>
        </w:rPr>
        <w:t>st</w:t>
      </w:r>
      <w:r w:rsidRPr="00FA1357">
        <w:rPr>
          <w:bCs/>
          <w:sz w:val="28"/>
          <w:szCs w:val="28"/>
        </w:rPr>
        <w:t xml:space="preserve"> August 2026).</w:t>
      </w:r>
    </w:p>
    <w:p w14:paraId="114B084C" w14:textId="3CCE0DDF" w:rsidR="00D81C75" w:rsidRDefault="0089338E" w:rsidP="00D81C75">
      <w:pPr>
        <w:rPr>
          <w:sz w:val="28"/>
          <w:szCs w:val="28"/>
        </w:rPr>
      </w:pPr>
      <w:proofErr w:type="spellStart"/>
      <w:r w:rsidRPr="0089338E">
        <w:rPr>
          <w:sz w:val="28"/>
          <w:szCs w:val="28"/>
        </w:rPr>
        <w:t>Edvardsson</w:t>
      </w:r>
      <w:bookmarkEnd w:id="0"/>
      <w:proofErr w:type="spellEnd"/>
      <w:r w:rsidRPr="0089338E">
        <w:rPr>
          <w:sz w:val="28"/>
          <w:szCs w:val="28"/>
        </w:rPr>
        <w:t xml:space="preserve">, D. (2015). Notes on person-centred care: What It Is and What It Is Not. Nordic Journal of Nursing Research, 35(2), pp.65–66. </w:t>
      </w:r>
      <w:hyperlink r:id="rId8" w:history="1">
        <w:r w:rsidRPr="0089338E">
          <w:rPr>
            <w:rStyle w:val="Hyperlink"/>
            <w:sz w:val="28"/>
            <w:szCs w:val="28"/>
          </w:rPr>
          <w:t>doi:10.1177/0107408315582296.</w:t>
        </w:r>
      </w:hyperlink>
      <w:r>
        <w:rPr>
          <w:sz w:val="28"/>
          <w:szCs w:val="28"/>
        </w:rPr>
        <w:t xml:space="preserve"> (Accessed: 16</w:t>
      </w:r>
      <w:r w:rsidRPr="0089338E">
        <w:rPr>
          <w:sz w:val="28"/>
          <w:szCs w:val="28"/>
          <w:vertAlign w:val="superscript"/>
        </w:rPr>
        <w:t>th</w:t>
      </w:r>
      <w:r>
        <w:rPr>
          <w:sz w:val="28"/>
          <w:szCs w:val="28"/>
        </w:rPr>
        <w:t xml:space="preserve"> July 2026).</w:t>
      </w:r>
    </w:p>
    <w:p w14:paraId="582F265C" w14:textId="77777777" w:rsidR="00FA1357" w:rsidRPr="00FA1357" w:rsidRDefault="00FA1357" w:rsidP="00FA1357">
      <w:pPr>
        <w:rPr>
          <w:bCs/>
          <w:sz w:val="28"/>
          <w:szCs w:val="28"/>
        </w:rPr>
      </w:pPr>
      <w:r w:rsidRPr="00FA1357">
        <w:rPr>
          <w:bCs/>
          <w:sz w:val="28"/>
          <w:szCs w:val="28"/>
        </w:rPr>
        <w:t>GOV.UK (2005). </w:t>
      </w:r>
      <w:r w:rsidRPr="00FA1357">
        <w:rPr>
          <w:bCs/>
          <w:i/>
          <w:iCs/>
          <w:sz w:val="28"/>
          <w:szCs w:val="28"/>
        </w:rPr>
        <w:t>Mental Capacity Act 2005</w:t>
      </w:r>
      <w:r w:rsidRPr="00FA1357">
        <w:rPr>
          <w:bCs/>
          <w:sz w:val="28"/>
          <w:szCs w:val="28"/>
        </w:rPr>
        <w:t xml:space="preserve">. Available at: </w:t>
      </w:r>
      <w:hyperlink r:id="rId9" w:history="1">
        <w:r w:rsidRPr="00FA1357">
          <w:rPr>
            <w:rStyle w:val="Hyperlink"/>
            <w:bCs/>
            <w:sz w:val="28"/>
            <w:szCs w:val="28"/>
          </w:rPr>
          <w:t>https://www.legislation.gov.uk/ukpga/2005/9/contents</w:t>
        </w:r>
      </w:hyperlink>
      <w:r w:rsidRPr="00FA1357">
        <w:rPr>
          <w:bCs/>
          <w:sz w:val="28"/>
          <w:szCs w:val="28"/>
        </w:rPr>
        <w:t>. (Accessed 31</w:t>
      </w:r>
      <w:r w:rsidRPr="00FA1357">
        <w:rPr>
          <w:bCs/>
          <w:sz w:val="28"/>
          <w:szCs w:val="28"/>
          <w:vertAlign w:val="superscript"/>
        </w:rPr>
        <w:t>st</w:t>
      </w:r>
      <w:r w:rsidRPr="00FA1357">
        <w:rPr>
          <w:bCs/>
          <w:sz w:val="28"/>
          <w:szCs w:val="28"/>
        </w:rPr>
        <w:t xml:space="preserve"> July 2026).</w:t>
      </w:r>
    </w:p>
    <w:p w14:paraId="71DD5198" w14:textId="77777777" w:rsidR="00FA1357" w:rsidRPr="00FA1357" w:rsidRDefault="00FA1357" w:rsidP="00FA1357">
      <w:pPr>
        <w:rPr>
          <w:bCs/>
          <w:sz w:val="28"/>
          <w:szCs w:val="28"/>
        </w:rPr>
      </w:pPr>
      <w:r w:rsidRPr="00FA1357">
        <w:rPr>
          <w:bCs/>
          <w:sz w:val="28"/>
          <w:szCs w:val="28"/>
        </w:rPr>
        <w:t>GOV.UK (2010). </w:t>
      </w:r>
      <w:r w:rsidRPr="00FA1357">
        <w:rPr>
          <w:bCs/>
          <w:i/>
          <w:iCs/>
          <w:sz w:val="28"/>
          <w:szCs w:val="28"/>
        </w:rPr>
        <w:t>Equality Act 2010</w:t>
      </w:r>
      <w:r w:rsidRPr="00FA1357">
        <w:rPr>
          <w:bCs/>
          <w:sz w:val="28"/>
          <w:szCs w:val="28"/>
        </w:rPr>
        <w:t xml:space="preserve">. Available at: </w:t>
      </w:r>
      <w:hyperlink r:id="rId10" w:history="1">
        <w:r w:rsidRPr="00FA1357">
          <w:rPr>
            <w:rStyle w:val="Hyperlink"/>
            <w:bCs/>
            <w:sz w:val="28"/>
            <w:szCs w:val="28"/>
          </w:rPr>
          <w:t>https://www.legislation.gov.uk/ukpga/2010/15/contents</w:t>
        </w:r>
      </w:hyperlink>
      <w:r w:rsidRPr="00FA1357">
        <w:rPr>
          <w:bCs/>
          <w:sz w:val="28"/>
          <w:szCs w:val="28"/>
        </w:rPr>
        <w:t>. (Accessed 1</w:t>
      </w:r>
      <w:r w:rsidRPr="00FA1357">
        <w:rPr>
          <w:bCs/>
          <w:sz w:val="28"/>
          <w:szCs w:val="28"/>
          <w:vertAlign w:val="superscript"/>
        </w:rPr>
        <w:t>st</w:t>
      </w:r>
      <w:r w:rsidRPr="00FA1357">
        <w:rPr>
          <w:bCs/>
          <w:sz w:val="28"/>
          <w:szCs w:val="28"/>
        </w:rPr>
        <w:t xml:space="preserve"> August 2026).</w:t>
      </w:r>
    </w:p>
    <w:p w14:paraId="36C155FF" w14:textId="320CF765" w:rsidR="00FA1357" w:rsidRDefault="00FA1357" w:rsidP="00FA1357">
      <w:pPr>
        <w:rPr>
          <w:bCs/>
          <w:sz w:val="28"/>
          <w:szCs w:val="28"/>
        </w:rPr>
      </w:pPr>
      <w:r w:rsidRPr="00FA1357">
        <w:rPr>
          <w:bCs/>
          <w:sz w:val="28"/>
          <w:szCs w:val="28"/>
        </w:rPr>
        <w:t>Health and Care Act (2022). </w:t>
      </w:r>
      <w:r w:rsidRPr="00FA1357">
        <w:rPr>
          <w:bCs/>
          <w:i/>
          <w:iCs/>
          <w:sz w:val="28"/>
          <w:szCs w:val="28"/>
        </w:rPr>
        <w:t>Health and Care Act 2022</w:t>
      </w:r>
      <w:r w:rsidRPr="00FA1357">
        <w:rPr>
          <w:bCs/>
          <w:sz w:val="28"/>
          <w:szCs w:val="28"/>
        </w:rPr>
        <w:t xml:space="preserve">. Available at: </w:t>
      </w:r>
      <w:hyperlink r:id="rId11" w:history="1">
        <w:r w:rsidRPr="00FA1357">
          <w:rPr>
            <w:rStyle w:val="Hyperlink"/>
            <w:bCs/>
            <w:sz w:val="28"/>
            <w:szCs w:val="28"/>
          </w:rPr>
          <w:t>https://www.legislation.gov.uk/ukpga/2022/31/contents</w:t>
        </w:r>
      </w:hyperlink>
      <w:r w:rsidRPr="00FA1357">
        <w:rPr>
          <w:bCs/>
          <w:sz w:val="28"/>
          <w:szCs w:val="28"/>
        </w:rPr>
        <w:t>. (Accessed 1</w:t>
      </w:r>
      <w:r w:rsidRPr="00FA1357">
        <w:rPr>
          <w:bCs/>
          <w:sz w:val="28"/>
          <w:szCs w:val="28"/>
          <w:vertAlign w:val="superscript"/>
        </w:rPr>
        <w:t>st</w:t>
      </w:r>
      <w:r w:rsidRPr="00FA1357">
        <w:rPr>
          <w:bCs/>
          <w:sz w:val="28"/>
          <w:szCs w:val="28"/>
        </w:rPr>
        <w:t xml:space="preserve"> August 2026).</w:t>
      </w:r>
    </w:p>
    <w:p w14:paraId="48688BC1" w14:textId="3CDE49C8" w:rsidR="00FA1357" w:rsidRPr="00FA1357" w:rsidRDefault="00FA1357" w:rsidP="00FA1357">
      <w:pPr>
        <w:rPr>
          <w:bCs/>
          <w:sz w:val="28"/>
          <w:szCs w:val="28"/>
        </w:rPr>
      </w:pPr>
      <w:r w:rsidRPr="00FA1357">
        <w:rPr>
          <w:bCs/>
          <w:sz w:val="28"/>
          <w:szCs w:val="28"/>
        </w:rPr>
        <w:t>Human Rights Act (1998). </w:t>
      </w:r>
      <w:r w:rsidRPr="00FA1357">
        <w:rPr>
          <w:bCs/>
          <w:i/>
          <w:iCs/>
          <w:sz w:val="28"/>
          <w:szCs w:val="28"/>
        </w:rPr>
        <w:t>Human Rights Act 1998</w:t>
      </w:r>
      <w:r w:rsidRPr="00FA1357">
        <w:rPr>
          <w:bCs/>
          <w:sz w:val="28"/>
          <w:szCs w:val="28"/>
        </w:rPr>
        <w:t xml:space="preserve">. Available at: </w:t>
      </w:r>
      <w:hyperlink r:id="rId12" w:history="1">
        <w:r w:rsidRPr="00FA1357">
          <w:rPr>
            <w:rStyle w:val="Hyperlink"/>
            <w:bCs/>
            <w:sz w:val="28"/>
            <w:szCs w:val="28"/>
          </w:rPr>
          <w:t>https://www.legislation.gov.uk/ukpga/1998/42/contents</w:t>
        </w:r>
      </w:hyperlink>
      <w:r w:rsidRPr="00FA1357">
        <w:rPr>
          <w:bCs/>
          <w:sz w:val="28"/>
          <w:szCs w:val="28"/>
        </w:rPr>
        <w:t>. (Accessed 1</w:t>
      </w:r>
      <w:r w:rsidRPr="00FA1357">
        <w:rPr>
          <w:bCs/>
          <w:sz w:val="28"/>
          <w:szCs w:val="28"/>
          <w:vertAlign w:val="superscript"/>
        </w:rPr>
        <w:t>st</w:t>
      </w:r>
      <w:r w:rsidRPr="00FA1357">
        <w:rPr>
          <w:bCs/>
          <w:sz w:val="28"/>
          <w:szCs w:val="28"/>
        </w:rPr>
        <w:t xml:space="preserve"> August 2026).</w:t>
      </w:r>
    </w:p>
    <w:p w14:paraId="47F6EF3D" w14:textId="65E8EEE6" w:rsidR="00FA1357" w:rsidRPr="00FA1357" w:rsidRDefault="00FA1357" w:rsidP="00D81C75">
      <w:pPr>
        <w:rPr>
          <w:bCs/>
          <w:sz w:val="28"/>
          <w:szCs w:val="28"/>
        </w:rPr>
      </w:pPr>
      <w:r w:rsidRPr="00FA1357">
        <w:rPr>
          <w:bCs/>
          <w:sz w:val="28"/>
          <w:szCs w:val="28"/>
        </w:rPr>
        <w:t>Krikorian, M. (2024). Carl Rogers: A Person-</w:t>
      </w:r>
      <w:proofErr w:type="spellStart"/>
      <w:r w:rsidRPr="00FA1357">
        <w:rPr>
          <w:bCs/>
          <w:sz w:val="28"/>
          <w:szCs w:val="28"/>
        </w:rPr>
        <w:t>Centered</w:t>
      </w:r>
      <w:proofErr w:type="spellEnd"/>
      <w:r w:rsidRPr="00FA1357">
        <w:rPr>
          <w:bCs/>
          <w:sz w:val="28"/>
          <w:szCs w:val="28"/>
        </w:rPr>
        <w:t xml:space="preserve"> Approach. </w:t>
      </w:r>
      <w:r w:rsidRPr="00FA1357">
        <w:rPr>
          <w:bCs/>
          <w:i/>
          <w:iCs/>
          <w:sz w:val="28"/>
          <w:szCs w:val="28"/>
        </w:rPr>
        <w:t>Springer eBooks</w:t>
      </w:r>
      <w:r w:rsidRPr="00FA1357">
        <w:rPr>
          <w:bCs/>
          <w:sz w:val="28"/>
          <w:szCs w:val="28"/>
        </w:rPr>
        <w:t xml:space="preserve">, pp.993–1005.  </w:t>
      </w:r>
      <w:hyperlink r:id="rId13" w:history="1">
        <w:r w:rsidRPr="00FA1357">
          <w:rPr>
            <w:rStyle w:val="Hyperlink"/>
            <w:bCs/>
            <w:sz w:val="28"/>
            <w:szCs w:val="28"/>
          </w:rPr>
          <w:t>https://doi.org/10.1007/978-3-031-25134-4_106</w:t>
        </w:r>
      </w:hyperlink>
      <w:r w:rsidRPr="00FA1357">
        <w:rPr>
          <w:bCs/>
          <w:sz w:val="28"/>
          <w:szCs w:val="28"/>
        </w:rPr>
        <w:t>. (Accessed 30</w:t>
      </w:r>
      <w:r w:rsidRPr="00FA1357">
        <w:rPr>
          <w:bCs/>
          <w:sz w:val="28"/>
          <w:szCs w:val="28"/>
          <w:vertAlign w:val="superscript"/>
        </w:rPr>
        <w:t>th</w:t>
      </w:r>
      <w:r w:rsidRPr="00FA1357">
        <w:rPr>
          <w:bCs/>
          <w:sz w:val="28"/>
          <w:szCs w:val="28"/>
        </w:rPr>
        <w:t xml:space="preserve"> July 2026).</w:t>
      </w:r>
    </w:p>
    <w:p w14:paraId="13ED45B0" w14:textId="2727C090" w:rsidR="00FA1357" w:rsidRDefault="0089338E" w:rsidP="0089338E">
      <w:pPr>
        <w:rPr>
          <w:bCs/>
          <w:sz w:val="28"/>
          <w:szCs w:val="28"/>
        </w:rPr>
      </w:pPr>
      <w:r w:rsidRPr="0089338E">
        <w:rPr>
          <w:bCs/>
          <w:sz w:val="28"/>
          <w:szCs w:val="28"/>
        </w:rPr>
        <w:lastRenderedPageBreak/>
        <w:t>Maslow, A. (1943) ‘A theory of human motivation’, </w:t>
      </w:r>
      <w:r w:rsidRPr="0089338E">
        <w:rPr>
          <w:bCs/>
          <w:i/>
          <w:iCs/>
          <w:sz w:val="28"/>
          <w:szCs w:val="28"/>
        </w:rPr>
        <w:t>Psychological Review</w:t>
      </w:r>
      <w:r w:rsidRPr="0089338E">
        <w:rPr>
          <w:bCs/>
          <w:sz w:val="28"/>
          <w:szCs w:val="28"/>
        </w:rPr>
        <w:t>, 50(4), pp. 370–396.</w:t>
      </w:r>
    </w:p>
    <w:p w14:paraId="3B13095D" w14:textId="5C719B5C" w:rsidR="00FA1357" w:rsidRDefault="00FA1357" w:rsidP="0089338E">
      <w:pPr>
        <w:rPr>
          <w:bCs/>
          <w:sz w:val="28"/>
          <w:szCs w:val="28"/>
        </w:rPr>
      </w:pPr>
      <w:r w:rsidRPr="00FA1357">
        <w:rPr>
          <w:bCs/>
          <w:sz w:val="28"/>
          <w:szCs w:val="28"/>
        </w:rPr>
        <w:t>Medical Protection Society (2026) </w:t>
      </w:r>
      <w:r w:rsidRPr="00FA1357">
        <w:rPr>
          <w:bCs/>
          <w:i/>
          <w:iCs/>
          <w:sz w:val="28"/>
          <w:szCs w:val="28"/>
        </w:rPr>
        <w:t>Medical ethics</w:t>
      </w:r>
      <w:r w:rsidRPr="00FA1357">
        <w:rPr>
          <w:bCs/>
          <w:sz w:val="28"/>
          <w:szCs w:val="28"/>
        </w:rPr>
        <w:t>. Available at: </w:t>
      </w:r>
      <w:hyperlink r:id="rId14" w:history="1">
        <w:r w:rsidRPr="00FA1357">
          <w:rPr>
            <w:rStyle w:val="Hyperlink"/>
            <w:bCs/>
            <w:sz w:val="28"/>
            <w:szCs w:val="28"/>
          </w:rPr>
          <w:t>https://www.medicalprotection.org/uk/guidance/medical-ethics</w:t>
        </w:r>
      </w:hyperlink>
      <w:r w:rsidRPr="00FA1357">
        <w:rPr>
          <w:bCs/>
          <w:sz w:val="28"/>
          <w:szCs w:val="28"/>
        </w:rPr>
        <w:t>. (Accessed 31</w:t>
      </w:r>
      <w:r w:rsidRPr="00FA1357">
        <w:rPr>
          <w:bCs/>
          <w:sz w:val="28"/>
          <w:szCs w:val="28"/>
          <w:vertAlign w:val="superscript"/>
        </w:rPr>
        <w:t>st</w:t>
      </w:r>
      <w:r w:rsidRPr="00FA1357">
        <w:rPr>
          <w:bCs/>
          <w:sz w:val="28"/>
          <w:szCs w:val="28"/>
        </w:rPr>
        <w:t xml:space="preserve"> July 2026).</w:t>
      </w:r>
    </w:p>
    <w:p w14:paraId="2FB196C8" w14:textId="03A8AE38" w:rsidR="004A00E7" w:rsidRDefault="004A00E7" w:rsidP="0089338E">
      <w:pPr>
        <w:rPr>
          <w:bCs/>
          <w:sz w:val="28"/>
          <w:szCs w:val="28"/>
        </w:rPr>
      </w:pPr>
      <w:proofErr w:type="spellStart"/>
      <w:r w:rsidRPr="004A00E7">
        <w:rPr>
          <w:bCs/>
          <w:sz w:val="28"/>
          <w:szCs w:val="28"/>
        </w:rPr>
        <w:t>Mota</w:t>
      </w:r>
      <w:proofErr w:type="spellEnd"/>
      <w:r w:rsidRPr="004A00E7">
        <w:rPr>
          <w:bCs/>
          <w:sz w:val="28"/>
          <w:szCs w:val="28"/>
        </w:rPr>
        <w:t xml:space="preserve">, T.A., Alves, M.B., </w:t>
      </w:r>
      <w:proofErr w:type="spellStart"/>
      <w:r w:rsidRPr="004A00E7">
        <w:rPr>
          <w:bCs/>
          <w:sz w:val="28"/>
          <w:szCs w:val="28"/>
        </w:rPr>
        <w:t>Dantas</w:t>
      </w:r>
      <w:proofErr w:type="spellEnd"/>
      <w:r w:rsidRPr="004A00E7">
        <w:rPr>
          <w:bCs/>
          <w:sz w:val="28"/>
          <w:szCs w:val="28"/>
        </w:rPr>
        <w:t xml:space="preserve">, A. de O., </w:t>
      </w:r>
      <w:proofErr w:type="spellStart"/>
      <w:r w:rsidRPr="004A00E7">
        <w:rPr>
          <w:bCs/>
          <w:sz w:val="28"/>
          <w:szCs w:val="28"/>
        </w:rPr>
        <w:t>Brandão</w:t>
      </w:r>
      <w:proofErr w:type="spellEnd"/>
      <w:r w:rsidRPr="004A00E7">
        <w:rPr>
          <w:bCs/>
          <w:sz w:val="28"/>
          <w:szCs w:val="28"/>
        </w:rPr>
        <w:t xml:space="preserve"> de </w:t>
      </w:r>
      <w:proofErr w:type="spellStart"/>
      <w:r w:rsidRPr="004A00E7">
        <w:rPr>
          <w:bCs/>
          <w:sz w:val="28"/>
          <w:szCs w:val="28"/>
        </w:rPr>
        <w:t>Moraes</w:t>
      </w:r>
      <w:proofErr w:type="spellEnd"/>
      <w:r w:rsidRPr="004A00E7">
        <w:rPr>
          <w:bCs/>
          <w:sz w:val="28"/>
          <w:szCs w:val="28"/>
        </w:rPr>
        <w:t>, E., Sousa, A.R. de and Silva, R.S. da (2022). Basic Human Needs in the Elderly Receiving Palliative Care: A Scoping Review. </w:t>
      </w:r>
      <w:r w:rsidRPr="004A00E7">
        <w:rPr>
          <w:bCs/>
          <w:i/>
          <w:iCs/>
          <w:sz w:val="28"/>
          <w:szCs w:val="28"/>
        </w:rPr>
        <w:t>The Korean Journal of Hospice and Palliative Care</w:t>
      </w:r>
      <w:r w:rsidRPr="004A00E7">
        <w:rPr>
          <w:bCs/>
          <w:sz w:val="28"/>
          <w:szCs w:val="28"/>
        </w:rPr>
        <w:t xml:space="preserve">, 25(4), pp.178–192. </w:t>
      </w:r>
      <w:hyperlink r:id="rId15" w:tgtFrame="_blank" w:history="1">
        <w:r w:rsidRPr="004A00E7">
          <w:rPr>
            <w:rStyle w:val="Hyperlink"/>
            <w:bCs/>
            <w:sz w:val="28"/>
            <w:szCs w:val="28"/>
          </w:rPr>
          <w:t>https://doi.org/10.14475/jhpc.2022.25.4.178</w:t>
        </w:r>
      </w:hyperlink>
      <w:r>
        <w:rPr>
          <w:bCs/>
          <w:sz w:val="28"/>
          <w:szCs w:val="28"/>
        </w:rPr>
        <w:t>. (Accessed 30</w:t>
      </w:r>
      <w:r w:rsidRPr="004A00E7">
        <w:rPr>
          <w:bCs/>
          <w:sz w:val="28"/>
          <w:szCs w:val="28"/>
          <w:vertAlign w:val="superscript"/>
        </w:rPr>
        <w:t>th</w:t>
      </w:r>
      <w:r>
        <w:rPr>
          <w:bCs/>
          <w:sz w:val="28"/>
          <w:szCs w:val="28"/>
        </w:rPr>
        <w:t xml:space="preserve"> July 2026).</w:t>
      </w:r>
    </w:p>
    <w:p w14:paraId="7930565C" w14:textId="64FC87D1" w:rsidR="00FA1357" w:rsidRDefault="00FA1357" w:rsidP="0089338E">
      <w:pPr>
        <w:rPr>
          <w:bCs/>
          <w:sz w:val="28"/>
          <w:szCs w:val="28"/>
        </w:rPr>
      </w:pPr>
      <w:r w:rsidRPr="00FA1357">
        <w:rPr>
          <w:bCs/>
          <w:sz w:val="28"/>
          <w:szCs w:val="28"/>
        </w:rPr>
        <w:t>NHS England (2024). </w:t>
      </w:r>
      <w:r w:rsidRPr="00FA1357">
        <w:rPr>
          <w:bCs/>
          <w:i/>
          <w:iCs/>
          <w:sz w:val="28"/>
          <w:szCs w:val="28"/>
        </w:rPr>
        <w:t>NHS England » Working in partnership</w:t>
      </w:r>
      <w:r w:rsidRPr="00FA1357">
        <w:rPr>
          <w:bCs/>
          <w:sz w:val="28"/>
          <w:szCs w:val="28"/>
        </w:rPr>
        <w:t xml:space="preserve">. Available at: </w:t>
      </w:r>
      <w:hyperlink r:id="rId16" w:history="1">
        <w:r w:rsidRPr="00FA1357">
          <w:rPr>
            <w:rStyle w:val="Hyperlink"/>
            <w:bCs/>
            <w:sz w:val="28"/>
            <w:szCs w:val="28"/>
          </w:rPr>
          <w:t>https://www.england.nhs.uk/integratedcare/what-is-integrated-care/working-in-partnership/</w:t>
        </w:r>
      </w:hyperlink>
      <w:r w:rsidRPr="00FA1357">
        <w:rPr>
          <w:bCs/>
          <w:sz w:val="28"/>
          <w:szCs w:val="28"/>
        </w:rPr>
        <w:t>. (Accessed 31</w:t>
      </w:r>
      <w:r w:rsidRPr="00FA1357">
        <w:rPr>
          <w:bCs/>
          <w:sz w:val="28"/>
          <w:szCs w:val="28"/>
          <w:vertAlign w:val="superscript"/>
        </w:rPr>
        <w:t>st</w:t>
      </w:r>
      <w:r w:rsidRPr="00FA1357">
        <w:rPr>
          <w:bCs/>
          <w:sz w:val="28"/>
          <w:szCs w:val="28"/>
        </w:rPr>
        <w:t xml:space="preserve"> July 2026).</w:t>
      </w:r>
    </w:p>
    <w:p w14:paraId="25FC25B7" w14:textId="7C85C37E" w:rsidR="00F752D1" w:rsidRDefault="00F752D1" w:rsidP="0089338E">
      <w:pPr>
        <w:rPr>
          <w:bCs/>
          <w:sz w:val="28"/>
          <w:szCs w:val="28"/>
        </w:rPr>
      </w:pPr>
      <w:r w:rsidRPr="00F752D1">
        <w:rPr>
          <w:bCs/>
          <w:sz w:val="28"/>
          <w:szCs w:val="28"/>
        </w:rPr>
        <w:t>SCIE (2024). </w:t>
      </w:r>
      <w:r w:rsidRPr="00F752D1">
        <w:rPr>
          <w:bCs/>
          <w:i/>
          <w:iCs/>
          <w:sz w:val="28"/>
          <w:szCs w:val="28"/>
        </w:rPr>
        <w:t>Freedom to choose and dignity in care</w:t>
      </w:r>
      <w:r w:rsidRPr="00F752D1">
        <w:rPr>
          <w:bCs/>
          <w:sz w:val="28"/>
          <w:szCs w:val="28"/>
        </w:rPr>
        <w:t xml:space="preserve">. Available at: </w:t>
      </w:r>
      <w:hyperlink r:id="rId17" w:history="1">
        <w:r w:rsidRPr="00EE405F">
          <w:rPr>
            <w:rStyle w:val="Hyperlink"/>
            <w:bCs/>
            <w:sz w:val="28"/>
            <w:szCs w:val="28"/>
          </w:rPr>
          <w:t>https://www.scie.org.uk/providing-care/dignity-in-care/freedom/</w:t>
        </w:r>
      </w:hyperlink>
      <w:r w:rsidRPr="00F752D1">
        <w:rPr>
          <w:bCs/>
          <w:sz w:val="28"/>
          <w:szCs w:val="28"/>
        </w:rPr>
        <w:t>.</w:t>
      </w:r>
      <w:r>
        <w:rPr>
          <w:bCs/>
          <w:sz w:val="28"/>
          <w:szCs w:val="28"/>
        </w:rPr>
        <w:t xml:space="preserve">  (Accessed 31</w:t>
      </w:r>
      <w:r w:rsidRPr="00F752D1">
        <w:rPr>
          <w:bCs/>
          <w:sz w:val="28"/>
          <w:szCs w:val="28"/>
          <w:vertAlign w:val="superscript"/>
        </w:rPr>
        <w:t>st</w:t>
      </w:r>
      <w:r>
        <w:rPr>
          <w:bCs/>
          <w:sz w:val="28"/>
          <w:szCs w:val="28"/>
        </w:rPr>
        <w:t xml:space="preserve"> July 2026).</w:t>
      </w:r>
    </w:p>
    <w:p w14:paraId="317DFF59" w14:textId="77777777" w:rsidR="00FA1357" w:rsidRPr="00FA1357" w:rsidRDefault="00FA1357" w:rsidP="00FA1357">
      <w:pPr>
        <w:rPr>
          <w:bCs/>
          <w:sz w:val="28"/>
          <w:szCs w:val="28"/>
        </w:rPr>
      </w:pPr>
      <w:r w:rsidRPr="00FA1357">
        <w:rPr>
          <w:bCs/>
          <w:sz w:val="28"/>
          <w:szCs w:val="28"/>
        </w:rPr>
        <w:t>UK Government (2012). </w:t>
      </w:r>
      <w:r w:rsidRPr="00FA1357">
        <w:rPr>
          <w:bCs/>
          <w:i/>
          <w:iCs/>
          <w:sz w:val="28"/>
          <w:szCs w:val="28"/>
        </w:rPr>
        <w:t>Health and Social Care Act 2012</w:t>
      </w:r>
      <w:r w:rsidRPr="00FA1357">
        <w:rPr>
          <w:bCs/>
          <w:sz w:val="28"/>
          <w:szCs w:val="28"/>
        </w:rPr>
        <w:t xml:space="preserve">. Available at: </w:t>
      </w:r>
      <w:hyperlink r:id="rId18" w:history="1">
        <w:r w:rsidRPr="00FA1357">
          <w:rPr>
            <w:rStyle w:val="Hyperlink"/>
            <w:bCs/>
            <w:sz w:val="28"/>
            <w:szCs w:val="28"/>
          </w:rPr>
          <w:t>https://www.legislation.gov.uk/ukpga/2012/7/contents</w:t>
        </w:r>
      </w:hyperlink>
      <w:r w:rsidRPr="00FA1357">
        <w:rPr>
          <w:bCs/>
          <w:sz w:val="28"/>
          <w:szCs w:val="28"/>
        </w:rPr>
        <w:t>. (Accessed 1</w:t>
      </w:r>
      <w:r w:rsidRPr="00FA1357">
        <w:rPr>
          <w:bCs/>
          <w:sz w:val="28"/>
          <w:szCs w:val="28"/>
          <w:vertAlign w:val="superscript"/>
        </w:rPr>
        <w:t>st</w:t>
      </w:r>
      <w:r w:rsidRPr="00FA1357">
        <w:rPr>
          <w:bCs/>
          <w:sz w:val="28"/>
          <w:szCs w:val="28"/>
        </w:rPr>
        <w:t xml:space="preserve"> August 2026).</w:t>
      </w:r>
    </w:p>
    <w:p w14:paraId="32A9A725" w14:textId="6F360D54" w:rsidR="00FA1357" w:rsidRDefault="00FA1357" w:rsidP="0089338E">
      <w:pPr>
        <w:rPr>
          <w:bCs/>
          <w:sz w:val="28"/>
          <w:szCs w:val="28"/>
        </w:rPr>
      </w:pPr>
      <w:r w:rsidRPr="00FA1357">
        <w:rPr>
          <w:bCs/>
          <w:sz w:val="28"/>
          <w:szCs w:val="28"/>
        </w:rPr>
        <w:t>UK Government (2012). </w:t>
      </w:r>
      <w:r w:rsidRPr="00FA1357">
        <w:rPr>
          <w:bCs/>
          <w:i/>
          <w:iCs/>
          <w:sz w:val="28"/>
          <w:szCs w:val="28"/>
        </w:rPr>
        <w:t>Health and Social Care Act 2012</w:t>
      </w:r>
      <w:r w:rsidRPr="00FA1357">
        <w:rPr>
          <w:bCs/>
          <w:sz w:val="28"/>
          <w:szCs w:val="28"/>
        </w:rPr>
        <w:t xml:space="preserve">. Available at: </w:t>
      </w:r>
      <w:hyperlink r:id="rId19" w:history="1">
        <w:r w:rsidRPr="00FA1357">
          <w:rPr>
            <w:rStyle w:val="Hyperlink"/>
            <w:bCs/>
            <w:sz w:val="28"/>
            <w:szCs w:val="28"/>
          </w:rPr>
          <w:t>https://www.legislation.gov.uk/ukpga/2012/7/contents</w:t>
        </w:r>
      </w:hyperlink>
      <w:r w:rsidRPr="00FA1357">
        <w:rPr>
          <w:bCs/>
          <w:sz w:val="28"/>
          <w:szCs w:val="28"/>
        </w:rPr>
        <w:t>. (Accessed 1</w:t>
      </w:r>
      <w:r w:rsidRPr="00FA1357">
        <w:rPr>
          <w:bCs/>
          <w:sz w:val="28"/>
          <w:szCs w:val="28"/>
          <w:vertAlign w:val="superscript"/>
        </w:rPr>
        <w:t>st</w:t>
      </w:r>
      <w:r w:rsidRPr="00FA1357">
        <w:rPr>
          <w:bCs/>
          <w:sz w:val="28"/>
          <w:szCs w:val="28"/>
        </w:rPr>
        <w:t xml:space="preserve"> August 2026).</w:t>
      </w:r>
    </w:p>
    <w:p w14:paraId="79744579" w14:textId="483D46B8" w:rsidR="00A6143F" w:rsidRDefault="002972E8" w:rsidP="0089338E">
      <w:pPr>
        <w:rPr>
          <w:bCs/>
          <w:sz w:val="28"/>
          <w:szCs w:val="28"/>
        </w:rPr>
      </w:pPr>
      <w:r w:rsidRPr="002972E8">
        <w:rPr>
          <w:bCs/>
          <w:sz w:val="28"/>
          <w:szCs w:val="28"/>
        </w:rPr>
        <w:t>Warmoth, K., Aylward, A. and Goodman, C. (2024). Care homes and primary care in England working together: A multi-method qualitative study. </w:t>
      </w:r>
      <w:r w:rsidRPr="002972E8">
        <w:rPr>
          <w:bCs/>
          <w:i/>
          <w:iCs/>
          <w:sz w:val="28"/>
          <w:szCs w:val="28"/>
        </w:rPr>
        <w:t>Journal of Health Services Research &amp; Policy</w:t>
      </w:r>
      <w:r w:rsidRPr="002972E8">
        <w:rPr>
          <w:bCs/>
          <w:sz w:val="28"/>
          <w:szCs w:val="28"/>
        </w:rPr>
        <w:t xml:space="preserve">, 30(2), pp.127–135. </w:t>
      </w:r>
      <w:proofErr w:type="spellStart"/>
      <w:r w:rsidRPr="002972E8">
        <w:rPr>
          <w:bCs/>
          <w:sz w:val="28"/>
          <w:szCs w:val="28"/>
        </w:rPr>
        <w:t>doi</w:t>
      </w:r>
      <w:proofErr w:type="spellEnd"/>
      <w:r w:rsidRPr="002972E8">
        <w:rPr>
          <w:bCs/>
          <w:sz w:val="28"/>
          <w:szCs w:val="28"/>
        </w:rPr>
        <w:t>:</w:t>
      </w:r>
      <w:r w:rsidRPr="002972E8">
        <w:t xml:space="preserve"> </w:t>
      </w:r>
      <w:hyperlink r:id="rId20" w:history="1">
        <w:r w:rsidRPr="002972E8">
          <w:rPr>
            <w:rStyle w:val="Hyperlink"/>
            <w:bCs/>
            <w:sz w:val="28"/>
            <w:szCs w:val="28"/>
          </w:rPr>
          <w:t>10.1177/13558196241306607</w:t>
        </w:r>
      </w:hyperlink>
      <w:r>
        <w:rPr>
          <w:bCs/>
          <w:sz w:val="28"/>
          <w:szCs w:val="28"/>
        </w:rPr>
        <w:t>. (Accessed 31</w:t>
      </w:r>
      <w:r w:rsidRPr="002972E8">
        <w:rPr>
          <w:bCs/>
          <w:sz w:val="28"/>
          <w:szCs w:val="28"/>
          <w:vertAlign w:val="superscript"/>
        </w:rPr>
        <w:t>st</w:t>
      </w:r>
      <w:r>
        <w:rPr>
          <w:bCs/>
          <w:sz w:val="28"/>
          <w:szCs w:val="28"/>
        </w:rPr>
        <w:t xml:space="preserve"> July 2026). </w:t>
      </w:r>
    </w:p>
    <w:p w14:paraId="6A41972E" w14:textId="77777777" w:rsidR="00F752D1" w:rsidRDefault="00F752D1" w:rsidP="0089338E">
      <w:pPr>
        <w:rPr>
          <w:bCs/>
          <w:sz w:val="28"/>
          <w:szCs w:val="28"/>
        </w:rPr>
      </w:pPr>
    </w:p>
    <w:p w14:paraId="4BB6C379" w14:textId="77777777" w:rsidR="00F752D1" w:rsidRDefault="00F752D1" w:rsidP="0089338E">
      <w:pPr>
        <w:rPr>
          <w:bCs/>
          <w:sz w:val="28"/>
          <w:szCs w:val="28"/>
        </w:rPr>
      </w:pPr>
    </w:p>
    <w:p w14:paraId="65BA68BD" w14:textId="77777777" w:rsidR="004A00E7" w:rsidRPr="0089338E" w:rsidRDefault="004A00E7" w:rsidP="0089338E">
      <w:pPr>
        <w:rPr>
          <w:bCs/>
          <w:sz w:val="28"/>
          <w:szCs w:val="28"/>
        </w:rPr>
      </w:pPr>
    </w:p>
    <w:p w14:paraId="23EF4C63" w14:textId="0FB44911" w:rsidR="0089338E" w:rsidRPr="0089338E" w:rsidRDefault="0089338E" w:rsidP="00D81C75">
      <w:pPr>
        <w:rPr>
          <w:sz w:val="28"/>
          <w:szCs w:val="28"/>
        </w:rPr>
      </w:pPr>
    </w:p>
    <w:p w14:paraId="34FD0EF9" w14:textId="6B343295" w:rsidR="00D81C75" w:rsidRDefault="00D81C75" w:rsidP="00ED2FF5">
      <w:pPr>
        <w:jc w:val="center"/>
      </w:pPr>
    </w:p>
    <w:p w14:paraId="4C856CF3" w14:textId="35B172A1" w:rsidR="00D81C75" w:rsidRDefault="00D81C75" w:rsidP="00ED2FF5">
      <w:pPr>
        <w:jc w:val="center"/>
      </w:pPr>
    </w:p>
    <w:p w14:paraId="738767D9" w14:textId="2CA7D61C" w:rsidR="00D81C75" w:rsidRDefault="00D81C75" w:rsidP="00ED2FF5">
      <w:pPr>
        <w:jc w:val="center"/>
      </w:pPr>
    </w:p>
    <w:p w14:paraId="3DCDC7C3" w14:textId="1A756AA5" w:rsidR="00D81C75" w:rsidRDefault="00D81C75" w:rsidP="00ED2FF5">
      <w:pPr>
        <w:jc w:val="center"/>
      </w:pPr>
    </w:p>
    <w:p w14:paraId="2588F783" w14:textId="128C1F94" w:rsidR="00D81C75" w:rsidRDefault="00D81C75" w:rsidP="00ED2FF5">
      <w:pPr>
        <w:jc w:val="center"/>
      </w:pPr>
    </w:p>
    <w:p w14:paraId="24A43314" w14:textId="4A485697" w:rsidR="00D81C75" w:rsidRDefault="00D81C75" w:rsidP="00ED2FF5">
      <w:pPr>
        <w:jc w:val="center"/>
      </w:pPr>
    </w:p>
    <w:p w14:paraId="542EADE7" w14:textId="1DD268F6" w:rsidR="00D81C75" w:rsidRDefault="00D81C75" w:rsidP="00ED2FF5">
      <w:pPr>
        <w:jc w:val="center"/>
      </w:pPr>
    </w:p>
    <w:p w14:paraId="2C116A61" w14:textId="332AC9E1" w:rsidR="00D81C75" w:rsidRDefault="00D81C75" w:rsidP="00ED2FF5">
      <w:pPr>
        <w:jc w:val="center"/>
      </w:pPr>
    </w:p>
    <w:p w14:paraId="0B8F90E3" w14:textId="1DB60745" w:rsidR="00D81C75" w:rsidRDefault="00D81C75" w:rsidP="00ED2FF5">
      <w:pPr>
        <w:jc w:val="center"/>
      </w:pPr>
    </w:p>
    <w:p w14:paraId="6B419B62" w14:textId="4EF2FD14" w:rsidR="00D81C75" w:rsidRDefault="00D81C75" w:rsidP="00ED2FF5">
      <w:pPr>
        <w:jc w:val="center"/>
      </w:pPr>
    </w:p>
    <w:p w14:paraId="5AE3D97B" w14:textId="721B2F21" w:rsidR="00D81C75" w:rsidRDefault="00D81C75" w:rsidP="00ED2FF5">
      <w:pPr>
        <w:jc w:val="center"/>
      </w:pPr>
    </w:p>
    <w:p w14:paraId="17EBF0F6" w14:textId="5187DD77" w:rsidR="00D81C75" w:rsidRDefault="00D81C75" w:rsidP="00ED2FF5">
      <w:pPr>
        <w:jc w:val="center"/>
      </w:pPr>
    </w:p>
    <w:p w14:paraId="6447FEBC" w14:textId="390470B4" w:rsidR="00D81C75" w:rsidRDefault="00D81C75" w:rsidP="00ED2FF5">
      <w:pPr>
        <w:jc w:val="center"/>
      </w:pPr>
    </w:p>
    <w:p w14:paraId="7A646D46" w14:textId="79C105FF" w:rsidR="00D81C75" w:rsidRDefault="00D81C75" w:rsidP="00ED2FF5">
      <w:pPr>
        <w:jc w:val="center"/>
      </w:pPr>
    </w:p>
    <w:p w14:paraId="7D0FF34E" w14:textId="67F5F849" w:rsidR="00D81C75" w:rsidRDefault="00D81C75" w:rsidP="00ED2FF5">
      <w:pPr>
        <w:jc w:val="center"/>
      </w:pPr>
    </w:p>
    <w:p w14:paraId="6242F996" w14:textId="3E6DCD01" w:rsidR="00D81C75" w:rsidRDefault="00D81C75" w:rsidP="00ED2FF5">
      <w:pPr>
        <w:jc w:val="center"/>
      </w:pPr>
    </w:p>
    <w:p w14:paraId="155E6D37" w14:textId="6290A641" w:rsidR="00D81C75" w:rsidRDefault="00D81C75" w:rsidP="00ED2FF5">
      <w:pPr>
        <w:jc w:val="center"/>
      </w:pPr>
    </w:p>
    <w:p w14:paraId="6246EC32" w14:textId="55E0192C" w:rsidR="00D81C75" w:rsidRDefault="00D81C75" w:rsidP="00ED2FF5">
      <w:pPr>
        <w:jc w:val="center"/>
      </w:pPr>
    </w:p>
    <w:p w14:paraId="1132931D" w14:textId="5C42891D" w:rsidR="00D81C75" w:rsidRDefault="00D81C75" w:rsidP="00ED2FF5">
      <w:pPr>
        <w:jc w:val="center"/>
      </w:pPr>
    </w:p>
    <w:p w14:paraId="7F93059B" w14:textId="464B16FA" w:rsidR="00D81C75" w:rsidRDefault="00D81C75" w:rsidP="00ED2FF5">
      <w:pPr>
        <w:jc w:val="center"/>
      </w:pPr>
    </w:p>
    <w:p w14:paraId="49BD3E79" w14:textId="7C1296FF" w:rsidR="00D81C75" w:rsidRDefault="00D81C75" w:rsidP="00ED2FF5">
      <w:pPr>
        <w:jc w:val="center"/>
      </w:pPr>
    </w:p>
    <w:p w14:paraId="7037BC2E" w14:textId="253B212E" w:rsidR="00D81C75" w:rsidRDefault="00D81C75" w:rsidP="00ED2FF5">
      <w:pPr>
        <w:jc w:val="center"/>
      </w:pPr>
    </w:p>
    <w:p w14:paraId="6874ADE9" w14:textId="5F40B96E" w:rsidR="00D81C75" w:rsidRDefault="00D81C75" w:rsidP="00ED2FF5">
      <w:pPr>
        <w:jc w:val="center"/>
      </w:pPr>
    </w:p>
    <w:p w14:paraId="51169F7B" w14:textId="6BF10873" w:rsidR="00D81C75" w:rsidRDefault="00D81C75" w:rsidP="00ED2FF5">
      <w:pPr>
        <w:jc w:val="center"/>
      </w:pPr>
    </w:p>
    <w:p w14:paraId="18DE0AA8" w14:textId="194B91A5" w:rsidR="00D81C75" w:rsidRDefault="00D81C75" w:rsidP="00ED2FF5">
      <w:pPr>
        <w:jc w:val="center"/>
      </w:pPr>
    </w:p>
    <w:p w14:paraId="031F2CC7" w14:textId="5E058CDB" w:rsidR="00D81C75" w:rsidRDefault="00D81C75" w:rsidP="00ED2FF5">
      <w:pPr>
        <w:jc w:val="center"/>
      </w:pPr>
    </w:p>
    <w:p w14:paraId="1AB96803" w14:textId="77777777" w:rsidR="00D81C75" w:rsidRDefault="00D81C75" w:rsidP="00D81C75"/>
    <w:sectPr w:rsidR="00D81C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90D"/>
    <w:rsid w:val="00013BC5"/>
    <w:rsid w:val="00045520"/>
    <w:rsid w:val="00077062"/>
    <w:rsid w:val="001B0499"/>
    <w:rsid w:val="002374E5"/>
    <w:rsid w:val="002972E8"/>
    <w:rsid w:val="002C78B9"/>
    <w:rsid w:val="00387FDB"/>
    <w:rsid w:val="00446946"/>
    <w:rsid w:val="00474CB6"/>
    <w:rsid w:val="004A00E7"/>
    <w:rsid w:val="0055598C"/>
    <w:rsid w:val="005D7C9D"/>
    <w:rsid w:val="0070290D"/>
    <w:rsid w:val="0070507E"/>
    <w:rsid w:val="007A1BB7"/>
    <w:rsid w:val="007E5C30"/>
    <w:rsid w:val="008656F6"/>
    <w:rsid w:val="008809D0"/>
    <w:rsid w:val="0089338E"/>
    <w:rsid w:val="008B77F5"/>
    <w:rsid w:val="00A34102"/>
    <w:rsid w:val="00A6143F"/>
    <w:rsid w:val="00B21F10"/>
    <w:rsid w:val="00BC7867"/>
    <w:rsid w:val="00CC44F1"/>
    <w:rsid w:val="00CF0228"/>
    <w:rsid w:val="00D81C75"/>
    <w:rsid w:val="00DD1151"/>
    <w:rsid w:val="00E63EBE"/>
    <w:rsid w:val="00E75CB6"/>
    <w:rsid w:val="00E8702E"/>
    <w:rsid w:val="00ED2FF5"/>
    <w:rsid w:val="00F752D1"/>
    <w:rsid w:val="00FA1357"/>
    <w:rsid w:val="00FA19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B8AF9"/>
  <w15:chartTrackingRefBased/>
  <w15:docId w15:val="{4B57B72E-335F-4935-8202-68377DBED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90D"/>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9338E"/>
    <w:rPr>
      <w:color w:val="0563C1" w:themeColor="hyperlink"/>
      <w:u w:val="single"/>
    </w:rPr>
  </w:style>
  <w:style w:type="character" w:styleId="UnresolvedMention">
    <w:name w:val="Unresolved Mention"/>
    <w:basedOn w:val="DefaultParagraphFont"/>
    <w:uiPriority w:val="99"/>
    <w:semiHidden/>
    <w:unhideWhenUsed/>
    <w:rsid w:val="0089338E"/>
    <w:rPr>
      <w:color w:val="605E5C"/>
      <w:shd w:val="clear" w:color="auto" w:fill="E1DFDD"/>
    </w:rPr>
  </w:style>
  <w:style w:type="character" w:styleId="FollowedHyperlink">
    <w:name w:val="FollowedHyperlink"/>
    <w:basedOn w:val="DefaultParagraphFont"/>
    <w:uiPriority w:val="99"/>
    <w:semiHidden/>
    <w:unhideWhenUsed/>
    <w:rsid w:val="0089338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8507053">
      <w:bodyDiv w:val="1"/>
      <w:marLeft w:val="0"/>
      <w:marRight w:val="0"/>
      <w:marTop w:val="0"/>
      <w:marBottom w:val="0"/>
      <w:divBdr>
        <w:top w:val="none" w:sz="0" w:space="0" w:color="auto"/>
        <w:left w:val="none" w:sz="0" w:space="0" w:color="auto"/>
        <w:bottom w:val="none" w:sz="0" w:space="0" w:color="auto"/>
        <w:right w:val="none" w:sz="0" w:space="0" w:color="auto"/>
      </w:divBdr>
      <w:divsChild>
        <w:div w:id="575897342">
          <w:marLeft w:val="0"/>
          <w:marRight w:val="0"/>
          <w:marTop w:val="0"/>
          <w:marBottom w:val="0"/>
          <w:divBdr>
            <w:top w:val="none" w:sz="0" w:space="0" w:color="auto"/>
            <w:left w:val="none" w:sz="0" w:space="0" w:color="auto"/>
            <w:bottom w:val="none" w:sz="0" w:space="0" w:color="auto"/>
            <w:right w:val="none" w:sz="0" w:space="0" w:color="auto"/>
          </w:divBdr>
          <w:divsChild>
            <w:div w:id="368646570">
              <w:marLeft w:val="0"/>
              <w:marRight w:val="0"/>
              <w:marTop w:val="0"/>
              <w:marBottom w:val="0"/>
              <w:divBdr>
                <w:top w:val="none" w:sz="0" w:space="0" w:color="auto"/>
                <w:left w:val="none" w:sz="0" w:space="0" w:color="auto"/>
                <w:bottom w:val="none" w:sz="0" w:space="0" w:color="auto"/>
                <w:right w:val="none" w:sz="0" w:space="0" w:color="auto"/>
              </w:divBdr>
              <w:divsChild>
                <w:div w:id="1099638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757340">
          <w:marLeft w:val="0"/>
          <w:marRight w:val="0"/>
          <w:marTop w:val="0"/>
          <w:marBottom w:val="0"/>
          <w:divBdr>
            <w:top w:val="none" w:sz="0" w:space="0" w:color="auto"/>
            <w:left w:val="none" w:sz="0" w:space="0" w:color="auto"/>
            <w:bottom w:val="none" w:sz="0" w:space="0" w:color="auto"/>
            <w:right w:val="none" w:sz="0" w:space="0" w:color="auto"/>
          </w:divBdr>
          <w:divsChild>
            <w:div w:id="931158172">
              <w:marLeft w:val="0"/>
              <w:marRight w:val="0"/>
              <w:marTop w:val="0"/>
              <w:marBottom w:val="0"/>
              <w:divBdr>
                <w:top w:val="none" w:sz="0" w:space="0" w:color="auto"/>
                <w:left w:val="none" w:sz="0" w:space="0" w:color="auto"/>
                <w:bottom w:val="none" w:sz="0" w:space="0" w:color="auto"/>
                <w:right w:val="none" w:sz="0" w:space="0" w:color="auto"/>
              </w:divBdr>
              <w:divsChild>
                <w:div w:id="1288656700">
                  <w:marLeft w:val="0"/>
                  <w:marRight w:val="0"/>
                  <w:marTop w:val="0"/>
                  <w:marBottom w:val="0"/>
                  <w:divBdr>
                    <w:top w:val="none" w:sz="0" w:space="0" w:color="auto"/>
                    <w:left w:val="none" w:sz="0" w:space="0" w:color="auto"/>
                    <w:bottom w:val="none" w:sz="0" w:space="0" w:color="auto"/>
                    <w:right w:val="none" w:sz="0" w:space="0" w:color="auto"/>
                  </w:divBdr>
                  <w:divsChild>
                    <w:div w:id="1104811795">
                      <w:marLeft w:val="0"/>
                      <w:marRight w:val="0"/>
                      <w:marTop w:val="0"/>
                      <w:marBottom w:val="0"/>
                      <w:divBdr>
                        <w:top w:val="none" w:sz="0" w:space="0" w:color="auto"/>
                        <w:left w:val="none" w:sz="0" w:space="0" w:color="auto"/>
                        <w:bottom w:val="none" w:sz="0" w:space="0" w:color="auto"/>
                        <w:right w:val="none" w:sz="0" w:space="0" w:color="auto"/>
                      </w:divBdr>
                      <w:divsChild>
                        <w:div w:id="49575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doi:10.1177/0107408315582296." TargetMode="External"/><Relationship Id="rId13" Type="http://schemas.openxmlformats.org/officeDocument/2006/relationships/hyperlink" Target="https://doi.org/10.1007/978-3-031-25134-4_106" TargetMode="External"/><Relationship Id="rId18" Type="http://schemas.openxmlformats.org/officeDocument/2006/relationships/hyperlink" Target="https://www.legislation.gov.uk/ukpga/2012/7/contents"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cqc.org.uk/guidance-providers/adult-social-care/person-centred-care-inadequate" TargetMode="External"/><Relationship Id="rId12" Type="http://schemas.openxmlformats.org/officeDocument/2006/relationships/hyperlink" Target="https://www.legislation.gov.uk/ukpga/1998/42/contents" TargetMode="External"/><Relationship Id="rId17" Type="http://schemas.openxmlformats.org/officeDocument/2006/relationships/hyperlink" Target="https://www.scie.org.uk/providing-care/dignity-in-care/freedom/" TargetMode="External"/><Relationship Id="rId2" Type="http://schemas.openxmlformats.org/officeDocument/2006/relationships/settings" Target="settings.xml"/><Relationship Id="rId16" Type="http://schemas.openxmlformats.org/officeDocument/2006/relationships/hyperlink" Target="https://www.england.nhs.uk/integratedcare/what-is-integrated-care/working-in-partnership/" TargetMode="External"/><Relationship Id="rId20" Type="http://schemas.openxmlformats.org/officeDocument/2006/relationships/hyperlink" Target="https://doi.org/10.1177/13558196241306607" TargetMode="External"/><Relationship Id="rId1" Type="http://schemas.openxmlformats.org/officeDocument/2006/relationships/styles" Target="styles.xml"/><Relationship Id="rId6" Type="http://schemas.openxmlformats.org/officeDocument/2006/relationships/hyperlink" Target="https://www.cqc.org.uk/guidance-regulation/local-authorities/assessment-framework/theme2/partnerships" TargetMode="External"/><Relationship Id="rId11" Type="http://schemas.openxmlformats.org/officeDocument/2006/relationships/hyperlink" Target="https://www.legislation.gov.uk/ukpga/2022/31/contents" TargetMode="External"/><Relationship Id="rId5" Type="http://schemas.openxmlformats.org/officeDocument/2006/relationships/hyperlink" Target="https://carelearning.org.uk/blog/wellbeing/what-is-beneficence-in-health-and-social-care/" TargetMode="External"/><Relationship Id="rId15" Type="http://schemas.openxmlformats.org/officeDocument/2006/relationships/hyperlink" Target="https://doi.org/10.14475/jhpc.2022.25.4.178" TargetMode="External"/><Relationship Id="rId10" Type="http://schemas.openxmlformats.org/officeDocument/2006/relationships/hyperlink" Target="https://www.legislation.gov.uk/ukpga/2010/15/contents" TargetMode="External"/><Relationship Id="rId19" Type="http://schemas.openxmlformats.org/officeDocument/2006/relationships/hyperlink" Target="https://www.legislation.gov.uk/ukpga/2012/7/contents" TargetMode="External"/><Relationship Id="rId4" Type="http://schemas.openxmlformats.org/officeDocument/2006/relationships/hyperlink" Target="https://doi.org/10.1016/S0140-6736(25)02163-4" TargetMode="External"/><Relationship Id="rId9" Type="http://schemas.openxmlformats.org/officeDocument/2006/relationships/hyperlink" Target="https://www.legislation.gov.uk/ukpga/2005/9/contents" TargetMode="External"/><Relationship Id="rId14" Type="http://schemas.openxmlformats.org/officeDocument/2006/relationships/hyperlink" Target="https://www.medicalprotection.org/uk/guidance/medical-ethic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23688</TotalTime>
  <Pages>10</Pages>
  <Words>3126</Words>
  <Characters>17824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Katelen</dc:creator>
  <cp:keywords/>
  <dc:description/>
  <cp:lastModifiedBy>Katelen</cp:lastModifiedBy>
  <cp:revision>34</cp:revision>
  <dcterms:created xsi:type="dcterms:W3CDTF">2026-07-16T08:28:00Z</dcterms:created>
  <dcterms:modified xsi:type="dcterms:W3CDTF">2026-08-01T19:44:00Z</dcterms:modified>
</cp:coreProperties>
</file>