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15D4" w:rsidRPr="00A515D4" w:rsidRDefault="00A515D4" w:rsidP="00A515D4">
      <w:pPr>
        <w:spacing w:line="480" w:lineRule="auto"/>
        <w:jc w:val="center"/>
        <w:rPr>
          <w:rFonts w:asciiTheme="minorHAnsi" w:hAnsiTheme="minorHAnsi" w:cstheme="minorHAnsi"/>
          <w:b/>
          <w:sz w:val="56"/>
          <w:szCs w:val="56"/>
        </w:rPr>
      </w:pPr>
      <w:r w:rsidRPr="00A515D4">
        <w:rPr>
          <w:rFonts w:asciiTheme="minorHAnsi" w:hAnsiTheme="minorHAnsi" w:cstheme="minorHAnsi"/>
          <w:b/>
          <w:sz w:val="56"/>
          <w:szCs w:val="56"/>
        </w:rPr>
        <w:t>International</w:t>
      </w:r>
      <w:r w:rsidRPr="00A515D4">
        <w:rPr>
          <w:rFonts w:asciiTheme="minorHAnsi" w:hAnsiTheme="minorHAnsi" w:cstheme="minorHAnsi"/>
          <w:b/>
          <w:sz w:val="56"/>
          <w:szCs w:val="56"/>
        </w:rPr>
        <w:t xml:space="preserve"> Financial Management</w:t>
      </w:r>
    </w:p>
    <w:p w:rsidR="00A515D4" w:rsidRPr="00A515D4" w:rsidRDefault="00A515D4" w:rsidP="00A515D4">
      <w:pPr>
        <w:spacing w:line="480" w:lineRule="auto"/>
        <w:jc w:val="center"/>
        <w:rPr>
          <w:rFonts w:asciiTheme="minorHAnsi" w:hAnsiTheme="minorHAnsi" w:cstheme="minorHAnsi"/>
          <w:b/>
          <w:sz w:val="56"/>
          <w:szCs w:val="56"/>
        </w:rPr>
      </w:pPr>
      <w:r w:rsidRPr="00A515D4">
        <w:rPr>
          <w:rFonts w:asciiTheme="minorHAnsi" w:eastAsiaTheme="minorHAnsi" w:hAnsiTheme="minorHAnsi" w:cstheme="minorHAnsi"/>
          <w:b/>
          <w:sz w:val="56"/>
          <w:szCs w:val="56"/>
          <w:lang w:val="en-GB"/>
        </w:rPr>
        <w:t>Module Code: LCBB6002</w:t>
      </w:r>
    </w:p>
    <w:p w:rsidR="00A515D4" w:rsidRPr="00A515D4" w:rsidRDefault="00A515D4" w:rsidP="00A515D4">
      <w:pPr>
        <w:widowControl/>
        <w:autoSpaceDE/>
        <w:autoSpaceDN/>
        <w:spacing w:after="160" w:line="259" w:lineRule="auto"/>
        <w:jc w:val="center"/>
        <w:rPr>
          <w:rFonts w:asciiTheme="minorHAnsi" w:eastAsiaTheme="minorHAnsi" w:hAnsiTheme="minorHAnsi" w:cstheme="minorHAnsi"/>
          <w:b/>
          <w:sz w:val="56"/>
          <w:szCs w:val="56"/>
          <w:lang w:val="en-GB"/>
        </w:rPr>
      </w:pPr>
      <w:r w:rsidRPr="00A515D4">
        <w:rPr>
          <w:rFonts w:asciiTheme="minorHAnsi" w:eastAsiaTheme="minorHAnsi" w:hAnsiTheme="minorHAnsi" w:cstheme="minorHAnsi"/>
          <w:b/>
          <w:sz w:val="56"/>
          <w:szCs w:val="56"/>
          <w:lang w:val="en-GB"/>
        </w:rPr>
        <w:t xml:space="preserve">Student name: Natalia </w:t>
      </w:r>
      <w:proofErr w:type="spellStart"/>
      <w:r w:rsidRPr="00A515D4">
        <w:rPr>
          <w:rFonts w:asciiTheme="minorHAnsi" w:eastAsiaTheme="minorHAnsi" w:hAnsiTheme="minorHAnsi" w:cstheme="minorHAnsi"/>
          <w:b/>
          <w:sz w:val="56"/>
          <w:szCs w:val="56"/>
          <w:lang w:val="en-GB"/>
        </w:rPr>
        <w:t>Dimitrova</w:t>
      </w:r>
      <w:proofErr w:type="spellEnd"/>
    </w:p>
    <w:p w:rsidR="00A515D4" w:rsidRPr="00A515D4" w:rsidRDefault="00A515D4" w:rsidP="00A515D4">
      <w:pPr>
        <w:widowControl/>
        <w:autoSpaceDE/>
        <w:autoSpaceDN/>
        <w:spacing w:after="160" w:line="259" w:lineRule="auto"/>
        <w:jc w:val="center"/>
        <w:rPr>
          <w:rFonts w:asciiTheme="minorHAnsi" w:eastAsiaTheme="minorHAnsi" w:hAnsiTheme="minorHAnsi" w:cstheme="minorHAnsi"/>
          <w:b/>
          <w:sz w:val="56"/>
          <w:szCs w:val="56"/>
          <w:lang w:val="en-GB"/>
        </w:rPr>
      </w:pPr>
      <w:r w:rsidRPr="00A515D4">
        <w:rPr>
          <w:rFonts w:asciiTheme="minorHAnsi" w:eastAsiaTheme="minorHAnsi" w:hAnsiTheme="minorHAnsi" w:cstheme="minorHAnsi"/>
          <w:b/>
          <w:sz w:val="56"/>
          <w:szCs w:val="56"/>
          <w:lang w:val="en-GB"/>
        </w:rPr>
        <w:t>Student number:1922172</w:t>
      </w:r>
    </w:p>
    <w:p w:rsid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P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Pr="00A515D4" w:rsidRDefault="00A515D4" w:rsidP="00A515D4">
      <w:pPr>
        <w:widowControl/>
        <w:autoSpaceDE/>
        <w:autoSpaceDN/>
        <w:spacing w:after="160" w:line="259" w:lineRule="auto"/>
        <w:jc w:val="center"/>
        <w:rPr>
          <w:rFonts w:asciiTheme="minorHAnsi" w:eastAsiaTheme="minorHAnsi" w:hAnsiTheme="minorHAnsi" w:cstheme="minorBidi"/>
          <w:b/>
          <w:sz w:val="56"/>
          <w:szCs w:val="56"/>
          <w:lang w:val="en-GB"/>
        </w:rPr>
      </w:pPr>
    </w:p>
    <w:p w:rsidR="00A515D4" w:rsidRPr="006C56A1" w:rsidRDefault="00A515D4" w:rsidP="00A515D4">
      <w:pPr>
        <w:spacing w:line="480" w:lineRule="auto"/>
        <w:rPr>
          <w:rFonts w:ascii="Times New Roman" w:eastAsiaTheme="majorEastAsia" w:hAnsi="Times New Roman" w:cs="Times New Roman"/>
          <w:b/>
          <w:color w:val="000000" w:themeColor="text1"/>
          <w:sz w:val="24"/>
          <w:szCs w:val="24"/>
        </w:rPr>
      </w:pPr>
    </w:p>
    <w:p w:rsidR="00A515D4" w:rsidRPr="00A515D4" w:rsidRDefault="00A515D4" w:rsidP="00A515D4">
      <w:pPr>
        <w:pStyle w:val="Heading1"/>
        <w:spacing w:line="480" w:lineRule="auto"/>
        <w:rPr>
          <w:rFonts w:asciiTheme="minorHAnsi" w:hAnsiTheme="minorHAnsi" w:cstheme="minorHAnsi"/>
          <w:sz w:val="40"/>
          <w:szCs w:val="40"/>
        </w:rPr>
      </w:pPr>
      <w:r w:rsidRPr="00A515D4">
        <w:rPr>
          <w:rFonts w:asciiTheme="minorHAnsi" w:hAnsiTheme="minorHAnsi" w:cstheme="minorHAnsi"/>
          <w:sz w:val="40"/>
          <w:szCs w:val="40"/>
        </w:rPr>
        <w:lastRenderedPageBreak/>
        <w:t>Introduction</w:t>
      </w:r>
    </w:p>
    <w:p w:rsidR="00A515D4" w:rsidRP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b/>
          <w:sz w:val="24"/>
          <w:szCs w:val="24"/>
        </w:rPr>
        <w:tab/>
      </w:r>
      <w:r w:rsidRPr="00A515D4">
        <w:rPr>
          <w:rFonts w:asciiTheme="minorHAnsi" w:hAnsiTheme="minorHAnsi" w:cstheme="minorHAnsi"/>
          <w:sz w:val="24"/>
          <w:szCs w:val="24"/>
        </w:rPr>
        <w:t xml:space="preserve">In general, Nestle S.A is a multinational brand specializing in health-related and nutritional consumer products. It is headquartered in Switzerland and across the world, it is the largest food organization and has significant revenues. For 2021, the revenues of the brand were 77 billion pounds. The products of Nestle include snacks, pet foods, ice cream, dairy products, confectionary, coffee, breakfast cereals, bottled water, and baby food. Approximately 330,000 people are employed by Nestle in more than 150 nations and </w:t>
      </w:r>
      <w:r w:rsidRPr="00A515D4">
        <w:rPr>
          <w:rFonts w:asciiTheme="minorHAnsi" w:hAnsiTheme="minorHAnsi" w:cstheme="minorHAnsi"/>
          <w:noProof/>
          <w:sz w:val="24"/>
          <w:szCs w:val="24"/>
        </w:rPr>
        <w:t>have</w:t>
      </w:r>
      <w:r w:rsidRPr="00A515D4">
        <w:rPr>
          <w:rFonts w:asciiTheme="minorHAnsi" w:hAnsiTheme="minorHAnsi" w:cstheme="minorHAnsi"/>
          <w:sz w:val="24"/>
          <w:szCs w:val="24"/>
        </w:rPr>
        <w:t xml:space="preserve"> 461 operations and factories in 86 nations. The sales of Nestle for 2011 were reaching 83.7 billion CHF. In addition, it is the main shareholder of the largest company of cosmetics in the world, </w:t>
      </w:r>
      <w:r w:rsidRPr="00A515D4">
        <w:rPr>
          <w:rFonts w:asciiTheme="minorHAnsi" w:hAnsiTheme="minorHAnsi" w:cstheme="minorHAnsi"/>
          <w:sz w:val="24"/>
          <w:szCs w:val="24"/>
        </w:rPr>
        <w:t>L’Oréal</w:t>
      </w:r>
      <w:r w:rsidRPr="00A515D4">
        <w:rPr>
          <w:rFonts w:asciiTheme="minorHAnsi" w:hAnsiTheme="minorHAnsi" w:cstheme="minorHAnsi"/>
          <w:sz w:val="24"/>
          <w:szCs w:val="24"/>
        </w:rPr>
        <w:t xml:space="preserve">. The history of Nestle started in 1866 when the very first European factory of condensed milk was launched in Switzerland, by the Condensed Milk Company of Anglo-Swiss, and Nestle was founded by a German pharmacist, Henri Nestle. These companies combined in 1905 after fierce competition </w:t>
      </w:r>
      <w:sdt>
        <w:sdtPr>
          <w:rPr>
            <w:rFonts w:asciiTheme="minorHAnsi" w:hAnsiTheme="minorHAnsi" w:cstheme="minorHAnsi"/>
            <w:sz w:val="24"/>
            <w:szCs w:val="24"/>
          </w:rPr>
          <w:id w:val="-1903050686"/>
          <w:citation/>
        </w:sdtPr>
        <w:sdtContent>
          <w:r w:rsidRPr="00A515D4">
            <w:rPr>
              <w:rFonts w:asciiTheme="minorHAnsi" w:hAnsiTheme="minorHAnsi" w:cstheme="minorHAnsi"/>
              <w:sz w:val="24"/>
              <w:szCs w:val="24"/>
            </w:rPr>
            <w:fldChar w:fldCharType="begin"/>
          </w:r>
          <w:r w:rsidRPr="00A515D4">
            <w:rPr>
              <w:rFonts w:asciiTheme="minorHAnsi" w:hAnsiTheme="minorHAnsi" w:cstheme="minorHAnsi"/>
              <w:sz w:val="24"/>
              <w:szCs w:val="24"/>
            </w:rPr>
            <w:instrText xml:space="preserve"> CITATION Ton15 \l 1033 </w:instrText>
          </w:r>
          <w:r w:rsidRPr="00A515D4">
            <w:rPr>
              <w:rFonts w:asciiTheme="minorHAnsi" w:hAnsiTheme="minorHAnsi" w:cstheme="minorHAnsi"/>
              <w:sz w:val="24"/>
              <w:szCs w:val="24"/>
            </w:rPr>
            <w:fldChar w:fldCharType="separate"/>
          </w:r>
          <w:r w:rsidRPr="00A515D4">
            <w:rPr>
              <w:rFonts w:asciiTheme="minorHAnsi" w:hAnsiTheme="minorHAnsi" w:cstheme="minorHAnsi"/>
              <w:noProof/>
              <w:sz w:val="24"/>
              <w:szCs w:val="24"/>
            </w:rPr>
            <w:t>(Li, 2015)</w:t>
          </w:r>
          <w:r w:rsidRPr="00A515D4">
            <w:rPr>
              <w:rFonts w:asciiTheme="minorHAnsi" w:hAnsiTheme="minorHAnsi" w:cstheme="minorHAnsi"/>
              <w:sz w:val="24"/>
              <w:szCs w:val="24"/>
            </w:rPr>
            <w:fldChar w:fldCharType="end"/>
          </w:r>
        </w:sdtContent>
      </w:sdt>
      <w:r w:rsidRPr="00A515D4">
        <w:rPr>
          <w:rFonts w:asciiTheme="minorHAnsi" w:hAnsiTheme="minorHAnsi" w:cstheme="minorHAnsi"/>
          <w:sz w:val="24"/>
          <w:szCs w:val="24"/>
        </w:rPr>
        <w:t>. In this paper, there will be focus on discussing the significance of international financial management for Nestle.</w:t>
      </w:r>
    </w:p>
    <w:p w:rsidR="00A515D4" w:rsidRPr="00A515D4" w:rsidRDefault="00A515D4" w:rsidP="00A515D4">
      <w:pPr>
        <w:pStyle w:val="Heading2"/>
        <w:spacing w:line="480" w:lineRule="auto"/>
        <w:rPr>
          <w:rFonts w:asciiTheme="minorHAnsi" w:hAnsiTheme="minorHAnsi" w:cstheme="minorHAnsi"/>
          <w:b w:val="0"/>
          <w:szCs w:val="24"/>
        </w:rPr>
      </w:pPr>
      <w:r w:rsidRPr="00A515D4">
        <w:rPr>
          <w:rFonts w:asciiTheme="minorHAnsi" w:hAnsiTheme="minorHAnsi" w:cstheme="minorHAnsi"/>
          <w:szCs w:val="24"/>
        </w:rPr>
        <w:t>Background</w:t>
      </w:r>
    </w:p>
    <w:p w:rsidR="00A515D4" w:rsidRP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b/>
          <w:sz w:val="24"/>
          <w:szCs w:val="24"/>
        </w:rPr>
        <w:tab/>
      </w:r>
      <w:r w:rsidRPr="00A515D4">
        <w:rPr>
          <w:rFonts w:asciiTheme="minorHAnsi" w:hAnsiTheme="minorHAnsi" w:cstheme="minorHAnsi"/>
          <w:sz w:val="24"/>
          <w:szCs w:val="24"/>
        </w:rPr>
        <w:t xml:space="preserve">The objectives and aims of Nestle are to be understood and recognized as the leader in Wellness, Health, and </w:t>
      </w:r>
      <w:r w:rsidRPr="00A515D4">
        <w:rPr>
          <w:rFonts w:asciiTheme="minorHAnsi" w:hAnsiTheme="minorHAnsi" w:cstheme="minorHAnsi"/>
          <w:noProof/>
          <w:sz w:val="24"/>
          <w:szCs w:val="24"/>
        </w:rPr>
        <w:t>Nutrition</w:t>
      </w:r>
      <w:r w:rsidRPr="00A515D4">
        <w:rPr>
          <w:rFonts w:asciiTheme="minorHAnsi" w:hAnsiTheme="minorHAnsi" w:cstheme="minorHAnsi"/>
          <w:sz w:val="24"/>
          <w:szCs w:val="24"/>
        </w:rPr>
        <w:t xml:space="preserve"> trusted by every stakeholder that it has. In addition to it, it aims to achieve higher revenues and improve its financial management. It is believed by them that leadership is not about </w:t>
      </w:r>
      <w:r w:rsidRPr="00A515D4">
        <w:rPr>
          <w:rFonts w:asciiTheme="minorHAnsi" w:hAnsiTheme="minorHAnsi" w:cstheme="minorHAnsi"/>
          <w:noProof/>
          <w:sz w:val="24"/>
          <w:szCs w:val="24"/>
        </w:rPr>
        <w:t>only</w:t>
      </w:r>
      <w:r w:rsidRPr="00A515D4">
        <w:rPr>
          <w:rFonts w:asciiTheme="minorHAnsi" w:hAnsiTheme="minorHAnsi" w:cstheme="minorHAnsi"/>
          <w:sz w:val="24"/>
          <w:szCs w:val="24"/>
        </w:rPr>
        <w:t xml:space="preserve"> size </w:t>
      </w:r>
      <w:r w:rsidRPr="00A515D4">
        <w:rPr>
          <w:rFonts w:asciiTheme="minorHAnsi" w:hAnsiTheme="minorHAnsi" w:cstheme="minorHAnsi"/>
          <w:noProof/>
          <w:sz w:val="24"/>
          <w:szCs w:val="24"/>
        </w:rPr>
        <w:t>but</w:t>
      </w:r>
      <w:r w:rsidRPr="00A515D4">
        <w:rPr>
          <w:rFonts w:asciiTheme="minorHAnsi" w:hAnsiTheme="minorHAnsi" w:cstheme="minorHAnsi"/>
          <w:sz w:val="24"/>
          <w:szCs w:val="24"/>
        </w:rPr>
        <w:t xml:space="preserve"> it is also about how they are behaving. It is recognized by the company that trust is acquired only over </w:t>
      </w:r>
      <w:r w:rsidRPr="00A515D4">
        <w:rPr>
          <w:rFonts w:asciiTheme="minorHAnsi" w:hAnsiTheme="minorHAnsi" w:cstheme="minorHAnsi"/>
          <w:noProof/>
          <w:sz w:val="24"/>
          <w:szCs w:val="24"/>
        </w:rPr>
        <w:t>time</w:t>
      </w:r>
      <w:r w:rsidRPr="00A515D4">
        <w:rPr>
          <w:rFonts w:asciiTheme="minorHAnsi" w:hAnsiTheme="minorHAnsi" w:cstheme="minorHAnsi"/>
          <w:sz w:val="24"/>
          <w:szCs w:val="24"/>
        </w:rPr>
        <w:t xml:space="preserve"> by delivering what they have promised. This type of consistent behavior is what earns the trust of consumers and stakeholders to them </w:t>
      </w:r>
      <w:sdt>
        <w:sdtPr>
          <w:rPr>
            <w:rFonts w:asciiTheme="minorHAnsi" w:hAnsiTheme="minorHAnsi" w:cstheme="minorHAnsi"/>
            <w:sz w:val="24"/>
            <w:szCs w:val="24"/>
          </w:rPr>
          <w:id w:val="460541520"/>
          <w:citation/>
        </w:sdtPr>
        <w:sdtContent>
          <w:r w:rsidRPr="00A515D4">
            <w:rPr>
              <w:rFonts w:asciiTheme="minorHAnsi" w:hAnsiTheme="minorHAnsi" w:cstheme="minorHAnsi"/>
              <w:sz w:val="24"/>
              <w:szCs w:val="24"/>
            </w:rPr>
            <w:fldChar w:fldCharType="begin"/>
          </w:r>
          <w:r w:rsidRPr="00A515D4">
            <w:rPr>
              <w:rFonts w:asciiTheme="minorHAnsi" w:hAnsiTheme="minorHAnsi" w:cstheme="minorHAnsi"/>
              <w:sz w:val="24"/>
              <w:szCs w:val="24"/>
            </w:rPr>
            <w:instrText xml:space="preserve"> CITATION Fre10 \l 1033 </w:instrText>
          </w:r>
          <w:r w:rsidRPr="00A515D4">
            <w:rPr>
              <w:rFonts w:asciiTheme="minorHAnsi" w:hAnsiTheme="minorHAnsi" w:cstheme="minorHAnsi"/>
              <w:sz w:val="24"/>
              <w:szCs w:val="24"/>
            </w:rPr>
            <w:fldChar w:fldCharType="separate"/>
          </w:r>
          <w:r w:rsidRPr="00A515D4">
            <w:rPr>
              <w:rFonts w:asciiTheme="minorHAnsi" w:hAnsiTheme="minorHAnsi" w:cstheme="minorHAnsi"/>
              <w:noProof/>
              <w:sz w:val="24"/>
              <w:szCs w:val="24"/>
            </w:rPr>
            <w:t>(Freeman, 2010)</w:t>
          </w:r>
          <w:r w:rsidRPr="00A515D4">
            <w:rPr>
              <w:rFonts w:asciiTheme="minorHAnsi" w:hAnsiTheme="minorHAnsi" w:cstheme="minorHAnsi"/>
              <w:sz w:val="24"/>
              <w:szCs w:val="24"/>
            </w:rPr>
            <w:fldChar w:fldCharType="end"/>
          </w:r>
        </w:sdtContent>
      </w:sdt>
      <w:r w:rsidRPr="00A515D4">
        <w:rPr>
          <w:rFonts w:asciiTheme="minorHAnsi" w:hAnsiTheme="minorHAnsi" w:cstheme="minorHAnsi"/>
          <w:sz w:val="24"/>
          <w:szCs w:val="24"/>
        </w:rPr>
        <w:t xml:space="preserve">. </w:t>
      </w:r>
    </w:p>
    <w:p w:rsidR="00A515D4" w:rsidRPr="00A515D4" w:rsidRDefault="00A515D4" w:rsidP="00A515D4">
      <w:pPr>
        <w:spacing w:line="480" w:lineRule="auto"/>
        <w:ind w:firstLine="720"/>
        <w:rPr>
          <w:rFonts w:asciiTheme="minorHAnsi" w:hAnsiTheme="minorHAnsi" w:cstheme="minorHAnsi"/>
          <w:sz w:val="24"/>
          <w:szCs w:val="24"/>
        </w:rPr>
      </w:pPr>
      <w:r w:rsidRPr="00A515D4">
        <w:rPr>
          <w:rFonts w:asciiTheme="minorHAnsi" w:hAnsiTheme="minorHAnsi" w:cstheme="minorHAnsi"/>
          <w:sz w:val="24"/>
          <w:szCs w:val="24"/>
        </w:rPr>
        <w:t xml:space="preserve">Their phrase of “Good Food, Good Life” actually seems to emphasize every behavior </w:t>
      </w:r>
      <w:r w:rsidRPr="00A515D4">
        <w:rPr>
          <w:rFonts w:asciiTheme="minorHAnsi" w:hAnsiTheme="minorHAnsi" w:cstheme="minorHAnsi"/>
          <w:sz w:val="24"/>
          <w:szCs w:val="24"/>
        </w:rPr>
        <w:lastRenderedPageBreak/>
        <w:t xml:space="preserve">and objective that they have. In addition, it also summarizes their corporate goal. The roadmap of Nestle is intended to develop an alignment for their individuals behind a strong set of priorities with respect to strategies that will increase the speed at which they are achieving their goals and objectives. These objectives and goals demand a mix of trust from their people which they consider very important for building short-term and future entrepreneurial actions, and essential for delivering a significant standard of performance. </w:t>
      </w:r>
    </w:p>
    <w:p w:rsidR="00A515D4" w:rsidRPr="00A515D4" w:rsidRDefault="00A515D4" w:rsidP="00A515D4">
      <w:pPr>
        <w:spacing w:line="480" w:lineRule="auto"/>
        <w:ind w:firstLine="720"/>
        <w:rPr>
          <w:rFonts w:asciiTheme="minorHAnsi" w:hAnsiTheme="minorHAnsi" w:cstheme="minorHAnsi"/>
          <w:sz w:val="24"/>
          <w:szCs w:val="24"/>
        </w:rPr>
      </w:pPr>
      <w:r w:rsidRPr="00A515D4">
        <w:rPr>
          <w:rFonts w:asciiTheme="minorHAnsi" w:hAnsiTheme="minorHAnsi" w:cstheme="minorHAnsi"/>
          <w:sz w:val="24"/>
          <w:szCs w:val="24"/>
        </w:rPr>
        <w:t xml:space="preserve">They wish to achieve leadership and get that high level of trust by satisfying the expectations of their consumers whose daily choices help boost their performances. Furthermore, they believe that it can be achieved only by creating sustainable value in the long-term for </w:t>
      </w:r>
      <w:r w:rsidRPr="00A515D4">
        <w:rPr>
          <w:rFonts w:asciiTheme="minorHAnsi" w:hAnsiTheme="minorHAnsi" w:cstheme="minorHAnsi"/>
          <w:noProof/>
          <w:sz w:val="24"/>
          <w:szCs w:val="24"/>
        </w:rPr>
        <w:t>the shareholder</w:t>
      </w:r>
      <w:r w:rsidRPr="00A515D4">
        <w:rPr>
          <w:rFonts w:asciiTheme="minorHAnsi" w:hAnsiTheme="minorHAnsi" w:cstheme="minorHAnsi"/>
          <w:sz w:val="24"/>
          <w:szCs w:val="24"/>
        </w:rPr>
        <w:t xml:space="preserve"> of their operations. At present, they are investing in the improvement of practices to ensure sustainability in terms of environment and finance of their operations and actions in capabilities, technologies, and capacity. Their aim is to meet the need of today without compromising the capability of future generations for meeting their requirements. </w:t>
      </w:r>
    </w:p>
    <w:p w:rsidR="00A515D4" w:rsidRP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sz w:val="24"/>
          <w:szCs w:val="24"/>
        </w:rPr>
        <w:tab/>
        <w:t xml:space="preserve">Products of Nestle are for every individual. People regardless of their income, age, culture, and age can eat </w:t>
      </w:r>
      <w:r w:rsidRPr="00A515D4">
        <w:rPr>
          <w:rFonts w:asciiTheme="minorHAnsi" w:hAnsiTheme="minorHAnsi" w:cstheme="minorHAnsi"/>
          <w:noProof/>
          <w:sz w:val="24"/>
          <w:szCs w:val="24"/>
        </w:rPr>
        <w:t>chocolate</w:t>
      </w:r>
      <w:r w:rsidRPr="00A515D4">
        <w:rPr>
          <w:rFonts w:asciiTheme="minorHAnsi" w:hAnsiTheme="minorHAnsi" w:cstheme="minorHAnsi"/>
          <w:sz w:val="24"/>
          <w:szCs w:val="24"/>
        </w:rPr>
        <w:t xml:space="preserve">. It is not a premium or luxury item that only some specific individuals can consume. People of any age can consume the products of Nestle. Furthermore, all 6 continents are their consumers. For example, the segments of Nestle are different according to </w:t>
      </w:r>
      <w:r w:rsidRPr="00A515D4">
        <w:rPr>
          <w:rFonts w:asciiTheme="minorHAnsi" w:hAnsiTheme="minorHAnsi" w:cstheme="minorHAnsi"/>
          <w:noProof/>
          <w:sz w:val="24"/>
          <w:szCs w:val="24"/>
        </w:rPr>
        <w:t>age</w:t>
      </w:r>
      <w:r w:rsidRPr="00A515D4">
        <w:rPr>
          <w:rFonts w:asciiTheme="minorHAnsi" w:hAnsiTheme="minorHAnsi" w:cstheme="minorHAnsi"/>
          <w:sz w:val="24"/>
          <w:szCs w:val="24"/>
        </w:rPr>
        <w:t xml:space="preserve">. For infants, there are baby foods while Milo can be consumed by kids along with other products like cookies, chocolate, and ice cream. The Maggi brand is owned by Nestle in Vietnam with different types of Asian sauces. However, it is not present in Britain due to the difference in geographical tastes </w:t>
      </w:r>
      <w:sdt>
        <w:sdtPr>
          <w:rPr>
            <w:rFonts w:asciiTheme="minorHAnsi" w:hAnsiTheme="minorHAnsi" w:cstheme="minorHAnsi"/>
            <w:sz w:val="24"/>
            <w:szCs w:val="24"/>
          </w:rPr>
          <w:id w:val="1673763299"/>
          <w:citation/>
        </w:sdtPr>
        <w:sdtContent>
          <w:r w:rsidRPr="00A515D4">
            <w:rPr>
              <w:rFonts w:asciiTheme="minorHAnsi" w:hAnsiTheme="minorHAnsi" w:cstheme="minorHAnsi"/>
              <w:sz w:val="24"/>
              <w:szCs w:val="24"/>
            </w:rPr>
            <w:fldChar w:fldCharType="begin"/>
          </w:r>
          <w:r w:rsidRPr="00A515D4">
            <w:rPr>
              <w:rFonts w:asciiTheme="minorHAnsi" w:hAnsiTheme="minorHAnsi" w:cstheme="minorHAnsi"/>
              <w:sz w:val="24"/>
              <w:szCs w:val="24"/>
            </w:rPr>
            <w:instrText xml:space="preserve"> CITATION San10 \l 1033 </w:instrText>
          </w:r>
          <w:r w:rsidRPr="00A515D4">
            <w:rPr>
              <w:rFonts w:asciiTheme="minorHAnsi" w:hAnsiTheme="minorHAnsi" w:cstheme="minorHAnsi"/>
              <w:sz w:val="24"/>
              <w:szCs w:val="24"/>
            </w:rPr>
            <w:fldChar w:fldCharType="separate"/>
          </w:r>
          <w:r w:rsidRPr="00A515D4">
            <w:rPr>
              <w:rFonts w:asciiTheme="minorHAnsi" w:hAnsiTheme="minorHAnsi" w:cstheme="minorHAnsi"/>
              <w:noProof/>
              <w:sz w:val="24"/>
              <w:szCs w:val="24"/>
            </w:rPr>
            <w:t>(Jones &amp; Reid, 2010)</w:t>
          </w:r>
          <w:r w:rsidRPr="00A515D4">
            <w:rPr>
              <w:rFonts w:asciiTheme="minorHAnsi" w:hAnsiTheme="minorHAnsi" w:cstheme="minorHAnsi"/>
              <w:sz w:val="24"/>
              <w:szCs w:val="24"/>
            </w:rPr>
            <w:fldChar w:fldCharType="end"/>
          </w:r>
        </w:sdtContent>
      </w:sdt>
      <w:r w:rsidRPr="00A515D4">
        <w:rPr>
          <w:rFonts w:asciiTheme="minorHAnsi" w:hAnsiTheme="minorHAnsi" w:cstheme="minorHAnsi"/>
          <w:sz w:val="24"/>
          <w:szCs w:val="24"/>
        </w:rPr>
        <w:t xml:space="preserve">. </w:t>
      </w:r>
    </w:p>
    <w:p w:rsidR="00A515D4" w:rsidRPr="00A515D4" w:rsidRDefault="00A515D4" w:rsidP="00A515D4">
      <w:pPr>
        <w:spacing w:line="480" w:lineRule="auto"/>
        <w:ind w:firstLine="720"/>
        <w:rPr>
          <w:rFonts w:asciiTheme="minorHAnsi" w:hAnsiTheme="minorHAnsi" w:cstheme="minorHAnsi"/>
          <w:sz w:val="24"/>
          <w:szCs w:val="24"/>
        </w:rPr>
      </w:pPr>
      <w:r w:rsidRPr="00A515D4">
        <w:rPr>
          <w:rFonts w:asciiTheme="minorHAnsi" w:hAnsiTheme="minorHAnsi" w:cstheme="minorHAnsi"/>
          <w:sz w:val="24"/>
          <w:szCs w:val="24"/>
        </w:rPr>
        <w:t xml:space="preserve">The operational efficiency of Nestle is improved by the integration of the </w:t>
      </w:r>
      <w:r w:rsidRPr="00A515D4">
        <w:rPr>
          <w:rFonts w:asciiTheme="minorHAnsi" w:hAnsiTheme="minorHAnsi" w:cstheme="minorHAnsi"/>
          <w:noProof/>
          <w:sz w:val="24"/>
          <w:szCs w:val="24"/>
        </w:rPr>
        <w:t>business</w:t>
      </w:r>
      <w:r w:rsidRPr="00A515D4">
        <w:rPr>
          <w:rFonts w:asciiTheme="minorHAnsi" w:hAnsiTheme="minorHAnsi" w:cstheme="minorHAnsi"/>
          <w:sz w:val="24"/>
          <w:szCs w:val="24"/>
        </w:rPr>
        <w:t xml:space="preserve"> of the company on a worldwide scale. Now, they are transitioning to becoming a real </w:t>
      </w:r>
      <w:r w:rsidRPr="00A515D4">
        <w:rPr>
          <w:rFonts w:asciiTheme="minorHAnsi" w:hAnsiTheme="minorHAnsi" w:cstheme="minorHAnsi"/>
          <w:sz w:val="24"/>
          <w:szCs w:val="24"/>
        </w:rPr>
        <w:lastRenderedPageBreak/>
        <w:t xml:space="preserve">worldwide food company. The company has a dynamic network as R&amp;D </w:t>
      </w:r>
      <w:r w:rsidRPr="00A515D4">
        <w:rPr>
          <w:rFonts w:asciiTheme="minorHAnsi" w:hAnsiTheme="minorHAnsi" w:cstheme="minorHAnsi"/>
          <w:noProof/>
          <w:sz w:val="24"/>
          <w:szCs w:val="24"/>
        </w:rPr>
        <w:t>centers</w:t>
      </w:r>
      <w:r w:rsidRPr="00A515D4">
        <w:rPr>
          <w:rFonts w:asciiTheme="minorHAnsi" w:hAnsiTheme="minorHAnsi" w:cstheme="minorHAnsi"/>
          <w:sz w:val="24"/>
          <w:szCs w:val="24"/>
        </w:rPr>
        <w:t xml:space="preserve"> work on product development and scientific research. In addition, they have the largest nutrition research and food organization without almost 5000 involved in R&amp;D. The global R&amp;D of Nestle is implemented locally for meeting the preferences and needs of consumers through the above 300 global Application groups. </w:t>
      </w:r>
    </w:p>
    <w:p w:rsidR="00A515D4" w:rsidRP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b/>
          <w:sz w:val="24"/>
          <w:szCs w:val="24"/>
        </w:rPr>
        <w:tab/>
      </w:r>
      <w:r w:rsidRPr="00A515D4">
        <w:rPr>
          <w:rFonts w:asciiTheme="minorHAnsi" w:hAnsiTheme="minorHAnsi" w:cstheme="minorHAnsi"/>
          <w:sz w:val="24"/>
          <w:szCs w:val="24"/>
        </w:rPr>
        <w:t xml:space="preserve">It is worth noting that the brand has several competitors including Unilever, </w:t>
      </w:r>
      <w:r w:rsidRPr="00A515D4">
        <w:rPr>
          <w:rFonts w:asciiTheme="minorHAnsi" w:hAnsiTheme="minorHAnsi" w:cstheme="minorHAnsi"/>
          <w:sz w:val="24"/>
          <w:szCs w:val="24"/>
        </w:rPr>
        <w:t>Master foods</w:t>
      </w:r>
      <w:r w:rsidRPr="00A515D4">
        <w:rPr>
          <w:rFonts w:asciiTheme="minorHAnsi" w:hAnsiTheme="minorHAnsi" w:cstheme="minorHAnsi"/>
          <w:sz w:val="24"/>
          <w:szCs w:val="24"/>
        </w:rPr>
        <w:t xml:space="preserve">, and Kraft. Nestle also was facing </w:t>
      </w:r>
      <w:r w:rsidRPr="00A515D4">
        <w:rPr>
          <w:rFonts w:asciiTheme="minorHAnsi" w:hAnsiTheme="minorHAnsi" w:cstheme="minorHAnsi"/>
          <w:noProof/>
          <w:sz w:val="24"/>
          <w:szCs w:val="24"/>
        </w:rPr>
        <w:t>intense</w:t>
      </w:r>
      <w:r w:rsidRPr="00A515D4">
        <w:rPr>
          <w:rFonts w:asciiTheme="minorHAnsi" w:hAnsiTheme="minorHAnsi" w:cstheme="minorHAnsi"/>
          <w:sz w:val="24"/>
          <w:szCs w:val="24"/>
        </w:rPr>
        <w:t xml:space="preserve"> competition at the regional and national levels. Among others, these companies are in a continuous and constant batter for outperforming one another. Fierce competition was being faced by Nestle as many other rivals had achieved critical improvements in their efficiency of operations. In the industry of food processing, the </w:t>
      </w:r>
      <w:r w:rsidRPr="00A515D4">
        <w:rPr>
          <w:rFonts w:asciiTheme="minorHAnsi" w:hAnsiTheme="minorHAnsi" w:cstheme="minorHAnsi"/>
          <w:noProof/>
          <w:sz w:val="24"/>
          <w:szCs w:val="24"/>
        </w:rPr>
        <w:t>rivalry</w:t>
      </w:r>
      <w:r w:rsidRPr="00A515D4">
        <w:rPr>
          <w:rFonts w:asciiTheme="minorHAnsi" w:hAnsiTheme="minorHAnsi" w:cstheme="minorHAnsi"/>
          <w:sz w:val="24"/>
          <w:szCs w:val="24"/>
        </w:rPr>
        <w:t xml:space="preserve"> is fierce </w:t>
      </w:r>
      <w:r w:rsidRPr="00A515D4">
        <w:rPr>
          <w:rFonts w:asciiTheme="minorHAnsi" w:hAnsiTheme="minorHAnsi" w:cstheme="minorHAnsi"/>
          <w:noProof/>
          <w:sz w:val="24"/>
          <w:szCs w:val="24"/>
        </w:rPr>
        <w:t>and</w:t>
      </w:r>
      <w:r w:rsidRPr="00A515D4">
        <w:rPr>
          <w:rFonts w:asciiTheme="minorHAnsi" w:hAnsiTheme="minorHAnsi" w:cstheme="minorHAnsi"/>
          <w:sz w:val="24"/>
          <w:szCs w:val="24"/>
        </w:rPr>
        <w:t xml:space="preserve"> it is quite good for customers. With the competition, customers will consistently enjoy the product lines that are ever-improving. </w:t>
      </w:r>
    </w:p>
    <w:p w:rsidR="00A515D4" w:rsidRPr="00A515D4" w:rsidRDefault="00A515D4" w:rsidP="00A515D4">
      <w:pPr>
        <w:spacing w:line="480" w:lineRule="auto"/>
        <w:rPr>
          <w:rFonts w:asciiTheme="minorHAnsi" w:hAnsiTheme="minorHAnsi" w:cstheme="minorHAnsi"/>
          <w:b/>
          <w:sz w:val="24"/>
          <w:szCs w:val="24"/>
        </w:rPr>
      </w:pPr>
      <w:r w:rsidRPr="00A515D4">
        <w:rPr>
          <w:rFonts w:asciiTheme="minorHAnsi" w:hAnsiTheme="minorHAnsi" w:cstheme="minorHAnsi"/>
          <w:b/>
          <w:sz w:val="24"/>
          <w:szCs w:val="24"/>
        </w:rPr>
        <w:t>Dividend Distribution Policy</w:t>
      </w:r>
    </w:p>
    <w:p w:rsid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sz w:val="24"/>
          <w:szCs w:val="24"/>
        </w:rPr>
        <w:tab/>
        <w:t xml:space="preserve">When it comes to the dividend distribution policy of Nestle, it is worth noting that it is different for every nation. For instance, it is different for all the nations in which the company operates and its equity shares are listed in their respective associations. In the policy, there are principles of sustainability, consistency, and fairness that are considered for the distribution of profits to the shareholders. In addition, the company has created a dividend distribution policy for every country and nation in which it operates. In the policy, all the details are mentioned and it is even identified that the interim dividends might be declared by the board when they might consider it suitable. In addition, the final dividend might be recommended by the board to the shareholders to acquire their approval </w:t>
      </w:r>
      <w:sdt>
        <w:sdtPr>
          <w:rPr>
            <w:rFonts w:asciiTheme="minorHAnsi" w:hAnsiTheme="minorHAnsi" w:cstheme="minorHAnsi"/>
            <w:sz w:val="24"/>
            <w:szCs w:val="24"/>
          </w:rPr>
          <w:id w:val="1988351952"/>
          <w:citation/>
        </w:sdtPr>
        <w:sdtContent>
          <w:r w:rsidRPr="00A515D4">
            <w:rPr>
              <w:rFonts w:asciiTheme="minorHAnsi" w:hAnsiTheme="minorHAnsi" w:cstheme="minorHAnsi"/>
              <w:sz w:val="24"/>
              <w:szCs w:val="24"/>
            </w:rPr>
            <w:fldChar w:fldCharType="begin"/>
          </w:r>
          <w:r w:rsidRPr="00A515D4">
            <w:rPr>
              <w:rFonts w:asciiTheme="minorHAnsi" w:hAnsiTheme="minorHAnsi" w:cstheme="minorHAnsi"/>
              <w:sz w:val="24"/>
              <w:szCs w:val="24"/>
              <w:lang w:val="en-GB"/>
            </w:rPr>
            <w:instrText xml:space="preserve"> CITATION Eug21 \l 2057 </w:instrText>
          </w:r>
          <w:r w:rsidRPr="00A515D4">
            <w:rPr>
              <w:rFonts w:asciiTheme="minorHAnsi" w:hAnsiTheme="minorHAnsi" w:cstheme="minorHAnsi"/>
              <w:sz w:val="24"/>
              <w:szCs w:val="24"/>
            </w:rPr>
            <w:fldChar w:fldCharType="separate"/>
          </w:r>
          <w:r w:rsidRPr="00A515D4">
            <w:rPr>
              <w:rFonts w:asciiTheme="minorHAnsi" w:hAnsiTheme="minorHAnsi" w:cstheme="minorHAnsi"/>
              <w:noProof/>
              <w:sz w:val="24"/>
              <w:szCs w:val="24"/>
              <w:lang w:val="en-GB"/>
            </w:rPr>
            <w:t>(Brigham &amp; Houston, 2021)</w:t>
          </w:r>
          <w:r w:rsidRPr="00A515D4">
            <w:rPr>
              <w:rFonts w:asciiTheme="minorHAnsi" w:hAnsiTheme="minorHAnsi" w:cstheme="minorHAnsi"/>
              <w:sz w:val="24"/>
              <w:szCs w:val="24"/>
            </w:rPr>
            <w:fldChar w:fldCharType="end"/>
          </w:r>
        </w:sdtContent>
      </w:sdt>
      <w:r w:rsidRPr="00A515D4">
        <w:rPr>
          <w:rFonts w:asciiTheme="minorHAnsi" w:hAnsiTheme="minorHAnsi" w:cstheme="minorHAnsi"/>
          <w:sz w:val="24"/>
          <w:szCs w:val="24"/>
        </w:rPr>
        <w:t>.</w:t>
      </w:r>
    </w:p>
    <w:p w:rsidR="00A515D4" w:rsidRPr="00A515D4" w:rsidRDefault="00A515D4" w:rsidP="00A515D4">
      <w:pPr>
        <w:spacing w:line="480" w:lineRule="auto"/>
        <w:rPr>
          <w:rFonts w:asciiTheme="minorHAnsi" w:hAnsiTheme="minorHAnsi" w:cstheme="minorHAnsi"/>
          <w:sz w:val="24"/>
          <w:szCs w:val="24"/>
        </w:rPr>
      </w:pPr>
    </w:p>
    <w:p w:rsidR="00A515D4" w:rsidRPr="00A515D4" w:rsidRDefault="00A515D4" w:rsidP="00A515D4">
      <w:pPr>
        <w:spacing w:line="480" w:lineRule="auto"/>
        <w:rPr>
          <w:rFonts w:asciiTheme="minorHAnsi" w:hAnsiTheme="minorHAnsi" w:cstheme="minorHAnsi"/>
          <w:b/>
          <w:sz w:val="24"/>
          <w:szCs w:val="24"/>
        </w:rPr>
      </w:pPr>
      <w:r w:rsidRPr="00A515D4">
        <w:rPr>
          <w:rFonts w:asciiTheme="minorHAnsi" w:hAnsiTheme="minorHAnsi" w:cstheme="minorHAnsi"/>
          <w:b/>
          <w:sz w:val="24"/>
          <w:szCs w:val="24"/>
        </w:rPr>
        <w:lastRenderedPageBreak/>
        <w:t>Efficient Market Hypothesis</w:t>
      </w:r>
    </w:p>
    <w:p w:rsidR="00A515D4" w:rsidRP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sz w:val="24"/>
          <w:szCs w:val="24"/>
        </w:rPr>
        <w:tab/>
        <w:t xml:space="preserve">In accordance with the efficient market hypothesis, markets are efficient and there is no room or opportunity to make significant profits through investments because everything is accurately and fairly priced. It indicates that firms do not have a great opportunity to beat the market but they can consider passive index investments to match the market returns. Actually, this theory applies to Nestle as well and its stocks generally trade at their appropriate and fair value on the exchanges which makes it quite difficult for investors to acquire undervalued stocks and sell them for high prices </w:t>
      </w:r>
      <w:sdt>
        <w:sdtPr>
          <w:rPr>
            <w:rFonts w:asciiTheme="minorHAnsi" w:hAnsiTheme="minorHAnsi" w:cstheme="minorHAnsi"/>
            <w:sz w:val="24"/>
            <w:szCs w:val="24"/>
          </w:rPr>
          <w:id w:val="-1149360359"/>
          <w:citation/>
        </w:sdtPr>
        <w:sdtContent>
          <w:r w:rsidRPr="00A515D4">
            <w:rPr>
              <w:rFonts w:asciiTheme="minorHAnsi" w:hAnsiTheme="minorHAnsi" w:cstheme="minorHAnsi"/>
              <w:sz w:val="24"/>
              <w:szCs w:val="24"/>
            </w:rPr>
            <w:fldChar w:fldCharType="begin"/>
          </w:r>
          <w:r w:rsidRPr="00A515D4">
            <w:rPr>
              <w:rFonts w:asciiTheme="minorHAnsi" w:hAnsiTheme="minorHAnsi" w:cstheme="minorHAnsi"/>
              <w:sz w:val="24"/>
              <w:szCs w:val="24"/>
              <w:lang w:val="en-GB"/>
            </w:rPr>
            <w:instrText xml:space="preserve"> CITATION RCh14 \l 2057 </w:instrText>
          </w:r>
          <w:r w:rsidRPr="00A515D4">
            <w:rPr>
              <w:rFonts w:asciiTheme="minorHAnsi" w:hAnsiTheme="minorHAnsi" w:cstheme="minorHAnsi"/>
              <w:sz w:val="24"/>
              <w:szCs w:val="24"/>
            </w:rPr>
            <w:fldChar w:fldCharType="separate"/>
          </w:r>
          <w:r w:rsidRPr="00A515D4">
            <w:rPr>
              <w:rFonts w:asciiTheme="minorHAnsi" w:hAnsiTheme="minorHAnsi" w:cstheme="minorHAnsi"/>
              <w:noProof/>
              <w:sz w:val="24"/>
              <w:szCs w:val="24"/>
              <w:lang w:val="en-GB"/>
            </w:rPr>
            <w:t>(Moyer, McGuigan, &amp; Rao, 2014)</w:t>
          </w:r>
          <w:r w:rsidRPr="00A515D4">
            <w:rPr>
              <w:rFonts w:asciiTheme="minorHAnsi" w:hAnsiTheme="minorHAnsi" w:cstheme="minorHAnsi"/>
              <w:sz w:val="24"/>
              <w:szCs w:val="24"/>
            </w:rPr>
            <w:fldChar w:fldCharType="end"/>
          </w:r>
        </w:sdtContent>
      </w:sdt>
      <w:r w:rsidRPr="00A515D4">
        <w:rPr>
          <w:rFonts w:asciiTheme="minorHAnsi" w:hAnsiTheme="minorHAnsi" w:cstheme="minorHAnsi"/>
          <w:sz w:val="24"/>
          <w:szCs w:val="24"/>
        </w:rPr>
        <w:t xml:space="preserve">. </w:t>
      </w:r>
    </w:p>
    <w:p w:rsidR="00A515D4" w:rsidRP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sz w:val="24"/>
          <w:szCs w:val="24"/>
        </w:rPr>
        <w:tab/>
        <w:t>Nestle is undoubtedly a stable organization and its sustainable practices ensure that it does not experience any disruptions. Due to it, its stocks and shares remain stable in the market as well and their prices do not fluctuate to a significant extent. Therefore, it is quite difficult for investors to get these shares and stocks at lower prices and then sell them at higher prices. Therefore, it can be said that the efficient market hypothesis does apply to Nestle and its stocks.</w:t>
      </w:r>
    </w:p>
    <w:p w:rsidR="00A515D4" w:rsidRPr="00A515D4" w:rsidRDefault="00A515D4" w:rsidP="00A515D4">
      <w:pPr>
        <w:spacing w:line="480" w:lineRule="auto"/>
        <w:rPr>
          <w:rFonts w:asciiTheme="minorHAnsi" w:hAnsiTheme="minorHAnsi" w:cstheme="minorHAnsi"/>
          <w:b/>
          <w:sz w:val="24"/>
          <w:szCs w:val="24"/>
        </w:rPr>
      </w:pPr>
      <w:r w:rsidRPr="00A515D4">
        <w:rPr>
          <w:rFonts w:asciiTheme="minorHAnsi" w:hAnsiTheme="minorHAnsi" w:cstheme="minorHAnsi"/>
          <w:b/>
          <w:sz w:val="24"/>
          <w:szCs w:val="24"/>
        </w:rPr>
        <w:t>Challenges with IFM</w:t>
      </w:r>
    </w:p>
    <w:p w:rsidR="00A515D4" w:rsidRP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sz w:val="24"/>
          <w:szCs w:val="24"/>
        </w:rPr>
        <w:tab/>
        <w:t xml:space="preserve">For Nestle, international financial management is quite critical. Without proper management, it becomes quite complex for the organization to ensure that it remains competitive in the market. One of the key challenges that Nestle experiences in terms of IFM are diverse economic environment. For instance, </w:t>
      </w:r>
      <w:proofErr w:type="gramStart"/>
      <w:r w:rsidRPr="00A515D4">
        <w:rPr>
          <w:rFonts w:asciiTheme="minorHAnsi" w:hAnsiTheme="minorHAnsi" w:cstheme="minorHAnsi"/>
          <w:sz w:val="24"/>
          <w:szCs w:val="24"/>
        </w:rPr>
        <w:t>Nestle</w:t>
      </w:r>
      <w:proofErr w:type="gramEnd"/>
      <w:r w:rsidRPr="00A515D4">
        <w:rPr>
          <w:rFonts w:asciiTheme="minorHAnsi" w:hAnsiTheme="minorHAnsi" w:cstheme="minorHAnsi"/>
          <w:sz w:val="24"/>
          <w:szCs w:val="24"/>
        </w:rPr>
        <w:t xml:space="preserve"> is undoubtedly answerable to different nations with their respective cultural norms and political environments, tax conditions, and trade procedures. At the same time, there are different credit conditions in every nation and it becomes difficult for Nestle consistently address changes in these policies and environments.</w:t>
      </w:r>
    </w:p>
    <w:p w:rsidR="00A515D4" w:rsidRP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sz w:val="24"/>
          <w:szCs w:val="24"/>
        </w:rPr>
        <w:tab/>
        <w:t xml:space="preserve">Another challenge is associated with the fluctuating exchange rates. In the </w:t>
      </w:r>
      <w:r w:rsidRPr="00A515D4">
        <w:rPr>
          <w:rFonts w:asciiTheme="minorHAnsi" w:hAnsiTheme="minorHAnsi" w:cstheme="minorHAnsi"/>
          <w:sz w:val="24"/>
          <w:szCs w:val="24"/>
        </w:rPr>
        <w:lastRenderedPageBreak/>
        <w:t xml:space="preserve">international economy, cash is subject to significant fluctuations and it leads to uncertainty for financial managers. These fluctuations often lead to slow business and Nestle is no exception to it. Therefore, it becomes essential for the managers to forecast such fluctuations and make strategic decisions that can help them in addressing these fluctuations and remaining stable in the market. In recent times, when the pandemic struck nations, it caused almost every nation to experience significant challenges and it even led to declines in the exchange rates of different nations. In the face of such circumstances and situations, it became quite challenging for international businesses to continue to survive in different nations </w:t>
      </w:r>
      <w:sdt>
        <w:sdtPr>
          <w:rPr>
            <w:rFonts w:asciiTheme="minorHAnsi" w:hAnsiTheme="minorHAnsi" w:cstheme="minorHAnsi"/>
            <w:sz w:val="24"/>
            <w:szCs w:val="24"/>
          </w:rPr>
          <w:id w:val="-1506971958"/>
          <w:citation/>
        </w:sdtPr>
        <w:sdtContent>
          <w:r w:rsidRPr="00A515D4">
            <w:rPr>
              <w:rFonts w:asciiTheme="minorHAnsi" w:hAnsiTheme="minorHAnsi" w:cstheme="minorHAnsi"/>
              <w:sz w:val="24"/>
              <w:szCs w:val="24"/>
            </w:rPr>
            <w:fldChar w:fldCharType="begin"/>
          </w:r>
          <w:r w:rsidRPr="00A515D4">
            <w:rPr>
              <w:rFonts w:asciiTheme="minorHAnsi" w:hAnsiTheme="minorHAnsi" w:cstheme="minorHAnsi"/>
              <w:sz w:val="24"/>
              <w:szCs w:val="24"/>
              <w:lang w:val="en-GB"/>
            </w:rPr>
            <w:instrText xml:space="preserve"> CITATION Sta18 \l 2057 </w:instrText>
          </w:r>
          <w:r w:rsidRPr="00A515D4">
            <w:rPr>
              <w:rFonts w:asciiTheme="minorHAnsi" w:hAnsiTheme="minorHAnsi" w:cstheme="minorHAnsi"/>
              <w:sz w:val="24"/>
              <w:szCs w:val="24"/>
            </w:rPr>
            <w:fldChar w:fldCharType="separate"/>
          </w:r>
          <w:r w:rsidRPr="00A515D4">
            <w:rPr>
              <w:rFonts w:asciiTheme="minorHAnsi" w:hAnsiTheme="minorHAnsi" w:cstheme="minorHAnsi"/>
              <w:noProof/>
              <w:sz w:val="24"/>
              <w:szCs w:val="24"/>
              <w:lang w:val="en-GB"/>
            </w:rPr>
            <w:t>(Block, Hirt, &amp; Danielsen, 2018)</w:t>
          </w:r>
          <w:r w:rsidRPr="00A515D4">
            <w:rPr>
              <w:rFonts w:asciiTheme="minorHAnsi" w:hAnsiTheme="minorHAnsi" w:cstheme="minorHAnsi"/>
              <w:sz w:val="24"/>
              <w:szCs w:val="24"/>
            </w:rPr>
            <w:fldChar w:fldCharType="end"/>
          </w:r>
        </w:sdtContent>
      </w:sdt>
      <w:r w:rsidRPr="00A515D4">
        <w:rPr>
          <w:rFonts w:asciiTheme="minorHAnsi" w:hAnsiTheme="minorHAnsi" w:cstheme="minorHAnsi"/>
          <w:sz w:val="24"/>
          <w:szCs w:val="24"/>
        </w:rPr>
        <w:t>.</w:t>
      </w:r>
    </w:p>
    <w:p w:rsidR="00A515D4" w:rsidRPr="00A515D4" w:rsidRDefault="00A515D4" w:rsidP="00A515D4">
      <w:pPr>
        <w:spacing w:line="480" w:lineRule="auto"/>
        <w:ind w:firstLine="720"/>
        <w:rPr>
          <w:rFonts w:asciiTheme="minorHAnsi" w:hAnsiTheme="minorHAnsi" w:cstheme="minorHAnsi"/>
          <w:sz w:val="24"/>
          <w:szCs w:val="24"/>
        </w:rPr>
      </w:pPr>
      <w:r w:rsidRPr="00A515D4">
        <w:rPr>
          <w:rFonts w:asciiTheme="minorHAnsi" w:hAnsiTheme="minorHAnsi" w:cstheme="minorHAnsi"/>
          <w:sz w:val="24"/>
          <w:szCs w:val="24"/>
        </w:rPr>
        <w:t xml:space="preserve">Similarly, the dynamic banking regulations also present a major challenge to Nestle. Both domestic and international banking regulations are quite different from each other and it is necessary for Nestle to ensure that it remains efficient in the market. In addition to it, different international institutions have a great influence over how domestic institutions operate. Thus, </w:t>
      </w:r>
      <w:proofErr w:type="gramStart"/>
      <w:r w:rsidRPr="00A515D4">
        <w:rPr>
          <w:rFonts w:asciiTheme="minorHAnsi" w:hAnsiTheme="minorHAnsi" w:cstheme="minorHAnsi"/>
          <w:sz w:val="24"/>
          <w:szCs w:val="24"/>
        </w:rPr>
        <w:t>Nestle</w:t>
      </w:r>
      <w:proofErr w:type="gramEnd"/>
      <w:r w:rsidRPr="00A515D4">
        <w:rPr>
          <w:rFonts w:asciiTheme="minorHAnsi" w:hAnsiTheme="minorHAnsi" w:cstheme="minorHAnsi"/>
          <w:sz w:val="24"/>
          <w:szCs w:val="24"/>
        </w:rPr>
        <w:t xml:space="preserve"> even has to forecast these possible changes and then make suitable strategies to address them.</w:t>
      </w:r>
    </w:p>
    <w:p w:rsidR="00A515D4" w:rsidRPr="00A515D4" w:rsidRDefault="00A515D4" w:rsidP="00A515D4">
      <w:pPr>
        <w:spacing w:line="480" w:lineRule="auto"/>
        <w:jc w:val="center"/>
        <w:rPr>
          <w:rFonts w:asciiTheme="minorHAnsi" w:hAnsiTheme="minorHAnsi" w:cstheme="minorHAnsi"/>
          <w:b/>
          <w:sz w:val="24"/>
          <w:szCs w:val="24"/>
        </w:rPr>
      </w:pPr>
      <w:r w:rsidRPr="00A515D4">
        <w:rPr>
          <w:rFonts w:asciiTheme="minorHAnsi" w:hAnsiTheme="minorHAnsi" w:cstheme="minorHAnsi"/>
          <w:b/>
          <w:sz w:val="24"/>
          <w:szCs w:val="24"/>
        </w:rPr>
        <w:t>Conclusion</w:t>
      </w:r>
    </w:p>
    <w:p w:rsidR="00A515D4" w:rsidRPr="00A515D4" w:rsidRDefault="00A515D4" w:rsidP="00A515D4">
      <w:pPr>
        <w:spacing w:line="480" w:lineRule="auto"/>
        <w:rPr>
          <w:rFonts w:asciiTheme="minorHAnsi" w:hAnsiTheme="minorHAnsi" w:cstheme="minorHAnsi"/>
          <w:sz w:val="24"/>
          <w:szCs w:val="24"/>
        </w:rPr>
      </w:pPr>
      <w:r w:rsidRPr="00A515D4">
        <w:rPr>
          <w:rFonts w:asciiTheme="minorHAnsi" w:hAnsiTheme="minorHAnsi" w:cstheme="minorHAnsi"/>
          <w:sz w:val="24"/>
          <w:szCs w:val="24"/>
        </w:rPr>
        <w:tab/>
        <w:t>Overall, it can be said that Nestle is a major multinational firm and it operates in different countries around the world. It is important to note that its dividend policy is quite comprehensive and is different from every other nation in which it operates. In addition, the efficient market hypothesis applies to the company because its functions are stable and due to it, its shares and stocks do not fluctuate in value. When it comes to international financial management, it is quite critical for Nestle and it experiences a number of challenges associated with it. For instance, it has to focus significantly on forecasting fluctuations and making effective strategies to address these changes.</w:t>
      </w:r>
    </w:p>
    <w:p w:rsidR="00A515D4" w:rsidRPr="00A515D4" w:rsidRDefault="00A515D4" w:rsidP="00A515D4">
      <w:pPr>
        <w:spacing w:line="480" w:lineRule="auto"/>
        <w:jc w:val="center"/>
        <w:rPr>
          <w:rFonts w:asciiTheme="minorHAnsi" w:hAnsiTheme="minorHAnsi" w:cstheme="minorHAnsi"/>
          <w:sz w:val="32"/>
          <w:szCs w:val="32"/>
        </w:rPr>
      </w:pPr>
      <w:r w:rsidRPr="00A515D4">
        <w:rPr>
          <w:rFonts w:asciiTheme="minorHAnsi" w:hAnsiTheme="minorHAnsi" w:cstheme="minorHAnsi"/>
          <w:sz w:val="24"/>
          <w:szCs w:val="24"/>
        </w:rPr>
        <w:br w:type="page"/>
      </w:r>
      <w:r w:rsidRPr="00A515D4">
        <w:rPr>
          <w:rFonts w:asciiTheme="minorHAnsi" w:hAnsiTheme="minorHAnsi" w:cstheme="minorHAnsi"/>
          <w:b/>
          <w:sz w:val="32"/>
          <w:szCs w:val="32"/>
        </w:rPr>
        <w:lastRenderedPageBreak/>
        <w:t>References</w:t>
      </w:r>
      <w:bookmarkStart w:id="0" w:name="_GoBack"/>
      <w:bookmarkEnd w:id="0"/>
    </w:p>
    <w:p w:rsidR="00A515D4" w:rsidRPr="00A515D4" w:rsidRDefault="00A515D4" w:rsidP="00A515D4">
      <w:pPr>
        <w:pStyle w:val="Bibliography"/>
        <w:spacing w:line="480" w:lineRule="auto"/>
        <w:ind w:left="720" w:hanging="720"/>
        <w:rPr>
          <w:rFonts w:cstheme="minorHAnsi"/>
          <w:noProof/>
          <w:sz w:val="24"/>
          <w:szCs w:val="24"/>
        </w:rPr>
      </w:pPr>
      <w:r w:rsidRPr="00A515D4">
        <w:rPr>
          <w:rFonts w:cstheme="minorHAnsi"/>
          <w:b/>
          <w:sz w:val="24"/>
          <w:szCs w:val="24"/>
        </w:rPr>
        <w:fldChar w:fldCharType="begin"/>
      </w:r>
      <w:r w:rsidRPr="00A515D4">
        <w:rPr>
          <w:rFonts w:cstheme="minorHAnsi"/>
          <w:b/>
          <w:sz w:val="24"/>
          <w:szCs w:val="24"/>
          <w:lang w:val="en-GB"/>
        </w:rPr>
        <w:instrText xml:space="preserve"> BIBLIOGRAPHY  \l 2057 </w:instrText>
      </w:r>
      <w:r w:rsidRPr="00A515D4">
        <w:rPr>
          <w:rFonts w:cstheme="minorHAnsi"/>
          <w:b/>
          <w:sz w:val="24"/>
          <w:szCs w:val="24"/>
        </w:rPr>
        <w:fldChar w:fldCharType="separate"/>
      </w:r>
      <w:r w:rsidRPr="00A515D4">
        <w:rPr>
          <w:rFonts w:cstheme="minorHAnsi"/>
          <w:noProof/>
          <w:sz w:val="24"/>
          <w:szCs w:val="24"/>
        </w:rPr>
        <w:t xml:space="preserve">Block, S. B., Hirt, G. A., &amp; Danielsen, B. R. (2018). </w:t>
      </w:r>
      <w:r w:rsidRPr="00A515D4">
        <w:rPr>
          <w:rFonts w:cstheme="minorHAnsi"/>
          <w:i/>
          <w:iCs/>
          <w:noProof/>
          <w:sz w:val="24"/>
          <w:szCs w:val="24"/>
        </w:rPr>
        <w:t>Foundations of financial management.</w:t>
      </w:r>
      <w:r w:rsidRPr="00A515D4">
        <w:rPr>
          <w:rFonts w:cstheme="minorHAnsi"/>
          <w:noProof/>
          <w:sz w:val="24"/>
          <w:szCs w:val="24"/>
        </w:rPr>
        <w:t xml:space="preserve"> McGraw-Hill Education.</w:t>
      </w:r>
    </w:p>
    <w:p w:rsidR="00A515D4" w:rsidRPr="00A515D4" w:rsidRDefault="00A515D4" w:rsidP="00A515D4">
      <w:pPr>
        <w:pStyle w:val="Bibliography"/>
        <w:spacing w:line="480" w:lineRule="auto"/>
        <w:ind w:left="720" w:hanging="720"/>
        <w:rPr>
          <w:rFonts w:cstheme="minorHAnsi"/>
          <w:noProof/>
          <w:sz w:val="24"/>
          <w:szCs w:val="24"/>
        </w:rPr>
      </w:pPr>
      <w:r w:rsidRPr="00A515D4">
        <w:rPr>
          <w:rFonts w:cstheme="minorHAnsi"/>
          <w:noProof/>
          <w:sz w:val="24"/>
          <w:szCs w:val="24"/>
        </w:rPr>
        <w:t xml:space="preserve">Brigham, E. F., &amp; Houston, J. F. (2021). </w:t>
      </w:r>
      <w:r w:rsidRPr="00A515D4">
        <w:rPr>
          <w:rFonts w:cstheme="minorHAnsi"/>
          <w:i/>
          <w:iCs/>
          <w:noProof/>
          <w:sz w:val="24"/>
          <w:szCs w:val="24"/>
        </w:rPr>
        <w:t>Fundamentals of financial management.</w:t>
      </w:r>
      <w:r w:rsidRPr="00A515D4">
        <w:rPr>
          <w:rFonts w:cstheme="minorHAnsi"/>
          <w:noProof/>
          <w:sz w:val="24"/>
          <w:szCs w:val="24"/>
        </w:rPr>
        <w:t xml:space="preserve"> Cengage Learning.</w:t>
      </w:r>
    </w:p>
    <w:p w:rsidR="00A515D4" w:rsidRPr="00A515D4" w:rsidRDefault="00A515D4" w:rsidP="00A515D4">
      <w:pPr>
        <w:pStyle w:val="Bibliography"/>
        <w:spacing w:line="480" w:lineRule="auto"/>
        <w:ind w:left="720" w:hanging="720"/>
        <w:rPr>
          <w:rFonts w:cstheme="minorHAnsi"/>
          <w:noProof/>
          <w:sz w:val="24"/>
          <w:szCs w:val="24"/>
        </w:rPr>
      </w:pPr>
      <w:r w:rsidRPr="00A515D4">
        <w:rPr>
          <w:rFonts w:cstheme="minorHAnsi"/>
          <w:noProof/>
          <w:sz w:val="24"/>
          <w:szCs w:val="24"/>
        </w:rPr>
        <w:t xml:space="preserve">Freeman, R. E. (2010). </w:t>
      </w:r>
      <w:r w:rsidRPr="00A515D4">
        <w:rPr>
          <w:rFonts w:cstheme="minorHAnsi"/>
          <w:i/>
          <w:iCs/>
          <w:noProof/>
          <w:sz w:val="24"/>
          <w:szCs w:val="24"/>
        </w:rPr>
        <w:t>Strategic management: A stakeholder approach.</w:t>
      </w:r>
      <w:r w:rsidRPr="00A515D4">
        <w:rPr>
          <w:rFonts w:cstheme="minorHAnsi"/>
          <w:noProof/>
          <w:sz w:val="24"/>
          <w:szCs w:val="24"/>
        </w:rPr>
        <w:t xml:space="preserve"> Cambridge university press.</w:t>
      </w:r>
    </w:p>
    <w:p w:rsidR="00A515D4" w:rsidRPr="00A515D4" w:rsidRDefault="00A515D4" w:rsidP="00A515D4">
      <w:pPr>
        <w:pStyle w:val="Bibliography"/>
        <w:spacing w:line="480" w:lineRule="auto"/>
        <w:ind w:left="720" w:hanging="720"/>
        <w:rPr>
          <w:rFonts w:cstheme="minorHAnsi"/>
          <w:noProof/>
          <w:sz w:val="24"/>
          <w:szCs w:val="24"/>
        </w:rPr>
      </w:pPr>
      <w:r w:rsidRPr="00A515D4">
        <w:rPr>
          <w:rFonts w:cstheme="minorHAnsi"/>
          <w:noProof/>
          <w:sz w:val="24"/>
          <w:szCs w:val="24"/>
        </w:rPr>
        <w:t xml:space="preserve">Jones, S. C., &amp; Reid, A. (2010). Marketing to children and teens on Australian food company web sites. </w:t>
      </w:r>
      <w:r w:rsidRPr="00A515D4">
        <w:rPr>
          <w:rFonts w:cstheme="minorHAnsi"/>
          <w:i/>
          <w:iCs/>
          <w:noProof/>
          <w:sz w:val="24"/>
          <w:szCs w:val="24"/>
        </w:rPr>
        <w:t>Young Consumers , 11</w:t>
      </w:r>
      <w:r w:rsidRPr="00A515D4">
        <w:rPr>
          <w:rFonts w:cstheme="minorHAnsi"/>
          <w:noProof/>
          <w:sz w:val="24"/>
          <w:szCs w:val="24"/>
        </w:rPr>
        <w:t>(1), 57-66.</w:t>
      </w:r>
    </w:p>
    <w:p w:rsidR="00A515D4" w:rsidRPr="00A515D4" w:rsidRDefault="00A515D4" w:rsidP="00A515D4">
      <w:pPr>
        <w:pStyle w:val="Bibliography"/>
        <w:spacing w:line="480" w:lineRule="auto"/>
        <w:ind w:left="720" w:hanging="720"/>
        <w:rPr>
          <w:rFonts w:cstheme="minorHAnsi"/>
          <w:noProof/>
          <w:sz w:val="24"/>
          <w:szCs w:val="24"/>
        </w:rPr>
      </w:pPr>
      <w:r w:rsidRPr="00A515D4">
        <w:rPr>
          <w:rFonts w:cstheme="minorHAnsi"/>
          <w:noProof/>
          <w:sz w:val="24"/>
          <w:szCs w:val="24"/>
        </w:rPr>
        <w:t xml:space="preserve">Li, T. (2015). Nestle Employee Recruitment Research. </w:t>
      </w:r>
      <w:r w:rsidRPr="00A515D4">
        <w:rPr>
          <w:rFonts w:cstheme="minorHAnsi"/>
          <w:i/>
          <w:iCs/>
          <w:noProof/>
          <w:sz w:val="24"/>
          <w:szCs w:val="24"/>
        </w:rPr>
        <w:t>International Journal of Business and Social Science , 6</w:t>
      </w:r>
      <w:r w:rsidRPr="00A515D4">
        <w:rPr>
          <w:rFonts w:cstheme="minorHAnsi"/>
          <w:noProof/>
          <w:sz w:val="24"/>
          <w:szCs w:val="24"/>
        </w:rPr>
        <w:t>(4).</w:t>
      </w:r>
    </w:p>
    <w:p w:rsidR="00A515D4" w:rsidRPr="00A515D4" w:rsidRDefault="00A515D4" w:rsidP="00A515D4">
      <w:pPr>
        <w:pStyle w:val="Bibliography"/>
        <w:spacing w:line="480" w:lineRule="auto"/>
        <w:ind w:left="720" w:hanging="720"/>
        <w:rPr>
          <w:rFonts w:cstheme="minorHAnsi"/>
          <w:noProof/>
          <w:sz w:val="24"/>
          <w:szCs w:val="24"/>
        </w:rPr>
      </w:pPr>
      <w:r w:rsidRPr="00A515D4">
        <w:rPr>
          <w:rFonts w:cstheme="minorHAnsi"/>
          <w:noProof/>
          <w:sz w:val="24"/>
          <w:szCs w:val="24"/>
        </w:rPr>
        <w:t xml:space="preserve">Moyer, R. C., McGuigan, J. R., &amp; Rao, R. P. (2014). </w:t>
      </w:r>
      <w:r w:rsidRPr="00A515D4">
        <w:rPr>
          <w:rFonts w:cstheme="minorHAnsi"/>
          <w:i/>
          <w:iCs/>
          <w:noProof/>
          <w:sz w:val="24"/>
          <w:szCs w:val="24"/>
        </w:rPr>
        <w:t>Contemporary financial management.</w:t>
      </w:r>
      <w:r w:rsidRPr="00A515D4">
        <w:rPr>
          <w:rFonts w:cstheme="minorHAnsi"/>
          <w:noProof/>
          <w:sz w:val="24"/>
          <w:szCs w:val="24"/>
        </w:rPr>
        <w:t xml:space="preserve"> Cengage Learning.</w:t>
      </w:r>
    </w:p>
    <w:p w:rsidR="004D190E" w:rsidRPr="0007501D" w:rsidRDefault="00A515D4" w:rsidP="00A515D4">
      <w:pPr>
        <w:rPr>
          <w:rFonts w:ascii="Arial" w:hAnsi="Arial" w:cs="Arial"/>
        </w:rPr>
      </w:pPr>
      <w:r w:rsidRPr="00A515D4">
        <w:rPr>
          <w:rFonts w:asciiTheme="minorHAnsi" w:hAnsiTheme="minorHAnsi" w:cstheme="minorHAnsi"/>
          <w:b/>
          <w:sz w:val="24"/>
          <w:szCs w:val="24"/>
        </w:rPr>
        <w:fldChar w:fldCharType="end"/>
      </w:r>
    </w:p>
    <w:sectPr w:rsidR="004D190E" w:rsidRPr="000750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MT">
    <w:altName w:val="Arial"/>
    <w:charset w:val="01"/>
    <w:family w:val="swiss"/>
    <w:pitch w:val="variable"/>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DB32DF"/>
    <w:multiLevelType w:val="hybridMultilevel"/>
    <w:tmpl w:val="B7629A60"/>
    <w:lvl w:ilvl="0" w:tplc="C840D068">
      <w:numFmt w:val="bullet"/>
      <w:lvlText w:val="•"/>
      <w:lvlJc w:val="left"/>
      <w:pPr>
        <w:ind w:left="906" w:hanging="360"/>
      </w:pPr>
      <w:rPr>
        <w:rFonts w:ascii="Arial MT" w:eastAsia="Arial MT" w:hAnsi="Arial MT" w:cs="Arial MT" w:hint="default"/>
        <w:w w:val="100"/>
        <w:sz w:val="24"/>
        <w:szCs w:val="24"/>
        <w:lang w:val="en-US" w:eastAsia="en-US" w:bidi="ar-SA"/>
      </w:rPr>
    </w:lvl>
    <w:lvl w:ilvl="1" w:tplc="CBBEEA7A">
      <w:numFmt w:val="bullet"/>
      <w:lvlText w:val="•"/>
      <w:lvlJc w:val="left"/>
      <w:pPr>
        <w:ind w:left="1919" w:hanging="360"/>
      </w:pPr>
      <w:rPr>
        <w:rFonts w:hint="default"/>
        <w:lang w:val="en-US" w:eastAsia="en-US" w:bidi="ar-SA"/>
      </w:rPr>
    </w:lvl>
    <w:lvl w:ilvl="2" w:tplc="FE303CB4">
      <w:numFmt w:val="bullet"/>
      <w:lvlText w:val="•"/>
      <w:lvlJc w:val="left"/>
      <w:pPr>
        <w:ind w:left="2938" w:hanging="360"/>
      </w:pPr>
      <w:rPr>
        <w:rFonts w:hint="default"/>
        <w:lang w:val="en-US" w:eastAsia="en-US" w:bidi="ar-SA"/>
      </w:rPr>
    </w:lvl>
    <w:lvl w:ilvl="3" w:tplc="30C8EF50">
      <w:numFmt w:val="bullet"/>
      <w:lvlText w:val="•"/>
      <w:lvlJc w:val="left"/>
      <w:pPr>
        <w:ind w:left="3958" w:hanging="360"/>
      </w:pPr>
      <w:rPr>
        <w:rFonts w:hint="default"/>
        <w:lang w:val="en-US" w:eastAsia="en-US" w:bidi="ar-SA"/>
      </w:rPr>
    </w:lvl>
    <w:lvl w:ilvl="4" w:tplc="8F38FA24">
      <w:numFmt w:val="bullet"/>
      <w:lvlText w:val="•"/>
      <w:lvlJc w:val="left"/>
      <w:pPr>
        <w:ind w:left="4977" w:hanging="360"/>
      </w:pPr>
      <w:rPr>
        <w:rFonts w:hint="default"/>
        <w:lang w:val="en-US" w:eastAsia="en-US" w:bidi="ar-SA"/>
      </w:rPr>
    </w:lvl>
    <w:lvl w:ilvl="5" w:tplc="F5E4AFC2">
      <w:numFmt w:val="bullet"/>
      <w:lvlText w:val="•"/>
      <w:lvlJc w:val="left"/>
      <w:pPr>
        <w:ind w:left="5997" w:hanging="360"/>
      </w:pPr>
      <w:rPr>
        <w:rFonts w:hint="default"/>
        <w:lang w:val="en-US" w:eastAsia="en-US" w:bidi="ar-SA"/>
      </w:rPr>
    </w:lvl>
    <w:lvl w:ilvl="6" w:tplc="521A1228">
      <w:numFmt w:val="bullet"/>
      <w:lvlText w:val="•"/>
      <w:lvlJc w:val="left"/>
      <w:pPr>
        <w:ind w:left="7016" w:hanging="360"/>
      </w:pPr>
      <w:rPr>
        <w:rFonts w:hint="default"/>
        <w:lang w:val="en-US" w:eastAsia="en-US" w:bidi="ar-SA"/>
      </w:rPr>
    </w:lvl>
    <w:lvl w:ilvl="7" w:tplc="0DFCDA80">
      <w:numFmt w:val="bullet"/>
      <w:lvlText w:val="•"/>
      <w:lvlJc w:val="left"/>
      <w:pPr>
        <w:ind w:left="8036" w:hanging="360"/>
      </w:pPr>
      <w:rPr>
        <w:rFonts w:hint="default"/>
        <w:lang w:val="en-US" w:eastAsia="en-US" w:bidi="ar-SA"/>
      </w:rPr>
    </w:lvl>
    <w:lvl w:ilvl="8" w:tplc="E5C2E55C">
      <w:numFmt w:val="bullet"/>
      <w:lvlText w:val="•"/>
      <w:lvlJc w:val="left"/>
      <w:pPr>
        <w:ind w:left="9055" w:hanging="360"/>
      </w:pPr>
      <w:rPr>
        <w:rFonts w:hint="default"/>
        <w:lang w:val="en-US" w:eastAsia="en-US" w:bidi="ar-SA"/>
      </w:rPr>
    </w:lvl>
  </w:abstractNum>
  <w:abstractNum w:abstractNumId="1" w15:restartNumberingAfterBreak="0">
    <w:nsid w:val="6624414D"/>
    <w:multiLevelType w:val="hybridMultilevel"/>
    <w:tmpl w:val="761EB874"/>
    <w:lvl w:ilvl="0" w:tplc="6A92BD7A">
      <w:numFmt w:val="bullet"/>
      <w:lvlText w:val="-"/>
      <w:lvlJc w:val="left"/>
      <w:pPr>
        <w:ind w:left="1266" w:hanging="360"/>
      </w:pPr>
      <w:rPr>
        <w:rFonts w:ascii="Arial" w:eastAsia="Arial MT" w:hAnsi="Arial" w:cs="Arial" w:hint="default"/>
      </w:rPr>
    </w:lvl>
    <w:lvl w:ilvl="1" w:tplc="08090003" w:tentative="1">
      <w:start w:val="1"/>
      <w:numFmt w:val="bullet"/>
      <w:lvlText w:val="o"/>
      <w:lvlJc w:val="left"/>
      <w:pPr>
        <w:ind w:left="1986" w:hanging="360"/>
      </w:pPr>
      <w:rPr>
        <w:rFonts w:ascii="Courier New" w:hAnsi="Courier New" w:cs="Courier New" w:hint="default"/>
      </w:rPr>
    </w:lvl>
    <w:lvl w:ilvl="2" w:tplc="08090005" w:tentative="1">
      <w:start w:val="1"/>
      <w:numFmt w:val="bullet"/>
      <w:lvlText w:val=""/>
      <w:lvlJc w:val="left"/>
      <w:pPr>
        <w:ind w:left="2706" w:hanging="360"/>
      </w:pPr>
      <w:rPr>
        <w:rFonts w:ascii="Wingdings" w:hAnsi="Wingdings" w:hint="default"/>
      </w:rPr>
    </w:lvl>
    <w:lvl w:ilvl="3" w:tplc="08090001" w:tentative="1">
      <w:start w:val="1"/>
      <w:numFmt w:val="bullet"/>
      <w:lvlText w:val=""/>
      <w:lvlJc w:val="left"/>
      <w:pPr>
        <w:ind w:left="3426" w:hanging="360"/>
      </w:pPr>
      <w:rPr>
        <w:rFonts w:ascii="Symbol" w:hAnsi="Symbol" w:hint="default"/>
      </w:rPr>
    </w:lvl>
    <w:lvl w:ilvl="4" w:tplc="08090003" w:tentative="1">
      <w:start w:val="1"/>
      <w:numFmt w:val="bullet"/>
      <w:lvlText w:val="o"/>
      <w:lvlJc w:val="left"/>
      <w:pPr>
        <w:ind w:left="4146" w:hanging="360"/>
      </w:pPr>
      <w:rPr>
        <w:rFonts w:ascii="Courier New" w:hAnsi="Courier New" w:cs="Courier New" w:hint="default"/>
      </w:rPr>
    </w:lvl>
    <w:lvl w:ilvl="5" w:tplc="08090005" w:tentative="1">
      <w:start w:val="1"/>
      <w:numFmt w:val="bullet"/>
      <w:lvlText w:val=""/>
      <w:lvlJc w:val="left"/>
      <w:pPr>
        <w:ind w:left="4866" w:hanging="360"/>
      </w:pPr>
      <w:rPr>
        <w:rFonts w:ascii="Wingdings" w:hAnsi="Wingdings" w:hint="default"/>
      </w:rPr>
    </w:lvl>
    <w:lvl w:ilvl="6" w:tplc="08090001" w:tentative="1">
      <w:start w:val="1"/>
      <w:numFmt w:val="bullet"/>
      <w:lvlText w:val=""/>
      <w:lvlJc w:val="left"/>
      <w:pPr>
        <w:ind w:left="5586" w:hanging="360"/>
      </w:pPr>
      <w:rPr>
        <w:rFonts w:ascii="Symbol" w:hAnsi="Symbol" w:hint="default"/>
      </w:rPr>
    </w:lvl>
    <w:lvl w:ilvl="7" w:tplc="08090003" w:tentative="1">
      <w:start w:val="1"/>
      <w:numFmt w:val="bullet"/>
      <w:lvlText w:val="o"/>
      <w:lvlJc w:val="left"/>
      <w:pPr>
        <w:ind w:left="6306" w:hanging="360"/>
      </w:pPr>
      <w:rPr>
        <w:rFonts w:ascii="Courier New" w:hAnsi="Courier New" w:cs="Courier New" w:hint="default"/>
      </w:rPr>
    </w:lvl>
    <w:lvl w:ilvl="8" w:tplc="08090005" w:tentative="1">
      <w:start w:val="1"/>
      <w:numFmt w:val="bullet"/>
      <w:lvlText w:val=""/>
      <w:lvlJc w:val="left"/>
      <w:pPr>
        <w:ind w:left="7026"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677C"/>
    <w:rsid w:val="0007501D"/>
    <w:rsid w:val="001D1931"/>
    <w:rsid w:val="0024677C"/>
    <w:rsid w:val="004D190E"/>
    <w:rsid w:val="00A51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73E41"/>
  <w15:chartTrackingRefBased/>
  <w15:docId w15:val="{76023DD7-F676-4464-A684-68F0A8BB9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07501D"/>
    <w:pPr>
      <w:widowControl w:val="0"/>
      <w:autoSpaceDE w:val="0"/>
      <w:autoSpaceDN w:val="0"/>
      <w:spacing w:after="0" w:line="240" w:lineRule="auto"/>
    </w:pPr>
    <w:rPr>
      <w:rFonts w:ascii="Arial MT" w:eastAsia="Arial MT" w:hAnsi="Arial MT" w:cs="Arial MT"/>
      <w:lang w:val="en-US"/>
    </w:rPr>
  </w:style>
  <w:style w:type="paragraph" w:styleId="Heading1">
    <w:name w:val="heading 1"/>
    <w:basedOn w:val="Normal"/>
    <w:next w:val="Normal"/>
    <w:link w:val="Heading1Char"/>
    <w:uiPriority w:val="9"/>
    <w:qFormat/>
    <w:rsid w:val="00A515D4"/>
    <w:pPr>
      <w:keepNext/>
      <w:keepLines/>
      <w:widowControl/>
      <w:autoSpaceDE/>
      <w:autoSpaceDN/>
      <w:spacing w:before="240" w:line="360" w:lineRule="auto"/>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A515D4"/>
    <w:pPr>
      <w:keepNext/>
      <w:keepLines/>
      <w:widowControl/>
      <w:autoSpaceDE/>
      <w:autoSpaceDN/>
      <w:spacing w:before="40" w:line="360" w:lineRule="auto"/>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07501D"/>
  </w:style>
  <w:style w:type="character" w:customStyle="1" w:styleId="BodyTextChar">
    <w:name w:val="Body Text Char"/>
    <w:basedOn w:val="DefaultParagraphFont"/>
    <w:link w:val="BodyText"/>
    <w:uiPriority w:val="1"/>
    <w:rsid w:val="0007501D"/>
    <w:rPr>
      <w:rFonts w:ascii="Arial MT" w:eastAsia="Arial MT" w:hAnsi="Arial MT" w:cs="Arial MT"/>
      <w:lang w:val="en-US"/>
    </w:rPr>
  </w:style>
  <w:style w:type="paragraph" w:styleId="ListParagraph">
    <w:name w:val="List Paragraph"/>
    <w:basedOn w:val="Normal"/>
    <w:uiPriority w:val="1"/>
    <w:qFormat/>
    <w:rsid w:val="0007501D"/>
    <w:pPr>
      <w:ind w:left="432" w:hanging="248"/>
    </w:pPr>
  </w:style>
  <w:style w:type="character" w:customStyle="1" w:styleId="Heading1Char">
    <w:name w:val="Heading 1 Char"/>
    <w:basedOn w:val="DefaultParagraphFont"/>
    <w:link w:val="Heading1"/>
    <w:uiPriority w:val="9"/>
    <w:rsid w:val="00A515D4"/>
    <w:rPr>
      <w:rFonts w:ascii="Times New Roman" w:eastAsiaTheme="majorEastAsia" w:hAnsi="Times New Roman" w:cstheme="majorBidi"/>
      <w:b/>
      <w:color w:val="000000" w:themeColor="text1"/>
      <w:sz w:val="24"/>
      <w:szCs w:val="32"/>
      <w:lang w:val="en-US"/>
    </w:rPr>
  </w:style>
  <w:style w:type="character" w:customStyle="1" w:styleId="Heading2Char">
    <w:name w:val="Heading 2 Char"/>
    <w:basedOn w:val="DefaultParagraphFont"/>
    <w:link w:val="Heading2"/>
    <w:uiPriority w:val="9"/>
    <w:rsid w:val="00A515D4"/>
    <w:rPr>
      <w:rFonts w:ascii="Times New Roman" w:eastAsiaTheme="majorEastAsia" w:hAnsi="Times New Roman" w:cstheme="majorBidi"/>
      <w:b/>
      <w:color w:val="000000" w:themeColor="text1"/>
      <w:sz w:val="24"/>
      <w:szCs w:val="26"/>
      <w:lang w:val="en-US"/>
    </w:rPr>
  </w:style>
  <w:style w:type="paragraph" w:styleId="Bibliography">
    <w:name w:val="Bibliography"/>
    <w:basedOn w:val="Normal"/>
    <w:next w:val="Normal"/>
    <w:uiPriority w:val="37"/>
    <w:unhideWhenUsed/>
    <w:rsid w:val="00A515D4"/>
    <w:pPr>
      <w:widowControl/>
      <w:autoSpaceDE/>
      <w:autoSpaceDN/>
      <w:spacing w:after="160" w:line="259" w:lineRule="auto"/>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Ton15</b:Tag>
    <b:SourceType>JournalArticle</b:SourceType>
    <b:Guid>{6A0E4E20-C3F0-48C1-91E6-336F61237C3B}</b:Guid>
    <b:Author>
      <b:Author>
        <b:NameList>
          <b:Person>
            <b:Last>Li</b:Last>
            <b:First>Tong</b:First>
          </b:Person>
        </b:NameList>
      </b:Author>
    </b:Author>
    <b:Title>Nestle Employee Recruitment Research</b:Title>
    <b:JournalName>International Journal of Business and Social Science </b:JournalName>
    <b:Year>2015</b:Year>
    <b:Volume>6</b:Volume>
    <b:Issue>4</b:Issue>
    <b:RefOrder>1</b:RefOrder>
  </b:Source>
  <b:Source>
    <b:Tag>Fre10</b:Tag>
    <b:SourceType>Book</b:SourceType>
    <b:Guid>{B130E690-4FBD-4BC7-852A-83A8523D0FA7}</b:Guid>
    <b:Author>
      <b:Author>
        <b:NameList>
          <b:Person>
            <b:Last>Freeman</b:Last>
            <b:First>R.</b:First>
            <b:Middle>Edward</b:Middle>
          </b:Person>
        </b:NameList>
      </b:Author>
    </b:Author>
    <b:Title>Strategic management: A stakeholder approach</b:Title>
    <b:Year>2010</b:Year>
    <b:Publisher>Cambridge university press</b:Publisher>
    <b:RefOrder>2</b:RefOrder>
  </b:Source>
  <b:Source>
    <b:Tag>San10</b:Tag>
    <b:SourceType>JournalArticle</b:SourceType>
    <b:Guid>{57DBD00A-A6F0-4CE3-AE4F-9149B7871310}</b:Guid>
    <b:Author>
      <b:Author>
        <b:NameList>
          <b:Person>
            <b:Last>Jones</b:Last>
            <b:First>Sandra</b:First>
            <b:Middle>C.</b:Middle>
          </b:Person>
          <b:Person>
            <b:Last>Reid</b:Last>
            <b:First>Amanda</b:First>
          </b:Person>
        </b:NameList>
      </b:Author>
    </b:Author>
    <b:Title>Marketing to children and teens on Australian food company web sites</b:Title>
    <b:JournalName>Young Consumers </b:JournalName>
    <b:Year>2010</b:Year>
    <b:Pages>57-66</b:Pages>
    <b:Volume>11</b:Volume>
    <b:Issue>1</b:Issue>
    <b:RefOrder>3</b:RefOrder>
  </b:Source>
  <b:Source>
    <b:Tag>Eug21</b:Tag>
    <b:SourceType>Book</b:SourceType>
    <b:Guid>{D086AB94-7184-455B-99C3-0F296F148A4F}</b:Guid>
    <b:Title>Fundamentals of financial management</b:Title>
    <b:Year>2021</b:Year>
    <b:Author>
      <b:Author>
        <b:NameList>
          <b:Person>
            <b:Last>Brigham</b:Last>
            <b:First>Eugene</b:First>
            <b:Middle>F.</b:Middle>
          </b:Person>
          <b:Person>
            <b:Last>Houston</b:Last>
            <b:First>Joel</b:First>
            <b:Middle>F.</b:Middle>
          </b:Person>
        </b:NameList>
      </b:Author>
    </b:Author>
    <b:Publisher>Cengage Learning</b:Publisher>
    <b:RefOrder>4</b:RefOrder>
  </b:Source>
  <b:Source>
    <b:Tag>RCh14</b:Tag>
    <b:SourceType>Book</b:SourceType>
    <b:Guid>{7A20DFA1-E3BB-455D-A66B-950A3C8DBBF7}</b:Guid>
    <b:Author>
      <b:Author>
        <b:NameList>
          <b:Person>
            <b:Last>Moyer</b:Last>
            <b:First>R.</b:First>
            <b:Middle>Charles</b:Middle>
          </b:Person>
          <b:Person>
            <b:Last>McGuigan</b:Last>
            <b:First>James</b:First>
            <b:Middle>R.</b:Middle>
          </b:Person>
          <b:Person>
            <b:Last>Rao</b:Last>
            <b:First>Ramesh</b:First>
            <b:Middle>P.</b:Middle>
          </b:Person>
        </b:NameList>
      </b:Author>
    </b:Author>
    <b:Title>Contemporary financial management</b:Title>
    <b:Year>2014</b:Year>
    <b:Publisher>Cengage Learning</b:Publisher>
    <b:RefOrder>5</b:RefOrder>
  </b:Source>
  <b:Source>
    <b:Tag>Sta18</b:Tag>
    <b:SourceType>Book</b:SourceType>
    <b:Guid>{885D1B32-BF74-4019-AC4A-338AE6637652}</b:Guid>
    <b:Author>
      <b:Author>
        <b:NameList>
          <b:Person>
            <b:Last>Block</b:Last>
            <b:First>Stanley</b:First>
            <b:Middle>B.</b:Middle>
          </b:Person>
          <b:Person>
            <b:Last>Hirt</b:Last>
            <b:First>Geoffrey</b:First>
            <b:Middle>A.</b:Middle>
          </b:Person>
          <b:Person>
            <b:Last>Danielsen</b:Last>
            <b:First>Bartley</b:First>
            <b:Middle>R.</b:Middle>
          </b:Person>
        </b:NameList>
      </b:Author>
    </b:Author>
    <b:Title>Foundations of financial management</b:Title>
    <b:Year>2018</b:Year>
    <b:Publisher>McGraw-Hill Education</b:Publisher>
    <b:RefOrder>6</b:RefOrder>
  </b:Source>
</b:Sources>
</file>

<file path=customXml/itemProps1.xml><?xml version="1.0" encoding="utf-8"?>
<ds:datastoreItem xmlns:ds="http://schemas.openxmlformats.org/officeDocument/2006/customXml" ds:itemID="{1421A16A-D18B-441D-94D1-8983A4957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1584</Words>
  <Characters>9032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3</cp:revision>
  <dcterms:created xsi:type="dcterms:W3CDTF">2022-07-26T18:54:00Z</dcterms:created>
  <dcterms:modified xsi:type="dcterms:W3CDTF">2022-08-04T09:30:00Z</dcterms:modified>
</cp:coreProperties>
</file>