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pPr>
      <w:r>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drawing>
          <wp:inline distT="0" distB="0" distL="0" distR="0">
            <wp:extent cx="1908049" cy="635661"/>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TSD_logo2010.png"/>
                    <pic:cNvPicPr>
                      <a:picLocks noChangeAspect="1"/>
                    </pic:cNvPicPr>
                  </pic:nvPicPr>
                  <pic:blipFill>
                    <a:blip r:embed="rId4">
                      <a:extLst/>
                    </a:blip>
                    <a:stretch>
                      <a:fillRect/>
                    </a:stretch>
                  </pic:blipFill>
                  <pic:spPr>
                    <a:xfrm>
                      <a:off x="0" y="0"/>
                      <a:ext cx="1908049" cy="635661"/>
                    </a:xfrm>
                    <a:prstGeom prst="rect">
                      <a:avLst/>
                    </a:prstGeom>
                    <a:ln w="19050" cap="flat">
                      <a:solidFill>
                        <a:srgbClr val="000000"/>
                      </a:solidFill>
                      <a:prstDash val="solid"/>
                      <a:round/>
                    </a:ln>
                    <a:effectLst/>
                  </pic:spPr>
                </pic:pic>
              </a:graphicData>
            </a:graphic>
          </wp:inline>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rPr>
        <w:t xml:space="preserve">Postgraduate/Distance Learning </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rPr>
        <w:t>Assignment coversheet &amp; feedback form</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Tahoma" w:cs="Tahoma" w:hAnsi="Tahoma" w:eastAsia="Tahoma"/>
          <w:b w:val="1"/>
          <w:bCs w:val="1"/>
          <w:i w:val="0"/>
          <w:iCs w:val="0"/>
          <w:caps w:val="0"/>
          <w:smallCaps w:val="0"/>
          <w:strike w:val="0"/>
          <w:dstrike w:val="0"/>
          <w:outline w:val="0"/>
          <w:color w:val="000000"/>
          <w:spacing w:val="0"/>
          <w:kern w:val="0"/>
          <w:position w:val="0"/>
          <w:sz w:val="20"/>
          <w:szCs w:val="20"/>
          <w:u w:val="none" w:color="000000"/>
          <w:vertAlign w:val="baseline"/>
          <w:rtl w:val="0"/>
        </w:rPr>
      </w:pPr>
      <w:r>
        <w:rPr>
          <w:rFonts w:ascii="Tahoma" w:cs="Arial Unicode MS" w:hAnsi="Tahoma" w:eastAsia="Arial Unicode MS"/>
          <w:b w:val="1"/>
          <w:bCs w:val="1"/>
          <w:i w:val="0"/>
          <w:iCs w:val="0"/>
          <w:caps w:val="0"/>
          <w:smallCaps w:val="0"/>
          <w:strike w:val="0"/>
          <w:dstrike w:val="0"/>
          <w:outline w:val="0"/>
          <w:color w:val="000000"/>
          <w:spacing w:val="0"/>
          <w:kern w:val="0"/>
          <w:position w:val="0"/>
          <w:sz w:val="20"/>
          <w:szCs w:val="20"/>
          <w:u w:val="none" w:color="000000"/>
          <w:vertAlign w:val="baseline"/>
          <w:rtl w:val="0"/>
        </w:rPr>
        <w:t>THIS SHEET MUST BE THE FIRST PAGE OF THE ASSIGNMENT YOU ARE SUBMITTING  (DO NOT SEND AS A SEPARATE FILE)</w:t>
      </w:r>
    </w:p>
    <w:tbl>
      <w:tblPr>
        <w:tblW w:w="9637"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210"/>
        <w:gridCol w:w="461"/>
        <w:gridCol w:w="1694"/>
        <w:gridCol w:w="311"/>
        <w:gridCol w:w="1961"/>
      </w:tblGrid>
      <w:tr>
        <w:tblPrEx>
          <w:shd w:val="clear" w:color="auto" w:fill="ced7e7"/>
        </w:tblPrEx>
        <w:trPr>
          <w:trHeight w:val="454"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ced7e7"/>
        </w:tblPrEx>
        <w:trPr>
          <w:trHeight w:val="72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Student Name: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Reece Morris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Student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University</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Email: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1300653@student.uwtsd.ac.uk</w:t>
            </w:r>
          </w:p>
        </w:tc>
      </w:tr>
      <w:tr>
        <w:tblPrEx>
          <w:shd w:val="clear" w:color="auto" w:fill="ced7e7"/>
        </w:tblPrEx>
        <w:trPr>
          <w:trHeight w:val="1443" w:hRule="atLeast"/>
        </w:trPr>
        <w:tc>
          <w:tcPr>
            <w:tcW w:type="dxa" w:w="52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Module code: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CLCL7003</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Module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Theory and Methodology for the Study of Ancient Religions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c>
          <w:tcPr>
            <w:tcW w:type="dxa" w:w="246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Student ID number:</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1300653</w:t>
            </w:r>
          </w:p>
        </w:tc>
        <w:tc>
          <w:tcPr>
            <w:tcW w:type="dxa" w:w="1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No</w:t>
            </w:r>
          </w:p>
        </w:tc>
      </w:tr>
      <w:tr>
        <w:tblPrEx>
          <w:shd w:val="clear" w:color="auto" w:fill="ced7e7"/>
        </w:tblPrEx>
        <w:trPr>
          <w:trHeight w:val="979"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Assignment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Book review</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Assignment due date: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24/01/18</w:t>
            </w:r>
          </w:p>
        </w:tc>
      </w:tr>
      <w:tr>
        <w:tblPrEx>
          <w:shd w:val="clear" w:color="auto" w:fill="ced7e7"/>
        </w:tblPrEx>
        <w:trPr>
          <w:trHeight w:val="818"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rtl w:val="0"/>
                <w:lang w:val="en-US"/>
              </w:rPr>
              <w:t>This assignment is for the       1</w:t>
            </w:r>
            <w:r>
              <w:rPr>
                <w:rFonts w:ascii="Arial" w:hAnsi="Arial"/>
                <w:u w:color="000000"/>
                <w:vertAlign w:val="superscript"/>
                <w:rtl w:val="0"/>
                <w:lang w:val="en-US"/>
              </w:rPr>
              <w:t xml:space="preserve">st </w:t>
            </w:r>
            <w:r>
              <w:rPr>
                <w:rFonts w:ascii="Arial" w:hAnsi="Arial"/>
                <w:u w:color="000000"/>
                <w:rtl w:val="0"/>
                <w:lang w:val="en-US"/>
              </w:rPr>
              <w:t xml:space="preserve">    2</w:t>
            </w:r>
            <w:r>
              <w:rPr>
                <w:rFonts w:ascii="Arial" w:hAnsi="Arial"/>
                <w:u w:color="000000"/>
                <w:vertAlign w:val="superscript"/>
                <w:rtl w:val="0"/>
                <w:lang w:val="en-US"/>
              </w:rPr>
              <w:t>nd</w:t>
            </w:r>
            <w:r>
              <w:rPr>
                <w:rFonts w:ascii="Arial" w:hAnsi="Arial"/>
                <w:u w:color="000000"/>
                <w:rtl w:val="0"/>
                <w:lang w:val="en-US"/>
              </w:rPr>
              <w:t xml:space="preserve">       3</w:t>
            </w:r>
            <w:r>
              <w:rPr>
                <w:rFonts w:ascii="Arial" w:hAnsi="Arial"/>
                <w:u w:color="000000"/>
                <w:vertAlign w:val="superscript"/>
                <w:rtl w:val="0"/>
                <w:lang w:val="en-US"/>
              </w:rPr>
              <w:t>rd</w:t>
            </w:r>
            <w:r>
              <w:rPr>
                <w:rFonts w:ascii="Arial" w:hAnsi="Arial"/>
                <w:u w:color="000000"/>
                <w:rtl w:val="0"/>
                <w:lang w:val="en-US"/>
              </w:rPr>
              <w:t xml:space="preserve">        4</w:t>
            </w:r>
            <w:r>
              <w:rPr>
                <w:rFonts w:ascii="Arial" w:hAnsi="Arial"/>
                <w:u w:color="000000"/>
                <w:vertAlign w:val="superscript"/>
                <w:rtl w:val="0"/>
                <w:lang w:val="en-US"/>
              </w:rPr>
              <w:t>th</w:t>
            </w:r>
            <w:r>
              <w:rPr>
                <w:rFonts w:ascii="Arial" w:hAnsi="Arial"/>
                <w:u w:color="000000"/>
                <w:rtl w:val="0"/>
                <w:lang w:val="en-US"/>
              </w:rPr>
              <w:t xml:space="preserve">       5</w:t>
            </w:r>
            <w:r>
              <w:rPr>
                <w:rFonts w:ascii="Arial" w:hAnsi="Arial"/>
                <w:u w:color="000000"/>
                <w:vertAlign w:val="superscript"/>
                <w:rtl w:val="0"/>
                <w:lang w:val="en-US"/>
              </w:rPr>
              <w:t>th</w:t>
            </w:r>
            <w:r>
              <w:rPr>
                <w:rFonts w:ascii="Arial" w:hAnsi="Arial"/>
                <w:u w:color="000000"/>
                <w:rtl w:val="0"/>
                <w:lang w:val="en-US"/>
              </w:rPr>
              <w:t xml:space="preserve">       6</w:t>
            </w:r>
            <w:r>
              <w:rPr>
                <w:rFonts w:ascii="Arial" w:hAnsi="Arial"/>
                <w:u w:color="000000"/>
                <w:vertAlign w:val="superscript"/>
                <w:rtl w:val="0"/>
                <w:lang w:val="en-US"/>
              </w:rPr>
              <w:t>th</w:t>
            </w:r>
            <w:r>
              <w:rPr>
                <w:rFonts w:ascii="Arial" w:hAnsi="Arial"/>
                <w:u w:color="000000"/>
                <w:rtl w:val="0"/>
                <w:lang w:val="en-US"/>
              </w:rPr>
              <w:t xml:space="preserve"> </w:t>
            </w:r>
            <w:r>
              <w:rPr>
                <w:rFonts w:ascii="Arial" w:hAnsi="Arial"/>
                <w:b w:val="1"/>
                <w:bCs w:val="1"/>
                <w:u w:color="000000"/>
                <w:rtl w:val="0"/>
                <w:lang w:val="en-US"/>
              </w:rPr>
              <w:t xml:space="preserve">   </w:t>
            </w:r>
            <w:r>
              <w:rPr>
                <w:rFonts w:ascii="Arial" w:hAnsi="Arial"/>
                <w:u w:color="000000"/>
                <w:rtl w:val="0"/>
                <w:lang w:val="en-US"/>
              </w:rPr>
              <w:t>module of the degree</w:t>
            </w:r>
          </w:p>
        </w:tc>
      </w:tr>
      <w:tr>
        <w:tblPrEx>
          <w:shd w:val="clear" w:color="auto" w:fill="ced7e7"/>
        </w:tblPrEx>
        <w:trPr>
          <w:trHeight w:val="2090"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Signed</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 xml:space="preserve"> Reece Morris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vertAlign w:val="baseline"/>
                <w:rtl w:val="0"/>
              </w:rPr>
            </w:pPr>
            <w:r>
              <w:rPr>
                <w:rFonts w:ascii="Calibri" w:cs="Calibri" w:hAnsi="Calibri" w:eastAsia="Calibri"/>
                <w:b w:val="1"/>
                <w:bCs w:val="1"/>
                <w:i w:val="0"/>
                <w:iCs w:val="0"/>
                <w:caps w:val="0"/>
                <w:smallCaps w:val="0"/>
                <w:strike w:val="0"/>
                <w:dstrike w:val="0"/>
                <w:outline w:val="0"/>
                <w:color w:val="000000"/>
                <w:spacing w:val="0"/>
                <w:kern w:val="0"/>
                <w:position w:val="0"/>
                <w:sz w:val="24"/>
                <w:szCs w:val="24"/>
                <w:u w:val="none" w:color="000000"/>
                <w:vertAlign w:val="baseline"/>
                <w:rtl w:val="0"/>
                <w:lang w:val="en-US"/>
              </w:rPr>
              <w:t xml:space="preserve">Email submission:if you are submitting this form via email, please tick this box </w:t>
            </w:r>
            <w:r>
              <w:rPr>
                <w:rFonts w:ascii="Calibri" w:cs="Calibri" w:hAnsi="Calibri" w:eastAsia="Calibri" w:hint="default"/>
                <w:b w:val="1"/>
                <w:bCs w:val="1"/>
                <w:i w:val="0"/>
                <w:iCs w:val="0"/>
                <w:caps w:val="0"/>
                <w:smallCaps w:val="0"/>
                <w:strike w:val="0"/>
                <w:dstrike w:val="0"/>
                <w:outline w:val="0"/>
                <w:color w:val="000000"/>
                <w:spacing w:val="0"/>
                <w:kern w:val="0"/>
                <w:position w:val="0"/>
                <w:sz w:val="44"/>
                <w:szCs w:val="44"/>
                <w:u w:val="none" w:color="000000"/>
                <w:vertAlign w:val="baseline"/>
                <w:rtl w:val="0"/>
                <w:lang w:val="en-US"/>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Calibri" w:hAnsi="Calibri" w:eastAsia="Calibri"/>
                <w:b w:val="1"/>
                <w:bCs w:val="1"/>
                <w:i w:val="0"/>
                <w:iCs w:val="0"/>
                <w:caps w:val="0"/>
                <w:smallCaps w:val="0"/>
                <w:strike w:val="0"/>
                <w:dstrike w:val="0"/>
                <w:outline w:val="0"/>
                <w:color w:val="000000"/>
                <w:spacing w:val="0"/>
                <w:kern w:val="0"/>
                <w:position w:val="0"/>
                <w:sz w:val="24"/>
                <w:szCs w:val="24"/>
                <w:u w:val="none" w:color="000000"/>
                <w:vertAlign w:val="baseline"/>
                <w:rtl w:val="0"/>
                <w:lang w:val="en-US"/>
              </w:rPr>
              <w:t>(as a substitute for your signature) to confirm that you agree to the above declaration.</w:t>
            </w:r>
          </w:p>
        </w:tc>
      </w:tr>
      <w:tr>
        <w:tblPrEx>
          <w:shd w:val="clear" w:color="auto" w:fill="ced7e7"/>
        </w:tblPrEx>
        <w:trPr>
          <w:trHeight w:val="544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sz w:val="24"/>
                <w:szCs w:val="24"/>
                <w:u w:color="000000"/>
                <w:rtl w:val="0"/>
                <w:lang w:val="en-US"/>
              </w:rPr>
            </w:pPr>
          </w:p>
          <w:p>
            <w:pPr>
              <w:pStyle w:val="Body"/>
              <w:jc w:val="left"/>
              <w:rPr>
                <w:rFonts w:ascii="Arial" w:cs="Arial" w:hAnsi="Arial" w:eastAsia="Arial"/>
                <w:sz w:val="24"/>
                <w:szCs w:val="24"/>
                <w:u w:color="000000"/>
              </w:rPr>
            </w:pPr>
            <w:r>
              <w:rPr>
                <w:rFonts w:ascii="Arial" w:hAnsi="Arial"/>
                <w:b w:val="1"/>
                <w:bCs w:val="1"/>
                <w:sz w:val="24"/>
                <w:szCs w:val="24"/>
                <w:u w:color="000000"/>
                <w:rtl w:val="0"/>
                <w:lang w:val="en-US"/>
              </w:rPr>
              <w:t>Assignment Mark</w:t>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sz w:val="20"/>
                <w:szCs w:val="20"/>
                <w:u w:color="000000"/>
                <w:rtl w:val="0"/>
                <w:lang w:val="en-US"/>
              </w:rPr>
            </w:pPr>
            <w:r>
              <w:rPr>
                <w:rFonts w:ascii="Arial" w:hAnsi="Arial"/>
                <w:sz w:val="20"/>
                <w:szCs w:val="20"/>
                <w:u w:color="000000"/>
                <w:rtl w:val="0"/>
                <w:lang w:val="en-US"/>
              </w:rPr>
              <w:t>1</w:t>
            </w:r>
            <w:r>
              <w:rPr>
                <w:rFonts w:ascii="Arial" w:hAnsi="Arial"/>
                <w:sz w:val="20"/>
                <w:szCs w:val="20"/>
                <w:u w:color="000000"/>
                <w:vertAlign w:val="superscript"/>
                <w:rtl w:val="0"/>
                <w:lang w:val="en-US"/>
              </w:rPr>
              <w:t>st</w:t>
            </w:r>
            <w:r>
              <w:rPr>
                <w:rFonts w:ascii="Arial" w:hAnsi="Arial"/>
                <w:sz w:val="20"/>
                <w:szCs w:val="20"/>
                <w:u w:color="000000"/>
                <w:rtl w:val="0"/>
                <w:lang w:val="en-US"/>
              </w:rPr>
              <w:t xml:space="preserve"> Marker</w:t>
            </w:r>
            <w:r>
              <w:rPr>
                <w:rFonts w:ascii="Arial" w:hAnsi="Arial" w:hint="default"/>
                <w:sz w:val="20"/>
                <w:szCs w:val="20"/>
                <w:u w:color="000000"/>
                <w:rtl w:val="0"/>
                <w:lang w:val="en-US"/>
              </w:rPr>
              <w:t>’</w:t>
            </w:r>
            <w:r>
              <w:rPr>
                <w:rFonts w:ascii="Arial" w:hAnsi="Arial"/>
                <w:sz w:val="20"/>
                <w:szCs w:val="20"/>
                <w:u w:color="000000"/>
                <w:rtl w:val="0"/>
                <w:lang w:val="en-US"/>
              </w:rPr>
              <w:t>s Provisional mark</w:t>
              <w:tab/>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sz w:val="20"/>
                <w:szCs w:val="20"/>
                <w:u w:color="000000"/>
                <w:rtl w:val="0"/>
                <w:lang w:val="en-US"/>
              </w:rPr>
            </w:pPr>
            <w:r>
              <w:rPr>
                <w:rFonts w:ascii="Arial" w:hAnsi="Arial"/>
                <w:sz w:val="20"/>
                <w:szCs w:val="20"/>
                <w:u w:color="000000"/>
                <w:rtl w:val="0"/>
                <w:lang w:val="en-US"/>
              </w:rPr>
              <w:t>2</w:t>
            </w:r>
            <w:r>
              <w:rPr>
                <w:rFonts w:ascii="Arial" w:hAnsi="Arial"/>
                <w:sz w:val="20"/>
                <w:szCs w:val="20"/>
                <w:u w:color="000000"/>
                <w:vertAlign w:val="superscript"/>
                <w:rtl w:val="0"/>
                <w:lang w:val="en-US"/>
              </w:rPr>
              <w:t>nd</w:t>
            </w:r>
            <w:r>
              <w:rPr>
                <w:rFonts w:ascii="Arial" w:hAnsi="Arial"/>
                <w:sz w:val="20"/>
                <w:szCs w:val="20"/>
                <w:u w:color="000000"/>
                <w:rtl w:val="0"/>
                <w:lang w:val="en-US"/>
              </w:rPr>
              <w:t xml:space="preserve"> Marker</w:t>
            </w:r>
            <w:r>
              <w:rPr>
                <w:rFonts w:ascii="Arial" w:hAnsi="Arial" w:hint="default"/>
                <w:sz w:val="20"/>
                <w:szCs w:val="20"/>
                <w:u w:color="000000"/>
                <w:rtl w:val="0"/>
                <w:lang w:val="en-US"/>
              </w:rPr>
              <w:t>’</w:t>
            </w:r>
            <w:r>
              <w:rPr>
                <w:rFonts w:ascii="Arial" w:hAnsi="Arial"/>
                <w:sz w:val="20"/>
                <w:szCs w:val="20"/>
                <w:u w:color="000000"/>
                <w:rtl w:val="0"/>
                <w:lang w:val="en-US"/>
              </w:rPr>
              <w:t>s/Moderator</w:t>
            </w:r>
            <w:r>
              <w:rPr>
                <w:rFonts w:ascii="Arial" w:hAnsi="Arial" w:hint="default"/>
                <w:sz w:val="20"/>
                <w:szCs w:val="20"/>
                <w:u w:color="000000"/>
                <w:rtl w:val="0"/>
                <w:lang w:val="en-US"/>
              </w:rPr>
              <w:t>’</w:t>
            </w:r>
            <w:r>
              <w:rPr>
                <w:rFonts w:ascii="Arial" w:hAnsi="Arial"/>
                <w:sz w:val="20"/>
                <w:szCs w:val="20"/>
                <w:u w:color="000000"/>
                <w:rtl w:val="0"/>
                <w:lang w:val="en-US"/>
              </w:rPr>
              <w:t>s provisional mark</w:t>
              <w:tab/>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sz w:val="20"/>
                <w:szCs w:val="20"/>
                <w:u w:color="000000"/>
                <w:rtl w:val="0"/>
                <w:lang w:val="en-US"/>
              </w:rPr>
            </w:pPr>
            <w:r>
              <w:rPr>
                <w:rFonts w:ascii="Arial" w:hAnsi="Arial"/>
                <w:sz w:val="20"/>
                <w:szCs w:val="20"/>
                <w:u w:color="000000"/>
                <w:rtl w:val="0"/>
                <w:lang w:val="en-US"/>
              </w:rPr>
              <w:t>External Examiner</w:t>
            </w:r>
            <w:r>
              <w:rPr>
                <w:rFonts w:ascii="Arial" w:hAnsi="Arial" w:hint="default"/>
                <w:sz w:val="20"/>
                <w:szCs w:val="20"/>
                <w:u w:color="000000"/>
                <w:rtl w:val="0"/>
                <w:lang w:val="en-US"/>
              </w:rPr>
              <w:t>’</w:t>
            </w:r>
            <w:r>
              <w:rPr>
                <w:rFonts w:ascii="Arial" w:hAnsi="Arial"/>
                <w:sz w:val="20"/>
                <w:szCs w:val="20"/>
                <w:u w:color="000000"/>
                <w:rtl w:val="0"/>
                <w:lang w:val="en-US"/>
              </w:rPr>
              <w:t>s mark (if relevant)</w:t>
              <w:tab/>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b w:val="1"/>
                <w:bCs w:val="1"/>
                <w:sz w:val="20"/>
                <w:szCs w:val="20"/>
                <w:u w:color="000000"/>
                <w:rtl w:val="0"/>
              </w:rPr>
            </w:pPr>
            <w:r>
              <w:rPr>
                <w:rFonts w:ascii="Arial" w:hAnsi="Arial"/>
                <w:b w:val="1"/>
                <w:bCs w:val="1"/>
                <w:sz w:val="20"/>
                <w:szCs w:val="20"/>
                <w:u w:color="000000"/>
                <w:rtl w:val="0"/>
                <w:lang w:val="en-US"/>
              </w:rPr>
              <w:t>Final Mark</w:t>
            </w:r>
          </w:p>
          <w:p>
            <w:pPr>
              <w:pStyle w:val="Body"/>
              <w:bidi w:val="0"/>
              <w:ind w:left="0" w:right="0" w:firstLine="0"/>
              <w:jc w:val="left"/>
              <w:rPr>
                <w:rFonts w:ascii="Arial" w:cs="Arial" w:hAnsi="Arial" w:eastAsia="Arial"/>
                <w:b w:val="1"/>
                <w:bCs w:val="1"/>
                <w:sz w:val="20"/>
                <w:szCs w:val="20"/>
                <w:u w:color="000000"/>
                <w:rtl w:val="0"/>
              </w:rPr>
            </w:pPr>
            <w:r>
              <w:rPr>
                <w:rFonts w:ascii="Arial" w:cs="Arial" w:hAnsi="Arial" w:eastAsia="Arial"/>
                <w:b w:val="1"/>
                <w:bCs w:val="1"/>
                <w:sz w:val="20"/>
                <w:szCs w:val="20"/>
                <w:u w:color="000000"/>
                <w:rtl w:val="0"/>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Comments:</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r>
          </w:p>
        </w:tc>
      </w:tr>
      <w:tr>
        <w:tblPrEx>
          <w:shd w:val="clear" w:color="auto" w:fill="ced7e7"/>
        </w:tblPrEx>
        <w:trPr>
          <w:trHeight w:val="332" w:hRule="atLeast"/>
        </w:trPr>
        <w:tc>
          <w:tcPr>
            <w:tcW w:type="dxa" w:w="73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 signature:</w:t>
            </w:r>
          </w:p>
        </w:tc>
        <w:tc>
          <w:tcPr>
            <w:tcW w:type="dxa" w:w="227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Date:</w:t>
            </w:r>
          </w:p>
        </w:tc>
      </w:tr>
      <w:tr>
        <w:tblPrEx>
          <w:shd w:val="clear" w:color="auto" w:fill="ced7e7"/>
        </w:tblPrEx>
        <w:trPr>
          <w:trHeight w:val="192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r>
      <w:tr>
        <w:tblPrEx>
          <w:shd w:val="clear" w:color="auto" w:fill="ced7e7"/>
        </w:tblPrEx>
        <w:trPr>
          <w:trHeight w:val="560" w:hRule="atLeast"/>
        </w:trPr>
        <w:tc>
          <w:tcPr>
            <w:tcW w:type="dxa" w:w="567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 Signature:</w:t>
            </w:r>
          </w:p>
        </w:tc>
        <w:tc>
          <w:tcPr>
            <w:tcW w:type="dxa" w:w="396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Date:</w:t>
            </w:r>
          </w:p>
        </w:tc>
      </w:tr>
      <w:tr>
        <w:tblPrEx>
          <w:shd w:val="clear" w:color="auto" w:fill="ced7e7"/>
        </w:tblPrEx>
        <w:trPr>
          <w:trHeight w:val="288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u w:color="000000"/>
                <w:rtl w:val="0"/>
              </w:rPr>
            </w:pPr>
            <w:r>
              <w:rPr>
                <w:rFonts w:ascii="Arial" w:hAnsi="Arial"/>
                <w:b w:val="1"/>
                <w:bCs w:val="1"/>
                <w:u w:color="000000"/>
                <w:rtl w:val="0"/>
                <w:lang w:val="en-US"/>
              </w:rPr>
              <w:t>External Examiner</w:t>
            </w:r>
            <w:r>
              <w:rPr>
                <w:rFonts w:ascii="Arial" w:hAnsi="Arial" w:hint="default"/>
                <w:b w:val="1"/>
                <w:bCs w:val="1"/>
                <w:u w:color="000000"/>
                <w:rtl w:val="0"/>
                <w:lang w:val="en-US"/>
              </w:rPr>
              <w:t>’</w:t>
            </w:r>
            <w:r>
              <w:rPr>
                <w:rFonts w:ascii="Arial" w:hAnsi="Arial"/>
                <w:b w:val="1"/>
                <w:bCs w:val="1"/>
                <w:u w:color="000000"/>
                <w:rtl w:val="0"/>
                <w:lang w:val="en-US"/>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r>
      <w:tr>
        <w:tblPrEx>
          <w:shd w:val="clear" w:color="auto" w:fill="ced7e7"/>
        </w:tblPrEx>
        <w:trPr>
          <w:trHeight w:val="560" w:hRule="atLeast"/>
        </w:trPr>
        <w:tc>
          <w:tcPr>
            <w:tcW w:type="dxa" w:w="567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rtl w:val="0"/>
                <w:lang w:val="en-US"/>
              </w:rPr>
              <w:t>External Examiner</w:t>
            </w:r>
            <w:r>
              <w:rPr>
                <w:rFonts w:ascii="Arial" w:hAnsi="Arial" w:hint="default"/>
                <w:u w:color="000000"/>
                <w:rtl w:val="0"/>
                <w:lang w:val="en-US"/>
              </w:rPr>
              <w:t>’</w:t>
            </w:r>
            <w:r>
              <w:rPr>
                <w:rFonts w:ascii="Arial" w:hAnsi="Arial"/>
                <w:u w:color="000000"/>
                <w:rtl w:val="0"/>
                <w:lang w:val="en-US"/>
              </w:rPr>
              <w:t>s Signature:</w:t>
            </w:r>
          </w:p>
        </w:tc>
        <w:tc>
          <w:tcPr>
            <w:tcW w:type="dxa" w:w="396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rtl w:val="0"/>
                <w:lang w:val="en-US"/>
              </w:rPr>
              <w:t>Date:</w:t>
            </w:r>
          </w:p>
        </w:tc>
      </w:tr>
    </w:tbl>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Tahoma" w:cs="Tahoma" w:hAnsi="Tahoma" w:eastAsia="Tahoma"/>
          <w:b w:val="1"/>
          <w:bCs w:val="1"/>
          <w:i w:val="0"/>
          <w:iCs w:val="0"/>
          <w:caps w:val="0"/>
          <w:smallCaps w:val="0"/>
          <w:strike w:val="0"/>
          <w:dstrike w:val="0"/>
          <w:outline w:val="0"/>
          <w:color w:val="000000"/>
          <w:spacing w:val="0"/>
          <w:kern w:val="0"/>
          <w:position w:val="0"/>
          <w:sz w:val="20"/>
          <w:szCs w:val="20"/>
          <w:u w:val="none" w:color="000000"/>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Trebuchet MS" w:cs="Trebuchet MS" w:hAnsi="Trebuchet MS" w:eastAsia="Trebuchet MS"/>
          <w:b w:val="1"/>
          <w:bCs w:val="1"/>
          <w:i w:val="0"/>
          <w:iCs w:val="0"/>
          <w:caps w:val="0"/>
          <w:smallCaps w:val="0"/>
          <w:strike w:val="0"/>
          <w:dstrike w:val="0"/>
          <w:outline w:val="0"/>
          <w:color w:val="000000"/>
          <w:spacing w:val="0"/>
          <w:kern w:val="0"/>
          <w:position w:val="0"/>
          <w:sz w:val="20"/>
          <w:szCs w:val="20"/>
          <w:u w:val="none" w:color="000000"/>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Tahoma" w:cs="Tahoma" w:hAnsi="Tahoma" w:eastAsia="Tahoma"/>
          <w:b w:val="1"/>
          <w:bCs w:val="1"/>
          <w:i w:val="0"/>
          <w:iCs w:val="0"/>
          <w:caps w:val="0"/>
          <w:smallCaps w:val="0"/>
          <w:strike w:val="0"/>
          <w:dstrike w:val="0"/>
          <w:outline w:val="0"/>
          <w:color w:val="000000"/>
          <w:spacing w:val="0"/>
          <w:kern w:val="0"/>
          <w:position w:val="0"/>
          <w:sz w:val="20"/>
          <w:szCs w:val="20"/>
          <w:u w:val="none" w:color="000000"/>
          <w:vertAlign w:val="baseline"/>
          <w:rtl w:val="0"/>
        </w:rPr>
      </w:pPr>
    </w:p>
    <w:p>
      <w:pPr>
        <w:pStyle w:val="Default"/>
        <w:bidi w:val="0"/>
        <w:spacing w:line="360" w:lineRule="auto"/>
        <w:ind w:left="283" w:right="284" w:firstLine="0"/>
        <w:jc w:val="both"/>
        <w:rPr>
          <w:rFonts w:ascii="Times New Roman" w:cs="Times New Roman" w:hAnsi="Times New Roman" w:eastAsia="Times New Roman"/>
          <w:b w:val="1"/>
          <w:bCs w:val="1"/>
          <w:sz w:val="24"/>
          <w:szCs w:val="24"/>
          <w:u w:color="000000"/>
          <w:rtl w:val="0"/>
        </w:rPr>
      </w:pPr>
    </w:p>
    <w:p>
      <w:pPr>
        <w:pStyle w:val="Default"/>
        <w:bidi w:val="0"/>
        <w:spacing w:line="360" w:lineRule="auto"/>
        <w:ind w:left="283" w:right="284" w:firstLine="0"/>
        <w:jc w:val="both"/>
        <w:rPr>
          <w:rFonts w:ascii="Times New Roman" w:cs="Times New Roman" w:hAnsi="Times New Roman" w:eastAsia="Times New Roman"/>
          <w:b w:val="1"/>
          <w:bCs w:val="1"/>
          <w:sz w:val="24"/>
          <w:szCs w:val="24"/>
          <w:u w:color="000000"/>
          <w:rtl w:val="0"/>
        </w:rPr>
      </w:pPr>
      <w:r>
        <w:rPr>
          <w:rFonts w:ascii="Times New Roman" w:hAnsi="Times New Roman"/>
          <w:b w:val="1"/>
          <w:bCs w:val="1"/>
          <w:sz w:val="24"/>
          <w:szCs w:val="24"/>
          <w:u w:color="000000"/>
          <w:rtl w:val="0"/>
          <w:lang w:val="en-US"/>
        </w:rPr>
        <w:t xml:space="preserve">Mark S. Smith. </w:t>
      </w:r>
      <w:r>
        <w:rPr>
          <w:rFonts w:ascii="Times New Roman" w:hAnsi="Times New Roman"/>
          <w:b w:val="1"/>
          <w:bCs w:val="1"/>
          <w:i w:val="1"/>
          <w:iCs w:val="1"/>
          <w:sz w:val="24"/>
          <w:szCs w:val="24"/>
          <w:u w:color="000000"/>
          <w:rtl w:val="0"/>
          <w:lang w:val="en-US"/>
        </w:rPr>
        <w:t>The Origins of Biblical Monotheism: Israel's Polytheistic Background and the Ugaritic Texts</w:t>
      </w:r>
      <w:r>
        <w:rPr>
          <w:rFonts w:ascii="Times New Roman" w:hAnsi="Times New Roman"/>
          <w:b w:val="1"/>
          <w:bCs w:val="1"/>
          <w:sz w:val="24"/>
          <w:szCs w:val="24"/>
          <w:u w:color="000000"/>
          <w:rtl w:val="0"/>
          <w:lang w:val="en-US"/>
        </w:rPr>
        <w:t xml:space="preserve">. </w:t>
      </w:r>
      <w:r>
        <w:rPr>
          <w:rFonts w:ascii="Times New Roman" w:hAnsi="Times New Roman"/>
          <w:b w:val="1"/>
          <w:bCs w:val="1"/>
          <w:sz w:val="24"/>
          <w:szCs w:val="24"/>
          <w:u w:color="000000"/>
          <w:rtl w:val="0"/>
          <w:lang w:val="en-US"/>
        </w:rPr>
        <w:t>Oxford: Oxford</w:t>
      </w:r>
      <w:r>
        <w:rPr>
          <w:rFonts w:ascii="Times New Roman" w:hAnsi="Times New Roman"/>
          <w:b w:val="1"/>
          <w:bCs w:val="1"/>
          <w:sz w:val="24"/>
          <w:szCs w:val="24"/>
          <w:u w:color="000000"/>
          <w:rtl w:val="0"/>
          <w:lang w:val="en-US"/>
        </w:rPr>
        <w:t xml:space="preserve"> University Press, 200</w:t>
      </w:r>
      <w:r>
        <w:rPr>
          <w:rFonts w:ascii="Times New Roman" w:hAnsi="Times New Roman"/>
          <w:b w:val="1"/>
          <w:bCs w:val="1"/>
          <w:sz w:val="24"/>
          <w:szCs w:val="24"/>
          <w:u w:color="000000"/>
          <w:rtl w:val="0"/>
          <w:lang w:val="en-US"/>
        </w:rPr>
        <w:t>1</w:t>
      </w:r>
      <w:r>
        <w:rPr>
          <w:rFonts w:ascii="Times New Roman" w:hAnsi="Times New Roman"/>
          <w:b w:val="1"/>
          <w:bCs w:val="1"/>
          <w:sz w:val="24"/>
          <w:szCs w:val="24"/>
          <w:u w:color="000000"/>
          <w:rtl w:val="0"/>
          <w:lang w:val="en-US"/>
        </w:rPr>
        <w:t xml:space="preserve">. </w:t>
      </w:r>
      <w:r>
        <w:rPr>
          <w:rFonts w:ascii="Times New Roman" w:hAnsi="Times New Roman"/>
          <w:b w:val="1"/>
          <w:bCs w:val="1"/>
          <w:sz w:val="24"/>
          <w:szCs w:val="24"/>
          <w:u w:color="000000"/>
          <w:rtl w:val="0"/>
          <w:lang w:val="en-US"/>
        </w:rPr>
        <w:t>Pp xv, 392</w:t>
      </w:r>
      <w:r>
        <w:rPr>
          <w:rFonts w:ascii="Times New Roman" w:hAnsi="Times New Roman"/>
          <w:b w:val="1"/>
          <w:bCs w:val="1"/>
          <w:sz w:val="24"/>
          <w:szCs w:val="24"/>
          <w:u w:color="000000"/>
          <w:rtl w:val="0"/>
          <w:lang w:val="en-US"/>
        </w:rPr>
        <w:t>.</w:t>
      </w:r>
      <w:r>
        <w:rPr>
          <w:rFonts w:ascii="Times New Roman" w:hAnsi="Times New Roman" w:hint="default"/>
          <w:b w:val="1"/>
          <w:bCs w:val="1"/>
          <w:sz w:val="24"/>
          <w:szCs w:val="24"/>
          <w:u w:color="000000"/>
          <w:rtl w:val="0"/>
          <w:lang w:val="en-US"/>
        </w:rPr>
        <w:t xml:space="preserve"> £</w:t>
      </w:r>
      <w:r>
        <w:rPr>
          <w:rFonts w:ascii="Times New Roman" w:hAnsi="Times New Roman"/>
          <w:b w:val="1"/>
          <w:bCs w:val="1"/>
          <w:sz w:val="24"/>
          <w:szCs w:val="24"/>
          <w:u w:color="000000"/>
          <w:rtl w:val="0"/>
          <w:lang w:val="en-US"/>
        </w:rPr>
        <w:t>68.00.</w:t>
      </w:r>
    </w:p>
    <w:p>
      <w:pPr>
        <w:pStyle w:val="Body"/>
        <w:spacing w:line="360" w:lineRule="auto"/>
        <w:ind w:left="283" w:right="284" w:firstLine="0"/>
        <w:jc w:val="center"/>
        <w:rPr>
          <w:rFonts w:ascii="Times New Roman" w:cs="Times New Roman" w:hAnsi="Times New Roman" w:eastAsia="Times New Roman"/>
          <w:sz w:val="24"/>
          <w:szCs w:val="24"/>
          <w:u w:val="single"/>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w:t>
      </w:r>
      <w:r>
        <w:rPr>
          <w:rFonts w:ascii="Times New Roman" w:hAnsi="Times New Roman"/>
          <w:i w:val="1"/>
          <w:iCs w:val="1"/>
          <w:sz w:val="24"/>
          <w:szCs w:val="24"/>
          <w:rtl w:val="0"/>
          <w:lang w:val="en-US"/>
        </w:rPr>
        <w:t>The Origins of Biblical Monotheism: Israel's Polytheistic Background and the Ugaritic Texts</w:t>
      </w:r>
      <w:r>
        <w:rPr>
          <w:rFonts w:ascii="Times New Roman" w:hAnsi="Times New Roman"/>
          <w:sz w:val="24"/>
          <w:szCs w:val="24"/>
          <w:rtl w:val="0"/>
          <w:lang w:val="en-US"/>
        </w:rPr>
        <w:t xml:space="preserve">, American biblical scholar Mark S. Smith presents his examination of the origins of Biblical monotheism in the context of the Ugaritic texts, writings from the ancient city of Ugarit which grant us an insight into the religious beliefs of the lands surrounding ancient Israel. </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Smith has come to believe that ancient Biblical monotheism can be seen not as a particular religious concept, but as a form of rhetoric that emerged in light of a number of events that proved to have serious effects on the Israelite way of life, such as the Babylonian captivity. Polytheistic traits can be seen in numerous texts of the Old Testament, and as such the religious tradition that would become Judaism began as a faith with the belief in many Gods, akin to the religions of the world that surrounded it. Smith</w:t>
      </w:r>
      <w:r>
        <w:rPr>
          <w:rFonts w:ascii="Times New Roman" w:hAnsi="Times New Roman" w:hint="default"/>
          <w:sz w:val="24"/>
          <w:szCs w:val="24"/>
          <w:rtl w:val="0"/>
          <w:lang w:val="en-US"/>
        </w:rPr>
        <w:t>’</w:t>
      </w:r>
      <w:r>
        <w:rPr>
          <w:rFonts w:ascii="Times New Roman" w:hAnsi="Times New Roman"/>
          <w:sz w:val="24"/>
          <w:szCs w:val="24"/>
          <w:rtl w:val="0"/>
          <w:lang w:val="en-US"/>
        </w:rPr>
        <w:t xml:space="preserve">s main </w:t>
      </w:r>
      <w:r>
        <w:rPr>
          <w:rFonts w:ascii="Times New Roman" w:hAnsi="Times New Roman"/>
          <w:sz w:val="24"/>
          <w:szCs w:val="24"/>
          <w:rtl w:val="0"/>
          <w:lang w:val="en-US"/>
        </w:rPr>
        <w:t>aim</w:t>
      </w:r>
      <w:r>
        <w:rPr>
          <w:rFonts w:ascii="Times New Roman" w:hAnsi="Times New Roman"/>
          <w:sz w:val="24"/>
          <w:szCs w:val="24"/>
          <w:rtl w:val="0"/>
          <w:lang w:val="en-US"/>
        </w:rPr>
        <w:t>, therefore,</w:t>
      </w:r>
      <w:r>
        <w:rPr>
          <w:rFonts w:ascii="Times New Roman" w:hAnsi="Times New Roman"/>
          <w:sz w:val="24"/>
          <w:szCs w:val="24"/>
          <w:rtl w:val="0"/>
          <w:lang w:val="en-US"/>
        </w:rPr>
        <w:t xml:space="preserve"> is to situate the monotheism of ancient Israel in the context of the religious landscape of the </w:t>
      </w:r>
      <w:r>
        <w:rPr>
          <w:rFonts w:ascii="Times New Roman" w:hAnsi="Times New Roman"/>
          <w:sz w:val="24"/>
          <w:szCs w:val="24"/>
          <w:rtl w:val="0"/>
          <w:lang w:val="en-US"/>
        </w:rPr>
        <w:t>time using the Ugaritic texts</w:t>
      </w:r>
      <w:r>
        <w:rPr>
          <w:rFonts w:ascii="Times New Roman" w:hAnsi="Times New Roman"/>
          <w:sz w:val="24"/>
          <w:szCs w:val="24"/>
          <w:rtl w:val="0"/>
          <w:lang w:val="en-US"/>
        </w:rPr>
        <w:t xml:space="preserve"> and in so doing attempt to understand </w:t>
      </w:r>
      <w:r>
        <w:rPr>
          <w:rFonts w:ascii="Times New Roman" w:hAnsi="Times New Roman"/>
          <w:i w:val="1"/>
          <w:iCs w:val="1"/>
          <w:sz w:val="24"/>
          <w:szCs w:val="24"/>
          <w:rtl w:val="0"/>
          <w:lang w:val="en-US"/>
        </w:rPr>
        <w:t>why</w:t>
      </w:r>
      <w:r>
        <w:rPr>
          <w:rFonts w:ascii="Times New Roman" w:hAnsi="Times New Roman"/>
          <w:sz w:val="24"/>
          <w:szCs w:val="24"/>
          <w:rtl w:val="0"/>
          <w:lang w:val="en-US"/>
        </w:rPr>
        <w:t xml:space="preserve"> monotheism emerged in a world whose religious beliefs was dominated by polytheistic conceptions of the divine.</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Smith reminds the reader that we often look back to ancient religions with an inherent bias </w:t>
      </w:r>
      <w:r>
        <w:rPr>
          <w:rFonts w:ascii="Times New Roman" w:hAnsi="Times New Roman" w:hint="default"/>
          <w:sz w:val="24"/>
          <w:szCs w:val="24"/>
          <w:rtl w:val="0"/>
          <w:lang w:val="en-US"/>
        </w:rPr>
        <w:t xml:space="preserve">— </w:t>
      </w:r>
      <w:r>
        <w:rPr>
          <w:rFonts w:ascii="Times New Roman" w:hAnsi="Times New Roman"/>
          <w:sz w:val="24"/>
          <w:szCs w:val="24"/>
          <w:rtl w:val="0"/>
          <w:lang w:val="en-US"/>
        </w:rPr>
        <w:t>coming from a world dominated by Christianity and Islam, whose monotheistic nature may be a departure from what we may expect of the ancient conception. This prepares the reader for the overall theme of Smith</w:t>
      </w:r>
      <w:r>
        <w:rPr>
          <w:rFonts w:ascii="Times New Roman" w:hAnsi="Times New Roman" w:hint="default"/>
          <w:sz w:val="24"/>
          <w:szCs w:val="24"/>
          <w:rtl w:val="0"/>
          <w:lang w:val="en-US"/>
        </w:rPr>
        <w:t>’</w:t>
      </w:r>
      <w:r>
        <w:rPr>
          <w:rFonts w:ascii="Times New Roman" w:hAnsi="Times New Roman"/>
          <w:sz w:val="24"/>
          <w:szCs w:val="24"/>
          <w:rtl w:val="0"/>
          <w:lang w:val="en-US"/>
        </w:rPr>
        <w:t>s work: that the monotheism that would arise in Judaism was not born fully fledged, was the culmination of various external influences, and was not a fully delineated concept (as we know it) but a form of rhetoric. This approach is very distinct when compared to other discussions of Israelite monotheism. But Smith succeeds, on the whole, at demonstrating his theory, though with varying degrees of success.</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Smith utilises a good range of sources, relying on ancient texts such as the Ugaritic writings and the Old Testament and a significant portion of academic work, resulting in a work that is well balanced between his original analysis and use of scholarly discussion. </w:t>
      </w:r>
      <w:r>
        <w:rPr>
          <w:rFonts w:ascii="Times New Roman" w:hAnsi="Times New Roman"/>
          <w:sz w:val="24"/>
          <w:szCs w:val="24"/>
          <w:rtl w:val="0"/>
          <w:lang w:val="en-US"/>
        </w:rPr>
        <w:t>The structure that Smith employs for his book is clear, coherent and logical.</w:t>
      </w:r>
      <w:r>
        <w:rPr>
          <w:rFonts w:ascii="Times New Roman" w:hAnsi="Times New Roman"/>
          <w:sz w:val="24"/>
          <w:szCs w:val="24"/>
          <w:rtl w:val="0"/>
          <w:lang w:val="en-US"/>
        </w:rPr>
        <w:t xml:space="preserve"> </w:t>
      </w:r>
      <w:r>
        <w:rPr>
          <w:rFonts w:ascii="Times New Roman" w:hAnsi="Times New Roman"/>
          <w:sz w:val="24"/>
          <w:szCs w:val="24"/>
          <w:rtl w:val="0"/>
          <w:lang w:val="en-US"/>
        </w:rPr>
        <w:t>Smith has divided his work into three parts. The thoroughness of his approach is demonstrated by virtue of the fact that the first two parts of the book lay the foundations of the third part, in which Smith discusses the titular origins of monotheism in the Bible</w:t>
      </w:r>
      <w:r>
        <w:rPr>
          <w:rFonts w:ascii="Times New Roman" w:hAnsi="Times New Roman"/>
          <w:sz w:val="24"/>
          <w:szCs w:val="24"/>
          <w:rtl w:val="0"/>
          <w:lang w:val="en-US"/>
        </w:rPr>
        <w:t xml:space="preserve">. It can also be said that he has divided his work into two larger overarching parts, consisting of the discussion of polytheistic religions of the ancient near-east drawn from the Ugaritic texts. The first of the three parts concerns itself with the </w:t>
      </w:r>
      <w:r>
        <w:rPr>
          <w:rFonts w:ascii="Times New Roman" w:hAnsi="Times New Roman"/>
          <w:i w:val="1"/>
          <w:iCs w:val="1"/>
          <w:sz w:val="24"/>
          <w:szCs w:val="24"/>
          <w:rtl w:val="0"/>
          <w:lang w:val="en-US"/>
        </w:rPr>
        <w:t>structures</w:t>
      </w:r>
      <w:r>
        <w:rPr>
          <w:rFonts w:ascii="Times New Roman" w:hAnsi="Times New Roman"/>
          <w:sz w:val="24"/>
          <w:szCs w:val="24"/>
          <w:rtl w:val="0"/>
          <w:lang w:val="en-US"/>
        </w:rPr>
        <w:t xml:space="preserve"> of divinity, in which the author discusses the various arrangements of divine beings in the religions of the ancient near-east. In the second part, Smith discusses the </w:t>
      </w:r>
      <w:r>
        <w:rPr>
          <w:rFonts w:ascii="Times New Roman" w:hAnsi="Times New Roman"/>
          <w:i w:val="1"/>
          <w:iCs w:val="1"/>
          <w:sz w:val="24"/>
          <w:szCs w:val="24"/>
          <w:rtl w:val="0"/>
          <w:lang w:val="en-US"/>
        </w:rPr>
        <w:t>characteristics</w:t>
      </w:r>
      <w:r>
        <w:rPr>
          <w:rFonts w:ascii="Times New Roman" w:hAnsi="Times New Roman"/>
          <w:sz w:val="24"/>
          <w:szCs w:val="24"/>
          <w:rtl w:val="0"/>
          <w:lang w:val="en-US"/>
        </w:rPr>
        <w:t xml:space="preserve"> of divinity, outlining features such as size and gender. For the third and final part of the book, Smith examines in depth the origins of monotheism in the Bible. </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A strength of the book is that it provides a sufficient foundation from which to build the main analysis upon. All too often authors begin to discuss their work without providing the necessary foundations, but Smith appears to be acutely aware that his proposal requires a significant amount of preliminary information. The reader is provided with the backgrounds of the Ugaritic and Israelite religions, and as such, understanding the book does not depend on the reader being highly versed in prior knowledge, particularly with knowledge of the Ugaritic texts.</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A criticism that may be levelled at Smith is that at times the aforementioned context that he provides (making up the first two parts of the book), though one of the book</w:t>
      </w:r>
      <w:r>
        <w:rPr>
          <w:rFonts w:ascii="Times New Roman" w:hAnsi="Times New Roman" w:hint="default"/>
          <w:sz w:val="24"/>
          <w:szCs w:val="24"/>
          <w:rtl w:val="0"/>
          <w:lang w:val="en-US"/>
        </w:rPr>
        <w:t>’</w:t>
      </w:r>
      <w:r>
        <w:rPr>
          <w:rFonts w:ascii="Times New Roman" w:hAnsi="Times New Roman"/>
          <w:sz w:val="24"/>
          <w:szCs w:val="24"/>
          <w:rtl w:val="0"/>
          <w:lang w:val="en-US"/>
        </w:rPr>
        <w:t>s strengths, at times seems rather aimless, with insufficient explanation as to the purpose of discussing such topics as the sizes of deities. Smith presents the various structures and characteristics of divinity etc., but at times does not provide a comprehensive enough explanation for his outlining of the details, and their overall relevance to the aim of the book. Smith</w:t>
      </w:r>
      <w:r>
        <w:rPr>
          <w:rFonts w:ascii="Times New Roman" w:hAnsi="Times New Roman" w:hint="default"/>
          <w:sz w:val="24"/>
          <w:szCs w:val="24"/>
          <w:rtl w:val="0"/>
          <w:lang w:val="en-US"/>
        </w:rPr>
        <w:t>’</w:t>
      </w:r>
      <w:r>
        <w:rPr>
          <w:rFonts w:ascii="Times New Roman" w:hAnsi="Times New Roman"/>
          <w:sz w:val="24"/>
          <w:szCs w:val="24"/>
          <w:rtl w:val="0"/>
          <w:lang w:val="en-US"/>
        </w:rPr>
        <w:t>s strength in providing the necessary information on the religions of the ancient near-east appears to get the better of him and he proceeds to get carried away in the details. However, this criticism can be dispelled to some extent, as it is in the third and final part of the book where the first two parts are brought together and the reader can see Smith</w:t>
      </w:r>
      <w:r>
        <w:rPr>
          <w:rFonts w:ascii="Times New Roman" w:hAnsi="Times New Roman" w:hint="default"/>
          <w:sz w:val="24"/>
          <w:szCs w:val="24"/>
          <w:rtl w:val="0"/>
          <w:lang w:val="en-US"/>
        </w:rPr>
        <w:t>’</w:t>
      </w:r>
      <w:r>
        <w:rPr>
          <w:rFonts w:ascii="Times New Roman" w:hAnsi="Times New Roman"/>
          <w:sz w:val="24"/>
          <w:szCs w:val="24"/>
          <w:rtl w:val="0"/>
          <w:lang w:val="en-US"/>
        </w:rPr>
        <w:t>s thesis demonstrated. On the other hand, Smith</w:t>
      </w:r>
      <w:r>
        <w:rPr>
          <w:rFonts w:ascii="Times New Roman" w:hAnsi="Times New Roman" w:hint="default"/>
          <w:sz w:val="24"/>
          <w:szCs w:val="24"/>
          <w:rtl w:val="0"/>
          <w:lang w:val="en-US"/>
        </w:rPr>
        <w:t>’</w:t>
      </w:r>
      <w:r>
        <w:rPr>
          <w:rFonts w:ascii="Times New Roman" w:hAnsi="Times New Roman"/>
          <w:sz w:val="24"/>
          <w:szCs w:val="24"/>
          <w:rtl w:val="0"/>
          <w:lang w:val="en-US"/>
        </w:rPr>
        <w:t>s core proposal in this final part is somewhat hard to draw out, though it is present, but somewhat buried beneath a layer of detail that is almost overwhelming. This need to draw Smith</w:t>
      </w:r>
      <w:r>
        <w:rPr>
          <w:rFonts w:ascii="Times New Roman" w:hAnsi="Times New Roman" w:hint="default"/>
          <w:sz w:val="24"/>
          <w:szCs w:val="24"/>
          <w:rtl w:val="0"/>
          <w:lang w:val="en-US"/>
        </w:rPr>
        <w:t>’</w:t>
      </w:r>
      <w:r>
        <w:rPr>
          <w:rFonts w:ascii="Times New Roman" w:hAnsi="Times New Roman"/>
          <w:sz w:val="24"/>
          <w:szCs w:val="24"/>
          <w:rtl w:val="0"/>
          <w:lang w:val="en-US"/>
        </w:rPr>
        <w:t xml:space="preserve">s thesis from out of the text is exacerbated by the fact that quite remarkably the book lacks a conclusion in which he provides a summary. This would have been highly appropriate given the sometimes haphazard range of details that were presented in the main body of the text. The lack of a conclusion is even more pronounced by the introduction, which is most comprehensive and sets the groundwork for the rest of the book very effectively but is not satisfactorily fulfilled in terms of expectations. </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While the overall thematic structure of the book is clear, with the progression towards the final chapter being apparent, Smith also has a tendency to digress at times quite notably. For instance, Smith devotes an entire chapter to presenting the deity Ba</w:t>
      </w:r>
      <w:r>
        <w:rPr>
          <w:rFonts w:ascii="Times New Roman" w:hAnsi="Times New Roman" w:hint="default"/>
          <w:sz w:val="24"/>
          <w:szCs w:val="24"/>
          <w:rtl w:val="0"/>
          <w:lang w:val="en-US"/>
        </w:rPr>
        <w:t>’</w:t>
      </w:r>
      <w:r>
        <w:rPr>
          <w:rFonts w:ascii="Times New Roman" w:hAnsi="Times New Roman"/>
          <w:sz w:val="24"/>
          <w:szCs w:val="24"/>
          <w:rtl w:val="0"/>
          <w:lang w:val="en-US"/>
        </w:rPr>
        <w:t>al and its characteristics of dying and returning to life. Smith</w:t>
      </w:r>
      <w:r>
        <w:rPr>
          <w:rFonts w:ascii="Times New Roman" w:hAnsi="Times New Roman" w:hint="default"/>
          <w:sz w:val="24"/>
          <w:szCs w:val="24"/>
          <w:rtl w:val="0"/>
          <w:lang w:val="en-US"/>
        </w:rPr>
        <w:t>’</w:t>
      </w:r>
      <w:r>
        <w:rPr>
          <w:rFonts w:ascii="Times New Roman" w:hAnsi="Times New Roman"/>
          <w:sz w:val="24"/>
          <w:szCs w:val="24"/>
          <w:rtl w:val="0"/>
          <w:lang w:val="en-US"/>
        </w:rPr>
        <w:t xml:space="preserve">s analysis of this deity is excellent, relying on the Ugaritic texts themselves and the work of various scholars </w:t>
      </w:r>
      <w:r>
        <w:rPr>
          <w:rFonts w:ascii="Times New Roman" w:hAnsi="Times New Roman" w:hint="default"/>
          <w:sz w:val="24"/>
          <w:szCs w:val="24"/>
          <w:rtl w:val="0"/>
          <w:lang w:val="en-US"/>
        </w:rPr>
        <w:t xml:space="preserve">— </w:t>
      </w:r>
      <w:r>
        <w:rPr>
          <w:rFonts w:ascii="Times New Roman" w:hAnsi="Times New Roman"/>
          <w:sz w:val="24"/>
          <w:szCs w:val="24"/>
          <w:rtl w:val="0"/>
          <w:lang w:val="en-US"/>
        </w:rPr>
        <w:t>unfortunately its relevance to the origins of Biblical monotheism is unclear. It seems remarkably out of place, and although  in the last section of the chapter there is an attempt made to link the previous discussion of Ba</w:t>
      </w:r>
      <w:r>
        <w:rPr>
          <w:rFonts w:ascii="Times New Roman" w:hAnsi="Times New Roman" w:hint="default"/>
          <w:sz w:val="24"/>
          <w:szCs w:val="24"/>
          <w:rtl w:val="0"/>
          <w:lang w:val="en-US"/>
        </w:rPr>
        <w:t>’</w:t>
      </w:r>
      <w:r>
        <w:rPr>
          <w:rFonts w:ascii="Times New Roman" w:hAnsi="Times New Roman"/>
          <w:sz w:val="24"/>
          <w:szCs w:val="24"/>
          <w:rtl w:val="0"/>
          <w:lang w:val="en-US"/>
        </w:rPr>
        <w:t xml:space="preserve">al with the god of Israel, it seems as though it was appended at a later date due to the somewhat tentative links that are drawn from the bulk of the chapter to its conclusion. Similar instances are found elsewhere in the book (but to a lesser degree), and as a result it is often quite jarring. </w:t>
      </w:r>
    </w:p>
    <w:p>
      <w:pPr>
        <w:pStyle w:val="Body"/>
        <w:spacing w:line="360" w:lineRule="auto"/>
        <w:ind w:left="283" w:right="284" w:firstLine="0"/>
        <w:jc w:val="both"/>
        <w:rPr>
          <w:rFonts w:ascii="Times New Roman" w:cs="Times New Roman" w:hAnsi="Times New Roman" w:eastAsia="Times New Roman"/>
          <w:sz w:val="24"/>
          <w:szCs w:val="24"/>
        </w:rPr>
      </w:pPr>
    </w:p>
    <w:p>
      <w:pPr>
        <w:pStyle w:val="Body"/>
        <w:spacing w:line="360" w:lineRule="auto"/>
        <w:ind w:left="283" w:right="284" w:firstLine="0"/>
        <w:jc w:val="both"/>
      </w:pPr>
      <w:r>
        <w:rPr>
          <w:rFonts w:ascii="Times New Roman" w:hAnsi="Times New Roman"/>
          <w:sz w:val="24"/>
          <w:szCs w:val="24"/>
          <w:rtl w:val="0"/>
          <w:lang w:val="en-US"/>
        </w:rPr>
        <w:t>Concluding, Mark S. Smith</w:t>
      </w:r>
      <w:r>
        <w:rPr>
          <w:rFonts w:ascii="Times New Roman" w:hAnsi="Times New Roman" w:hint="default"/>
          <w:sz w:val="24"/>
          <w:szCs w:val="24"/>
          <w:rtl w:val="0"/>
          <w:lang w:val="en-US"/>
        </w:rPr>
        <w:t>’</w:t>
      </w:r>
      <w:r>
        <w:rPr>
          <w:rFonts w:ascii="Times New Roman" w:hAnsi="Times New Roman"/>
          <w:sz w:val="24"/>
          <w:szCs w:val="24"/>
          <w:rtl w:val="0"/>
          <w:lang w:val="en-US"/>
        </w:rPr>
        <w:t xml:space="preserve">s </w:t>
      </w:r>
      <w:r>
        <w:rPr>
          <w:rFonts w:ascii="Times New Roman" w:hAnsi="Times New Roman"/>
          <w:i w:val="1"/>
          <w:iCs w:val="1"/>
          <w:sz w:val="24"/>
          <w:szCs w:val="24"/>
          <w:rtl w:val="0"/>
          <w:lang w:val="en-US"/>
        </w:rPr>
        <w:t>The Origins of Biblical Monotheism</w:t>
      </w:r>
      <w:r>
        <w:rPr>
          <w:rFonts w:ascii="Times New Roman" w:hAnsi="Times New Roman"/>
          <w:sz w:val="24"/>
          <w:szCs w:val="24"/>
          <w:rtl w:val="0"/>
          <w:lang w:val="en-US"/>
        </w:rPr>
        <w:t xml:space="preserve"> ranges from excellent to poor and is very much a book with varied degrees of success. The analysis of the subject matter is, on the whole, excellent, and is a very good contribution to the scholarly discussion surrounding the origins of Biblical monotheism. Despite this, the book is not without its flaws. It is, however, a rewarding read, albeit at times a frustrating one. </w:t>
      </w:r>
    </w:p>
    <w:sectPr>
      <w:headerReference w:type="default" r:id="rId5"/>
      <w:footerReference w:type="default" r:id="rId6"/>
      <w:pgSz w:w="11906" w:h="16838" w:orient="portrait"/>
      <w:pgMar w:top="1417" w:right="1134" w:bottom="1417"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Neue">
    <w:charset w:val="00"/>
    <w:family w:val="roman"/>
    <w:pitch w:val="default"/>
  </w:font>
  <w:font w:name="Georgia">
    <w:charset w:val="00"/>
    <w:family w:val="roman"/>
    <w:pitch w:val="default"/>
  </w:font>
  <w:font w:name="Tahoma">
    <w:charset w:val="00"/>
    <w:family w:val="roman"/>
    <w:pitch w:val="default"/>
  </w:font>
  <w:font w:name="Cambria">
    <w:charset w:val="00"/>
    <w:family w:val="roman"/>
    <w:pitch w:val="default"/>
  </w:font>
  <w:font w:name="Calibri">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Fonts w:ascii="Times New Roman" w:hAnsi="Times New Roman"/>
      </w:rPr>
      <w:tab/>
    </w:r>
    <w:r>
      <w:rPr>
        <w:rFonts w:ascii="Times New Roman" w:hAnsi="Times New Roman"/>
      </w:rPr>
      <w:fldChar w:fldCharType="begin" w:fldLock="0"/>
    </w:r>
    <w:r>
      <w:rPr>
        <w:rFonts w:ascii="Times New Roman" w:hAnsi="Times New Roman"/>
      </w:rPr>
      <w:instrText xml:space="preserve"> PAGE </w:instrText>
    </w:r>
    <w:r>
      <w:rPr>
        <w:rFonts w:ascii="Times New Roman" w:hAnsi="Times New Roman"/>
      </w:rPr>
      <w:fldChar w:fldCharType="separate" w:fldLock="0"/>
    </w:r>
    <w:r>
      <w:rPr>
        <w:rFonts w:ascii="Times New Roman" w:hAnsi="Times New Roman"/>
      </w:rPr>
      <w:t>3</w:t>
    </w:r>
    <w:r>
      <w:rPr>
        <w:rFonts w:ascii="Times New Roman" w:hAnsi="Times New Roman"/>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