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B8C967" w14:textId="77777777" w:rsidR="00AB6AFC" w:rsidRPr="007E0B96" w:rsidRDefault="00AB6AFC" w:rsidP="00E11D93">
      <w:pPr>
        <w:spacing w:line="360" w:lineRule="auto"/>
        <w:jc w:val="both"/>
      </w:pPr>
      <w:r w:rsidRPr="007E0B96">
        <w:t>Programme: BA Business Management</w:t>
      </w:r>
      <w:r>
        <w:t xml:space="preserve"> (BABM)</w:t>
      </w:r>
    </w:p>
    <w:p w14:paraId="2913262C" w14:textId="3CD8598A" w:rsidR="00AB6AFC" w:rsidRPr="007E0B96" w:rsidRDefault="00AB6AFC" w:rsidP="00E11D93">
      <w:pPr>
        <w:spacing w:line="360" w:lineRule="auto"/>
        <w:jc w:val="both"/>
      </w:pPr>
      <w:r w:rsidRPr="007E0B96">
        <w:t xml:space="preserve">Module: </w:t>
      </w:r>
      <w:r>
        <w:t>Community engagement</w:t>
      </w:r>
      <w:r>
        <w:t xml:space="preserve"> </w:t>
      </w:r>
      <w:r w:rsidR="00EE0F94">
        <w:t>(LCBB</w:t>
      </w:r>
      <w:r>
        <w:t>400</w:t>
      </w:r>
      <w:r>
        <w:t>2</w:t>
      </w:r>
      <w:r>
        <w:t>)</w:t>
      </w:r>
    </w:p>
    <w:p w14:paraId="5EAC30D7" w14:textId="77777777" w:rsidR="00AB6AFC" w:rsidRPr="007E0B96" w:rsidRDefault="00AB6AFC" w:rsidP="00E11D93">
      <w:pPr>
        <w:spacing w:line="360" w:lineRule="auto"/>
        <w:jc w:val="both"/>
      </w:pPr>
    </w:p>
    <w:p w14:paraId="0EDA8432" w14:textId="77777777" w:rsidR="00AB6AFC" w:rsidRPr="007E0B96" w:rsidRDefault="00AB6AFC" w:rsidP="00E11D93">
      <w:pPr>
        <w:spacing w:line="360" w:lineRule="auto"/>
        <w:jc w:val="both"/>
      </w:pPr>
    </w:p>
    <w:p w14:paraId="700E2EB4" w14:textId="77777777" w:rsidR="00AB6AFC" w:rsidRPr="007E0B96" w:rsidRDefault="00AB6AFC" w:rsidP="00E11D93">
      <w:pPr>
        <w:spacing w:line="360" w:lineRule="auto"/>
        <w:jc w:val="both"/>
      </w:pPr>
    </w:p>
    <w:p w14:paraId="6B22A699" w14:textId="77777777" w:rsidR="00AB6AFC" w:rsidRPr="007E0B96" w:rsidRDefault="00AB6AFC" w:rsidP="00E11D93">
      <w:pPr>
        <w:spacing w:line="360" w:lineRule="auto"/>
        <w:jc w:val="both"/>
      </w:pPr>
    </w:p>
    <w:p w14:paraId="2B5E3B7C" w14:textId="77777777" w:rsidR="00AB6AFC" w:rsidRPr="007E0B96" w:rsidRDefault="00AB6AFC" w:rsidP="00E11D93">
      <w:pPr>
        <w:spacing w:line="360" w:lineRule="auto"/>
        <w:jc w:val="both"/>
      </w:pPr>
    </w:p>
    <w:p w14:paraId="591CE048" w14:textId="77777777" w:rsidR="00AB6AFC" w:rsidRPr="009376D8" w:rsidRDefault="00AB6AFC" w:rsidP="00E11D93">
      <w:pPr>
        <w:spacing w:line="360" w:lineRule="auto"/>
        <w:jc w:val="both"/>
        <w:rPr>
          <w:b/>
          <w:bCs/>
        </w:rPr>
      </w:pPr>
    </w:p>
    <w:p w14:paraId="43D51B00" w14:textId="19DD3995" w:rsidR="00AB6AFC" w:rsidRPr="009376D8" w:rsidRDefault="009376D8" w:rsidP="00E11D93">
      <w:pPr>
        <w:spacing w:line="360" w:lineRule="auto"/>
        <w:jc w:val="center"/>
        <w:rPr>
          <w:b/>
          <w:bCs/>
        </w:rPr>
      </w:pPr>
      <w:r>
        <w:rPr>
          <w:b/>
          <w:bCs/>
        </w:rPr>
        <w:t>P</w:t>
      </w:r>
      <w:r w:rsidRPr="009376D8">
        <w:rPr>
          <w:b/>
          <w:bCs/>
        </w:rPr>
        <w:t>erspectives of community engagement</w:t>
      </w:r>
    </w:p>
    <w:p w14:paraId="6179979B" w14:textId="77777777" w:rsidR="00AB6AFC" w:rsidRPr="007E0B96" w:rsidRDefault="00AB6AFC" w:rsidP="00E11D93">
      <w:pPr>
        <w:spacing w:line="360" w:lineRule="auto"/>
        <w:jc w:val="both"/>
      </w:pPr>
    </w:p>
    <w:p w14:paraId="10B9EF87" w14:textId="77777777" w:rsidR="00AB6AFC" w:rsidRPr="007E0B96" w:rsidRDefault="00AB6AFC" w:rsidP="00E11D93">
      <w:pPr>
        <w:spacing w:line="360" w:lineRule="auto"/>
        <w:jc w:val="both"/>
      </w:pPr>
    </w:p>
    <w:p w14:paraId="4826B5D4" w14:textId="77777777" w:rsidR="00AB6AFC" w:rsidRPr="007E0B96" w:rsidRDefault="00AB6AFC" w:rsidP="00E11D93">
      <w:pPr>
        <w:spacing w:line="360" w:lineRule="auto"/>
        <w:jc w:val="both"/>
      </w:pPr>
    </w:p>
    <w:p w14:paraId="101A712B" w14:textId="77777777" w:rsidR="00AB6AFC" w:rsidRPr="007E0B96" w:rsidRDefault="00AB6AFC" w:rsidP="00E11D93">
      <w:pPr>
        <w:spacing w:line="360" w:lineRule="auto"/>
        <w:jc w:val="both"/>
      </w:pPr>
    </w:p>
    <w:p w14:paraId="6174285B" w14:textId="77777777" w:rsidR="00AB6AFC" w:rsidRPr="007E0B96" w:rsidRDefault="00AB6AFC" w:rsidP="00E11D93">
      <w:pPr>
        <w:spacing w:line="360" w:lineRule="auto"/>
        <w:jc w:val="both"/>
      </w:pPr>
    </w:p>
    <w:p w14:paraId="403D0B91" w14:textId="77777777" w:rsidR="00AB6AFC" w:rsidRPr="007E0B96" w:rsidRDefault="00AB6AFC" w:rsidP="00E11D93">
      <w:pPr>
        <w:spacing w:line="360" w:lineRule="auto"/>
        <w:jc w:val="both"/>
      </w:pPr>
    </w:p>
    <w:p w14:paraId="00F191B8" w14:textId="77777777" w:rsidR="00AB6AFC" w:rsidRPr="007E0B96" w:rsidRDefault="00AB6AFC" w:rsidP="00E11D93">
      <w:pPr>
        <w:spacing w:line="360" w:lineRule="auto"/>
        <w:jc w:val="both"/>
      </w:pPr>
    </w:p>
    <w:p w14:paraId="4E7003BA" w14:textId="77777777" w:rsidR="00AB6AFC" w:rsidRPr="007E0B96" w:rsidRDefault="00AB6AFC" w:rsidP="00E11D93">
      <w:pPr>
        <w:spacing w:line="360" w:lineRule="auto"/>
        <w:jc w:val="both"/>
      </w:pPr>
    </w:p>
    <w:p w14:paraId="3A4BE624" w14:textId="77777777" w:rsidR="00AB6AFC" w:rsidRPr="007E0B96" w:rsidRDefault="00AB6AFC" w:rsidP="00E11D93">
      <w:pPr>
        <w:spacing w:line="360" w:lineRule="auto"/>
        <w:jc w:val="both"/>
      </w:pPr>
    </w:p>
    <w:p w14:paraId="0CC8C3C8" w14:textId="77777777" w:rsidR="00AB6AFC" w:rsidRPr="007E0B96" w:rsidRDefault="00AB6AFC" w:rsidP="00E11D93">
      <w:pPr>
        <w:spacing w:line="360" w:lineRule="auto"/>
        <w:jc w:val="both"/>
      </w:pPr>
    </w:p>
    <w:p w14:paraId="0D0B74D3" w14:textId="77777777" w:rsidR="00AB6AFC" w:rsidRPr="007E0B96" w:rsidRDefault="00AB6AFC" w:rsidP="00E11D93">
      <w:pPr>
        <w:spacing w:line="360" w:lineRule="auto"/>
        <w:jc w:val="both"/>
      </w:pPr>
    </w:p>
    <w:p w14:paraId="0B8D79BA" w14:textId="77777777" w:rsidR="00AB6AFC" w:rsidRPr="007E0B96" w:rsidRDefault="00AB6AFC" w:rsidP="00E11D93">
      <w:pPr>
        <w:spacing w:line="360" w:lineRule="auto"/>
        <w:jc w:val="both"/>
      </w:pPr>
    </w:p>
    <w:p w14:paraId="4D839B74" w14:textId="77777777" w:rsidR="00AB6AFC" w:rsidRDefault="00AB6AFC" w:rsidP="00E11D93">
      <w:pPr>
        <w:spacing w:line="360" w:lineRule="auto"/>
        <w:jc w:val="both"/>
      </w:pPr>
    </w:p>
    <w:p w14:paraId="2F91FD7A" w14:textId="77777777" w:rsidR="00AB6AFC" w:rsidRPr="007E0B96" w:rsidRDefault="00AB6AFC" w:rsidP="00E11D93">
      <w:pPr>
        <w:spacing w:line="360" w:lineRule="auto"/>
        <w:jc w:val="both"/>
      </w:pPr>
    </w:p>
    <w:p w14:paraId="0EB5F19D" w14:textId="64D01A9C" w:rsidR="00AB6AFC" w:rsidRPr="007E0B96" w:rsidRDefault="00AB6AFC" w:rsidP="00E11D93">
      <w:pPr>
        <w:spacing w:line="360" w:lineRule="auto"/>
        <w:jc w:val="both"/>
      </w:pPr>
      <w:r w:rsidRPr="007E0B96">
        <w:t xml:space="preserve">Lecturer(s): </w:t>
      </w:r>
      <w:r w:rsidR="009376D8">
        <w:t>Molly Jack</w:t>
      </w:r>
    </w:p>
    <w:p w14:paraId="17FF23BC" w14:textId="77777777" w:rsidR="00EE0F94" w:rsidRDefault="00AB6AFC" w:rsidP="00E11D93">
      <w:pPr>
        <w:spacing w:line="360" w:lineRule="auto"/>
        <w:jc w:val="both"/>
      </w:pPr>
      <w:r w:rsidRPr="007E0B96">
        <w:t>Student: Emilia-Nicoleta Zaldea (2123370)</w:t>
      </w:r>
    </w:p>
    <w:p w14:paraId="5AE715A6" w14:textId="032F5B74" w:rsidR="004209FE" w:rsidRDefault="000803DD" w:rsidP="00E11D93">
      <w:pPr>
        <w:spacing w:line="360" w:lineRule="auto"/>
        <w:jc w:val="both"/>
      </w:pPr>
      <w:r w:rsidRPr="000803DD">
        <w:lastRenderedPageBreak/>
        <w:t>Community engagement is the act of engaging in projects, including conflict, with other people and groups to achieve a common goal. Community engagement can be defined in terms of the active participation of communities affected by a project. Community engagement can also be used as a measure of how successfully an organization has achieved its stated mission through collaboration with external stakeholders</w:t>
      </w:r>
      <w:r>
        <w:t xml:space="preserve">. </w:t>
      </w:r>
      <w:r w:rsidR="00870CCD" w:rsidRPr="00870CCD">
        <w:t xml:space="preserve">Community engagement projects </w:t>
      </w:r>
      <w:r w:rsidR="00870CCD" w:rsidRPr="00870CCD">
        <w:t>include</w:t>
      </w:r>
      <w:r w:rsidR="00870CCD" w:rsidRPr="00870CCD">
        <w:t xml:space="preserve"> signing up to vote</w:t>
      </w:r>
      <w:r w:rsidR="00870CCD">
        <w:t>,</w:t>
      </w:r>
      <w:r w:rsidR="00870CCD" w:rsidRPr="00870CCD">
        <w:t xml:space="preserve"> volunteering at a charity</w:t>
      </w:r>
      <w:r w:rsidR="00870CCD">
        <w:t>,</w:t>
      </w:r>
      <w:r w:rsidR="00870CCD" w:rsidRPr="00870CCD">
        <w:t xml:space="preserve"> making contributions to national campaigns</w:t>
      </w:r>
      <w:r w:rsidR="00870CCD">
        <w:t>,</w:t>
      </w:r>
      <w:r w:rsidR="00870CCD" w:rsidRPr="00870CCD">
        <w:t xml:space="preserve"> attending town hall meetings</w:t>
      </w:r>
      <w:r w:rsidR="00870CCD">
        <w:t>,</w:t>
      </w:r>
      <w:r w:rsidR="00870CCD" w:rsidRPr="00870CCD">
        <w:t xml:space="preserve"> joining a civic association or helping organize a b</w:t>
      </w:r>
      <w:r w:rsidR="00F34643">
        <w:t>ook</w:t>
      </w:r>
      <w:r w:rsidR="00870CCD" w:rsidRPr="00870CCD">
        <w:t xml:space="preserve"> club. </w:t>
      </w:r>
      <w:r w:rsidR="00157311" w:rsidRPr="00870CCD">
        <w:t xml:space="preserve">Engagement is about who, how and when you get involved. It’s about contributing to your precinct, community or organization. </w:t>
      </w:r>
      <w:r w:rsidR="00870CCD" w:rsidRPr="00870CCD">
        <w:t xml:space="preserve">Engaged citizens turn out to vote, attend protests and rallies, talk with their representatives at town halls, </w:t>
      </w:r>
      <w:r w:rsidR="00870CCD" w:rsidRPr="00870CCD">
        <w:t>join</w:t>
      </w:r>
      <w:r w:rsidR="00870CCD" w:rsidRPr="00870CCD">
        <w:t xml:space="preserve"> in temporary organizations</w:t>
      </w:r>
      <w:r w:rsidR="00E12C0F">
        <w:t xml:space="preserve">, </w:t>
      </w:r>
      <w:r w:rsidR="00870CCD" w:rsidRPr="00870CCD">
        <w:t>even hold parties</w:t>
      </w:r>
      <w:r w:rsidR="00E12C0F">
        <w:t>.</w:t>
      </w:r>
    </w:p>
    <w:p w14:paraId="46B06A3B" w14:textId="20AB364F" w:rsidR="008A7E1C" w:rsidRDefault="008A7E1C" w:rsidP="00E11D93">
      <w:pPr>
        <w:spacing w:line="360" w:lineRule="auto"/>
        <w:jc w:val="both"/>
      </w:pPr>
      <w:r>
        <w:t>‘The essential meaning of community might seem obvious enough. It refers to those things which people have in common, which bind them together, and give them a sense of belonging with one another’</w:t>
      </w:r>
      <w:sdt>
        <w:sdtPr>
          <w:id w:val="-1188299452"/>
          <w:citation/>
        </w:sdtPr>
        <w:sdtContent>
          <w:r>
            <w:fldChar w:fldCharType="begin"/>
          </w:r>
          <w:r>
            <w:instrText xml:space="preserve"> CITATION Gra06 \l 2057 </w:instrText>
          </w:r>
          <w:r>
            <w:fldChar w:fldCharType="separate"/>
          </w:r>
          <w:r>
            <w:rPr>
              <w:noProof/>
            </w:rPr>
            <w:t xml:space="preserve"> (Day, 2006)</w:t>
          </w:r>
          <w:r>
            <w:fldChar w:fldCharType="end"/>
          </w:r>
        </w:sdtContent>
      </w:sdt>
    </w:p>
    <w:p w14:paraId="34E3A58F" w14:textId="6AA6DF2C" w:rsidR="00870CCD" w:rsidRDefault="00870CCD" w:rsidP="00E11D93">
      <w:pPr>
        <w:spacing w:line="360" w:lineRule="auto"/>
        <w:jc w:val="both"/>
        <w:rPr>
          <w:rFonts w:cstheme="minorHAnsi"/>
        </w:rPr>
      </w:pPr>
      <w:r w:rsidRPr="00870CCD">
        <w:rPr>
          <w:rFonts w:cstheme="minorHAnsi"/>
        </w:rPr>
        <w:t xml:space="preserve">Community engagement helps an organization create a culture of inclusion and trust, build relationships with </w:t>
      </w:r>
      <w:r w:rsidR="001D2695" w:rsidRPr="00870CCD">
        <w:rPr>
          <w:rFonts w:cstheme="minorHAnsi"/>
        </w:rPr>
        <w:t>it</w:t>
      </w:r>
      <w:r w:rsidR="001D2695">
        <w:rPr>
          <w:rFonts w:cstheme="minorHAnsi"/>
        </w:rPr>
        <w:t>s</w:t>
      </w:r>
      <w:r w:rsidRPr="00870CCD">
        <w:rPr>
          <w:rFonts w:cstheme="minorHAnsi"/>
        </w:rPr>
        <w:t xml:space="preserve"> community, create long-term commitments among stakeholders, and enlist support for the mission of the organization.</w:t>
      </w:r>
      <w:r w:rsidR="00904B41">
        <w:rPr>
          <w:rFonts w:cstheme="minorHAnsi"/>
        </w:rPr>
        <w:t xml:space="preserve"> </w:t>
      </w:r>
      <w:r w:rsidRPr="00870CCD">
        <w:rPr>
          <w:rFonts w:cstheme="minorHAnsi"/>
        </w:rPr>
        <w:t xml:space="preserve">When designing for community engagement we need to consider the entire community. Our approach is not just about engaging </w:t>
      </w:r>
      <w:r w:rsidRPr="00870CCD">
        <w:rPr>
          <w:rFonts w:cstheme="minorHAnsi"/>
        </w:rPr>
        <w:t>people but</w:t>
      </w:r>
      <w:r w:rsidRPr="00870CCD">
        <w:rPr>
          <w:rFonts w:cstheme="minorHAnsi"/>
        </w:rPr>
        <w:t xml:space="preserve"> creating a platform for them to meaningfully interact with.</w:t>
      </w:r>
      <w:r w:rsidR="00D8768A" w:rsidRPr="00D8768A">
        <w:t xml:space="preserve"> </w:t>
      </w:r>
      <w:r w:rsidR="00A538F5">
        <w:t>‘</w:t>
      </w:r>
      <w:r w:rsidR="00D8768A">
        <w:t>Studies of humans and other higher primates suggest that we share an inherent sociability, a biological propensity to connect and to co-operate</w:t>
      </w:r>
      <w:r w:rsidR="00A538F5">
        <w:rPr>
          <w:rFonts w:cstheme="minorHAnsi"/>
        </w:rPr>
        <w:t>.’</w:t>
      </w:r>
      <w:sdt>
        <w:sdtPr>
          <w:rPr>
            <w:rFonts w:cstheme="minorHAnsi"/>
          </w:rPr>
          <w:id w:val="-746195833"/>
          <w:citation/>
        </w:sdtPr>
        <w:sdtContent>
          <w:r w:rsidR="00A538F5">
            <w:rPr>
              <w:rFonts w:cstheme="minorHAnsi"/>
            </w:rPr>
            <w:fldChar w:fldCharType="begin"/>
          </w:r>
          <w:r w:rsidR="00A538F5">
            <w:rPr>
              <w:rFonts w:cstheme="minorHAnsi"/>
            </w:rPr>
            <w:instrText xml:space="preserve"> CITATION Ali09 \l 2057 </w:instrText>
          </w:r>
          <w:r w:rsidR="00A538F5">
            <w:rPr>
              <w:rFonts w:cstheme="minorHAnsi"/>
            </w:rPr>
            <w:fldChar w:fldCharType="separate"/>
          </w:r>
          <w:r w:rsidR="00A538F5">
            <w:rPr>
              <w:rFonts w:cstheme="minorHAnsi"/>
              <w:noProof/>
            </w:rPr>
            <w:t xml:space="preserve"> </w:t>
          </w:r>
          <w:r w:rsidR="00A538F5" w:rsidRPr="00A538F5">
            <w:rPr>
              <w:rFonts w:cstheme="minorHAnsi"/>
              <w:noProof/>
            </w:rPr>
            <w:t>(Gilchrist, 2009)</w:t>
          </w:r>
          <w:r w:rsidR="00A538F5">
            <w:rPr>
              <w:rFonts w:cstheme="minorHAnsi"/>
            </w:rPr>
            <w:fldChar w:fldCharType="end"/>
          </w:r>
        </w:sdtContent>
      </w:sdt>
      <w:r w:rsidR="00A538F5">
        <w:rPr>
          <w:rFonts w:cstheme="minorHAnsi"/>
        </w:rPr>
        <w:t>.</w:t>
      </w:r>
      <w:r w:rsidR="00755DA4">
        <w:rPr>
          <w:rFonts w:cstheme="minorHAnsi"/>
        </w:rPr>
        <w:t xml:space="preserve"> </w:t>
      </w:r>
      <w:r w:rsidR="00E763C2">
        <w:rPr>
          <w:rFonts w:cstheme="minorHAnsi"/>
        </w:rPr>
        <w:t xml:space="preserve">For a coalition to thrive, you need to be able to navigate many of its members and their concerns. Community engagement is critical for doing this, and there are several ways </w:t>
      </w:r>
      <w:r w:rsidR="00F34643">
        <w:rPr>
          <w:rFonts w:cstheme="minorHAnsi"/>
        </w:rPr>
        <w:t>in which you can do this. Its important that your team develops good working relationship with all parties involved in your coalition; it will help ensure that everyone feels like they have a say and is respected at every stage of decision making.</w:t>
      </w:r>
    </w:p>
    <w:p w14:paraId="73EEDEA1" w14:textId="74E23F17" w:rsidR="00157311" w:rsidRDefault="00870CCD" w:rsidP="00E11D93">
      <w:pPr>
        <w:spacing w:line="360" w:lineRule="auto"/>
        <w:jc w:val="both"/>
        <w:rPr>
          <w:rFonts w:cstheme="minorHAnsi"/>
        </w:rPr>
      </w:pPr>
      <w:r w:rsidRPr="00870CCD">
        <w:rPr>
          <w:rFonts w:cstheme="minorHAnsi"/>
        </w:rPr>
        <w:t>Community engagement encompasses the roles and abilities of people within a specific community. It addresses issues such as civic engagement, education, economic development and philanthropy. Engagement can be focused on individual participation in an organization or community, or it can be focused on developing an organization’s capacity to engage a wider group of individuals in a cause or movement.</w:t>
      </w:r>
      <w:r w:rsidR="00365E51">
        <w:rPr>
          <w:rFonts w:cstheme="minorHAnsi"/>
        </w:rPr>
        <w:t xml:space="preserve"> </w:t>
      </w:r>
      <w:r w:rsidR="001D2695">
        <w:rPr>
          <w:rFonts w:cstheme="minorHAnsi"/>
        </w:rPr>
        <w:t>It can</w:t>
      </w:r>
      <w:r w:rsidR="00157311" w:rsidRPr="00157311">
        <w:rPr>
          <w:rFonts w:cstheme="minorHAnsi"/>
        </w:rPr>
        <w:t xml:space="preserve"> lead to so many positive outcomes and benefits for organizations and the wider community. As an organization, when you engage with communities, you’ll make better, more informed decisions, because you see the big picture and the full impact of your projects and initiatives. When community engagement is done right, it can help you develop a more socially responsible organization.</w:t>
      </w:r>
      <w:r w:rsidR="00904B41">
        <w:rPr>
          <w:rFonts w:cstheme="minorHAnsi"/>
        </w:rPr>
        <w:t xml:space="preserve"> </w:t>
      </w:r>
      <w:r w:rsidR="00157311" w:rsidRPr="00157311">
        <w:rPr>
          <w:rFonts w:cstheme="minorHAnsi"/>
        </w:rPr>
        <w:t xml:space="preserve">Community engagement is vital for a successful organization as it helps ensure that your </w:t>
      </w:r>
      <w:r w:rsidR="00157311" w:rsidRPr="00157311">
        <w:rPr>
          <w:rFonts w:cstheme="minorHAnsi"/>
        </w:rPr>
        <w:lastRenderedPageBreak/>
        <w:t xml:space="preserve">brand </w:t>
      </w:r>
      <w:r w:rsidR="00157311" w:rsidRPr="00157311">
        <w:rPr>
          <w:rFonts w:cstheme="minorHAnsi"/>
        </w:rPr>
        <w:t>can</w:t>
      </w:r>
      <w:r w:rsidR="00157311" w:rsidRPr="00157311">
        <w:rPr>
          <w:rFonts w:cstheme="minorHAnsi"/>
        </w:rPr>
        <w:t xml:space="preserve"> build social trust and loyalty with members. This will help you increase customer satisfaction and reduce the chances of being blocked by the community.</w:t>
      </w:r>
      <w:r w:rsidR="008F3A9E">
        <w:rPr>
          <w:rFonts w:cstheme="minorHAnsi"/>
        </w:rPr>
        <w:t xml:space="preserve"> </w:t>
      </w:r>
      <w:r w:rsidR="008F3A9E" w:rsidRPr="008A7E1C">
        <w:rPr>
          <w:rFonts w:cstheme="minorHAnsi"/>
        </w:rPr>
        <w:t xml:space="preserve">When you engage with a community, you can influence </w:t>
      </w:r>
      <w:r w:rsidR="008F3A9E" w:rsidRPr="008A7E1C">
        <w:rPr>
          <w:rFonts w:cstheme="minorHAnsi"/>
        </w:rPr>
        <w:t>people’s</w:t>
      </w:r>
      <w:r w:rsidR="008F3A9E" w:rsidRPr="008A7E1C">
        <w:rPr>
          <w:rFonts w:cstheme="minorHAnsi"/>
        </w:rPr>
        <w:t xml:space="preserve"> perceptions of your organization and the brand.</w:t>
      </w:r>
      <w:r w:rsidR="008F3A9E">
        <w:rPr>
          <w:rFonts w:cstheme="minorHAnsi"/>
        </w:rPr>
        <w:t xml:space="preserve"> </w:t>
      </w:r>
      <w:r w:rsidR="00157311" w:rsidRPr="00157311">
        <w:rPr>
          <w:rFonts w:cstheme="minorHAnsi"/>
        </w:rPr>
        <w:t>It’s about understanding that you need to take responsibility for what you do, because communities won’t do it for you.</w:t>
      </w:r>
      <w:r w:rsidR="00904B41">
        <w:rPr>
          <w:rFonts w:cstheme="minorHAnsi"/>
        </w:rPr>
        <w:t xml:space="preserve"> I</w:t>
      </w:r>
      <w:r w:rsidR="00157311" w:rsidRPr="00157311">
        <w:rPr>
          <w:rFonts w:cstheme="minorHAnsi"/>
        </w:rPr>
        <w:t>s the lifeblood of all community relations</w:t>
      </w:r>
      <w:r w:rsidR="00904B41">
        <w:rPr>
          <w:rFonts w:cstheme="minorHAnsi"/>
        </w:rPr>
        <w:t>, i</w:t>
      </w:r>
      <w:r w:rsidR="00157311" w:rsidRPr="00157311">
        <w:rPr>
          <w:rFonts w:cstheme="minorHAnsi"/>
        </w:rPr>
        <w:t xml:space="preserve">t makes it possible for people to see what you do, why you do it and how your organization benefits them as well as their </w:t>
      </w:r>
      <w:r w:rsidR="00157311" w:rsidRPr="00157311">
        <w:rPr>
          <w:rFonts w:cstheme="minorHAnsi"/>
        </w:rPr>
        <w:t>community</w:t>
      </w:r>
      <w:r w:rsidR="00157311" w:rsidRPr="00157311">
        <w:rPr>
          <w:rFonts w:cstheme="minorHAnsi"/>
        </w:rPr>
        <w:t>.</w:t>
      </w:r>
    </w:p>
    <w:p w14:paraId="04E1F821" w14:textId="77777777" w:rsidR="001D2695" w:rsidRDefault="008A7E1C" w:rsidP="00E11D93">
      <w:pPr>
        <w:spacing w:line="360" w:lineRule="auto"/>
        <w:jc w:val="both"/>
        <w:rPr>
          <w:rFonts w:cstheme="minorHAnsi"/>
        </w:rPr>
      </w:pPr>
      <w:r w:rsidRPr="008A7E1C">
        <w:rPr>
          <w:rFonts w:cstheme="minorHAnsi"/>
        </w:rPr>
        <w:t xml:space="preserve">As a result, they can increase their level of satisfaction with your brand and by </w:t>
      </w:r>
      <w:r w:rsidRPr="008A7E1C">
        <w:rPr>
          <w:rFonts w:cstheme="minorHAnsi"/>
        </w:rPr>
        <w:t>extension,</w:t>
      </w:r>
      <w:r w:rsidRPr="008A7E1C">
        <w:rPr>
          <w:rFonts w:cstheme="minorHAnsi"/>
        </w:rPr>
        <w:t xml:space="preserve"> increasing customer retention rates. It all comes down </w:t>
      </w:r>
      <w:r w:rsidRPr="008A7E1C">
        <w:rPr>
          <w:rFonts w:cstheme="minorHAnsi"/>
        </w:rPr>
        <w:t>to</w:t>
      </w:r>
      <w:r w:rsidRPr="008A7E1C">
        <w:rPr>
          <w:rFonts w:cstheme="minorHAnsi"/>
        </w:rPr>
        <w:t xml:space="preserve"> getting a social license to operate.</w:t>
      </w:r>
      <w:r w:rsidR="00904B41">
        <w:rPr>
          <w:rFonts w:cstheme="minorHAnsi"/>
        </w:rPr>
        <w:t xml:space="preserve"> </w:t>
      </w:r>
      <w:r w:rsidRPr="008A7E1C">
        <w:rPr>
          <w:rFonts w:cstheme="minorHAnsi"/>
        </w:rPr>
        <w:t>Community engagement is a critical part of every project and initiative. But if community engagement is done wrong, it can backfire at every step along the way.</w:t>
      </w:r>
      <w:r w:rsidR="00DE1D3A">
        <w:rPr>
          <w:rFonts w:cstheme="minorHAnsi"/>
        </w:rPr>
        <w:t xml:space="preserve"> </w:t>
      </w:r>
    </w:p>
    <w:p w14:paraId="6E5568F9" w14:textId="0A5F4B8C" w:rsidR="0018308D" w:rsidRPr="0018308D" w:rsidRDefault="00DE1D3A" w:rsidP="00E11D93">
      <w:pPr>
        <w:spacing w:line="360" w:lineRule="auto"/>
        <w:jc w:val="both"/>
        <w:rPr>
          <w:rFonts w:cstheme="minorHAnsi"/>
        </w:rPr>
      </w:pPr>
      <w:r>
        <w:rPr>
          <w:rFonts w:cstheme="minorHAnsi"/>
        </w:rPr>
        <w:t>A</w:t>
      </w:r>
      <w:r w:rsidR="00D127F5">
        <w:rPr>
          <w:rFonts w:cstheme="minorHAnsi"/>
        </w:rPr>
        <w:t xml:space="preserve">s believed by Day ‘…we are boundary-drawing animals, and we erect barriers between </w:t>
      </w:r>
      <w:r w:rsidR="008F3A9E">
        <w:rPr>
          <w:rFonts w:cstheme="minorHAnsi"/>
        </w:rPr>
        <w:t>ourselves</w:t>
      </w:r>
      <w:r w:rsidR="00D127F5">
        <w:rPr>
          <w:rFonts w:cstheme="minorHAnsi"/>
        </w:rPr>
        <w:t xml:space="preserve"> and others, quite as much as we identify with them’</w:t>
      </w:r>
      <w:r w:rsidR="001D2695">
        <w:rPr>
          <w:rFonts w:cstheme="minorHAnsi"/>
        </w:rPr>
        <w:t xml:space="preserve">. </w:t>
      </w:r>
      <w:r w:rsidR="008F3A9E" w:rsidRPr="008F3A9E">
        <w:rPr>
          <w:rFonts w:cstheme="minorHAnsi"/>
        </w:rPr>
        <w:t>Engaging with the public can be hard work, but it’s critical to be able to identify areas of common ground, in amongst all the ‘noise’ and lobbying. And then use this common ground to connect different parties and find a way forward.</w:t>
      </w:r>
      <w:r w:rsidR="001D2695">
        <w:rPr>
          <w:rFonts w:cstheme="minorHAnsi"/>
        </w:rPr>
        <w:t xml:space="preserve"> </w:t>
      </w:r>
      <w:r w:rsidR="0018308D" w:rsidRPr="0018308D">
        <w:rPr>
          <w:rFonts w:cstheme="minorHAnsi"/>
        </w:rPr>
        <w:t xml:space="preserve">Community engagement is a two-way conversation that’s full of information, stories and ideas. It’s about engaging with the people within your community and listening to what they have to say. You can do this in </w:t>
      </w:r>
      <w:r w:rsidR="0018308D" w:rsidRPr="0018308D">
        <w:rPr>
          <w:rFonts w:cstheme="minorHAnsi"/>
        </w:rPr>
        <w:t>many ways</w:t>
      </w:r>
      <w:r w:rsidR="0018308D" w:rsidRPr="0018308D">
        <w:rPr>
          <w:rFonts w:cstheme="minorHAnsi"/>
        </w:rPr>
        <w:t>, with new communication platforms and formats, or by talking directly to them yourself.</w:t>
      </w:r>
    </w:p>
    <w:p w14:paraId="15E696AF" w14:textId="612480A0" w:rsidR="0018308D" w:rsidRDefault="0018308D" w:rsidP="00E11D93">
      <w:pPr>
        <w:spacing w:line="360" w:lineRule="auto"/>
        <w:jc w:val="both"/>
        <w:rPr>
          <w:rFonts w:cstheme="minorHAnsi"/>
        </w:rPr>
      </w:pPr>
      <w:r w:rsidRPr="0018308D">
        <w:rPr>
          <w:rFonts w:cstheme="minorHAnsi"/>
        </w:rPr>
        <w:t>Communication is key to community engagement. Having a conversation allows you to listen, empathize and find ways to engage with your stakeholders. It also helps you understand how to improve communication with people in your community, which can lead to more diverse perspectives and better decisions.</w:t>
      </w:r>
      <w:r w:rsidR="00D02380">
        <w:rPr>
          <w:rFonts w:cstheme="minorHAnsi"/>
        </w:rPr>
        <w:t xml:space="preserve"> </w:t>
      </w:r>
      <w:r w:rsidRPr="0018308D">
        <w:rPr>
          <w:rFonts w:cstheme="minorHAnsi"/>
        </w:rPr>
        <w:t>Communicating with your stakeholders is always worth it.</w:t>
      </w:r>
    </w:p>
    <w:p w14:paraId="3CB3DD96" w14:textId="332C43A5" w:rsidR="00074FA3" w:rsidRPr="00074FA3" w:rsidRDefault="001D2F71" w:rsidP="00E11D93">
      <w:pPr>
        <w:spacing w:line="360" w:lineRule="auto"/>
        <w:jc w:val="both"/>
        <w:rPr>
          <w:rFonts w:cstheme="minorHAnsi"/>
        </w:rPr>
      </w:pPr>
      <w:r>
        <w:rPr>
          <w:rFonts w:cstheme="minorHAnsi"/>
        </w:rPr>
        <w:t>Community engagement is a powerful part of community building, but you can</w:t>
      </w:r>
      <w:r w:rsidR="005B5306">
        <w:rPr>
          <w:rFonts w:cstheme="minorHAnsi"/>
        </w:rPr>
        <w:t>’t</w:t>
      </w:r>
      <w:r>
        <w:rPr>
          <w:rFonts w:cstheme="minorHAnsi"/>
        </w:rPr>
        <w:t xml:space="preserve"> do it wrong if you don’t show that you truly want to involve members. You can create opportunities where they have an active role in what you are doing, whether it’s an event or something else. By demonstrating how much better things will be when we all work together, we encourage involvement from everyone involved. </w:t>
      </w:r>
      <w:r w:rsidR="0018308D" w:rsidRPr="0018308D">
        <w:rPr>
          <w:rFonts w:cstheme="minorHAnsi"/>
        </w:rPr>
        <w:t>It needs ongoing effort, and often involves different types of communication and patient listening. But when you do it right, the benefits can be huge for both your organization and your community.</w:t>
      </w:r>
      <w:r w:rsidR="00D02380">
        <w:rPr>
          <w:rFonts w:cstheme="minorHAnsi"/>
        </w:rPr>
        <w:t xml:space="preserve"> </w:t>
      </w:r>
      <w:r w:rsidR="00074FA3" w:rsidRPr="00074FA3">
        <w:rPr>
          <w:rFonts w:cstheme="minorHAnsi"/>
        </w:rPr>
        <w:t>The first step</w:t>
      </w:r>
      <w:r w:rsidR="00D02380">
        <w:rPr>
          <w:rFonts w:cstheme="minorHAnsi"/>
        </w:rPr>
        <w:t xml:space="preserve"> </w:t>
      </w:r>
      <w:r w:rsidR="00074FA3" w:rsidRPr="00074FA3">
        <w:rPr>
          <w:rFonts w:cstheme="minorHAnsi"/>
        </w:rPr>
        <w:t>is to hang out in the places where your community members are active</w:t>
      </w:r>
      <w:r w:rsidR="00D02380">
        <w:rPr>
          <w:rFonts w:cstheme="minorHAnsi"/>
        </w:rPr>
        <w:t xml:space="preserve">, </w:t>
      </w:r>
      <w:r w:rsidR="00074FA3" w:rsidRPr="00074FA3">
        <w:rPr>
          <w:rFonts w:cstheme="minorHAnsi"/>
        </w:rPr>
        <w:t>it’s important that you both listen and share your insights back. If you want to know what topics your members want to be talked about, consider joining a social media group for your industry or topic, attending local events and festivals, or hanging out in online communities</w:t>
      </w:r>
      <w:r w:rsidR="00C52198">
        <w:rPr>
          <w:rFonts w:cstheme="minorHAnsi"/>
        </w:rPr>
        <w:t>.</w:t>
      </w:r>
      <w:r w:rsidR="00D02380">
        <w:rPr>
          <w:rFonts w:cstheme="minorHAnsi"/>
        </w:rPr>
        <w:t xml:space="preserve"> </w:t>
      </w:r>
      <w:r w:rsidR="00074FA3" w:rsidRPr="00074FA3">
        <w:rPr>
          <w:rFonts w:cstheme="minorHAnsi"/>
        </w:rPr>
        <w:t xml:space="preserve">This will depend on who your community is, what their demographics are and what their habits are, but here are some </w:t>
      </w:r>
      <w:r w:rsidR="00074FA3" w:rsidRPr="00074FA3">
        <w:rPr>
          <w:rFonts w:cstheme="minorHAnsi"/>
        </w:rPr>
        <w:lastRenderedPageBreak/>
        <w:t>examples:</w:t>
      </w:r>
      <w:r w:rsidR="00D02380">
        <w:rPr>
          <w:rFonts w:cstheme="minorHAnsi"/>
        </w:rPr>
        <w:t xml:space="preserve"> </w:t>
      </w:r>
      <w:r w:rsidR="00D02380" w:rsidRPr="00D02380">
        <w:rPr>
          <w:rFonts w:cstheme="minorHAnsi"/>
        </w:rPr>
        <w:t>Facebook</w:t>
      </w:r>
      <w:r w:rsidR="00D02380">
        <w:rPr>
          <w:rFonts w:cstheme="minorHAnsi"/>
        </w:rPr>
        <w:t xml:space="preserve">, </w:t>
      </w:r>
      <w:r w:rsidR="00D02380" w:rsidRPr="00D02380">
        <w:rPr>
          <w:rFonts w:cstheme="minorHAnsi"/>
        </w:rPr>
        <w:t>Twitter</w:t>
      </w:r>
      <w:r w:rsidR="00D02380">
        <w:rPr>
          <w:rFonts w:cstheme="minorHAnsi"/>
        </w:rPr>
        <w:t xml:space="preserve">, </w:t>
      </w:r>
      <w:r w:rsidR="00D02380" w:rsidRPr="00D02380">
        <w:rPr>
          <w:rFonts w:cstheme="minorHAnsi"/>
        </w:rPr>
        <w:t>Instagram</w:t>
      </w:r>
      <w:r w:rsidR="00D02380">
        <w:rPr>
          <w:rFonts w:cstheme="minorHAnsi"/>
        </w:rPr>
        <w:t>, l</w:t>
      </w:r>
      <w:r w:rsidR="00D02380" w:rsidRPr="00D02380">
        <w:rPr>
          <w:rFonts w:cstheme="minorHAnsi"/>
        </w:rPr>
        <w:t>ocal shopping villages</w:t>
      </w:r>
      <w:r w:rsidR="00D02380">
        <w:rPr>
          <w:rFonts w:cstheme="minorHAnsi"/>
        </w:rPr>
        <w:t>, m</w:t>
      </w:r>
      <w:r w:rsidR="00D02380" w:rsidRPr="00D02380">
        <w:rPr>
          <w:rFonts w:cstheme="minorHAnsi"/>
        </w:rPr>
        <w:t>ajor events and festivals</w:t>
      </w:r>
      <w:r w:rsidR="00D02380">
        <w:rPr>
          <w:rFonts w:cstheme="minorHAnsi"/>
        </w:rPr>
        <w:t>, c</w:t>
      </w:r>
      <w:r w:rsidR="00D02380" w:rsidRPr="00D02380">
        <w:rPr>
          <w:rFonts w:cstheme="minorHAnsi"/>
        </w:rPr>
        <w:t xml:space="preserve">ommunity </w:t>
      </w:r>
      <w:r w:rsidRPr="00D02380">
        <w:rPr>
          <w:rFonts w:cstheme="minorHAnsi"/>
        </w:rPr>
        <w:t>centres</w:t>
      </w:r>
      <w:r>
        <w:rPr>
          <w:rFonts w:cstheme="minorHAnsi"/>
        </w:rPr>
        <w:t xml:space="preserve">, </w:t>
      </w:r>
      <w:r w:rsidRPr="00D02380">
        <w:rPr>
          <w:rFonts w:cstheme="minorHAnsi"/>
        </w:rPr>
        <w:t>schools</w:t>
      </w:r>
      <w:r w:rsidR="00D02380">
        <w:rPr>
          <w:rFonts w:cstheme="minorHAnsi"/>
        </w:rPr>
        <w:t>.</w:t>
      </w:r>
    </w:p>
    <w:p w14:paraId="7E041882" w14:textId="67FE438C" w:rsidR="00380681" w:rsidRPr="00380681" w:rsidRDefault="00074FA3" w:rsidP="00E11D93">
      <w:pPr>
        <w:spacing w:line="360" w:lineRule="auto"/>
        <w:jc w:val="both"/>
        <w:rPr>
          <w:rFonts w:cstheme="minorHAnsi"/>
        </w:rPr>
      </w:pPr>
      <w:r w:rsidRPr="00074FA3">
        <w:rPr>
          <w:rFonts w:cstheme="minorHAnsi"/>
        </w:rPr>
        <w:t xml:space="preserve">Community engagement starts with your communications. Communicate how you want to build and </w:t>
      </w:r>
      <w:r w:rsidR="001D2F71" w:rsidRPr="00074FA3">
        <w:rPr>
          <w:rFonts w:cstheme="minorHAnsi"/>
        </w:rPr>
        <w:t>reinforce</w:t>
      </w:r>
      <w:r w:rsidRPr="00074FA3">
        <w:rPr>
          <w:rFonts w:cstheme="minorHAnsi"/>
        </w:rPr>
        <w:t xml:space="preserve"> relationships with your audience, and what you’ve planned to do. Much of it will depend on where they fit into your organization. If they’re an important resource for a project or a customer-facing role, then you might ask them to get involved </w:t>
      </w:r>
      <w:r w:rsidRPr="00074FA3">
        <w:rPr>
          <w:rFonts w:cstheme="minorHAnsi"/>
        </w:rPr>
        <w:t>early in the</w:t>
      </w:r>
      <w:r w:rsidRPr="00074FA3">
        <w:rPr>
          <w:rFonts w:cstheme="minorHAnsi"/>
        </w:rPr>
        <w:t xml:space="preserve"> process so that they can make sure the design is right for them.</w:t>
      </w:r>
      <w:r w:rsidR="003B7265">
        <w:rPr>
          <w:rFonts w:cstheme="minorHAnsi"/>
        </w:rPr>
        <w:t xml:space="preserve"> </w:t>
      </w:r>
      <w:r w:rsidRPr="00074FA3">
        <w:rPr>
          <w:rFonts w:cstheme="minorHAnsi"/>
        </w:rPr>
        <w:t>Engagement is a two-way street. You need to both listen and share information with your community members, whether it be via email, through social networks or in person. The goal is to build trust so that people know you and will continue to try to connect with you on an ongoing basis.</w:t>
      </w:r>
      <w:r w:rsidR="00810FDA">
        <w:rPr>
          <w:rFonts w:cstheme="minorHAnsi"/>
        </w:rPr>
        <w:t xml:space="preserve"> </w:t>
      </w:r>
      <w:r w:rsidR="00810FDA" w:rsidRPr="00380681">
        <w:rPr>
          <w:rFonts w:cstheme="minorHAnsi"/>
        </w:rPr>
        <w:t>So,</w:t>
      </w:r>
      <w:r w:rsidR="00380681" w:rsidRPr="00380681">
        <w:rPr>
          <w:rFonts w:cstheme="minorHAnsi"/>
        </w:rPr>
        <w:t xml:space="preserve"> connection is a natural side effect of successful community engagement.</w:t>
      </w:r>
      <w:r w:rsidR="00810FDA">
        <w:rPr>
          <w:rFonts w:cstheme="minorHAnsi"/>
        </w:rPr>
        <w:t xml:space="preserve"> </w:t>
      </w:r>
      <w:r w:rsidR="00380681" w:rsidRPr="00380681">
        <w:rPr>
          <w:rFonts w:cstheme="minorHAnsi"/>
        </w:rPr>
        <w:t>Connection matters</w:t>
      </w:r>
      <w:r w:rsidR="00C22044">
        <w:rPr>
          <w:rFonts w:cstheme="minorHAnsi"/>
        </w:rPr>
        <w:t xml:space="preserve">, </w:t>
      </w:r>
      <w:r w:rsidR="00380681" w:rsidRPr="00380681">
        <w:rPr>
          <w:rFonts w:cstheme="minorHAnsi"/>
        </w:rPr>
        <w:t>it makes people more receptive to change their positions on issues in exchange for credible information from an organization they feel connected with.</w:t>
      </w:r>
      <w:r w:rsidR="00C22044">
        <w:rPr>
          <w:rFonts w:cstheme="minorHAnsi"/>
        </w:rPr>
        <w:t xml:space="preserve"> </w:t>
      </w:r>
      <w:r w:rsidR="00212672">
        <w:rPr>
          <w:rFonts w:cstheme="minorHAnsi"/>
        </w:rPr>
        <w:t>‘</w:t>
      </w:r>
      <w:r w:rsidR="00212672">
        <w:t>The idea of community is generally regarded as a force for good: a means of survival and progress.</w:t>
      </w:r>
      <w:r w:rsidR="00212672">
        <w:t>’</w:t>
      </w:r>
      <w:sdt>
        <w:sdtPr>
          <w:id w:val="-82384713"/>
          <w:citation/>
        </w:sdtPr>
        <w:sdtContent>
          <w:r w:rsidR="00212672">
            <w:fldChar w:fldCharType="begin"/>
          </w:r>
          <w:r w:rsidR="00212672">
            <w:instrText xml:space="preserve"> CITATION Ali09 \l 2057 </w:instrText>
          </w:r>
          <w:r w:rsidR="00212672">
            <w:fldChar w:fldCharType="separate"/>
          </w:r>
          <w:r w:rsidR="00212672">
            <w:rPr>
              <w:noProof/>
            </w:rPr>
            <w:t xml:space="preserve"> (Gilchrist, 2009)</w:t>
          </w:r>
          <w:r w:rsidR="00212672">
            <w:fldChar w:fldCharType="end"/>
          </w:r>
        </w:sdtContent>
      </w:sdt>
    </w:p>
    <w:p w14:paraId="47AD60D4" w14:textId="77EC3990" w:rsidR="00185328" w:rsidRDefault="00810FDA" w:rsidP="00E11D93">
      <w:pPr>
        <w:spacing w:line="360" w:lineRule="auto"/>
        <w:jc w:val="both"/>
        <w:rPr>
          <w:rFonts w:cstheme="minorHAnsi"/>
        </w:rPr>
      </w:pPr>
      <w:r>
        <w:rPr>
          <w:rFonts w:cstheme="minorHAnsi"/>
        </w:rPr>
        <w:t xml:space="preserve">There are several benefits to community engagement, including connection, advocacy and trust. </w:t>
      </w:r>
      <w:r w:rsidR="00380681" w:rsidRPr="00380681">
        <w:rPr>
          <w:rFonts w:cstheme="minorHAnsi"/>
        </w:rPr>
        <w:t>Community connectio</w:t>
      </w:r>
      <w:r>
        <w:rPr>
          <w:rFonts w:cstheme="minorHAnsi"/>
        </w:rPr>
        <w:t xml:space="preserve">n </w:t>
      </w:r>
      <w:r w:rsidR="00380681" w:rsidRPr="00380681">
        <w:rPr>
          <w:rFonts w:cstheme="minorHAnsi"/>
        </w:rPr>
        <w:t>is a crucial step to building a successful community. Once communities feel connected to your organization, they’re more likely to listen to your message and even change their position in response to your input.</w:t>
      </w:r>
      <w:r>
        <w:rPr>
          <w:rFonts w:cstheme="minorHAnsi"/>
        </w:rPr>
        <w:t xml:space="preserve"> </w:t>
      </w:r>
      <w:r w:rsidR="001430A2">
        <w:rPr>
          <w:rFonts w:cstheme="minorHAnsi"/>
        </w:rPr>
        <w:t>Establish trust and build relationship by strategically engaging with key groups, people in leadership position and influencers. Each of these components is essential for creating a successful community engagement strategy.</w:t>
      </w:r>
      <w:r w:rsidR="002F7B13" w:rsidRPr="002F7B13">
        <w:rPr>
          <w:rFonts w:cstheme="minorHAnsi"/>
        </w:rPr>
        <w:t xml:space="preserve"> </w:t>
      </w:r>
      <w:r w:rsidR="002F7B13">
        <w:rPr>
          <w:rFonts w:cstheme="minorHAnsi"/>
        </w:rPr>
        <w:t xml:space="preserve">A good strategy will help you do this. </w:t>
      </w:r>
      <w:r w:rsidR="002F7B13" w:rsidRPr="00380681">
        <w:rPr>
          <w:rFonts w:cstheme="minorHAnsi"/>
        </w:rPr>
        <w:t xml:space="preserve">People in the community connect with each other, too. Every connection adds to your understanding of how people in your community see themselves and how they can get what they want from government. </w:t>
      </w:r>
      <w:r w:rsidR="001430A2">
        <w:rPr>
          <w:rFonts w:cstheme="minorHAnsi"/>
        </w:rPr>
        <w:t xml:space="preserve"> </w:t>
      </w:r>
      <w:r w:rsidR="00380681" w:rsidRPr="00380681">
        <w:rPr>
          <w:rFonts w:cstheme="minorHAnsi"/>
        </w:rPr>
        <w:t xml:space="preserve">This pillar will help you </w:t>
      </w:r>
      <w:r w:rsidR="001430A2" w:rsidRPr="00380681">
        <w:rPr>
          <w:rFonts w:cstheme="minorHAnsi"/>
        </w:rPr>
        <w:t>be aware of</w:t>
      </w:r>
      <w:r w:rsidR="00380681" w:rsidRPr="00380681">
        <w:rPr>
          <w:rFonts w:cstheme="minorHAnsi"/>
        </w:rPr>
        <w:t xml:space="preserve"> the community’s social networks and culture.</w:t>
      </w:r>
      <w:r w:rsidR="00185328">
        <w:rPr>
          <w:rFonts w:cstheme="minorHAnsi"/>
        </w:rPr>
        <w:t xml:space="preserve"> </w:t>
      </w:r>
      <w:r w:rsidR="000268AA" w:rsidRPr="00380681">
        <w:rPr>
          <w:rFonts w:cstheme="minorHAnsi"/>
        </w:rPr>
        <w:t>Building connection in your community can be difficult. And even more so if you don’t know how to do it, where to start and what to do.</w:t>
      </w:r>
      <w:r w:rsidR="000268AA">
        <w:rPr>
          <w:rFonts w:cstheme="minorHAnsi"/>
        </w:rPr>
        <w:t xml:space="preserve"> </w:t>
      </w:r>
      <w:r w:rsidR="00380681" w:rsidRPr="00380681">
        <w:rPr>
          <w:rFonts w:cstheme="minorHAnsi"/>
        </w:rPr>
        <w:t>A more connected and engaged community is a stronger one.</w:t>
      </w:r>
      <w:r w:rsidR="007A4C42" w:rsidRPr="007A4C42">
        <w:rPr>
          <w:rFonts w:cstheme="minorHAnsi"/>
        </w:rPr>
        <w:t xml:space="preserve"> </w:t>
      </w:r>
      <w:r w:rsidR="007A4C42" w:rsidRPr="00380681">
        <w:rPr>
          <w:rFonts w:cstheme="minorHAnsi"/>
        </w:rPr>
        <w:t>Effective community engagement strategies are like a compass: they guide us toward our goal in ways that can't be predicted; they work on layers of complexity, allowing our actions to become flexible and effective regardless of their size, scope or scale.</w:t>
      </w:r>
    </w:p>
    <w:p w14:paraId="69D850E6" w14:textId="6947D259" w:rsidR="00380681" w:rsidRDefault="00380681" w:rsidP="00E11D93">
      <w:pPr>
        <w:spacing w:line="360" w:lineRule="auto"/>
        <w:jc w:val="both"/>
        <w:rPr>
          <w:rFonts w:cstheme="minorHAnsi"/>
        </w:rPr>
      </w:pPr>
      <w:r w:rsidRPr="00380681">
        <w:rPr>
          <w:rFonts w:cstheme="minorHAnsi"/>
        </w:rPr>
        <w:t xml:space="preserve">Community engagement strategies vary based on your organization’s needs, but they all have one thing in common: they are strategic. We’ve covered a lot of theory and definitions around “what is community engagement?” but the final piece of the puzzle is translating that into strategies and practices for your organization. There are hundreds of different community engagement activities you can </w:t>
      </w:r>
      <w:r w:rsidR="00AA33D5" w:rsidRPr="00380681">
        <w:rPr>
          <w:rFonts w:cstheme="minorHAnsi"/>
        </w:rPr>
        <w:t>do,</w:t>
      </w:r>
      <w:r w:rsidRPr="00380681">
        <w:rPr>
          <w:rFonts w:cstheme="minorHAnsi"/>
        </w:rPr>
        <w:t xml:space="preserve"> and you’ll need to pick just a handful to focus on with the time and budget you’ve got available. Community engagement does not mean one-off projects, but rather an ongoing process that we must </w:t>
      </w:r>
      <w:r w:rsidRPr="00380681">
        <w:rPr>
          <w:rFonts w:cstheme="minorHAnsi"/>
        </w:rPr>
        <w:lastRenderedPageBreak/>
        <w:t xml:space="preserve">remain committed to. While it may be tempting to jump in with a new strategy or activity at any given time, it is critical that we </w:t>
      </w:r>
      <w:r w:rsidRPr="00380681">
        <w:rPr>
          <w:rFonts w:cstheme="minorHAnsi"/>
        </w:rPr>
        <w:t>plan</w:t>
      </w:r>
      <w:r w:rsidRPr="00380681">
        <w:rPr>
          <w:rFonts w:cstheme="minorHAnsi"/>
        </w:rPr>
        <w:t xml:space="preserve"> and invest in the long term.</w:t>
      </w:r>
    </w:p>
    <w:p w14:paraId="777D98BC" w14:textId="0920D8F9" w:rsidR="00EE0F94" w:rsidRPr="00EE0F94" w:rsidRDefault="00EE0F94" w:rsidP="00E11D93">
      <w:pPr>
        <w:spacing w:line="360" w:lineRule="auto"/>
        <w:jc w:val="both"/>
        <w:rPr>
          <w:rFonts w:cstheme="minorHAnsi"/>
        </w:rPr>
      </w:pPr>
      <w:r w:rsidRPr="00EE0F94">
        <w:rPr>
          <w:rFonts w:cstheme="minorHAnsi"/>
        </w:rPr>
        <w:t>Equity and inclusion are central to any public sector strategy. It’s not enough just to talk about it</w:t>
      </w:r>
      <w:r w:rsidR="001650BD">
        <w:rPr>
          <w:rFonts w:cstheme="minorHAnsi"/>
        </w:rPr>
        <w:t xml:space="preserve">, </w:t>
      </w:r>
      <w:r w:rsidRPr="00EE0F94">
        <w:rPr>
          <w:rFonts w:cstheme="minorHAnsi"/>
        </w:rPr>
        <w:t>you need to take deliberate actions that demonstrate your commitment. And with community engagement, there is no better way to do this than to make sure you have a community engagement plan in place. This plan will help you gain the trust and confidence of the community you serve, which will give them greater confidence in you as an organization. But also consider your social license to operate developing trust, understanding, engagement and connection so that your efforts are more likely to be accepted in the community</w:t>
      </w:r>
      <w:r w:rsidR="001650BD">
        <w:rPr>
          <w:rFonts w:cstheme="minorHAnsi"/>
        </w:rPr>
        <w:t>.</w:t>
      </w:r>
    </w:p>
    <w:p w14:paraId="552C8B17" w14:textId="0F0E9391" w:rsidR="00EE0F94" w:rsidRDefault="00EE0F94" w:rsidP="00E11D93">
      <w:pPr>
        <w:spacing w:line="360" w:lineRule="auto"/>
        <w:jc w:val="both"/>
        <w:rPr>
          <w:rFonts w:cstheme="minorHAnsi"/>
        </w:rPr>
      </w:pPr>
      <w:r w:rsidRPr="00EE0F94">
        <w:rPr>
          <w:rFonts w:cstheme="minorHAnsi"/>
        </w:rPr>
        <w:t xml:space="preserve">These are all important factors because they help you build your social license to operate, which means that you won’t need to defend anything you do in the community. </w:t>
      </w:r>
      <w:r w:rsidR="001650BD">
        <w:rPr>
          <w:rFonts w:cstheme="minorHAnsi"/>
        </w:rPr>
        <w:t xml:space="preserve"> </w:t>
      </w:r>
      <w:r w:rsidRPr="00EE0F94">
        <w:rPr>
          <w:rFonts w:cstheme="minorHAnsi"/>
        </w:rPr>
        <w:t>Understanding who you are communicating with will help you maximize your efforts and minimize any risk. You want to start by identifying who your audience are and what they need or want to know. It may mean that you need to employ a whole range of strategies to make sure people see what the benefits are. So, how do you start building community engagement in a meaningful way? By creating a strategy that identifies the stakeholders, outcomes you’re looking for from the community engagement effort, plus some specific steps and goals that should help you achieve them.</w:t>
      </w:r>
      <w:r w:rsidR="005209EF">
        <w:rPr>
          <w:rFonts w:cstheme="minorHAnsi"/>
        </w:rPr>
        <w:t xml:space="preserve"> </w:t>
      </w:r>
      <w:r w:rsidRPr="00EE0F94">
        <w:rPr>
          <w:rFonts w:cstheme="minorHAnsi"/>
        </w:rPr>
        <w:t>Without strategy, you are just going around in circles. Once that’s clear then your plan to achieve your objectives needs to be as well.</w:t>
      </w:r>
      <w:r w:rsidR="00AD64E5">
        <w:rPr>
          <w:rFonts w:cstheme="minorHAnsi"/>
        </w:rPr>
        <w:t xml:space="preserve"> ‘</w:t>
      </w:r>
      <w:r w:rsidR="00AD64E5">
        <w:t>To explore the world and oneself in it together with one’s peers is the main task of this age. In this regard, when organizing the educational process, the emphasis should be made on the possibility of choosing activities, mastering different methods of individual and teamwork, conducting all sorts of experiments and performing tasks that are really valuable</w:t>
      </w:r>
      <w:r w:rsidR="00AD64E5">
        <w:t>.’</w:t>
      </w:r>
      <w:sdt>
        <w:sdtPr>
          <w:id w:val="1609312494"/>
          <w:citation/>
        </w:sdtPr>
        <w:sdtContent>
          <w:r w:rsidR="000C0743">
            <w:fldChar w:fldCharType="begin"/>
          </w:r>
          <w:r w:rsidR="000C0743">
            <w:instrText xml:space="preserve"> CITATION Mik19 \l 2057 </w:instrText>
          </w:r>
          <w:r w:rsidR="000C0743">
            <w:fldChar w:fldCharType="separate"/>
          </w:r>
          <w:r w:rsidR="000C0743">
            <w:rPr>
              <w:noProof/>
            </w:rPr>
            <w:t xml:space="preserve"> (Epshtein, 2019)</w:t>
          </w:r>
          <w:r w:rsidR="000C0743">
            <w:fldChar w:fldCharType="end"/>
          </w:r>
        </w:sdtContent>
      </w:sdt>
      <w:r w:rsidR="000C0743">
        <w:t xml:space="preserve"> </w:t>
      </w:r>
      <w:r w:rsidRPr="00EE0F94">
        <w:rPr>
          <w:rFonts w:cstheme="minorHAnsi"/>
        </w:rPr>
        <w:t xml:space="preserve"> It involves understanding their motives and goals as well as checking out their current situation by gathering evidence of past work they’ve done in similar situations, developing an idea of what they need to make them successful, explaining the benefits this will have for the organization, identifying barriers to success, identifying steps needed to overcome these barriers</w:t>
      </w:r>
      <w:r w:rsidR="005209EF">
        <w:rPr>
          <w:rFonts w:cstheme="minorHAnsi"/>
        </w:rPr>
        <w:t>.</w:t>
      </w:r>
      <w:r w:rsidR="00A81D4F">
        <w:rPr>
          <w:rFonts w:cstheme="minorHAnsi"/>
        </w:rPr>
        <w:t xml:space="preserve"> </w:t>
      </w:r>
      <w:r w:rsidR="00A81D4F" w:rsidRPr="00A81D4F">
        <w:rPr>
          <w:rFonts w:cstheme="minorHAnsi"/>
        </w:rPr>
        <w:t>Proven strategies for community engagement are more than just a useful tool — they are one of the best ways to improve lives, build stronger communities, and create better societies.</w:t>
      </w:r>
    </w:p>
    <w:p w14:paraId="4AE64BA3" w14:textId="47064267" w:rsidR="000803DD" w:rsidRDefault="00570C3B" w:rsidP="00E11D93">
      <w:pPr>
        <w:spacing w:line="360" w:lineRule="auto"/>
        <w:jc w:val="both"/>
        <w:rPr>
          <w:rFonts w:cstheme="minorHAnsi"/>
        </w:rPr>
      </w:pPr>
      <w:r w:rsidRPr="00570C3B">
        <w:rPr>
          <w:rFonts w:cstheme="minorHAnsi"/>
        </w:rPr>
        <w:t>This report positions community engagement as an opportunity to rebuild trust, forge new connections, and connect people across the country to create a more inclusive and resilient democratic society. The report provides practical tools and strategies that help communities leverage their power when they engage in policy conversations. The result? More cohesive local teams who can make decisions together based on the needs of their communities.</w:t>
      </w:r>
    </w:p>
    <w:p w14:paraId="15FFB930" w14:textId="77777777" w:rsidR="000803DD" w:rsidRDefault="000803DD" w:rsidP="00E11D93">
      <w:pPr>
        <w:spacing w:line="360" w:lineRule="auto"/>
        <w:jc w:val="both"/>
        <w:rPr>
          <w:rFonts w:cstheme="minorHAnsi"/>
        </w:rPr>
      </w:pPr>
    </w:p>
    <w:sdt>
      <w:sdtPr>
        <w:id w:val="88130765"/>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6735BC3D" w14:textId="73FE6CCA" w:rsidR="000803DD" w:rsidRDefault="000803DD" w:rsidP="00E11D93">
          <w:pPr>
            <w:pStyle w:val="Heading1"/>
            <w:spacing w:line="360" w:lineRule="auto"/>
            <w:jc w:val="both"/>
          </w:pPr>
          <w:r>
            <w:t>References</w:t>
          </w:r>
        </w:p>
        <w:sdt>
          <w:sdtPr>
            <w:id w:val="-573587230"/>
            <w:bibliography/>
          </w:sdtPr>
          <w:sdtContent>
            <w:p w14:paraId="54687D15" w14:textId="77777777" w:rsidR="000803DD" w:rsidRDefault="000803DD" w:rsidP="00E11D93">
              <w:pPr>
                <w:pStyle w:val="Bibliography"/>
                <w:spacing w:line="360" w:lineRule="auto"/>
                <w:ind w:left="720" w:hanging="720"/>
                <w:jc w:val="both"/>
                <w:rPr>
                  <w:noProof/>
                  <w:sz w:val="24"/>
                  <w:szCs w:val="24"/>
                  <w:lang w:val="en-US"/>
                </w:rPr>
              </w:pPr>
              <w:r>
                <w:fldChar w:fldCharType="begin"/>
              </w:r>
              <w:r>
                <w:instrText xml:space="preserve"> BIBLIOGRAPHY </w:instrText>
              </w:r>
              <w:r>
                <w:fldChar w:fldCharType="separate"/>
              </w:r>
              <w:r>
                <w:rPr>
                  <w:noProof/>
                  <w:lang w:val="en-US"/>
                </w:rPr>
                <w:t xml:space="preserve">Day, G. (2006). </w:t>
              </w:r>
              <w:r>
                <w:rPr>
                  <w:i/>
                  <w:iCs/>
                  <w:noProof/>
                  <w:lang w:val="en-US"/>
                </w:rPr>
                <w:t>Community and everyday life.</w:t>
              </w:r>
              <w:r>
                <w:rPr>
                  <w:noProof/>
                  <w:lang w:val="en-US"/>
                </w:rPr>
                <w:t xml:space="preserve"> London: Routledge.</w:t>
              </w:r>
            </w:p>
            <w:p w14:paraId="47938158" w14:textId="77777777" w:rsidR="000803DD" w:rsidRDefault="000803DD" w:rsidP="00E11D93">
              <w:pPr>
                <w:pStyle w:val="Bibliography"/>
                <w:spacing w:line="360" w:lineRule="auto"/>
                <w:ind w:left="720" w:hanging="720"/>
                <w:jc w:val="both"/>
                <w:rPr>
                  <w:noProof/>
                  <w:lang w:val="en-US"/>
                </w:rPr>
              </w:pPr>
              <w:r>
                <w:rPr>
                  <w:noProof/>
                  <w:lang w:val="en-US"/>
                </w:rPr>
                <w:t xml:space="preserve">Epshtein, M. (2019). </w:t>
              </w:r>
              <w:r>
                <w:rPr>
                  <w:i/>
                  <w:iCs/>
                  <w:noProof/>
                  <w:lang w:val="en-US"/>
                </w:rPr>
                <w:t>Business community engagement for educational initiatives.</w:t>
              </w:r>
              <w:r>
                <w:rPr>
                  <w:noProof/>
                  <w:lang w:val="en-US"/>
                </w:rPr>
                <w:t xml:space="preserve"> Hershey, PA: IGI Global.</w:t>
              </w:r>
            </w:p>
            <w:p w14:paraId="00D5EA55" w14:textId="77777777" w:rsidR="000803DD" w:rsidRDefault="000803DD" w:rsidP="00E11D93">
              <w:pPr>
                <w:pStyle w:val="Bibliography"/>
                <w:spacing w:line="360" w:lineRule="auto"/>
                <w:ind w:left="720" w:hanging="720"/>
                <w:jc w:val="both"/>
                <w:rPr>
                  <w:noProof/>
                  <w:lang w:val="en-US"/>
                </w:rPr>
              </w:pPr>
              <w:r>
                <w:rPr>
                  <w:noProof/>
                  <w:lang w:val="en-US"/>
                </w:rPr>
                <w:t xml:space="preserve">Gilchrist, A. (2009). </w:t>
              </w:r>
              <w:r>
                <w:rPr>
                  <w:i/>
                  <w:iCs/>
                  <w:noProof/>
                  <w:lang w:val="en-US"/>
                </w:rPr>
                <w:t>The Well-Connected Community (Second Edition): A Networking Approach to Community Development.</w:t>
              </w:r>
              <w:r>
                <w:rPr>
                  <w:noProof/>
                  <w:lang w:val="en-US"/>
                </w:rPr>
                <w:t xml:space="preserve"> Bristol University Press.</w:t>
              </w:r>
            </w:p>
            <w:p w14:paraId="298B7ECB" w14:textId="77777777" w:rsidR="000803DD" w:rsidRDefault="000803DD" w:rsidP="00E11D93">
              <w:pPr>
                <w:pStyle w:val="Bibliography"/>
                <w:spacing w:line="360" w:lineRule="auto"/>
                <w:ind w:left="720" w:hanging="720"/>
                <w:jc w:val="both"/>
                <w:rPr>
                  <w:noProof/>
                  <w:lang w:val="en-US"/>
                </w:rPr>
              </w:pPr>
              <w:r>
                <w:rPr>
                  <w:noProof/>
                  <w:lang w:val="en-US"/>
                </w:rPr>
                <w:t xml:space="preserve">Inman, P. (2010). </w:t>
              </w:r>
              <w:r>
                <w:rPr>
                  <w:i/>
                  <w:iCs/>
                  <w:noProof/>
                  <w:lang w:val="en-US"/>
                </w:rPr>
                <w:t>The community engagement and Service Mission of Universities.</w:t>
              </w:r>
              <w:r>
                <w:rPr>
                  <w:noProof/>
                  <w:lang w:val="en-US"/>
                </w:rPr>
                <w:t xml:space="preserve"> Leicester: NIACE.</w:t>
              </w:r>
            </w:p>
            <w:p w14:paraId="678C0943" w14:textId="77777777" w:rsidR="000803DD" w:rsidRDefault="000803DD" w:rsidP="00E11D93">
              <w:pPr>
                <w:pStyle w:val="Bibliography"/>
                <w:spacing w:line="360" w:lineRule="auto"/>
                <w:ind w:left="720" w:hanging="720"/>
                <w:jc w:val="both"/>
                <w:rPr>
                  <w:noProof/>
                  <w:lang w:val="en-US"/>
                </w:rPr>
              </w:pPr>
              <w:r>
                <w:rPr>
                  <w:noProof/>
                  <w:lang w:val="en-US"/>
                </w:rPr>
                <w:t xml:space="preserve">Moon, J. A. (2004). </w:t>
              </w:r>
              <w:r>
                <w:rPr>
                  <w:i/>
                  <w:iCs/>
                  <w:noProof/>
                  <w:lang w:val="en-US"/>
                </w:rPr>
                <w:t>A handbook of reflective and experential learning: theory and practice.</w:t>
              </w:r>
              <w:r>
                <w:rPr>
                  <w:noProof/>
                  <w:lang w:val="en-US"/>
                </w:rPr>
                <w:t xml:space="preserve"> New York; London: RoutledgeFalmer.</w:t>
              </w:r>
            </w:p>
            <w:p w14:paraId="13836760" w14:textId="1294DD67" w:rsidR="000803DD" w:rsidRDefault="000803DD" w:rsidP="00E11D93">
              <w:pPr>
                <w:spacing w:line="360" w:lineRule="auto"/>
                <w:jc w:val="both"/>
              </w:pPr>
              <w:r>
                <w:rPr>
                  <w:b/>
                  <w:bCs/>
                  <w:noProof/>
                </w:rPr>
                <w:fldChar w:fldCharType="end"/>
              </w:r>
            </w:p>
          </w:sdtContent>
        </w:sdt>
      </w:sdtContent>
    </w:sdt>
    <w:p w14:paraId="0E20B615" w14:textId="77777777" w:rsidR="00380681" w:rsidRPr="00443C9B" w:rsidRDefault="00380681" w:rsidP="00E11D93">
      <w:pPr>
        <w:spacing w:line="360" w:lineRule="auto"/>
        <w:jc w:val="both"/>
        <w:rPr>
          <w:rFonts w:cstheme="minorHAnsi"/>
        </w:rPr>
      </w:pPr>
    </w:p>
    <w:sectPr w:rsidR="00380681" w:rsidRPr="00443C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2858"/>
    <w:rsid w:val="000268AA"/>
    <w:rsid w:val="00074FA3"/>
    <w:rsid w:val="000803DD"/>
    <w:rsid w:val="000C0743"/>
    <w:rsid w:val="001430A2"/>
    <w:rsid w:val="00157311"/>
    <w:rsid w:val="001650BD"/>
    <w:rsid w:val="0018308D"/>
    <w:rsid w:val="00185328"/>
    <w:rsid w:val="001D2695"/>
    <w:rsid w:val="001D2F71"/>
    <w:rsid w:val="00212672"/>
    <w:rsid w:val="00295797"/>
    <w:rsid w:val="002C5F84"/>
    <w:rsid w:val="002F7B13"/>
    <w:rsid w:val="00365E51"/>
    <w:rsid w:val="00380681"/>
    <w:rsid w:val="003B7265"/>
    <w:rsid w:val="004209FE"/>
    <w:rsid w:val="00443C9B"/>
    <w:rsid w:val="005209EF"/>
    <w:rsid w:val="00570C3B"/>
    <w:rsid w:val="005B0364"/>
    <w:rsid w:val="005B5306"/>
    <w:rsid w:val="00755DA4"/>
    <w:rsid w:val="007A4C42"/>
    <w:rsid w:val="00810FDA"/>
    <w:rsid w:val="008430E2"/>
    <w:rsid w:val="00850335"/>
    <w:rsid w:val="00870CCD"/>
    <w:rsid w:val="008A7E1C"/>
    <w:rsid w:val="008F3A9E"/>
    <w:rsid w:val="00904B41"/>
    <w:rsid w:val="009376D8"/>
    <w:rsid w:val="00A538F5"/>
    <w:rsid w:val="00A81D4F"/>
    <w:rsid w:val="00AA33D5"/>
    <w:rsid w:val="00AB6AFC"/>
    <w:rsid w:val="00AD64E5"/>
    <w:rsid w:val="00C146D3"/>
    <w:rsid w:val="00C22044"/>
    <w:rsid w:val="00C24873"/>
    <w:rsid w:val="00C34CC3"/>
    <w:rsid w:val="00C52198"/>
    <w:rsid w:val="00CB2858"/>
    <w:rsid w:val="00D02380"/>
    <w:rsid w:val="00D127F5"/>
    <w:rsid w:val="00D8768A"/>
    <w:rsid w:val="00DB2A76"/>
    <w:rsid w:val="00DE1D3A"/>
    <w:rsid w:val="00E11D93"/>
    <w:rsid w:val="00E12C0F"/>
    <w:rsid w:val="00E763C2"/>
    <w:rsid w:val="00EE0F94"/>
    <w:rsid w:val="00F34643"/>
    <w:rsid w:val="00F775B3"/>
    <w:rsid w:val="00FA23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7B0D5A"/>
  <w15:chartTrackingRefBased/>
  <w15:docId w15:val="{DA59BFF8-7B4A-40E9-BEF0-01DADED820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6AFC"/>
  </w:style>
  <w:style w:type="paragraph" w:styleId="Heading1">
    <w:name w:val="heading 1"/>
    <w:basedOn w:val="Normal"/>
    <w:next w:val="Normal"/>
    <w:link w:val="Heading1Char"/>
    <w:uiPriority w:val="9"/>
    <w:qFormat/>
    <w:rsid w:val="000803DD"/>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03DD"/>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0803D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1476365">
      <w:bodyDiv w:val="1"/>
      <w:marLeft w:val="0"/>
      <w:marRight w:val="0"/>
      <w:marTop w:val="0"/>
      <w:marBottom w:val="0"/>
      <w:divBdr>
        <w:top w:val="none" w:sz="0" w:space="0" w:color="auto"/>
        <w:left w:val="none" w:sz="0" w:space="0" w:color="auto"/>
        <w:bottom w:val="none" w:sz="0" w:space="0" w:color="auto"/>
        <w:right w:val="none" w:sz="0" w:space="0" w:color="auto"/>
      </w:divBdr>
    </w:div>
    <w:div w:id="465978104">
      <w:bodyDiv w:val="1"/>
      <w:marLeft w:val="0"/>
      <w:marRight w:val="0"/>
      <w:marTop w:val="0"/>
      <w:marBottom w:val="0"/>
      <w:divBdr>
        <w:top w:val="none" w:sz="0" w:space="0" w:color="auto"/>
        <w:left w:val="none" w:sz="0" w:space="0" w:color="auto"/>
        <w:bottom w:val="none" w:sz="0" w:space="0" w:color="auto"/>
        <w:right w:val="none" w:sz="0" w:space="0" w:color="auto"/>
      </w:divBdr>
    </w:div>
    <w:div w:id="857810782">
      <w:bodyDiv w:val="1"/>
      <w:marLeft w:val="0"/>
      <w:marRight w:val="0"/>
      <w:marTop w:val="0"/>
      <w:marBottom w:val="0"/>
      <w:divBdr>
        <w:top w:val="none" w:sz="0" w:space="0" w:color="auto"/>
        <w:left w:val="none" w:sz="0" w:space="0" w:color="auto"/>
        <w:bottom w:val="none" w:sz="0" w:space="0" w:color="auto"/>
        <w:right w:val="none" w:sz="0" w:space="0" w:color="auto"/>
      </w:divBdr>
    </w:div>
    <w:div w:id="863858633">
      <w:bodyDiv w:val="1"/>
      <w:marLeft w:val="0"/>
      <w:marRight w:val="0"/>
      <w:marTop w:val="0"/>
      <w:marBottom w:val="0"/>
      <w:divBdr>
        <w:top w:val="none" w:sz="0" w:space="0" w:color="auto"/>
        <w:left w:val="none" w:sz="0" w:space="0" w:color="auto"/>
        <w:bottom w:val="none" w:sz="0" w:space="0" w:color="auto"/>
        <w:right w:val="none" w:sz="0" w:space="0" w:color="auto"/>
      </w:divBdr>
    </w:div>
    <w:div w:id="1270746619">
      <w:bodyDiv w:val="1"/>
      <w:marLeft w:val="0"/>
      <w:marRight w:val="0"/>
      <w:marTop w:val="0"/>
      <w:marBottom w:val="0"/>
      <w:divBdr>
        <w:top w:val="none" w:sz="0" w:space="0" w:color="auto"/>
        <w:left w:val="none" w:sz="0" w:space="0" w:color="auto"/>
        <w:bottom w:val="none" w:sz="0" w:space="0" w:color="auto"/>
        <w:right w:val="none" w:sz="0" w:space="0" w:color="auto"/>
      </w:divBdr>
    </w:div>
    <w:div w:id="18922292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customXml" Target="../customXml/item4.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7410AC8C6F95F4D9E71F942A85CABE2" ma:contentTypeVersion="11" ma:contentTypeDescription="Create a new document." ma:contentTypeScope="" ma:versionID="a0b7e9d43cf5274fd25d0821ffb6343c">
  <xsd:schema xmlns:xsd="http://www.w3.org/2001/XMLSchema" xmlns:xs="http://www.w3.org/2001/XMLSchema" xmlns:p="http://schemas.microsoft.com/office/2006/metadata/properties" xmlns:ns3="2185e222-3c8d-40d1-8655-532d5209bd26" targetNamespace="http://schemas.microsoft.com/office/2006/metadata/properties" ma:root="true" ma:fieldsID="6b222dc93ba0646f5554af968fc4db51" ns3:_="">
    <xsd:import namespace="2185e222-3c8d-40d1-8655-532d5209bd2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LengthInSeconds"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85e222-3c8d-40d1-8655-532d5209bd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LengthInSeconds" ma:index="12" nillable="true" ma:displayName="MediaLengthInSeconds" ma:hidden="true" ma:internalName="MediaLengthInSeconds" ma:readOnly="true">
      <xsd:simpleType>
        <xsd:restriction base="dms:Unknown"/>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Location" ma:index="18"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Gra06</b:Tag>
    <b:SourceType>Book</b:SourceType>
    <b:Guid>{E8DA70FD-199D-4EF2-A45D-B615EF65C85A}</b:Guid>
    <b:Author>
      <b:Author>
        <b:NameList>
          <b:Person>
            <b:Last>Day</b:Last>
            <b:First>Graham</b:First>
          </b:Person>
        </b:NameList>
      </b:Author>
    </b:Author>
    <b:Title>Community and everyday life</b:Title>
    <b:Year>2006</b:Year>
    <b:City>London</b:City>
    <b:Publisher>Routledge</b:Publisher>
    <b:RefOrder>1</b:RefOrder>
  </b:Source>
  <b:Source>
    <b:Tag>Jen04</b:Tag>
    <b:SourceType>Book</b:SourceType>
    <b:Guid>{8FE5F790-FF10-403E-B474-DBCC27A788CA}</b:Guid>
    <b:Author>
      <b:Author>
        <b:NameList>
          <b:Person>
            <b:Last>Moon</b:Last>
            <b:First>Jennifer</b:First>
            <b:Middle>A.</b:Middle>
          </b:Person>
        </b:NameList>
      </b:Author>
    </b:Author>
    <b:Title>A handbook of reflective and experential learning: theory and practice</b:Title>
    <b:Year>2004</b:Year>
    <b:City>New York; London</b:City>
    <b:Publisher>RoutledgeFalmer</b:Publisher>
    <b:RefOrder>4</b:RefOrder>
  </b:Source>
  <b:Source>
    <b:Tag>Ali09</b:Tag>
    <b:SourceType>Book</b:SourceType>
    <b:Guid>{15EE7C29-29A7-4C7A-A889-4FEAD2097B7E}</b:Guid>
    <b:Author>
      <b:Author>
        <b:NameList>
          <b:Person>
            <b:Last>Gilchrist</b:Last>
            <b:First>Alison</b:First>
          </b:Person>
        </b:NameList>
      </b:Author>
    </b:Author>
    <b:Title>The Well-Connected Community (Second Edition): A Networking Approach to Community Development.</b:Title>
    <b:Year>2009</b:Year>
    <b:Publisher>Bristol University Press</b:Publisher>
    <b:RefOrder>2</b:RefOrder>
  </b:Source>
  <b:Source>
    <b:Tag>Pat10</b:Tag>
    <b:SourceType>Book</b:SourceType>
    <b:Guid>{0AEF8400-420A-45EB-B2C5-16412D28C782}</b:Guid>
    <b:Author>
      <b:Author>
        <b:NameList>
          <b:Person>
            <b:Last>Inman</b:Last>
            <b:First>Patricia</b:First>
          </b:Person>
        </b:NameList>
      </b:Author>
    </b:Author>
    <b:Title>The community engagement and Service Mission of Universities</b:Title>
    <b:Year>2010</b:Year>
    <b:City>Leicester</b:City>
    <b:Publisher>NIACE</b:Publisher>
    <b:RefOrder>5</b:RefOrder>
  </b:Source>
  <b:Source>
    <b:Tag>Mik19</b:Tag>
    <b:SourceType>Book</b:SourceType>
    <b:Guid>{AE4FB7E4-9436-4063-814A-6F8DD0D5EC31}</b:Guid>
    <b:Author>
      <b:Author>
        <b:NameList>
          <b:Person>
            <b:Last>Epshtein</b:Last>
            <b:First>Mikhail</b:First>
          </b:Person>
        </b:NameList>
      </b:Author>
    </b:Author>
    <b:Title>Business community engagement for educational initiatives</b:Title>
    <b:Year>2019</b:Year>
    <b:City>Hershey, PA</b:City>
    <b:Publisher>IGI Global</b:Publisher>
    <b:RefOrder>3</b:RefOrder>
  </b:Source>
</b:Sources>
</file>

<file path=customXml/itemProps1.xml><?xml version="1.0" encoding="utf-8"?>
<ds:datastoreItem xmlns:ds="http://schemas.openxmlformats.org/officeDocument/2006/customXml" ds:itemID="{64070007-D7BF-4509-8719-AC9818C3A96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85e222-3c8d-40d1-8655-532d5209bd2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2C569D5-F1F0-4005-898D-B7E0B4821FA7}">
  <ds:schemaRefs>
    <ds:schemaRef ds:uri="http://schemas.microsoft.com/sharepoint/v3/contenttype/forms"/>
  </ds:schemaRefs>
</ds:datastoreItem>
</file>

<file path=customXml/itemProps3.xml><?xml version="1.0" encoding="utf-8"?>
<ds:datastoreItem xmlns:ds="http://schemas.openxmlformats.org/officeDocument/2006/customXml" ds:itemID="{D9136DD0-6547-41DD-9237-BB36C29ACE25}">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18F04568-D37C-4351-9E88-8C003E03E5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913</TotalTime>
  <Pages>6</Pages>
  <Words>1960</Words>
  <Characters>11174</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Emilia Nicoleta Zaldea (2123370)</dc:creator>
  <cp:keywords/>
  <dc:description/>
  <cp:lastModifiedBy>Emilia Nicoleta Zaldea (2123370)</cp:lastModifiedBy>
  <cp:revision>30</cp:revision>
  <dcterms:created xsi:type="dcterms:W3CDTF">2022-09-03T21:17:00Z</dcterms:created>
  <dcterms:modified xsi:type="dcterms:W3CDTF">2022-09-04T12:30:00Z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0x01010007410AC8C6F95F4D9E71F942A85CABE2</vt:lpwstr>
  </property>
</Properties>
</file>