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189F9" w14:textId="22624873" w:rsidR="00962252" w:rsidRPr="00FF283F" w:rsidRDefault="00FF283F" w:rsidP="00FF283F">
      <w:pPr>
        <w:jc w:val="center"/>
        <w:rPr>
          <w:sz w:val="32"/>
          <w:szCs w:val="32"/>
        </w:rPr>
      </w:pPr>
      <w:r w:rsidRPr="00FF283F">
        <w:rPr>
          <w:sz w:val="32"/>
          <w:szCs w:val="32"/>
          <w:u w:val="single"/>
        </w:rPr>
        <w:t>Student name:</w:t>
      </w:r>
      <w:r w:rsidRPr="00FF283F">
        <w:rPr>
          <w:sz w:val="32"/>
          <w:szCs w:val="32"/>
        </w:rPr>
        <w:t xml:space="preserve"> Joseph Parsons          </w:t>
      </w:r>
      <w:r w:rsidRPr="00FF283F">
        <w:rPr>
          <w:sz w:val="32"/>
          <w:szCs w:val="32"/>
          <w:u w:val="single"/>
        </w:rPr>
        <w:t>Student number:</w:t>
      </w:r>
      <w:r w:rsidRPr="00FF283F">
        <w:rPr>
          <w:sz w:val="32"/>
          <w:szCs w:val="32"/>
        </w:rPr>
        <w:t xml:space="preserve"> 2132153</w:t>
      </w:r>
    </w:p>
    <w:p w14:paraId="02B45F15" w14:textId="5CB05057" w:rsidR="00FF283F" w:rsidRDefault="00FF283F"/>
    <w:p w14:paraId="7306FDC9" w14:textId="7CA7AE52" w:rsidR="00FF283F" w:rsidRPr="00FF283F" w:rsidRDefault="00FF283F">
      <w:pPr>
        <w:rPr>
          <w:u w:val="single"/>
        </w:rPr>
      </w:pPr>
      <w:r w:rsidRPr="00FF283F">
        <w:rPr>
          <w:u w:val="single"/>
        </w:rPr>
        <w:t>Essay 1</w:t>
      </w:r>
    </w:p>
    <w:p w14:paraId="080E2531" w14:textId="77777777" w:rsidR="00FF283F" w:rsidRDefault="00FF283F" w:rsidP="00FF283F">
      <w:r>
        <w:t>“Inclusion is increasingly recognised as essential to support and achieve diversity improvement” (Durham University, 2020). Examine the role of organisational culture in creating an inclusive and diverse workforce within policing. Your answer must be based on academic research, but you may refer to relevant case studies.</w:t>
      </w:r>
    </w:p>
    <w:p w14:paraId="21B57DB4" w14:textId="77777777" w:rsidR="00FF283F" w:rsidRDefault="00FF283F" w:rsidP="00FF283F"/>
    <w:p w14:paraId="4AA41F02" w14:textId="77777777" w:rsidR="00FF283F" w:rsidRDefault="00FF283F" w:rsidP="00FF283F">
      <w:r>
        <w:t xml:space="preserve">Diversity and inclusion have been an increasingly important topic when looking at police forces in England and Wales over the last decade. For a police force to gain trust within the community it serves, the racial and ethnic makeup of its workforce should be representative of the population that it serves. Sexuality and gender identity are also important indicators of diversity and inclusion. I will examine how changes in organisational culture has facilitated changes in the ethnic makeup of police forces and positively encouraged greater diversity. I recognise that sexuality and gender are also a factor in diversity within the police. However, for the purposes of this essay, I will be focussing upon racial and ethnic diversity and inclusion. </w:t>
      </w:r>
    </w:p>
    <w:p w14:paraId="1546678C" w14:textId="77777777" w:rsidR="00FF283F" w:rsidRDefault="00FF283F" w:rsidP="00FF283F">
      <w:pPr>
        <w:rPr>
          <w:color w:val="FF0000"/>
        </w:rPr>
      </w:pPr>
      <w:r>
        <w:t xml:space="preserve">Traditionally, police forces tended to be dominated mainly by males who identified as white. Whilst great steps have been taken to improve diversity, figures from March 2022 show that there is still room for improvement in this regard. Of the 136,274 officers whose ethnicity was known, 91.9% identified as white whilst 8.1% were from black, Asian, mixed, or other ethnic backgrounds. This is compared to the overall UK population figures where 81.7% of the total UK population identifies as white </w:t>
      </w:r>
      <w:r w:rsidRPr="0073479D">
        <w:rPr>
          <w:rFonts w:cstheme="minorHAnsi"/>
          <w:shd w:val="clear" w:color="auto" w:fill="FFFFFF"/>
        </w:rPr>
        <w:t>(www.ethnicity-facts-figures.service.gov.uk, 2023).</w:t>
      </w:r>
      <w:r>
        <w:rPr>
          <w:color w:val="FF0000"/>
        </w:rPr>
        <w:t xml:space="preserve"> </w:t>
      </w:r>
      <w:r>
        <w:t>The National Police Chiefs Council (NPCC) and College of Policing recognises that in the past, police forces were institutionally racist, particularly against black people. Compared to every other civil service department, the police are significantly behind them in terms of inclusion and ethnic diversity. It recognises the need for further change in this regard to improve inclusion and inspire greater confidence in policing amongst ethnic minorities (College of Policing, 2022, pp.4-9).</w:t>
      </w:r>
    </w:p>
    <w:p w14:paraId="48FF14D7" w14:textId="77777777" w:rsidR="00FF283F" w:rsidRDefault="00FF283F" w:rsidP="00FF283F">
      <w:pPr>
        <w:rPr>
          <w:color w:val="FF0000"/>
        </w:rPr>
      </w:pPr>
      <w:r>
        <w:t>To understand how organisational culture achieves diversity, we must first understand what it means. According to Denison and Mishra, “organisational culture is a management system grounded in its values and beliefs.” Alongside this, the behaviour of senior management which reinforces these values and beliefs (1995, P.205).</w:t>
      </w:r>
      <w:r>
        <w:rPr>
          <w:color w:val="FF0000"/>
        </w:rPr>
        <w:t xml:space="preserve"> </w:t>
      </w:r>
      <w:r>
        <w:t>From this we can understand that for organisational culture itself to be a driving force, it must be upheld by its senior management who will be expected to exemplify the change in beliefs and enforce them where necessary. Denison and Mishra conclude their work on organisational culture by stating that “culture may indeed have an impact on effectiveness.” (1995, P.220).</w:t>
      </w:r>
      <w:r>
        <w:rPr>
          <w:color w:val="FF0000"/>
        </w:rPr>
        <w:t xml:space="preserve"> </w:t>
      </w:r>
      <w:r>
        <w:t xml:space="preserve">We can infer from this that unless an organisation’s culture is supportive of change, then in the case of supporting diversity and inclusion its results can be more limited. </w:t>
      </w:r>
      <w:proofErr w:type="spellStart"/>
      <w:r>
        <w:t>Otelea</w:t>
      </w:r>
      <w:proofErr w:type="spellEnd"/>
      <w:r>
        <w:t xml:space="preserve"> states that “Involvement and ownership are key measures in an organizational culture.” (2018, P.125).</w:t>
      </w:r>
      <w:r>
        <w:rPr>
          <w:color w:val="FF0000"/>
        </w:rPr>
        <w:t xml:space="preserve"> </w:t>
      </w:r>
      <w:r>
        <w:t xml:space="preserve">From both viewpoints, we can summarise that for organisational culture to be effective in supporting diversity, it requires the ownership of senior officers in upholding the belief in greater diversity and inclusion. </w:t>
      </w:r>
    </w:p>
    <w:p w14:paraId="7CCF51AC" w14:textId="77777777" w:rsidR="00FF283F" w:rsidRDefault="00FF283F" w:rsidP="00FF283F">
      <w:pPr>
        <w:rPr>
          <w:color w:val="FF0000"/>
        </w:rPr>
      </w:pPr>
      <w:r>
        <w:t xml:space="preserve">I have previously touched upon the past issue of institutional racism within the police forces of the UK. A major incident that brought this discussion to the forefront was the case of Stephen Lawrence. It led to comprehensive reforms within police forces. </w:t>
      </w:r>
      <w:proofErr w:type="spellStart"/>
      <w:r>
        <w:t>Souhami</w:t>
      </w:r>
      <w:proofErr w:type="spellEnd"/>
      <w:r>
        <w:t xml:space="preserve"> examined how senior management </w:t>
      </w:r>
      <w:r>
        <w:lastRenderedPageBreak/>
        <w:t xml:space="preserve">led the way into eliminating institutional racism in their organisations. Particularly, the elimination of racist language amongst officers to promote greater inclusion. </w:t>
      </w:r>
      <w:proofErr w:type="spellStart"/>
      <w:r>
        <w:t>Souhami</w:t>
      </w:r>
      <w:proofErr w:type="spellEnd"/>
      <w:r>
        <w:t xml:space="preserve"> notes how the intensity of the scrutiny from senior management led to a change in organisational culture around racist language. Measures put in place such as cameras in station canteens and setting up anonymous phone lines so colleagues could report racist activity led to a dramatic decrease in the overall pervasiveness of racist behaviour amongst staff (2012, pp. 9-14). Again, here it can be seen that </w:t>
      </w:r>
      <w:proofErr w:type="gramStart"/>
      <w:r>
        <w:t>in order for</w:t>
      </w:r>
      <w:proofErr w:type="gramEnd"/>
      <w:r>
        <w:t xml:space="preserve"> organisational culture to be effective in supporting change, it requires robust and often strict measures from senior officers. </w:t>
      </w:r>
    </w:p>
    <w:p w14:paraId="387D1DF5" w14:textId="77777777" w:rsidR="00FF283F" w:rsidRDefault="00FF283F" w:rsidP="00FF283F">
      <w:pPr>
        <w:rPr>
          <w:color w:val="FF0000"/>
        </w:rPr>
      </w:pPr>
      <w:r>
        <w:t>Continuing the theme of senior officers being the driving force for organisation culture, I will now examine some of the plans and policies put in place to improve support for diversity and inclusion. In the Police Race Action Plan of the NPCC, it outlines its commitment to building an anti-racist police service. One of the actions it outlines to support inclusion and diversity is to ensure that black people are properly represented and build a culture which supports their development. Some of the measures outlined are to introduce a mandatory training program which educates all officers and staff on racism. A commitment to improving the recruitment, retention and progression through a mentoring program and new national standards of recruiting. Addressing racial issues around misconduct proceedings and generally enhancing the support available for all black officers and staff (College of Policing, 2022, pp.4-9).</w:t>
      </w:r>
    </w:p>
    <w:p w14:paraId="32F31E31" w14:textId="77777777" w:rsidR="00FF283F" w:rsidRDefault="00FF283F" w:rsidP="00FF283F">
      <w:pPr>
        <w:rPr>
          <w:color w:val="FF0000"/>
        </w:rPr>
      </w:pPr>
      <w:r>
        <w:t xml:space="preserve">Another case study of note is the Joint Strategic Equality plan which Gwent police has committed itself to adhering to. It lists multiple objectives that it wishes to achieve between 2020-2024. Some of these objectives include increasing the crimes and incidents being reported by vulnerable people and under-represented groups as well as greater community engage with ethnic communities to promote greater inclusion and trust. Gwent wishes to embed the belief in equality into all its recruitment for all staff and volunteer staff. Gwent also strives to build a more inclusive workforce with a focus on recruitment and retention to greatly enhance its diversity, particularly amongst under-represented groups (Gwent Police, 2020, </w:t>
      </w:r>
      <w:r w:rsidRPr="000F3F0A">
        <w:t>pp. 20-29)</w:t>
      </w:r>
      <w:r>
        <w:t xml:space="preserve">. </w:t>
      </w:r>
    </w:p>
    <w:p w14:paraId="33D9FDA4" w14:textId="77777777" w:rsidR="00FF283F" w:rsidRPr="001972F4" w:rsidRDefault="00FF283F" w:rsidP="00FF283F">
      <w:r>
        <w:t xml:space="preserve">Overall, organisational culture is one of the main driving forces behind creating a diverse and inclusive workforce within police organisations. Traditionally, police forces have unfortunately institutionalised racism which was culturally accepted until several incidents such as the Stephen Lawrence case highlighted the need for drastic change. Crucial to making organisational culture a driving force for change and support is the commitment and the example that is set by senior officers. Without the encouragement and often enforcement by senior officers, it may be the case that organisational culture would not be as effective. The results speak for themselves, such as the steps taken to identify and eliminate the accepted practice of racist language amongst officers. The commitment of senior officers to effecting greater diversity can also be seen in plans set out by the NPCC and the Joint Equality Strategic plan which outlines objectives to achieve greater diversity and inclusion in the future. Whilst the figures show that at present police forces have not achieved the desired level of diversity in their workforces, the positive changes being brought into effect mark the continuing commitment of organisations to achieve these aims. </w:t>
      </w:r>
    </w:p>
    <w:p w14:paraId="4CE44D20" w14:textId="77777777" w:rsidR="00FF283F" w:rsidRDefault="00FF283F" w:rsidP="00FF283F"/>
    <w:p w14:paraId="6D6FA894" w14:textId="77777777" w:rsidR="00FF283F" w:rsidRDefault="00FF283F" w:rsidP="00FF283F"/>
    <w:p w14:paraId="6FA31B71" w14:textId="2A59777D" w:rsidR="00FF283F" w:rsidRDefault="00FF283F" w:rsidP="00FF283F"/>
    <w:p w14:paraId="3634483D" w14:textId="0EC41512" w:rsidR="00FF283F" w:rsidRDefault="00FF283F" w:rsidP="00FF283F"/>
    <w:p w14:paraId="2FD4D65A" w14:textId="3C4DF72E" w:rsidR="00FF283F" w:rsidRPr="00FF283F" w:rsidRDefault="00FF283F" w:rsidP="00FF283F">
      <w:pPr>
        <w:rPr>
          <w:u w:val="single"/>
        </w:rPr>
      </w:pPr>
      <w:r w:rsidRPr="00FF283F">
        <w:rPr>
          <w:u w:val="single"/>
        </w:rPr>
        <w:lastRenderedPageBreak/>
        <w:t>Essay 2</w:t>
      </w:r>
    </w:p>
    <w:p w14:paraId="56F07E66" w14:textId="47D775F3" w:rsidR="00FF283F" w:rsidRDefault="00FF283F" w:rsidP="00FF283F">
      <w:r>
        <w:t>Digital Policing: What role do the police have in investigating complex internet-related crime?</w:t>
      </w:r>
    </w:p>
    <w:p w14:paraId="632DE5BF" w14:textId="77777777" w:rsidR="00FF283F" w:rsidRDefault="00FF283F" w:rsidP="00FF283F"/>
    <w:p w14:paraId="72D3B04B" w14:textId="77777777" w:rsidR="00FF283F" w:rsidRDefault="00FF283F" w:rsidP="00FF283F">
      <w:r>
        <w:t xml:space="preserve">The emergence of the internet has led to countless advancements within society. It has allowed people worldwide to become connected like never before and to have access to near limitless information and services. However, this has also come at a cost. The internet is not limited purely to law abiding citizens and has also provided people with ample opportunities to break the law and commit crime. This raises the question of where the police fit into this digital age and the investigation of complex crime. </w:t>
      </w:r>
    </w:p>
    <w:p w14:paraId="3E1F1A44" w14:textId="77777777" w:rsidR="00FF283F" w:rsidRPr="004001E3" w:rsidRDefault="00FF283F" w:rsidP="00FF283F">
      <w:pPr>
        <w:rPr>
          <w:rFonts w:cstheme="minorHAnsi"/>
        </w:rPr>
      </w:pPr>
      <w:r>
        <w:t xml:space="preserve">First, we must ask what is complex internet related crime? This is not narrowed down to any one specific offence and comes under the umbrella term of cybercrime. The Crown Prosecution Service breaks down cybercrime into two categories, cyber dependent crimes, and cyber enabled crimes. The former can only be committed through use of online devices. The latter are traditional crimes which can be increased in scale by using computers. Offences can range from fraud, committing sexual offences, stealing money and data and for the trade of illegal items such as drugs </w:t>
      </w:r>
      <w:r w:rsidRPr="006D382C">
        <w:t>(2017)</w:t>
      </w:r>
      <w:r>
        <w:t xml:space="preserve">. Cybercrime has become a major problem in society and now represents as much as 50% of all crime </w:t>
      </w:r>
      <w:r w:rsidRPr="004001E3">
        <w:rPr>
          <w:rFonts w:cstheme="minorHAnsi"/>
          <w:shd w:val="clear" w:color="auto" w:fill="FFFFFF"/>
        </w:rPr>
        <w:t>(College of Policing, n.d.)</w:t>
      </w:r>
      <w:r>
        <w:rPr>
          <w:rFonts w:cstheme="minorHAnsi"/>
          <w:shd w:val="clear" w:color="auto" w:fill="FFFFFF"/>
        </w:rPr>
        <w:t>.</w:t>
      </w:r>
    </w:p>
    <w:p w14:paraId="4A3F87A2" w14:textId="77777777" w:rsidR="00FF283F" w:rsidRPr="00387DF1" w:rsidRDefault="00FF283F" w:rsidP="00FF283F">
      <w:r>
        <w:t xml:space="preserve">Policing internet related crime has created a challenging environment for law enforcement as it often involves a level of technical sophistication which is beyond the capabilities of traditional policing practices. </w:t>
      </w:r>
      <w:proofErr w:type="spellStart"/>
      <w:r>
        <w:t>Hunton</w:t>
      </w:r>
      <w:proofErr w:type="spellEnd"/>
      <w:r>
        <w:t xml:space="preserve"> acknowledges that law enforcement agencies not just in the UK but internationally recognise that they are at risk of being outpaced by cyber criminals if they do not increase their technical capabilities (2012, pp. 225-227).</w:t>
      </w:r>
      <w:r>
        <w:rPr>
          <w:color w:val="FF0000"/>
        </w:rPr>
        <w:t xml:space="preserve"> </w:t>
      </w:r>
      <w:r>
        <w:t xml:space="preserve">With the internet now being so prevalent in the everyday life of UK citizens, it is now indisputable that it is a part of the social fabric. A failure by the police to adequately enforce the law digitally could have negative consequences for law enforcement agencies. </w:t>
      </w:r>
      <w:proofErr w:type="spellStart"/>
      <w:r>
        <w:t>Koziarski</w:t>
      </w:r>
      <w:proofErr w:type="spellEnd"/>
      <w:r>
        <w:t xml:space="preserve"> and Lee theorise that if law enforcement agencies are not able to effectively police the digital world, it could impact the legitimacy of their organisations and their public mandate to enforce the law (2020, P.206).</w:t>
      </w:r>
    </w:p>
    <w:p w14:paraId="02431F08" w14:textId="77777777" w:rsidR="00FF283F" w:rsidRDefault="00FF283F" w:rsidP="00FF283F">
      <w:pPr>
        <w:rPr>
          <w:color w:val="FF0000"/>
        </w:rPr>
      </w:pPr>
      <w:r>
        <w:t xml:space="preserve">Lee </w:t>
      </w:r>
      <w:r>
        <w:rPr>
          <w:i/>
          <w:iCs/>
        </w:rPr>
        <w:t>et al.</w:t>
      </w:r>
      <w:r>
        <w:t xml:space="preserve"> argue that most frontline officers view online crime as less important to investigate than traditional crimes; this is due to a lack of training surrounding it (2019, P.21). Indeed, this view is also compounded by the public perception of police capabilities. Curtis and </w:t>
      </w:r>
      <w:proofErr w:type="spellStart"/>
      <w:r>
        <w:t>Oxburgh’s</w:t>
      </w:r>
      <w:proofErr w:type="spellEnd"/>
      <w:r>
        <w:t xml:space="preserve"> research show that victims of cybercrime are often reluctant to report it to the police when compared to traditional crime. This viewpoint originates from a perceived lack of training and capability from the police in being able to deal with internet related offences (2022, P.585).</w:t>
      </w:r>
      <w:r>
        <w:rPr>
          <w:color w:val="FF0000"/>
        </w:rPr>
        <w:t xml:space="preserve"> </w:t>
      </w:r>
      <w:r>
        <w:t xml:space="preserve">It is clear from all these factors that police forces in England and Wales must define and recognise what their role is in investigating internet related crime, as well as recognising the areas for improvement. </w:t>
      </w:r>
    </w:p>
    <w:p w14:paraId="640A2CD4" w14:textId="77777777" w:rsidR="00FF283F" w:rsidRDefault="00FF283F" w:rsidP="00FF283F">
      <w:pPr>
        <w:rPr>
          <w:color w:val="FF0000"/>
        </w:rPr>
      </w:pPr>
      <w:r>
        <w:t xml:space="preserve">Whilst I have previously alluded to the public’s apparent reluctance to report complex internet crime to the police; it is indisputable that the police and often front-line officers/control room staff are the first point of contact that victims of these crimes have. Despite a significant number of front-line officers not having the technical capability to effectively deal with complex internet-based investigations, they still have their core role to perform. This includes taking first accounts and gathering the relevant information. Front line officers are also to gather any available evidence that victim has that could lead to identifying a suspect and gaining a conviction. </w:t>
      </w:r>
    </w:p>
    <w:p w14:paraId="7566A053" w14:textId="77777777" w:rsidR="00FF283F" w:rsidRDefault="00FF283F" w:rsidP="00FF283F">
      <w:r>
        <w:lastRenderedPageBreak/>
        <w:t xml:space="preserve">Another clearly defined responsibility of the police is to ensure that there is access and encouragement from policing organisations to get their staff better trained when it comes to cybercrime. Johnson </w:t>
      </w:r>
      <w:r>
        <w:rPr>
          <w:i/>
          <w:iCs/>
        </w:rPr>
        <w:t xml:space="preserve">et al. </w:t>
      </w:r>
      <w:r>
        <w:t>are of the opinion that police forces need to recognise their lack of knowledge and skills in this department and that they should be open to consulting with industry experts such as cybersecurity professionals to enhance the quality of their investigations. They believe digital training should now be a fundamental part of police training at all levels and ranks. To quote:</w:t>
      </w:r>
    </w:p>
    <w:p w14:paraId="7D2182CA" w14:textId="77777777" w:rsidR="00FF283F" w:rsidRPr="00D004CA" w:rsidRDefault="00FF283F" w:rsidP="00FF283F">
      <w:pPr>
        <w:rPr>
          <w:rFonts w:cstheme="minorHAnsi"/>
          <w:shd w:val="clear" w:color="auto" w:fill="FFFFFF"/>
        </w:rPr>
      </w:pPr>
      <w:r>
        <w:t>“</w:t>
      </w:r>
      <w:r w:rsidRPr="007B0149">
        <w:rPr>
          <w:rFonts w:cstheme="minorHAnsi"/>
          <w:color w:val="333333"/>
          <w:shd w:val="clear" w:color="auto" w:fill="FFFFFF"/>
        </w:rPr>
        <w:t xml:space="preserve">Knowledge and training </w:t>
      </w:r>
      <w:proofErr w:type="gramStart"/>
      <w:r w:rsidRPr="007B0149">
        <w:rPr>
          <w:rFonts w:cstheme="minorHAnsi"/>
          <w:color w:val="333333"/>
          <w:shd w:val="clear" w:color="auto" w:fill="FFFFFF"/>
        </w:rPr>
        <w:t>is</w:t>
      </w:r>
      <w:proofErr w:type="gramEnd"/>
      <w:r w:rsidRPr="007B0149">
        <w:rPr>
          <w:rFonts w:cstheme="minorHAnsi"/>
          <w:color w:val="333333"/>
          <w:shd w:val="clear" w:color="auto" w:fill="FFFFFF"/>
        </w:rPr>
        <w:t xml:space="preserve"> a fundamental pillar to achieving success in moving the Police Service firmly into the digital world, but that work needs to rapidly influence thinking across the complete policing hierarchy</w:t>
      </w:r>
      <w:r>
        <w:rPr>
          <w:rFonts w:cstheme="minorHAnsi"/>
          <w:color w:val="333333"/>
          <w:shd w:val="clear" w:color="auto" w:fill="FFFFFF"/>
        </w:rPr>
        <w:t xml:space="preserve">.” </w:t>
      </w:r>
      <w:r>
        <w:rPr>
          <w:rFonts w:cstheme="minorHAnsi"/>
          <w:shd w:val="clear" w:color="auto" w:fill="FFFFFF"/>
        </w:rPr>
        <w:t xml:space="preserve">(Johnson </w:t>
      </w:r>
      <w:r>
        <w:rPr>
          <w:rFonts w:cstheme="minorHAnsi"/>
          <w:i/>
          <w:iCs/>
          <w:shd w:val="clear" w:color="auto" w:fill="FFFFFF"/>
        </w:rPr>
        <w:t xml:space="preserve">et al. </w:t>
      </w:r>
      <w:r>
        <w:rPr>
          <w:rFonts w:cstheme="minorHAnsi"/>
          <w:shd w:val="clear" w:color="auto" w:fill="FFFFFF"/>
        </w:rPr>
        <w:t>2020, P.449).</w:t>
      </w:r>
    </w:p>
    <w:p w14:paraId="09A37C4B" w14:textId="77777777" w:rsidR="00FF283F" w:rsidRPr="00200F41" w:rsidRDefault="00FF283F" w:rsidP="00FF283F">
      <w:pPr>
        <w:rPr>
          <w:rFonts w:cstheme="minorHAnsi"/>
          <w:shd w:val="clear" w:color="auto" w:fill="FFFFFF"/>
        </w:rPr>
      </w:pPr>
      <w:r>
        <w:rPr>
          <w:rFonts w:cstheme="minorHAnsi"/>
          <w:shd w:val="clear" w:color="auto" w:fill="FFFFFF"/>
        </w:rPr>
        <w:t>Following on from this, it is imperative that police recognise that they are not the expert body when it comes to dealing with complex cybercrime and that there are other organisations which are more focussed on it and better equipped at investigating.  Everett notes that in the world of digital crime, there is more of a collective responsibility that must be recognised in tackling it. Police must now be more willing to share information with partner organisations and use their expertise in gaining suitable results for victims (2009, P.6).</w:t>
      </w:r>
    </w:p>
    <w:p w14:paraId="5FE3F4ED" w14:textId="77777777" w:rsidR="00FF283F" w:rsidRDefault="00FF283F" w:rsidP="00FF283F">
      <w:pPr>
        <w:rPr>
          <w:rFonts w:cstheme="minorHAnsi"/>
          <w:color w:val="FF0000"/>
          <w:shd w:val="clear" w:color="auto" w:fill="FFFFFF"/>
        </w:rPr>
      </w:pPr>
      <w:r>
        <w:rPr>
          <w:rFonts w:cstheme="minorHAnsi"/>
          <w:shd w:val="clear" w:color="auto" w:fill="FFFFFF"/>
        </w:rPr>
        <w:t xml:space="preserve">Finally, the police must also assume the role of educating the public around the potentials risks they face whilst online. Generally, there is a lack of understanding by the public surrounding this matter. Whilst the police must do everything they can in terms of training and investigating complex internet crime. Ultimately, they are quite limited in being able to prevent it from happening. The police must then increase their public engagement and signposting to better equip members of the public to take all the necessary precautions themselves to prevent them becoming the victims of cybercrime (Curtis and </w:t>
      </w:r>
      <w:proofErr w:type="spellStart"/>
      <w:r>
        <w:rPr>
          <w:rFonts w:cstheme="minorHAnsi"/>
          <w:shd w:val="clear" w:color="auto" w:fill="FFFFFF"/>
        </w:rPr>
        <w:t>Oxburgh</w:t>
      </w:r>
      <w:proofErr w:type="spellEnd"/>
      <w:r>
        <w:rPr>
          <w:rFonts w:cstheme="minorHAnsi"/>
          <w:shd w:val="clear" w:color="auto" w:fill="FFFFFF"/>
        </w:rPr>
        <w:t>, 2022, P.585).</w:t>
      </w:r>
    </w:p>
    <w:p w14:paraId="47382454" w14:textId="77777777" w:rsidR="00FF283F" w:rsidRDefault="00FF283F" w:rsidP="00FF283F">
      <w:pPr>
        <w:rPr>
          <w:rFonts w:cstheme="minorHAnsi"/>
          <w:shd w:val="clear" w:color="auto" w:fill="FFFFFF"/>
        </w:rPr>
      </w:pPr>
      <w:r>
        <w:rPr>
          <w:rFonts w:cstheme="minorHAnsi"/>
          <w:shd w:val="clear" w:color="auto" w:fill="FFFFFF"/>
        </w:rPr>
        <w:t xml:space="preserve">In conclusion, the role of the police in these complex internet investigations remains much as the same as it was before. Officers must still do their necessary procedures to gather information, detect crime and investigate. However, they must also recognise any inadequacies in training/technical knowledge and seek to improve that so a better level of service can be offered, and public confidence restored in the capabilities of the police. Police forces must be willing to have a multi-agency approach and share information with partner agencies who may be able to provide better expertise and technical skill than officers who are often dealing with all aspects of crime. Lastly, police must assume the role of an educator for members of the public when it comes to the matter of cybercrime. Often it is the case that people taking simple precautions whilst online will prevent them becoming victims in the first place. </w:t>
      </w:r>
    </w:p>
    <w:p w14:paraId="4FD68A80" w14:textId="77777777" w:rsidR="00FF283F" w:rsidRDefault="00FF283F" w:rsidP="00FF283F">
      <w:pPr>
        <w:rPr>
          <w:rFonts w:cstheme="minorHAnsi"/>
          <w:shd w:val="clear" w:color="auto" w:fill="FFFFFF"/>
        </w:rPr>
      </w:pPr>
    </w:p>
    <w:p w14:paraId="748C1E1F" w14:textId="4207B35B" w:rsidR="00FF283F" w:rsidRPr="008B2536" w:rsidRDefault="00FF283F" w:rsidP="00FF283F">
      <w:pPr>
        <w:rPr>
          <w:rFonts w:cstheme="minorHAnsi"/>
        </w:rPr>
      </w:pPr>
    </w:p>
    <w:p w14:paraId="3E6C925C" w14:textId="77777777" w:rsidR="00FF283F" w:rsidRPr="00810D04" w:rsidRDefault="00FF283F" w:rsidP="00FF283F"/>
    <w:p w14:paraId="66379A14" w14:textId="77777777" w:rsidR="00FF283F" w:rsidRDefault="00FF283F" w:rsidP="00FF283F">
      <w:pPr>
        <w:rPr>
          <w:color w:val="FF0000"/>
        </w:rPr>
      </w:pPr>
    </w:p>
    <w:p w14:paraId="1368FCE7" w14:textId="7E1ED61E" w:rsidR="00FF283F" w:rsidRDefault="00FF283F" w:rsidP="00FF283F"/>
    <w:p w14:paraId="00092979" w14:textId="7A88C212" w:rsidR="00FF283F" w:rsidRDefault="00FF283F" w:rsidP="00FF283F"/>
    <w:p w14:paraId="6B8A38CE" w14:textId="30B21FA9" w:rsidR="00FF283F" w:rsidRDefault="00FF283F" w:rsidP="00FF283F"/>
    <w:p w14:paraId="0F8F994A" w14:textId="161081CC" w:rsidR="00FF283F" w:rsidRDefault="00FF283F" w:rsidP="00FF283F"/>
    <w:p w14:paraId="125019AC" w14:textId="01E5EBDE" w:rsidR="00FF283F" w:rsidRPr="00FF283F" w:rsidRDefault="00FF283F" w:rsidP="00FF283F">
      <w:pPr>
        <w:rPr>
          <w:u w:val="single"/>
        </w:rPr>
      </w:pPr>
      <w:r w:rsidRPr="00FF283F">
        <w:rPr>
          <w:u w:val="single"/>
        </w:rPr>
        <w:lastRenderedPageBreak/>
        <w:t>Essay 3</w:t>
      </w:r>
    </w:p>
    <w:p w14:paraId="0E1B6550" w14:textId="77777777" w:rsidR="00FF283F" w:rsidRDefault="00FF283F" w:rsidP="00FF283F">
      <w:r>
        <w:t>“Covert Human Intelligence Sources (CHIS) are crucial in preventing and safeguarding victims from many serious crimes” (Home Office, 2021). Critically evaluate the use of CHIS in the investigation of serious and organised crime. Your answer must be based on academic research, but you may refer to relevant, recent examples.</w:t>
      </w:r>
    </w:p>
    <w:p w14:paraId="4C0A66DC" w14:textId="77777777" w:rsidR="00FF283F" w:rsidRDefault="00FF283F" w:rsidP="00FF283F"/>
    <w:p w14:paraId="4618D39F" w14:textId="77777777" w:rsidR="00FF283F" w:rsidRDefault="00FF283F" w:rsidP="00FF283F">
      <w:r>
        <w:t xml:space="preserve">Covert Human Intelligence Sources or CHIS form an often-overlooked side of police intelligence work. It is an aspect of policing which very few in a police force will have full access to, with not even senior officers knowing the full details of a CHIS. It is a practice which has often been heavily criticised in the media and to some is evidence of the police overstepping its authority. However, the intelligence with which they can provide police may be crucial to preventing serious crime and curtailing organised crime gangs. In this essay I will first briefly explain what a CHIS is and some of the legislation surrounding their use. I will evaluate using a CHIS in investigating serious and organised crime, focussing upon the concept of rapport. I will then use real life examples provided by the UK government where a CHIS was crucial to getting a result. </w:t>
      </w:r>
    </w:p>
    <w:p w14:paraId="417B6276" w14:textId="77777777" w:rsidR="00FF283F" w:rsidRDefault="00FF283F" w:rsidP="00FF283F">
      <w:pPr>
        <w:rPr>
          <w:color w:val="FF0000"/>
        </w:rPr>
      </w:pPr>
      <w:r>
        <w:t>The use of covert human intelligence sources is governed under RIPA, or the Regulation of Investigatory Powers Act 2000. A person is classed as a CHIS if they establish a relationship with a person for the covert purposes of either: obtaining information or to provide access to any information to another person. It is also to covertly disclose information obtained by use or consequence of that relationship (Home Office, 2021, P.10).</w:t>
      </w:r>
      <w:r>
        <w:rPr>
          <w:color w:val="FF0000"/>
        </w:rPr>
        <w:t xml:space="preserve"> </w:t>
      </w:r>
      <w:r>
        <w:t xml:space="preserve">A CHIS may include both a member of the public who may fraternise in the criminal underworld as well as an undercover police officer or other government agency employee who has managed to infiltrate a gang or group. </w:t>
      </w:r>
    </w:p>
    <w:p w14:paraId="357D31B1" w14:textId="77777777" w:rsidR="00FF283F" w:rsidRPr="00642CB5" w:rsidRDefault="00FF283F" w:rsidP="00FF283F">
      <w:r>
        <w:t xml:space="preserve">The use of a CHIS in modern day policing strategy follows the doctrine of Intelligence Led Policing. Research shows that intelligence led policing can deliver results in reducing crime and protecting members of the public. </w:t>
      </w:r>
      <w:proofErr w:type="spellStart"/>
      <w:r>
        <w:t>Daroch</w:t>
      </w:r>
      <w:proofErr w:type="spellEnd"/>
      <w:r>
        <w:t xml:space="preserve"> and </w:t>
      </w:r>
      <w:proofErr w:type="spellStart"/>
      <w:r>
        <w:t>Mazzerolle</w:t>
      </w:r>
      <w:proofErr w:type="spellEnd"/>
      <w:r>
        <w:t xml:space="preserve"> note that in areas where Intelligence Led Policing was adopted, there was a marked increase in the confidence of officers in dealing with serious crime and reduced crime. Their study was conducted using New Zealand Police as their focus (2012, pp. 7-8).</w:t>
      </w:r>
    </w:p>
    <w:p w14:paraId="1EE83190" w14:textId="77777777" w:rsidR="00FF283F" w:rsidRDefault="00FF283F" w:rsidP="00FF283F">
      <w:r>
        <w:t xml:space="preserve">Moffett </w:t>
      </w:r>
      <w:r>
        <w:rPr>
          <w:i/>
          <w:iCs/>
        </w:rPr>
        <w:t>et al.</w:t>
      </w:r>
      <w:r>
        <w:t xml:space="preserve"> conducted a study on source handlers and their considerations in using a CHIS in investigations. Several participants within his study identified how important a CHIS can be for obtaining information. One participant stated that “CHIS is a vital element in any conflict whether a battle against a foreign power or an organised crime group.” Other participants went on to state that a CHIS can be vital for policing and that they are an “invaluable resource.” Another participant went on to say that CHIS and source handlers are not recognised for the good work that they do in protecting the public, further stating that this is because of “a desire to give the public a visible police presence which, whilst reassuring, has little genuine impact.” (2021, pp.496-497).</w:t>
      </w:r>
      <w:r>
        <w:rPr>
          <w:color w:val="FF0000"/>
        </w:rPr>
        <w:t xml:space="preserve"> </w:t>
      </w:r>
      <w:r>
        <w:t xml:space="preserve">Clearly the participants in this study are of the opinion that covert intelligence is more beneficial to the public overall, despite a visible police presence being more reassuring to the public. </w:t>
      </w:r>
    </w:p>
    <w:p w14:paraId="4CC2281F" w14:textId="77777777" w:rsidR="00FF283F" w:rsidRPr="000056FC" w:rsidRDefault="00FF283F" w:rsidP="00FF283F">
      <w:r>
        <w:t xml:space="preserve">Whilst a CHIS can be invaluable, the reliability and disclosure of information can be dependent upon the strength of the relationship between the CHIS and their handler. Nunan </w:t>
      </w:r>
      <w:r>
        <w:rPr>
          <w:i/>
          <w:iCs/>
        </w:rPr>
        <w:t>et al.</w:t>
      </w:r>
      <w:r>
        <w:t xml:space="preserve"> conducted a study which focussed particularly upon the importance of rapport in the relationship with a CHIS. In it, his interactions with source handlers confirmed that for them, having good rapport with a CHIS yielded more comprehensive results than just simply being positive with them. One handler stated that they “had to be the person that they wanted to speak to.” (2020, pp.</w:t>
      </w:r>
      <w:r>
        <w:rPr>
          <w:color w:val="FF0000"/>
        </w:rPr>
        <w:t xml:space="preserve"> </w:t>
      </w:r>
      <w:r>
        <w:t xml:space="preserve">12-13). This focus on rapport is also </w:t>
      </w:r>
      <w:r>
        <w:lastRenderedPageBreak/>
        <w:t xml:space="preserve">backed up by a study which looked at gaining useful information from terrorists. Alison </w:t>
      </w:r>
      <w:r>
        <w:rPr>
          <w:i/>
          <w:iCs/>
        </w:rPr>
        <w:t>et al.</w:t>
      </w:r>
      <w:r>
        <w:t xml:space="preserve"> outlines that past use of tough interrogation on intelligence sources led to infamous incidents involving the police such as the Guildford Four and Birmingham Six. Pressure tactics used by police on IRA informants led to inaccurate information being obtained and subsequently resulted in miscarriages of justice which damaged the reputation of the police. The study concludes that having good rapport with a CHIS is imperative for receiving accurate information provided willingly (2013, pp.428-429).</w:t>
      </w:r>
    </w:p>
    <w:p w14:paraId="4F89F9B0" w14:textId="77777777" w:rsidR="00FF283F" w:rsidRDefault="00FF283F" w:rsidP="00FF283F">
      <w:r>
        <w:t xml:space="preserve">As I have just mentioned, incidents such as the Guildford Four do not make a good case for the use of Covert intelligence into serious and organised crime. However, that is more of a symptom of poor tactics in the handling of a CHIS than the practice itself. There are notable examples of where effective information provided by a CHIS has led to offenders being arrested and vulnerable people being safeguarded from harm. In 2013, an undercover operation which infiltrated a paedophile group. The results of the information obtained led to the arrest of a male who had planned to pay to rape a </w:t>
      </w:r>
      <w:proofErr w:type="gramStart"/>
      <w:r>
        <w:t>5 and 6 year old</w:t>
      </w:r>
      <w:proofErr w:type="gramEnd"/>
      <w:r>
        <w:t xml:space="preserve"> child. After arrest, further evidence of the abuse of children was discovered on his computer </w:t>
      </w:r>
      <w:r w:rsidRPr="00263424">
        <w:rPr>
          <w:rFonts w:cstheme="minorHAnsi"/>
          <w:color w:val="2C3E50"/>
          <w:shd w:val="clear" w:color="auto" w:fill="FFFFFF"/>
        </w:rPr>
        <w:t>(GOV.UK, n.d.).</w:t>
      </w:r>
      <w:r>
        <w:rPr>
          <w:rFonts w:ascii="Roboto" w:hAnsi="Roboto"/>
          <w:color w:val="2C3E50"/>
          <w:sz w:val="23"/>
          <w:szCs w:val="23"/>
          <w:shd w:val="clear" w:color="auto" w:fill="FFFFFF"/>
        </w:rPr>
        <w:t xml:space="preserve"> </w:t>
      </w:r>
      <w:r>
        <w:t xml:space="preserve">In tackling organised crime, in 2018-2019 the Metropolitan police conducted CHIS operations which resulted in 3500 arrests. It also led to the recovery of 100 firearms and the seizure of 400kg of class A drugs. Had a CHIS not been utilised in either of these examples, it would have led to immeasurable suffering for the potential victims. </w:t>
      </w:r>
    </w:p>
    <w:p w14:paraId="7B3CB943" w14:textId="77777777" w:rsidR="00FF283F" w:rsidRDefault="00FF283F" w:rsidP="00FF283F">
      <w:r>
        <w:t>In conclusion, while using a CHIS in investigating serious and organised crime can be a tactic which is frowned upon, it undoubtedly achieves positive results. Using covert human intelligence sources is an established practice in the doctrine of intelligence led policing. Covert intelligence can instil a sense of confidence in local investigators and reduce crime. We have seen how ineffective tactics in the handling of a CHIS have led to serious miscarriages of justice. Having good rapport with a CHIS is imperative to receiving accurate information and achieving positive results in an investigation with the recent examples I discussed evidencing the value that a CHIS can provide when it comes to intelligence gathering. Going forward, maintaining this tactic in CHIS handling will be crucial to being able to tackle serious and organised crime. While the use of covert intelligence may not be what the public desire in policing, when it comes to safeguarding people from serious crime the results prove its worth in policing practice.</w:t>
      </w:r>
    </w:p>
    <w:p w14:paraId="7D7D9AF6" w14:textId="6B08B2CE" w:rsidR="00FF283F" w:rsidRDefault="00FF283F" w:rsidP="00FF283F"/>
    <w:p w14:paraId="5E9A10A4" w14:textId="56AEB99D" w:rsidR="00FF283F" w:rsidRDefault="00FF283F" w:rsidP="00FF283F"/>
    <w:p w14:paraId="0813ABC2" w14:textId="75B0DE48" w:rsidR="00FF283F" w:rsidRDefault="00FF283F" w:rsidP="00FF283F"/>
    <w:p w14:paraId="1D4C61D3" w14:textId="1651A443" w:rsidR="00FF283F" w:rsidRDefault="00FF283F" w:rsidP="00FF283F"/>
    <w:p w14:paraId="55175230" w14:textId="7AB8EFF3" w:rsidR="00FF283F" w:rsidRDefault="00FF283F" w:rsidP="00FF283F"/>
    <w:p w14:paraId="23DA286D" w14:textId="034DADDA" w:rsidR="00FF283F" w:rsidRDefault="00FF283F" w:rsidP="00FF283F"/>
    <w:p w14:paraId="561325E9" w14:textId="37A251CF" w:rsidR="00FF283F" w:rsidRDefault="00FF283F" w:rsidP="00FF283F"/>
    <w:p w14:paraId="69294DD6" w14:textId="709BEA33" w:rsidR="00FF283F" w:rsidRDefault="00FF283F" w:rsidP="00FF283F"/>
    <w:p w14:paraId="2874901A" w14:textId="1AC90CBD" w:rsidR="00FF283F" w:rsidRDefault="00FF283F" w:rsidP="00FF283F"/>
    <w:p w14:paraId="2DFA7997" w14:textId="7D1761E7" w:rsidR="00FF283F" w:rsidRDefault="00FF283F" w:rsidP="00FF283F"/>
    <w:p w14:paraId="7C299E69" w14:textId="63AF22F2" w:rsidR="00FF283F" w:rsidRDefault="00FF283F" w:rsidP="00FF283F"/>
    <w:p w14:paraId="437A66BE" w14:textId="77777777" w:rsidR="004C6B2C" w:rsidRDefault="004C6B2C" w:rsidP="00FF283F">
      <w:pPr>
        <w:rPr>
          <w:u w:val="single"/>
        </w:rPr>
      </w:pPr>
    </w:p>
    <w:p w14:paraId="5B8E3B58" w14:textId="5F25AD68" w:rsidR="00FF283F" w:rsidRPr="00FF283F" w:rsidRDefault="00FF283F" w:rsidP="00FF283F">
      <w:pPr>
        <w:rPr>
          <w:u w:val="single"/>
        </w:rPr>
      </w:pPr>
      <w:r w:rsidRPr="00FF283F">
        <w:rPr>
          <w:u w:val="single"/>
        </w:rPr>
        <w:lastRenderedPageBreak/>
        <w:t>Essay 4</w:t>
      </w:r>
    </w:p>
    <w:p w14:paraId="75D29FE6" w14:textId="6C9642D1" w:rsidR="00FF283F" w:rsidRDefault="00FF283F" w:rsidP="00FF283F">
      <w:r>
        <w:t xml:space="preserve">Evaluate the effectiveness of crime prevention theories and strategies as a means of combating either anti-social behaviour or domestic violence. Your answer must be based on academic research, but you may </w:t>
      </w:r>
      <w:proofErr w:type="gramStart"/>
      <w:r>
        <w:t>make reference</w:t>
      </w:r>
      <w:proofErr w:type="gramEnd"/>
      <w:r>
        <w:t xml:space="preserve"> to relevant case studies.</w:t>
      </w:r>
    </w:p>
    <w:p w14:paraId="2C4D3B6F" w14:textId="77777777" w:rsidR="00FF283F" w:rsidRDefault="00FF283F" w:rsidP="00FF283F"/>
    <w:p w14:paraId="29EDD4FC" w14:textId="77777777" w:rsidR="00FF283F" w:rsidRDefault="00FF283F" w:rsidP="00FF283F">
      <w:pPr>
        <w:rPr>
          <w:rStyle w:val="Emphasis"/>
          <w:rFonts w:cstheme="minorHAnsi"/>
          <w:i w:val="0"/>
          <w:iCs w:val="0"/>
          <w:color w:val="FF0000"/>
          <w:shd w:val="clear" w:color="auto" w:fill="FFFFFF"/>
        </w:rPr>
      </w:pPr>
      <w:r>
        <w:t xml:space="preserve">Crime is a topic which has been subject to constant analysis by law enforcement agencies, government bodies and academics. Numerous theories and strategies have been thought up and implemented as a means of attempting to explain why crime occurs and how measures can be taken to reduce its impact on the public. Specifically, crime prevention strategies have been adopted by forces as a response to pervasive issues such as anti-social behaviour (ASB). A crime prevention strategy “comprises </w:t>
      </w:r>
      <w:r w:rsidRPr="00024C1B">
        <w:rPr>
          <w:rFonts w:cstheme="minorHAnsi"/>
          <w:i/>
          <w:iCs/>
        </w:rPr>
        <w:t>s</w:t>
      </w:r>
      <w:r w:rsidRPr="00024C1B">
        <w:rPr>
          <w:rStyle w:val="Emphasis"/>
          <w:rFonts w:cstheme="minorHAnsi"/>
          <w:i w:val="0"/>
          <w:iCs w:val="0"/>
          <w:color w:val="212529"/>
          <w:shd w:val="clear" w:color="auto" w:fill="FFFFFF"/>
        </w:rPr>
        <w:t>trategies and measures that seek to reduce the risk of crimes occurring, and their potential harmful effects on individuals and society, including fear of crime, by intervening to influence their multiple causes.</w:t>
      </w:r>
      <w:r>
        <w:rPr>
          <w:rStyle w:val="Emphasis"/>
          <w:rFonts w:cstheme="minorHAnsi"/>
          <w:i w:val="0"/>
          <w:iCs w:val="0"/>
          <w:color w:val="212529"/>
          <w:shd w:val="clear" w:color="auto" w:fill="FFFFFF"/>
        </w:rPr>
        <w:t xml:space="preserve">” </w:t>
      </w:r>
      <w:r w:rsidRPr="00D66DA0">
        <w:rPr>
          <w:rFonts w:cstheme="minorHAnsi"/>
          <w:shd w:val="clear" w:color="auto" w:fill="FFFFFF"/>
        </w:rPr>
        <w:t>(United Nations, n.d.)</w:t>
      </w:r>
      <w:r>
        <w:rPr>
          <w:rStyle w:val="Emphasis"/>
          <w:rFonts w:cstheme="minorHAnsi"/>
          <w:i w:val="0"/>
          <w:iCs w:val="0"/>
          <w:shd w:val="clear" w:color="auto" w:fill="FFFFFF"/>
        </w:rPr>
        <w:t xml:space="preserve">. I will analyse the effectiveness of neighbourhood policing in response to anti-social behaviour. I will also evaluate the strategy of community engagement and multi-agency work as a way of combating it. I will finish with making a comparison on the figures relating to anti-social behaviour. </w:t>
      </w:r>
    </w:p>
    <w:p w14:paraId="2410A236" w14:textId="77777777" w:rsidR="00FF283F" w:rsidRDefault="00FF283F" w:rsidP="00FF283F">
      <w:pPr>
        <w:rPr>
          <w:rStyle w:val="Emphasis"/>
          <w:rFonts w:cstheme="minorHAnsi"/>
          <w:i w:val="0"/>
          <w:iCs w:val="0"/>
          <w:color w:val="FF0000"/>
          <w:shd w:val="clear" w:color="auto" w:fill="FFFFFF"/>
        </w:rPr>
      </w:pPr>
      <w:r>
        <w:rPr>
          <w:rStyle w:val="Emphasis"/>
          <w:rFonts w:cstheme="minorHAnsi"/>
          <w:i w:val="0"/>
          <w:iCs w:val="0"/>
          <w:shd w:val="clear" w:color="auto" w:fill="FFFFFF"/>
        </w:rPr>
        <w:t>ASB is an issue which while it may be classified as a “low level” in comparison to other crimes, it is no less traumatic to those who fall victim to it. It can be defined as “conduct that has caused – or is likely to cause – harassment, alarm or distress to any person.” (College of Policing, 2023).</w:t>
      </w:r>
      <w:r>
        <w:rPr>
          <w:rStyle w:val="Emphasis"/>
          <w:rFonts w:cstheme="minorHAnsi"/>
          <w:i w:val="0"/>
          <w:iCs w:val="0"/>
          <w:color w:val="FF0000"/>
          <w:shd w:val="clear" w:color="auto" w:fill="FFFFFF"/>
        </w:rPr>
        <w:t xml:space="preserve"> </w:t>
      </w:r>
      <w:r>
        <w:rPr>
          <w:rStyle w:val="Emphasis"/>
          <w:rFonts w:cstheme="minorHAnsi"/>
          <w:i w:val="0"/>
          <w:iCs w:val="0"/>
          <w:shd w:val="clear" w:color="auto" w:fill="FFFFFF"/>
        </w:rPr>
        <w:t>It is usually, but not always the case, that it will fall upon neighbourhood policing teams to tackle ASB in the local community. The responsibilities of neighbourhood police are community engagement and using collaborative problem solving with the community and partner agencies to tackle specific issues (College of Policing, 2022).</w:t>
      </w:r>
    </w:p>
    <w:p w14:paraId="2D2BC337" w14:textId="77777777" w:rsidR="00FF283F" w:rsidRDefault="00FF283F" w:rsidP="00FF283F">
      <w:pPr>
        <w:rPr>
          <w:rStyle w:val="Emphasis"/>
          <w:rFonts w:cstheme="minorHAnsi"/>
          <w:i w:val="0"/>
          <w:iCs w:val="0"/>
          <w:color w:val="FF0000"/>
          <w:shd w:val="clear" w:color="auto" w:fill="FFFFFF"/>
        </w:rPr>
      </w:pPr>
      <w:r>
        <w:rPr>
          <w:rStyle w:val="Emphasis"/>
          <w:rFonts w:cstheme="minorHAnsi"/>
          <w:i w:val="0"/>
          <w:iCs w:val="0"/>
          <w:shd w:val="clear" w:color="auto" w:fill="FFFFFF"/>
        </w:rPr>
        <w:t xml:space="preserve">As neighbourhood policing focusses on the community, it is often far better equipped at dealing with ASB than response officers as it is a more problem oriented style of policing. Beck, Antonelli and </w:t>
      </w:r>
      <w:proofErr w:type="spellStart"/>
      <w:r>
        <w:rPr>
          <w:rStyle w:val="Emphasis"/>
          <w:rFonts w:cstheme="minorHAnsi"/>
          <w:i w:val="0"/>
          <w:iCs w:val="0"/>
          <w:shd w:val="clear" w:color="auto" w:fill="FFFFFF"/>
        </w:rPr>
        <w:t>Pineros</w:t>
      </w:r>
      <w:proofErr w:type="spellEnd"/>
      <w:r>
        <w:rPr>
          <w:rStyle w:val="Emphasis"/>
          <w:rFonts w:cstheme="minorHAnsi"/>
          <w:i w:val="0"/>
          <w:iCs w:val="0"/>
          <w:shd w:val="clear" w:color="auto" w:fill="FFFFFF"/>
        </w:rPr>
        <w:t xml:space="preserve"> conducted a study on the effect neighbourhood policing had when it was implemented by the New York Police Department. Initially the figures suggested that moving to this model of policing was working to curtail the amount of ‘misdemeanours’ or ASB as there were far fewer arrests being made in relation to that. However, the findings later showed that this was merely because officers there were choosing to make less arrests for those offences. The rate of misdemeanours or ASB was in fact unchanged, despite the focus on community engagement. It must be noted here that while the New York Police strived to better engage with communities, they did not undertake this by also including them in their strategy (2022, pp. 474-474).</w:t>
      </w:r>
    </w:p>
    <w:p w14:paraId="02ECE768" w14:textId="77777777" w:rsidR="00FF283F" w:rsidRPr="002007B1" w:rsidRDefault="00FF283F" w:rsidP="00FF283F">
      <w:pPr>
        <w:rPr>
          <w:rStyle w:val="Emphasis"/>
          <w:rFonts w:cstheme="minorHAnsi"/>
          <w:i w:val="0"/>
          <w:iCs w:val="0"/>
          <w:shd w:val="clear" w:color="auto" w:fill="FFFFFF"/>
        </w:rPr>
      </w:pPr>
      <w:r>
        <w:rPr>
          <w:rStyle w:val="Emphasis"/>
          <w:rFonts w:cstheme="minorHAnsi"/>
          <w:i w:val="0"/>
          <w:iCs w:val="0"/>
          <w:shd w:val="clear" w:color="auto" w:fill="FFFFFF"/>
        </w:rPr>
        <w:t xml:space="preserve">To contrast this, </w:t>
      </w:r>
      <w:proofErr w:type="gramStart"/>
      <w:r>
        <w:rPr>
          <w:rStyle w:val="Emphasis"/>
          <w:rFonts w:cstheme="minorHAnsi"/>
          <w:i w:val="0"/>
          <w:iCs w:val="0"/>
          <w:shd w:val="clear" w:color="auto" w:fill="FFFFFF"/>
        </w:rPr>
        <w:t>O’Malley</w:t>
      </w:r>
      <w:proofErr w:type="gramEnd"/>
      <w:r>
        <w:rPr>
          <w:rStyle w:val="Emphasis"/>
          <w:rFonts w:cstheme="minorHAnsi"/>
          <w:i w:val="0"/>
          <w:iCs w:val="0"/>
          <w:shd w:val="clear" w:color="auto" w:fill="FFFFFF"/>
        </w:rPr>
        <w:t xml:space="preserve"> and Grace highlight just how crucial multi agency work is in being able to effectively reduce instances of ASB. They highlight that often, other agencies may be better equipped to deal with ASB in the long term, such as where youths are involved social services can offer them support as opposed to just dealing with it purely as a police matter. They do however note that multi agency work in this regard was not without its challenges. Often there were cases where organisations could not agree on a shared strategy for tackling ASB and it left the process frustrated, with partner agencies feeling like the police were resistant to strategies which did not fit their model of neighbourhood policing. It should be noted however that their finding also indicated that rates of ASB in areas where there was multi agency working showed a reduction in instances of ASB (2021, pp.312-313).</w:t>
      </w:r>
    </w:p>
    <w:p w14:paraId="55762CC3" w14:textId="77777777" w:rsidR="00FF283F" w:rsidRPr="00610330" w:rsidRDefault="00FF283F" w:rsidP="00FF283F">
      <w:pPr>
        <w:rPr>
          <w:rStyle w:val="Emphasis"/>
          <w:rFonts w:cstheme="minorHAnsi"/>
          <w:i w:val="0"/>
          <w:iCs w:val="0"/>
          <w:shd w:val="clear" w:color="auto" w:fill="FFFFFF"/>
        </w:rPr>
      </w:pPr>
      <w:r>
        <w:rPr>
          <w:rStyle w:val="Emphasis"/>
          <w:rFonts w:cstheme="minorHAnsi"/>
          <w:i w:val="0"/>
          <w:iCs w:val="0"/>
          <w:shd w:val="clear" w:color="auto" w:fill="FFFFFF"/>
        </w:rPr>
        <w:lastRenderedPageBreak/>
        <w:t xml:space="preserve">Whilst this community focussed approach is not perfect, it is in many ways an improvement upon the older practice of dealing with ASB using ‘harder’ policing tactics. Hopkins-Burke and </w:t>
      </w:r>
      <w:proofErr w:type="spellStart"/>
      <w:r>
        <w:rPr>
          <w:rStyle w:val="Emphasis"/>
          <w:rFonts w:cstheme="minorHAnsi"/>
          <w:i w:val="0"/>
          <w:iCs w:val="0"/>
          <w:shd w:val="clear" w:color="auto" w:fill="FFFFFF"/>
        </w:rPr>
        <w:t>Creaney’s</w:t>
      </w:r>
      <w:proofErr w:type="spellEnd"/>
      <w:r>
        <w:rPr>
          <w:rStyle w:val="Emphasis"/>
          <w:rFonts w:cstheme="minorHAnsi"/>
          <w:i w:val="0"/>
          <w:iCs w:val="0"/>
          <w:shd w:val="clear" w:color="auto" w:fill="FFFFFF"/>
        </w:rPr>
        <w:t xml:space="preserve"> opinion on the newer response to it is that it has been far more productive with regards to young people. They state that using sanctions against offenders such as the “ASBO” did not in fact reduce ASB, but it increased the likelihood of reoffending by introducing particularly young offenders into the criminal justice system. Instead, they support the present-day focus on using multi agency work and community engagement to encourage young people engaged in ASB to “refer them to the most appropriate service.” (2014, pp.167-168).</w:t>
      </w:r>
    </w:p>
    <w:p w14:paraId="31A02696" w14:textId="77777777" w:rsidR="00FF283F" w:rsidRDefault="00FF283F" w:rsidP="00FF283F">
      <w:pPr>
        <w:rPr>
          <w:rStyle w:val="Emphasis"/>
          <w:rFonts w:cstheme="minorHAnsi"/>
          <w:i w:val="0"/>
          <w:iCs w:val="0"/>
          <w:color w:val="FF0000"/>
          <w:shd w:val="clear" w:color="auto" w:fill="FFFFFF"/>
        </w:rPr>
      </w:pPr>
      <w:r>
        <w:rPr>
          <w:rStyle w:val="Emphasis"/>
          <w:rFonts w:cstheme="minorHAnsi"/>
          <w:i w:val="0"/>
          <w:iCs w:val="0"/>
          <w:shd w:val="clear" w:color="auto" w:fill="FFFFFF"/>
        </w:rPr>
        <w:t xml:space="preserve">Since 2016, Cumbria neighbourhood police have embraced community engagement and a multi-agency approach to tackling ASB in the borough of Copeland. A hub was created whereby community driven initiatives could be formalised. Some of these included strategies to engage young people in school, developing a scheme to provide young people with life skills and working with a local alcohol partnership to reduce alcohol related ASB. This hub also reacts to outbreaks of ASB such as drug taking in town centres. Whilst the strategy took some time to implement properly, the result was a complete success. The case study notes that after around 18 months, the instances of ASB in the borough had reduced to almost zero </w:t>
      </w:r>
      <w:r w:rsidRPr="00187F77">
        <w:rPr>
          <w:rFonts w:cstheme="minorHAnsi"/>
          <w:shd w:val="clear" w:color="auto" w:fill="FFFFFF"/>
        </w:rPr>
        <w:t>(www.local.gov.uk, n.d.).</w:t>
      </w:r>
    </w:p>
    <w:p w14:paraId="67F508A1" w14:textId="77777777" w:rsidR="00FF283F" w:rsidRDefault="00FF283F" w:rsidP="00FF283F">
      <w:pPr>
        <w:rPr>
          <w:rStyle w:val="Emphasis"/>
          <w:rFonts w:cstheme="minorHAnsi"/>
          <w:i w:val="0"/>
          <w:iCs w:val="0"/>
          <w:color w:val="FF0000"/>
          <w:shd w:val="clear" w:color="auto" w:fill="FFFFFF"/>
        </w:rPr>
      </w:pPr>
      <w:r>
        <w:rPr>
          <w:rStyle w:val="Emphasis"/>
          <w:rFonts w:cstheme="minorHAnsi"/>
          <w:i w:val="0"/>
          <w:iCs w:val="0"/>
          <w:shd w:val="clear" w:color="auto" w:fill="FFFFFF"/>
        </w:rPr>
        <w:t xml:space="preserve">Statistics available from the Office for National statistics shows a marked decrease in ASB since 2020. In the year ending 2022, police recorded 1 million instances of ASB in England and Wales. Compared to the year 2020, there was a 23% decrease in the number of recorded instances of ASB </w:t>
      </w:r>
      <w:r w:rsidRPr="00187F77">
        <w:rPr>
          <w:rFonts w:cstheme="minorHAnsi"/>
          <w:shd w:val="clear" w:color="auto" w:fill="FFFFFF"/>
        </w:rPr>
        <w:t>(www.ons.gov.uk, n.d.).</w:t>
      </w:r>
      <w:r w:rsidRPr="00187F77">
        <w:rPr>
          <w:rStyle w:val="Emphasis"/>
          <w:rFonts w:cstheme="minorHAnsi"/>
          <w:i w:val="0"/>
          <w:iCs w:val="0"/>
          <w:shd w:val="clear" w:color="auto" w:fill="FFFFFF"/>
        </w:rPr>
        <w:t xml:space="preserve"> </w:t>
      </w:r>
      <w:r>
        <w:rPr>
          <w:rStyle w:val="Emphasis"/>
          <w:rFonts w:cstheme="minorHAnsi"/>
          <w:i w:val="0"/>
          <w:iCs w:val="0"/>
          <w:shd w:val="clear" w:color="auto" w:fill="FFFFFF"/>
        </w:rPr>
        <w:t xml:space="preserve">The statistics show a quite drastic decrease in instances of ASB, it may be the case that this is due to better strategies in place to combat it. However, it cannot be ruled out that less people are also reporting instances of it. </w:t>
      </w:r>
    </w:p>
    <w:p w14:paraId="3E58F4E9" w14:textId="77777777" w:rsidR="00FF283F" w:rsidRDefault="00FF283F" w:rsidP="00FF283F">
      <w:pPr>
        <w:rPr>
          <w:rStyle w:val="Emphasis"/>
          <w:rFonts w:cstheme="minorHAnsi"/>
          <w:i w:val="0"/>
          <w:iCs w:val="0"/>
          <w:shd w:val="clear" w:color="auto" w:fill="FFFFFF"/>
        </w:rPr>
      </w:pPr>
      <w:r>
        <w:rPr>
          <w:rStyle w:val="Emphasis"/>
          <w:rFonts w:cstheme="minorHAnsi"/>
          <w:i w:val="0"/>
          <w:iCs w:val="0"/>
          <w:shd w:val="clear" w:color="auto" w:fill="FFFFFF"/>
        </w:rPr>
        <w:t>Overall, the impact of neighbourhood policing, community engagement and multi-agency working is having a marked effect on the frequency of ASB. Whilst neighbourhood policing itself may struggle, as in the case of New York Police, where it is deployed with the inclusion of the community it can achieve a lot of success. Of note is the crucial role that partner agencies have in steering young people away from engaging in behaviour which harms the community. Where the strategy is properly adopted and implemented, such as in the case of Cumbria police and Copeland council it can prove to be very effective in combatting ASB.</w:t>
      </w:r>
    </w:p>
    <w:p w14:paraId="75B8621D" w14:textId="77777777" w:rsidR="00FF283F" w:rsidRDefault="00FF283F" w:rsidP="00FF283F">
      <w:pPr>
        <w:rPr>
          <w:rStyle w:val="Emphasis"/>
          <w:rFonts w:cstheme="minorHAnsi"/>
          <w:i w:val="0"/>
          <w:iCs w:val="0"/>
          <w:shd w:val="clear" w:color="auto" w:fill="FFFFFF"/>
        </w:rPr>
      </w:pPr>
    </w:p>
    <w:p w14:paraId="2BE4F99A" w14:textId="69534FD8" w:rsidR="00FF283F" w:rsidRDefault="00FF283F" w:rsidP="00FF283F">
      <w:pPr>
        <w:rPr>
          <w:rStyle w:val="Emphasis"/>
          <w:rFonts w:cstheme="minorHAnsi"/>
          <w:i w:val="0"/>
          <w:iCs w:val="0"/>
          <w:shd w:val="clear" w:color="auto" w:fill="FFFFFF"/>
        </w:rPr>
      </w:pPr>
    </w:p>
    <w:p w14:paraId="5D0D671D" w14:textId="77777777" w:rsidR="004C6B2C" w:rsidRDefault="004C6B2C" w:rsidP="00FF283F">
      <w:pPr>
        <w:rPr>
          <w:rStyle w:val="Emphasis"/>
          <w:rFonts w:cstheme="minorHAnsi"/>
          <w:i w:val="0"/>
          <w:iCs w:val="0"/>
          <w:shd w:val="clear" w:color="auto" w:fill="FFFFFF"/>
        </w:rPr>
      </w:pPr>
    </w:p>
    <w:p w14:paraId="0A4864A9" w14:textId="77777777" w:rsidR="00FF283F" w:rsidRDefault="00FF283F" w:rsidP="00FF283F">
      <w:pPr>
        <w:rPr>
          <w:rStyle w:val="Emphasis"/>
          <w:rFonts w:cstheme="minorHAnsi"/>
          <w:i w:val="0"/>
          <w:iCs w:val="0"/>
          <w:shd w:val="clear" w:color="auto" w:fill="FFFFFF"/>
        </w:rPr>
      </w:pPr>
    </w:p>
    <w:p w14:paraId="164A6776" w14:textId="3658F507" w:rsidR="00FF283F" w:rsidRPr="004C6B2C" w:rsidRDefault="00B35B8E" w:rsidP="00FF283F">
      <w:pPr>
        <w:rPr>
          <w:rStyle w:val="Emphasis"/>
          <w:rFonts w:cstheme="minorHAnsi"/>
          <w:i w:val="0"/>
          <w:iCs w:val="0"/>
          <w:sz w:val="32"/>
          <w:szCs w:val="32"/>
          <w:shd w:val="clear" w:color="auto" w:fill="FFFFFF"/>
        </w:rPr>
      </w:pPr>
      <w:r w:rsidRPr="004C6B2C">
        <w:rPr>
          <w:rStyle w:val="Emphasis"/>
          <w:rFonts w:cstheme="minorHAnsi"/>
          <w:i w:val="0"/>
          <w:iCs w:val="0"/>
          <w:sz w:val="32"/>
          <w:szCs w:val="32"/>
          <w:shd w:val="clear" w:color="auto" w:fill="FFFFFF"/>
        </w:rPr>
        <w:t xml:space="preserve">Total word count = </w:t>
      </w:r>
      <w:r w:rsidR="004C6B2C" w:rsidRPr="004C6B2C">
        <w:rPr>
          <w:rStyle w:val="Emphasis"/>
          <w:rFonts w:cstheme="minorHAnsi"/>
          <w:i w:val="0"/>
          <w:iCs w:val="0"/>
          <w:sz w:val="32"/>
          <w:szCs w:val="32"/>
          <w:shd w:val="clear" w:color="auto" w:fill="FFFFFF"/>
        </w:rPr>
        <w:t>4053</w:t>
      </w:r>
    </w:p>
    <w:p w14:paraId="3F6FD8F5" w14:textId="77777777" w:rsidR="00FF283F" w:rsidRDefault="00FF283F" w:rsidP="00FF283F">
      <w:pPr>
        <w:rPr>
          <w:rStyle w:val="Emphasis"/>
          <w:rFonts w:cstheme="minorHAnsi"/>
          <w:i w:val="0"/>
          <w:iCs w:val="0"/>
          <w:shd w:val="clear" w:color="auto" w:fill="FFFFFF"/>
        </w:rPr>
      </w:pPr>
    </w:p>
    <w:p w14:paraId="50DC810B" w14:textId="39E981B1" w:rsidR="00FF283F" w:rsidRDefault="00FF283F" w:rsidP="00FF283F"/>
    <w:p w14:paraId="4E2144DB" w14:textId="6D5B726D" w:rsidR="00FF283F" w:rsidRDefault="00FF283F" w:rsidP="00FF283F"/>
    <w:p w14:paraId="6841BCE0" w14:textId="3CF7D230" w:rsidR="00FF283F" w:rsidRDefault="00FF283F" w:rsidP="00FF283F"/>
    <w:p w14:paraId="0A475C19" w14:textId="6EA4EAB2" w:rsidR="00FF283F" w:rsidRDefault="00FF283F" w:rsidP="00FF283F"/>
    <w:p w14:paraId="7E9AC12B" w14:textId="77777777" w:rsidR="00FF283F" w:rsidRDefault="00FF283F" w:rsidP="00FF283F"/>
    <w:p w14:paraId="1C404D98" w14:textId="11F18922" w:rsidR="00FF283F" w:rsidRDefault="00FF283F" w:rsidP="00FF283F">
      <w:pPr>
        <w:jc w:val="center"/>
        <w:rPr>
          <w:sz w:val="32"/>
          <w:szCs w:val="32"/>
          <w:u w:val="single"/>
        </w:rPr>
      </w:pPr>
      <w:r w:rsidRPr="00FF283F">
        <w:rPr>
          <w:sz w:val="32"/>
          <w:szCs w:val="32"/>
          <w:u w:val="single"/>
        </w:rPr>
        <w:lastRenderedPageBreak/>
        <w:t>Bibliography</w:t>
      </w:r>
    </w:p>
    <w:p w14:paraId="7A26903A" w14:textId="11F6E11A" w:rsidR="00FF283F" w:rsidRDefault="00FF283F" w:rsidP="00FF283F">
      <w:pPr>
        <w:rPr>
          <w:sz w:val="28"/>
          <w:szCs w:val="28"/>
          <w:u w:val="single"/>
        </w:rPr>
      </w:pPr>
      <w:r w:rsidRPr="00FF283F">
        <w:rPr>
          <w:sz w:val="28"/>
          <w:szCs w:val="28"/>
          <w:u w:val="single"/>
        </w:rPr>
        <w:t>Essay 1</w:t>
      </w:r>
    </w:p>
    <w:p w14:paraId="1ACBE0CA"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(2022). </w:t>
      </w:r>
      <w:r>
        <w:rPr>
          <w:rFonts w:ascii="Calibri" w:hAnsi="Calibri" w:cs="Calibri"/>
          <w:i/>
          <w:iCs/>
          <w:color w:val="000000"/>
          <w:sz w:val="27"/>
          <w:szCs w:val="27"/>
        </w:rPr>
        <w:t>Police Race Action Plan Improving policing for Black people</w:t>
      </w:r>
      <w:r>
        <w:rPr>
          <w:rFonts w:ascii="Calibri" w:hAnsi="Calibri" w:cs="Calibri"/>
          <w:color w:val="000000"/>
          <w:sz w:val="27"/>
          <w:szCs w:val="27"/>
        </w:rPr>
        <w:t xml:space="preserve">. Pp.4-9. [online] Available at: </w:t>
      </w:r>
      <w:hyperlink r:id="rId6" w:history="1">
        <w:r w:rsidRPr="003E09F9">
          <w:rPr>
            <w:rStyle w:val="Hyperlink"/>
            <w:rFonts w:ascii="Calibri" w:hAnsi="Calibri" w:cs="Calibri"/>
            <w:sz w:val="27"/>
            <w:szCs w:val="27"/>
          </w:rPr>
          <w:t>https://assets.college.police.uk/s3fs-public/Police-Race-Action-Plan.pdf</w:t>
        </w:r>
      </w:hyperlink>
      <w:r>
        <w:rPr>
          <w:rFonts w:ascii="Calibri" w:hAnsi="Calibri" w:cs="Calibri"/>
          <w:color w:val="000000"/>
          <w:sz w:val="27"/>
          <w:szCs w:val="27"/>
        </w:rPr>
        <w:t>. [Accessed 23 Nov. 2023]</w:t>
      </w:r>
    </w:p>
    <w:p w14:paraId="1A7B61A1"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0A5D1277"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Denison, D.R. and Mishra, A.K. (1995). Toward a Theory of Organizational Culture and Effectiveness. </w:t>
      </w:r>
      <w:r>
        <w:rPr>
          <w:rFonts w:ascii="Calibri" w:hAnsi="Calibri" w:cs="Calibri"/>
          <w:i/>
          <w:iCs/>
          <w:color w:val="000000"/>
          <w:sz w:val="27"/>
          <w:szCs w:val="27"/>
        </w:rPr>
        <w:t>Organization Science</w:t>
      </w:r>
      <w:r>
        <w:rPr>
          <w:rFonts w:ascii="Calibri" w:hAnsi="Calibri" w:cs="Calibri"/>
          <w:color w:val="000000"/>
          <w:sz w:val="27"/>
          <w:szCs w:val="27"/>
        </w:rPr>
        <w:t xml:space="preserve">, 6(2), P.205 &amp; P.220. </w:t>
      </w:r>
      <w:proofErr w:type="spellStart"/>
      <w:r>
        <w:rPr>
          <w:rFonts w:ascii="Calibri" w:hAnsi="Calibri" w:cs="Calibri"/>
          <w:color w:val="000000"/>
          <w:sz w:val="27"/>
          <w:szCs w:val="27"/>
        </w:rPr>
        <w:t>doi:</w:t>
      </w:r>
      <w:hyperlink r:id="rId7" w:history="1">
        <w:r w:rsidRPr="003E09F9">
          <w:rPr>
            <w:rStyle w:val="Hyperlink"/>
            <w:rFonts w:ascii="Calibri" w:hAnsi="Calibri" w:cs="Calibri"/>
            <w:sz w:val="27"/>
            <w:szCs w:val="27"/>
          </w:rPr>
          <w:t>https</w:t>
        </w:r>
        <w:proofErr w:type="spellEnd"/>
        <w:r w:rsidRPr="003E09F9">
          <w:rPr>
            <w:rStyle w:val="Hyperlink"/>
            <w:rFonts w:ascii="Calibri" w:hAnsi="Calibri" w:cs="Calibri"/>
            <w:sz w:val="27"/>
            <w:szCs w:val="27"/>
          </w:rPr>
          <w:t>://doi.org/10.1287/orsc.6.2.204</w:t>
        </w:r>
      </w:hyperlink>
      <w:r>
        <w:rPr>
          <w:rFonts w:ascii="Calibri" w:hAnsi="Calibri" w:cs="Calibri"/>
          <w:color w:val="000000"/>
          <w:sz w:val="27"/>
          <w:szCs w:val="27"/>
        </w:rPr>
        <w:t>. [Accessed 23 Nov. 2023]</w:t>
      </w:r>
    </w:p>
    <w:p w14:paraId="3D1E8037" w14:textId="77777777" w:rsidR="007E5AA1" w:rsidRDefault="007E5AA1" w:rsidP="00FF283F">
      <w:pPr>
        <w:pStyle w:val="NormalWeb"/>
        <w:spacing w:before="0" w:beforeAutospacing="0" w:after="0" w:afterAutospacing="0" w:line="360" w:lineRule="atLeast"/>
        <w:rPr>
          <w:rFonts w:ascii="Calibri" w:hAnsi="Calibri" w:cs="Calibri"/>
          <w:color w:val="000000"/>
          <w:sz w:val="27"/>
          <w:szCs w:val="27"/>
        </w:rPr>
      </w:pPr>
    </w:p>
    <w:p w14:paraId="1752CE46" w14:textId="77777777" w:rsidR="007E5AA1" w:rsidRDefault="007E5AA1" w:rsidP="007E5AA1">
      <w:pPr>
        <w:pStyle w:val="NormalWeb"/>
        <w:spacing w:before="0" w:beforeAutospacing="0" w:after="0" w:afterAutospacing="0" w:line="360" w:lineRule="atLeast"/>
        <w:rPr>
          <w:rFonts w:asciiTheme="minorHAnsi" w:eastAsiaTheme="minorHAnsi" w:hAnsiTheme="minorHAnsi" w:cstheme="minorBidi"/>
          <w:sz w:val="27"/>
          <w:szCs w:val="27"/>
          <w:lang w:eastAsia="en-US"/>
        </w:rPr>
      </w:pPr>
      <w:r>
        <w:rPr>
          <w:rFonts w:ascii="Calibri" w:hAnsi="Calibri" w:cs="Calibri"/>
          <w:color w:val="000000"/>
          <w:sz w:val="27"/>
          <w:szCs w:val="27"/>
        </w:rPr>
        <w:t xml:space="preserve">Gwent Police (2020). Joint Strategic Equality Plan 2020 I 2024 [Online] pp.20-29 Available at: </w:t>
      </w:r>
      <w:hyperlink r:id="rId8" w:history="1">
        <w:r w:rsidRPr="004F48D2">
          <w:rPr>
            <w:rFonts w:asciiTheme="minorHAnsi" w:eastAsiaTheme="minorHAnsi" w:hAnsiTheme="minorHAnsi" w:cstheme="minorBidi"/>
            <w:color w:val="0000FF"/>
            <w:sz w:val="27"/>
            <w:szCs w:val="27"/>
            <w:u w:val="single"/>
            <w:lang w:eastAsia="en-US"/>
          </w:rPr>
          <w:t>joint-strategic-equality-plan-2020.pdf (gwent.police.uk)</w:t>
        </w:r>
      </w:hyperlink>
      <w:r w:rsidRPr="004F48D2">
        <w:rPr>
          <w:rFonts w:asciiTheme="minorHAnsi" w:eastAsiaTheme="minorHAnsi" w:hAnsiTheme="minorHAnsi" w:cstheme="minorBidi"/>
          <w:sz w:val="27"/>
          <w:szCs w:val="27"/>
          <w:lang w:eastAsia="en-US"/>
        </w:rPr>
        <w:t>.</w:t>
      </w:r>
      <w:r>
        <w:rPr>
          <w:rFonts w:asciiTheme="minorHAnsi" w:eastAsiaTheme="minorHAnsi" w:hAnsiTheme="minorHAnsi" w:cstheme="minorBidi"/>
          <w:sz w:val="22"/>
          <w:szCs w:val="22"/>
          <w:lang w:eastAsia="en-US"/>
        </w:rPr>
        <w:t xml:space="preserve"> </w:t>
      </w:r>
      <w:r>
        <w:rPr>
          <w:rFonts w:asciiTheme="minorHAnsi" w:eastAsiaTheme="minorHAnsi" w:hAnsiTheme="minorHAnsi" w:cstheme="minorBidi"/>
          <w:sz w:val="27"/>
          <w:szCs w:val="27"/>
          <w:lang w:eastAsia="en-US"/>
        </w:rPr>
        <w:t>[Accessed 23 Nov. 2023]</w:t>
      </w:r>
    </w:p>
    <w:p w14:paraId="13B81037" w14:textId="77777777" w:rsidR="007E5AA1" w:rsidRDefault="007E5AA1" w:rsidP="00FF283F">
      <w:pPr>
        <w:pStyle w:val="NormalWeb"/>
        <w:spacing w:before="0" w:beforeAutospacing="0" w:after="0" w:afterAutospacing="0" w:line="360" w:lineRule="atLeast"/>
        <w:rPr>
          <w:rFonts w:ascii="Calibri" w:hAnsi="Calibri" w:cs="Calibri"/>
          <w:color w:val="000000"/>
          <w:sz w:val="27"/>
          <w:szCs w:val="27"/>
        </w:rPr>
      </w:pPr>
    </w:p>
    <w:p w14:paraId="47367F9F"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Otelea</w:t>
      </w:r>
      <w:proofErr w:type="spellEnd"/>
      <w:r>
        <w:rPr>
          <w:rFonts w:ascii="Calibri" w:hAnsi="Calibri" w:cs="Calibri"/>
          <w:color w:val="000000"/>
          <w:sz w:val="27"/>
          <w:szCs w:val="27"/>
        </w:rPr>
        <w:t>, M.N. (2018). Organisational Culture. </w:t>
      </w:r>
      <w:r>
        <w:rPr>
          <w:rFonts w:ascii="Calibri" w:hAnsi="Calibri" w:cs="Calibri"/>
          <w:i/>
          <w:iCs/>
          <w:color w:val="000000"/>
          <w:sz w:val="27"/>
          <w:szCs w:val="27"/>
        </w:rPr>
        <w:t>Advances in human resources management and organizational development book series</w:t>
      </w:r>
      <w:r>
        <w:rPr>
          <w:rFonts w:ascii="Calibri" w:hAnsi="Calibri" w:cs="Calibri"/>
          <w:color w:val="000000"/>
          <w:sz w:val="27"/>
          <w:szCs w:val="27"/>
        </w:rPr>
        <w:t xml:space="preserve"> [online] P. 125. </w:t>
      </w:r>
      <w:proofErr w:type="spellStart"/>
      <w:r>
        <w:rPr>
          <w:rFonts w:ascii="Calibri" w:hAnsi="Calibri" w:cs="Calibri"/>
          <w:color w:val="000000"/>
          <w:sz w:val="27"/>
          <w:szCs w:val="27"/>
        </w:rPr>
        <w:t>doi:</w:t>
      </w:r>
      <w:hyperlink r:id="rId9" w:history="1">
        <w:r w:rsidRPr="003E09F9">
          <w:rPr>
            <w:rStyle w:val="Hyperlink"/>
            <w:rFonts w:ascii="Calibri" w:hAnsi="Calibri" w:cs="Calibri"/>
            <w:sz w:val="27"/>
            <w:szCs w:val="27"/>
          </w:rPr>
          <w:t>https</w:t>
        </w:r>
        <w:proofErr w:type="spellEnd"/>
        <w:r w:rsidRPr="003E09F9">
          <w:rPr>
            <w:rStyle w:val="Hyperlink"/>
            <w:rFonts w:ascii="Calibri" w:hAnsi="Calibri" w:cs="Calibri"/>
            <w:sz w:val="27"/>
            <w:szCs w:val="27"/>
          </w:rPr>
          <w:t>://doi.org/10.4018/978-1-5225-2965-1.ch005</w:t>
        </w:r>
      </w:hyperlink>
      <w:r>
        <w:rPr>
          <w:rFonts w:ascii="Calibri" w:hAnsi="Calibri" w:cs="Calibri"/>
          <w:color w:val="000000"/>
          <w:sz w:val="27"/>
          <w:szCs w:val="27"/>
        </w:rPr>
        <w:t>. [Accessed 23 Nov. 2023]</w:t>
      </w:r>
    </w:p>
    <w:p w14:paraId="10CACC7C"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4F135CBB"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Souhami</w:t>
      </w:r>
      <w:proofErr w:type="spellEnd"/>
      <w:r>
        <w:rPr>
          <w:rFonts w:ascii="Calibri" w:hAnsi="Calibri" w:cs="Calibri"/>
          <w:color w:val="000000"/>
          <w:sz w:val="27"/>
          <w:szCs w:val="27"/>
        </w:rPr>
        <w:t>, A. (2012). Institutional racism and police reform: an empirical critique. </w:t>
      </w:r>
      <w:r>
        <w:rPr>
          <w:rFonts w:ascii="Calibri" w:hAnsi="Calibri" w:cs="Calibri"/>
          <w:i/>
          <w:iCs/>
          <w:color w:val="000000"/>
          <w:sz w:val="27"/>
          <w:szCs w:val="27"/>
        </w:rPr>
        <w:t>Policing and Society</w:t>
      </w:r>
      <w:r>
        <w:rPr>
          <w:rFonts w:ascii="Calibri" w:hAnsi="Calibri" w:cs="Calibri"/>
          <w:color w:val="000000"/>
          <w:sz w:val="27"/>
          <w:szCs w:val="27"/>
        </w:rPr>
        <w:t xml:space="preserve">, [online] 24(1), pp.9-14. </w:t>
      </w:r>
      <w:proofErr w:type="spellStart"/>
      <w:r>
        <w:rPr>
          <w:rFonts w:ascii="Calibri" w:hAnsi="Calibri" w:cs="Calibri"/>
          <w:color w:val="000000"/>
          <w:sz w:val="27"/>
          <w:szCs w:val="27"/>
        </w:rPr>
        <w:t>doi:</w:t>
      </w:r>
      <w:hyperlink r:id="rId10" w:history="1">
        <w:r w:rsidRPr="003E09F9">
          <w:rPr>
            <w:rStyle w:val="Hyperlink"/>
            <w:rFonts w:ascii="Calibri" w:hAnsi="Calibri" w:cs="Calibri"/>
            <w:sz w:val="27"/>
            <w:szCs w:val="27"/>
          </w:rPr>
          <w:t>https</w:t>
        </w:r>
        <w:proofErr w:type="spellEnd"/>
        <w:r w:rsidRPr="003E09F9">
          <w:rPr>
            <w:rStyle w:val="Hyperlink"/>
            <w:rFonts w:ascii="Calibri" w:hAnsi="Calibri" w:cs="Calibri"/>
            <w:sz w:val="27"/>
            <w:szCs w:val="27"/>
          </w:rPr>
          <w:t>://doi.org/10.1080/10439463.2012.703198</w:t>
        </w:r>
      </w:hyperlink>
      <w:r>
        <w:rPr>
          <w:rFonts w:ascii="Calibri" w:hAnsi="Calibri" w:cs="Calibri"/>
          <w:color w:val="000000"/>
          <w:sz w:val="27"/>
          <w:szCs w:val="27"/>
        </w:rPr>
        <w:t>. [Accessed 23 Nov. 2023]</w:t>
      </w:r>
    </w:p>
    <w:p w14:paraId="34D947CD"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1CDFC33B" w14:textId="60BD177B" w:rsidR="007E5AA1" w:rsidRDefault="007E5AA1" w:rsidP="007E5AA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www.ethnicity-facts-figures.service.gov.uk. (2023). </w:t>
      </w:r>
      <w:r>
        <w:rPr>
          <w:rFonts w:ascii="Calibri" w:hAnsi="Calibri" w:cs="Calibri"/>
          <w:i/>
          <w:iCs/>
          <w:color w:val="000000"/>
          <w:sz w:val="27"/>
          <w:szCs w:val="27"/>
        </w:rPr>
        <w:t>Police workforce</w:t>
      </w:r>
      <w:r>
        <w:rPr>
          <w:rFonts w:ascii="Calibri" w:hAnsi="Calibri" w:cs="Calibri"/>
          <w:color w:val="000000"/>
          <w:sz w:val="27"/>
          <w:szCs w:val="27"/>
        </w:rPr>
        <w:t xml:space="preserve">. [online] Available at: </w:t>
      </w:r>
      <w:hyperlink r:id="rId11" w:anchor=":~:text=at%20the%20end%20of%20March%202022%2C%20there%20were" w:history="1">
        <w:r w:rsidRPr="003E09F9">
          <w:rPr>
            <w:rStyle w:val="Hyperlink"/>
            <w:rFonts w:ascii="Calibri" w:hAnsi="Calibri" w:cs="Calibri"/>
            <w:sz w:val="27"/>
            <w:szCs w:val="27"/>
          </w:rPr>
          <w:t>https://www.ethnicity-facts-figures.service.gov.uk/workforce-and-business/workforce-diversity/police-workforce/latest#:~:text=at%20the%20end%20of%20March%202022%2C%20there%20were</w:t>
        </w:r>
      </w:hyperlink>
      <w:r>
        <w:rPr>
          <w:rFonts w:ascii="Calibri" w:hAnsi="Calibri" w:cs="Calibri"/>
          <w:color w:val="000000"/>
          <w:sz w:val="27"/>
          <w:szCs w:val="27"/>
        </w:rPr>
        <w:t xml:space="preserve"> [Accessed 23 Nov. 2023] </w:t>
      </w:r>
    </w:p>
    <w:p w14:paraId="717B28F9" w14:textId="77777777" w:rsidR="007E5AA1" w:rsidRPr="004F48D2" w:rsidRDefault="007E5AA1" w:rsidP="00FF283F">
      <w:pPr>
        <w:pStyle w:val="NormalWeb"/>
        <w:spacing w:before="0" w:beforeAutospacing="0" w:after="0" w:afterAutospacing="0" w:line="360" w:lineRule="atLeast"/>
        <w:rPr>
          <w:rFonts w:ascii="Calibri" w:hAnsi="Calibri" w:cs="Calibri"/>
          <w:color w:val="000000"/>
          <w:sz w:val="27"/>
          <w:szCs w:val="27"/>
        </w:rPr>
      </w:pPr>
    </w:p>
    <w:p w14:paraId="4726705F" w14:textId="0724A0EA" w:rsidR="00FF283F" w:rsidRDefault="00FF283F" w:rsidP="00FF283F">
      <w:pPr>
        <w:pStyle w:val="NormalWeb"/>
        <w:rPr>
          <w:rFonts w:ascii="Calibri" w:hAnsi="Calibri" w:cs="Calibri"/>
          <w:color w:val="000000"/>
          <w:sz w:val="27"/>
          <w:szCs w:val="27"/>
        </w:rPr>
      </w:pPr>
      <w:r>
        <w:rPr>
          <w:rFonts w:ascii="Calibri" w:hAnsi="Calibri" w:cs="Calibri"/>
          <w:color w:val="000000"/>
          <w:sz w:val="27"/>
          <w:szCs w:val="27"/>
        </w:rPr>
        <w:t>‌</w:t>
      </w:r>
    </w:p>
    <w:p w14:paraId="233DD98C" w14:textId="3D85F33C" w:rsidR="00FF283F" w:rsidRDefault="00FF283F" w:rsidP="00FF283F">
      <w:pPr>
        <w:pStyle w:val="NormalWeb"/>
        <w:rPr>
          <w:rFonts w:ascii="Calibri" w:hAnsi="Calibri" w:cs="Calibri"/>
          <w:color w:val="000000"/>
          <w:sz w:val="27"/>
          <w:szCs w:val="27"/>
          <w:u w:val="single"/>
        </w:rPr>
      </w:pPr>
      <w:r w:rsidRPr="00FF283F">
        <w:rPr>
          <w:rFonts w:ascii="Calibri" w:hAnsi="Calibri" w:cs="Calibri"/>
          <w:color w:val="000000"/>
          <w:sz w:val="27"/>
          <w:szCs w:val="27"/>
          <w:u w:val="single"/>
        </w:rPr>
        <w:t>Essay 2</w:t>
      </w:r>
    </w:p>
    <w:p w14:paraId="18666366" w14:textId="77777777" w:rsidR="00021378" w:rsidRDefault="000B1CFC" w:rsidP="00FF28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(n.d.). </w:t>
      </w:r>
      <w:r>
        <w:rPr>
          <w:rFonts w:ascii="Calibri" w:hAnsi="Calibri" w:cs="Calibri"/>
          <w:i/>
          <w:iCs/>
          <w:color w:val="000000"/>
          <w:sz w:val="27"/>
          <w:szCs w:val="27"/>
        </w:rPr>
        <w:t>Cybercrime, place, and the internet</w:t>
      </w:r>
      <w:r>
        <w:rPr>
          <w:rFonts w:ascii="Calibri" w:hAnsi="Calibri" w:cs="Calibri"/>
          <w:color w:val="000000"/>
          <w:sz w:val="27"/>
          <w:szCs w:val="27"/>
        </w:rPr>
        <w:t xml:space="preserve">. [online] Available at: </w:t>
      </w:r>
      <w:hyperlink r:id="rId12" w:history="1">
        <w:r w:rsidRPr="002C0B02">
          <w:rPr>
            <w:rStyle w:val="Hyperlink"/>
            <w:rFonts w:ascii="Calibri" w:hAnsi="Calibri" w:cs="Calibri"/>
            <w:sz w:val="27"/>
            <w:szCs w:val="27"/>
          </w:rPr>
          <w:t>https://www.college.police.uk/research/projects/cybercrime-place-and-internet</w:t>
        </w:r>
      </w:hyperlink>
      <w:r>
        <w:rPr>
          <w:rFonts w:ascii="Calibri" w:hAnsi="Calibri" w:cs="Calibri"/>
          <w:color w:val="000000"/>
          <w:sz w:val="27"/>
          <w:szCs w:val="27"/>
        </w:rPr>
        <w:t>. [Accessed 21 Nov. 2023]</w:t>
      </w:r>
    </w:p>
    <w:p w14:paraId="00DB30CA" w14:textId="0FFA8253" w:rsidR="00FF283F" w:rsidRDefault="00FF283F" w:rsidP="00FF28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Crown Prosecution Service (2017). </w:t>
      </w:r>
      <w:r>
        <w:rPr>
          <w:rFonts w:ascii="Calibri" w:hAnsi="Calibri" w:cs="Calibri"/>
          <w:i/>
          <w:iCs/>
          <w:color w:val="000000"/>
          <w:sz w:val="27"/>
          <w:szCs w:val="27"/>
        </w:rPr>
        <w:t>Cyber / online crime | The Crown Prosecution Service</w:t>
      </w:r>
      <w:r>
        <w:rPr>
          <w:rFonts w:ascii="Calibri" w:hAnsi="Calibri" w:cs="Calibri"/>
          <w:color w:val="000000"/>
          <w:sz w:val="27"/>
          <w:szCs w:val="27"/>
        </w:rPr>
        <w:t xml:space="preserve">. [online] www.cps.gov.uk. Available at: </w:t>
      </w:r>
      <w:hyperlink r:id="rId13" w:history="1">
        <w:r w:rsidRPr="002C0B02">
          <w:rPr>
            <w:rStyle w:val="Hyperlink"/>
            <w:rFonts w:ascii="Calibri" w:hAnsi="Calibri" w:cs="Calibri"/>
            <w:sz w:val="27"/>
            <w:szCs w:val="27"/>
          </w:rPr>
          <w:t>https://www.cps.gov.uk/crime-info/cyber-online-crime</w:t>
        </w:r>
      </w:hyperlink>
      <w:r>
        <w:rPr>
          <w:rFonts w:ascii="Calibri" w:hAnsi="Calibri" w:cs="Calibri"/>
          <w:color w:val="000000"/>
          <w:sz w:val="27"/>
          <w:szCs w:val="27"/>
        </w:rPr>
        <w:t>. [Accessed 21 Nov. 2023]</w:t>
      </w:r>
    </w:p>
    <w:p w14:paraId="6C12FED9" w14:textId="77777777" w:rsidR="00021378" w:rsidRDefault="00021378" w:rsidP="00FF283F">
      <w:pPr>
        <w:pStyle w:val="NormalWeb"/>
        <w:spacing w:before="0" w:beforeAutospacing="0" w:after="0" w:afterAutospacing="0" w:line="360" w:lineRule="atLeast"/>
        <w:rPr>
          <w:rFonts w:ascii="Calibri" w:hAnsi="Calibri" w:cs="Calibri"/>
          <w:color w:val="000000"/>
          <w:sz w:val="27"/>
          <w:szCs w:val="27"/>
        </w:rPr>
      </w:pPr>
    </w:p>
    <w:p w14:paraId="055B5CDB" w14:textId="77777777" w:rsidR="00021378" w:rsidRDefault="00021378" w:rsidP="0002137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Curtis, J. and </w:t>
      </w:r>
      <w:proofErr w:type="spellStart"/>
      <w:r>
        <w:rPr>
          <w:rFonts w:ascii="Calibri" w:hAnsi="Calibri" w:cs="Calibri"/>
          <w:color w:val="000000"/>
          <w:sz w:val="27"/>
          <w:szCs w:val="27"/>
        </w:rPr>
        <w:t>Oxburgh</w:t>
      </w:r>
      <w:proofErr w:type="spellEnd"/>
      <w:r>
        <w:rPr>
          <w:rFonts w:ascii="Calibri" w:hAnsi="Calibri" w:cs="Calibri"/>
          <w:color w:val="000000"/>
          <w:sz w:val="27"/>
          <w:szCs w:val="27"/>
        </w:rPr>
        <w:t>, G. (2022). Understanding Cybercrime in ‘Real World’ Policing and Law Enforcement. </w:t>
      </w:r>
      <w:r>
        <w:rPr>
          <w:rFonts w:ascii="Calibri" w:hAnsi="Calibri" w:cs="Calibri"/>
          <w:i/>
          <w:iCs/>
          <w:color w:val="000000"/>
          <w:sz w:val="27"/>
          <w:szCs w:val="27"/>
        </w:rPr>
        <w:t>The Police Journal: Theory, Practice and Principles</w:t>
      </w:r>
      <w:r>
        <w:rPr>
          <w:rFonts w:ascii="Calibri" w:hAnsi="Calibri" w:cs="Calibri"/>
          <w:color w:val="000000"/>
          <w:sz w:val="27"/>
          <w:szCs w:val="27"/>
        </w:rPr>
        <w:t xml:space="preserve">, 96(4), [Online] P.585.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://doi.org/10.1177/0032258x221107584</w:t>
      </w:r>
      <w:proofErr w:type="gramEnd"/>
      <w:r>
        <w:rPr>
          <w:rFonts w:ascii="Calibri" w:hAnsi="Calibri" w:cs="Calibri"/>
          <w:color w:val="000000"/>
          <w:sz w:val="27"/>
          <w:szCs w:val="27"/>
        </w:rPr>
        <w:t>. [Accessed 21 Nov. 2023]</w:t>
      </w:r>
    </w:p>
    <w:p w14:paraId="654633BE" w14:textId="77777777" w:rsidR="00021378" w:rsidRDefault="00021378" w:rsidP="00021378">
      <w:pPr>
        <w:pStyle w:val="NormalWeb"/>
        <w:spacing w:before="0" w:beforeAutospacing="0" w:after="0" w:afterAutospacing="0" w:line="360" w:lineRule="atLeast"/>
        <w:rPr>
          <w:rFonts w:ascii="Calibri" w:hAnsi="Calibri" w:cs="Calibri"/>
          <w:color w:val="000000"/>
          <w:sz w:val="27"/>
          <w:szCs w:val="27"/>
        </w:rPr>
      </w:pPr>
    </w:p>
    <w:p w14:paraId="107DEF64" w14:textId="77777777" w:rsidR="00021378" w:rsidRDefault="00021378" w:rsidP="0002137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Everett, C. (2009). Who is responsible for policing the internet? </w:t>
      </w:r>
      <w:r>
        <w:rPr>
          <w:rFonts w:ascii="Calibri" w:hAnsi="Calibri" w:cs="Calibri"/>
          <w:i/>
          <w:iCs/>
          <w:color w:val="000000"/>
          <w:sz w:val="27"/>
          <w:szCs w:val="27"/>
        </w:rPr>
        <w:t>Computer Fraud &amp; Security</w:t>
      </w:r>
      <w:r>
        <w:rPr>
          <w:rFonts w:ascii="Calibri" w:hAnsi="Calibri" w:cs="Calibri"/>
          <w:color w:val="000000"/>
          <w:sz w:val="27"/>
          <w:szCs w:val="27"/>
        </w:rPr>
        <w:t xml:space="preserve">, 2009(5), [Online] P.6. </w:t>
      </w:r>
      <w:proofErr w:type="spellStart"/>
      <w:r>
        <w:rPr>
          <w:rFonts w:ascii="Calibri" w:hAnsi="Calibri" w:cs="Calibri"/>
          <w:color w:val="000000"/>
          <w:sz w:val="27"/>
          <w:szCs w:val="27"/>
        </w:rPr>
        <w:t>doi:</w:t>
      </w:r>
      <w:hyperlink r:id="rId14" w:history="1">
        <w:r w:rsidRPr="002C0B02">
          <w:rPr>
            <w:rStyle w:val="Hyperlink"/>
            <w:rFonts w:ascii="Calibri" w:hAnsi="Calibri" w:cs="Calibri"/>
            <w:sz w:val="27"/>
            <w:szCs w:val="27"/>
          </w:rPr>
          <w:t>https</w:t>
        </w:r>
        <w:proofErr w:type="spellEnd"/>
        <w:r w:rsidRPr="002C0B02">
          <w:rPr>
            <w:rStyle w:val="Hyperlink"/>
            <w:rFonts w:ascii="Calibri" w:hAnsi="Calibri" w:cs="Calibri"/>
            <w:sz w:val="27"/>
            <w:szCs w:val="27"/>
          </w:rPr>
          <w:t>://doi.org/10.1016/s1361-3723(09)70057-0</w:t>
        </w:r>
      </w:hyperlink>
      <w:r>
        <w:rPr>
          <w:rFonts w:ascii="Calibri" w:hAnsi="Calibri" w:cs="Calibri"/>
          <w:color w:val="000000"/>
          <w:sz w:val="27"/>
          <w:szCs w:val="27"/>
        </w:rPr>
        <w:t>. [Accessed 21 Nov. 2023]</w:t>
      </w:r>
    </w:p>
    <w:p w14:paraId="02E7C504" w14:textId="77777777" w:rsidR="00021378" w:rsidRDefault="00021378" w:rsidP="00021378">
      <w:pPr>
        <w:pStyle w:val="NormalWeb"/>
        <w:spacing w:before="0" w:beforeAutospacing="0" w:after="0" w:afterAutospacing="0" w:line="360" w:lineRule="atLeast"/>
        <w:rPr>
          <w:rFonts w:ascii="Calibri" w:hAnsi="Calibri" w:cs="Calibri"/>
          <w:color w:val="000000"/>
          <w:sz w:val="27"/>
          <w:szCs w:val="27"/>
        </w:rPr>
      </w:pPr>
    </w:p>
    <w:p w14:paraId="52C965C0"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Hunton</w:t>
      </w:r>
      <w:proofErr w:type="spellEnd"/>
      <w:r>
        <w:rPr>
          <w:rFonts w:ascii="Calibri" w:hAnsi="Calibri" w:cs="Calibri"/>
          <w:color w:val="000000"/>
          <w:sz w:val="27"/>
          <w:szCs w:val="27"/>
        </w:rPr>
        <w:t>, P. (2012). Managing the technical resource capability of cybercrime investigation: a UK law enforcement perspective. </w:t>
      </w:r>
      <w:r>
        <w:rPr>
          <w:rFonts w:ascii="Calibri" w:hAnsi="Calibri" w:cs="Calibri"/>
          <w:i/>
          <w:iCs/>
          <w:color w:val="000000"/>
          <w:sz w:val="27"/>
          <w:szCs w:val="27"/>
        </w:rPr>
        <w:t>Public Money &amp; Management</w:t>
      </w:r>
      <w:r>
        <w:rPr>
          <w:rFonts w:ascii="Calibri" w:hAnsi="Calibri" w:cs="Calibri"/>
          <w:color w:val="000000"/>
          <w:sz w:val="27"/>
          <w:szCs w:val="27"/>
        </w:rPr>
        <w:t xml:space="preserve">, 32(3), [Online] pp.225-227. </w:t>
      </w:r>
      <w:proofErr w:type="spellStart"/>
      <w:r>
        <w:rPr>
          <w:rFonts w:ascii="Calibri" w:hAnsi="Calibri" w:cs="Calibri"/>
          <w:color w:val="000000"/>
          <w:sz w:val="27"/>
          <w:szCs w:val="27"/>
        </w:rPr>
        <w:t>doi:</w:t>
      </w:r>
      <w:hyperlink r:id="rId15" w:history="1">
        <w:r w:rsidRPr="002C0B02">
          <w:rPr>
            <w:rStyle w:val="Hyperlink"/>
            <w:rFonts w:ascii="Calibri" w:hAnsi="Calibri" w:cs="Calibri"/>
            <w:sz w:val="27"/>
            <w:szCs w:val="27"/>
          </w:rPr>
          <w:t>https</w:t>
        </w:r>
        <w:proofErr w:type="spellEnd"/>
        <w:r w:rsidRPr="002C0B02">
          <w:rPr>
            <w:rStyle w:val="Hyperlink"/>
            <w:rFonts w:ascii="Calibri" w:hAnsi="Calibri" w:cs="Calibri"/>
            <w:sz w:val="27"/>
            <w:szCs w:val="27"/>
          </w:rPr>
          <w:t>://doi.org/10.1080/09540962.2012.676281</w:t>
        </w:r>
      </w:hyperlink>
      <w:r>
        <w:rPr>
          <w:rFonts w:ascii="Calibri" w:hAnsi="Calibri" w:cs="Calibri"/>
          <w:color w:val="000000"/>
          <w:sz w:val="27"/>
          <w:szCs w:val="27"/>
        </w:rPr>
        <w:t>. [Accessed 21 Nov. 2023]</w:t>
      </w:r>
    </w:p>
    <w:p w14:paraId="665FD1D1" w14:textId="77777777" w:rsidR="00021378" w:rsidRDefault="00021378" w:rsidP="00FF283F">
      <w:pPr>
        <w:pStyle w:val="NormalWeb"/>
        <w:spacing w:before="0" w:beforeAutospacing="0" w:after="0" w:afterAutospacing="0" w:line="360" w:lineRule="atLeast"/>
        <w:rPr>
          <w:rFonts w:ascii="Calibri" w:hAnsi="Calibri" w:cs="Calibri"/>
          <w:color w:val="000000"/>
          <w:sz w:val="27"/>
          <w:szCs w:val="27"/>
        </w:rPr>
      </w:pPr>
    </w:p>
    <w:p w14:paraId="4D18C42A" w14:textId="77777777" w:rsidR="00021378" w:rsidRDefault="00021378" w:rsidP="0002137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Johnson, D., Faulkner, E., Meredith, G. and Wilson, T.J. (2020). Police Functional Adaptation to the Digital or Post Digital Age: Discussions with Cybercrime Experts. </w:t>
      </w:r>
      <w:r>
        <w:rPr>
          <w:rFonts w:ascii="Calibri" w:hAnsi="Calibri" w:cs="Calibri"/>
          <w:i/>
          <w:iCs/>
          <w:color w:val="000000"/>
          <w:sz w:val="27"/>
          <w:szCs w:val="27"/>
        </w:rPr>
        <w:t>The Journal of Criminal Law</w:t>
      </w:r>
      <w:r>
        <w:rPr>
          <w:rFonts w:ascii="Calibri" w:hAnsi="Calibri" w:cs="Calibri"/>
          <w:color w:val="000000"/>
          <w:sz w:val="27"/>
          <w:szCs w:val="27"/>
        </w:rPr>
        <w:t xml:space="preserve">, 84(5), [Online] P.449. </w:t>
      </w:r>
      <w:proofErr w:type="spellStart"/>
      <w:r>
        <w:rPr>
          <w:rFonts w:ascii="Calibri" w:hAnsi="Calibri" w:cs="Calibri"/>
          <w:color w:val="000000"/>
          <w:sz w:val="27"/>
          <w:szCs w:val="27"/>
        </w:rPr>
        <w:t>doi:</w:t>
      </w:r>
      <w:hyperlink r:id="rId16" w:history="1">
        <w:r w:rsidRPr="002C0B02">
          <w:rPr>
            <w:rStyle w:val="Hyperlink"/>
            <w:rFonts w:ascii="Calibri" w:hAnsi="Calibri" w:cs="Calibri"/>
            <w:sz w:val="27"/>
            <w:szCs w:val="27"/>
          </w:rPr>
          <w:t>https</w:t>
        </w:r>
        <w:proofErr w:type="spellEnd"/>
        <w:r w:rsidRPr="002C0B02">
          <w:rPr>
            <w:rStyle w:val="Hyperlink"/>
            <w:rFonts w:ascii="Calibri" w:hAnsi="Calibri" w:cs="Calibri"/>
            <w:sz w:val="27"/>
            <w:szCs w:val="27"/>
          </w:rPr>
          <w:t>://doi.org/10.1177/0022018320952559</w:t>
        </w:r>
      </w:hyperlink>
      <w:r>
        <w:rPr>
          <w:rFonts w:ascii="Calibri" w:hAnsi="Calibri" w:cs="Calibri"/>
          <w:color w:val="000000"/>
          <w:sz w:val="27"/>
          <w:szCs w:val="27"/>
        </w:rPr>
        <w:t>. [Accessed 21 Nov. 2023]</w:t>
      </w:r>
    </w:p>
    <w:p w14:paraId="18A6ABC8" w14:textId="77777777" w:rsidR="00021378" w:rsidRDefault="00021378" w:rsidP="00FF283F">
      <w:pPr>
        <w:pStyle w:val="NormalWeb"/>
        <w:spacing w:before="0" w:beforeAutospacing="0" w:after="0" w:afterAutospacing="0" w:line="360" w:lineRule="atLeast"/>
        <w:rPr>
          <w:rFonts w:ascii="Calibri" w:hAnsi="Calibri" w:cs="Calibri"/>
          <w:color w:val="000000"/>
          <w:sz w:val="27"/>
          <w:szCs w:val="27"/>
        </w:rPr>
      </w:pPr>
    </w:p>
    <w:p w14:paraId="31B000FA"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Koziarski</w:t>
      </w:r>
      <w:proofErr w:type="spellEnd"/>
      <w:r>
        <w:rPr>
          <w:rFonts w:ascii="Calibri" w:hAnsi="Calibri" w:cs="Calibri"/>
          <w:color w:val="000000"/>
          <w:sz w:val="27"/>
          <w:szCs w:val="27"/>
        </w:rPr>
        <w:t xml:space="preserve">, </w:t>
      </w:r>
      <w:proofErr w:type="gramStart"/>
      <w:r>
        <w:rPr>
          <w:rFonts w:ascii="Calibri" w:hAnsi="Calibri" w:cs="Calibri"/>
          <w:color w:val="000000"/>
          <w:sz w:val="27"/>
          <w:szCs w:val="27"/>
        </w:rPr>
        <w:t>J.</w:t>
      </w:r>
      <w:proofErr w:type="gramEnd"/>
      <w:r>
        <w:rPr>
          <w:rFonts w:ascii="Calibri" w:hAnsi="Calibri" w:cs="Calibri"/>
          <w:color w:val="000000"/>
          <w:sz w:val="27"/>
          <w:szCs w:val="27"/>
        </w:rPr>
        <w:t xml:space="preserve"> and Lee, J.R. (2020). Connecting evidence-based Policing and Cybercrime. </w:t>
      </w:r>
      <w:r>
        <w:rPr>
          <w:rFonts w:ascii="Calibri" w:hAnsi="Calibri" w:cs="Calibri"/>
          <w:i/>
          <w:iCs/>
          <w:color w:val="000000"/>
          <w:sz w:val="27"/>
          <w:szCs w:val="27"/>
        </w:rPr>
        <w:t xml:space="preserve">Policing: </w:t>
      </w:r>
      <w:proofErr w:type="gramStart"/>
      <w:r>
        <w:rPr>
          <w:rFonts w:ascii="Calibri" w:hAnsi="Calibri" w:cs="Calibri"/>
          <w:i/>
          <w:iCs/>
          <w:color w:val="000000"/>
          <w:sz w:val="27"/>
          <w:szCs w:val="27"/>
        </w:rPr>
        <w:t>an</w:t>
      </w:r>
      <w:proofErr w:type="gramEnd"/>
      <w:r>
        <w:rPr>
          <w:rFonts w:ascii="Calibri" w:hAnsi="Calibri" w:cs="Calibri"/>
          <w:i/>
          <w:iCs/>
          <w:color w:val="000000"/>
          <w:sz w:val="27"/>
          <w:szCs w:val="27"/>
        </w:rPr>
        <w:t xml:space="preserve"> International Journal</w:t>
      </w:r>
      <w:r>
        <w:rPr>
          <w:rFonts w:ascii="Calibri" w:hAnsi="Calibri" w:cs="Calibri"/>
          <w:color w:val="000000"/>
          <w:sz w:val="27"/>
          <w:szCs w:val="27"/>
        </w:rPr>
        <w:t xml:space="preserve">, 43(1), [Online] P.206. </w:t>
      </w:r>
      <w:proofErr w:type="spellStart"/>
      <w:r>
        <w:rPr>
          <w:rFonts w:ascii="Calibri" w:hAnsi="Calibri" w:cs="Calibri"/>
          <w:color w:val="000000"/>
          <w:sz w:val="27"/>
          <w:szCs w:val="27"/>
        </w:rPr>
        <w:t>doi:</w:t>
      </w:r>
      <w:hyperlink r:id="rId17" w:history="1">
        <w:r w:rsidRPr="002C0B02">
          <w:rPr>
            <w:rStyle w:val="Hyperlink"/>
            <w:rFonts w:ascii="Calibri" w:hAnsi="Calibri" w:cs="Calibri"/>
            <w:sz w:val="27"/>
            <w:szCs w:val="27"/>
          </w:rPr>
          <w:t>https</w:t>
        </w:r>
        <w:proofErr w:type="spellEnd"/>
        <w:r w:rsidRPr="002C0B02">
          <w:rPr>
            <w:rStyle w:val="Hyperlink"/>
            <w:rFonts w:ascii="Calibri" w:hAnsi="Calibri" w:cs="Calibri"/>
            <w:sz w:val="27"/>
            <w:szCs w:val="27"/>
          </w:rPr>
          <w:t>://doi.org/10.1108/pijpsm-07-2019-0107</w:t>
        </w:r>
      </w:hyperlink>
      <w:r>
        <w:rPr>
          <w:rFonts w:ascii="Calibri" w:hAnsi="Calibri" w:cs="Calibri"/>
          <w:color w:val="000000"/>
          <w:sz w:val="27"/>
          <w:szCs w:val="27"/>
        </w:rPr>
        <w:t>. [ Accessed 21 Nov. 2023]</w:t>
      </w:r>
    </w:p>
    <w:p w14:paraId="4822451F"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65C288FB"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Lee, J.R., Holt, T.J., </w:t>
      </w:r>
      <w:proofErr w:type="spellStart"/>
      <w:r>
        <w:rPr>
          <w:rFonts w:ascii="Calibri" w:hAnsi="Calibri" w:cs="Calibri"/>
          <w:color w:val="000000"/>
          <w:sz w:val="27"/>
          <w:szCs w:val="27"/>
        </w:rPr>
        <w:t>Burruss</w:t>
      </w:r>
      <w:proofErr w:type="spellEnd"/>
      <w:r>
        <w:rPr>
          <w:rFonts w:ascii="Calibri" w:hAnsi="Calibri" w:cs="Calibri"/>
          <w:color w:val="000000"/>
          <w:sz w:val="27"/>
          <w:szCs w:val="27"/>
        </w:rPr>
        <w:t>, G.W. and Bossler, A.M. (2019). Examining English and Welsh Detectives’ Views of Online Crime. </w:t>
      </w:r>
      <w:r>
        <w:rPr>
          <w:rFonts w:ascii="Calibri" w:hAnsi="Calibri" w:cs="Calibri"/>
          <w:i/>
          <w:iCs/>
          <w:color w:val="000000"/>
          <w:sz w:val="27"/>
          <w:szCs w:val="27"/>
        </w:rPr>
        <w:t>International Criminal Justice Review</w:t>
      </w:r>
      <w:r>
        <w:rPr>
          <w:rFonts w:ascii="Calibri" w:hAnsi="Calibri" w:cs="Calibri"/>
          <w:color w:val="000000"/>
          <w:sz w:val="27"/>
          <w:szCs w:val="27"/>
        </w:rPr>
        <w:t xml:space="preserve">, 31(1), [Online] P.21. </w:t>
      </w:r>
      <w:proofErr w:type="spellStart"/>
      <w:r>
        <w:rPr>
          <w:rFonts w:ascii="Calibri" w:hAnsi="Calibri" w:cs="Calibri"/>
          <w:color w:val="000000"/>
          <w:sz w:val="27"/>
          <w:szCs w:val="27"/>
        </w:rPr>
        <w:t>doi:</w:t>
      </w:r>
      <w:hyperlink r:id="rId18" w:history="1">
        <w:r w:rsidRPr="002C0B02">
          <w:rPr>
            <w:rStyle w:val="Hyperlink"/>
            <w:rFonts w:ascii="Calibri" w:hAnsi="Calibri" w:cs="Calibri"/>
            <w:sz w:val="27"/>
            <w:szCs w:val="27"/>
          </w:rPr>
          <w:t>https</w:t>
        </w:r>
        <w:proofErr w:type="spellEnd"/>
        <w:r w:rsidRPr="002C0B02">
          <w:rPr>
            <w:rStyle w:val="Hyperlink"/>
            <w:rFonts w:ascii="Calibri" w:hAnsi="Calibri" w:cs="Calibri"/>
            <w:sz w:val="27"/>
            <w:szCs w:val="27"/>
          </w:rPr>
          <w:t>://doi.org/10.1177/1057567719846224</w:t>
        </w:r>
      </w:hyperlink>
      <w:r>
        <w:rPr>
          <w:rFonts w:ascii="Calibri" w:hAnsi="Calibri" w:cs="Calibri"/>
          <w:color w:val="000000"/>
          <w:sz w:val="27"/>
          <w:szCs w:val="27"/>
        </w:rPr>
        <w:t>. [Accessed 21 Nov. 2023]</w:t>
      </w:r>
    </w:p>
    <w:p w14:paraId="730DF366"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17AA98FF"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7E97549D"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4AFC32E8" w14:textId="2AF26C11" w:rsidR="00FF283F" w:rsidRDefault="00FF283F" w:rsidP="00FF283F">
      <w:pPr>
        <w:pStyle w:val="NormalWeb"/>
        <w:rPr>
          <w:rFonts w:ascii="Calibri" w:hAnsi="Calibri" w:cs="Calibri"/>
          <w:color w:val="000000"/>
          <w:sz w:val="27"/>
          <w:szCs w:val="27"/>
          <w:u w:val="single"/>
        </w:rPr>
      </w:pPr>
      <w:r w:rsidRPr="00FF283F">
        <w:rPr>
          <w:rFonts w:ascii="Calibri" w:hAnsi="Calibri" w:cs="Calibri"/>
          <w:color w:val="000000"/>
          <w:sz w:val="27"/>
          <w:szCs w:val="27"/>
          <w:u w:val="single"/>
        </w:rPr>
        <w:t>Essay 3</w:t>
      </w:r>
    </w:p>
    <w:p w14:paraId="69FBA8B6" w14:textId="77777777" w:rsidR="00021378" w:rsidRDefault="00021378" w:rsidP="0002137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Alison, L.J., Alison, E., </w:t>
      </w:r>
      <w:proofErr w:type="spellStart"/>
      <w:r>
        <w:rPr>
          <w:rFonts w:ascii="Calibri" w:hAnsi="Calibri" w:cs="Calibri"/>
          <w:color w:val="000000"/>
          <w:sz w:val="27"/>
          <w:szCs w:val="27"/>
        </w:rPr>
        <w:t>Noone</w:t>
      </w:r>
      <w:proofErr w:type="spellEnd"/>
      <w:r>
        <w:rPr>
          <w:rFonts w:ascii="Calibri" w:hAnsi="Calibri" w:cs="Calibri"/>
          <w:color w:val="000000"/>
          <w:sz w:val="27"/>
          <w:szCs w:val="27"/>
        </w:rPr>
        <w:t xml:space="preserve">, G., </w:t>
      </w:r>
      <w:proofErr w:type="spellStart"/>
      <w:r>
        <w:rPr>
          <w:rFonts w:ascii="Calibri" w:hAnsi="Calibri" w:cs="Calibri"/>
          <w:color w:val="000000"/>
          <w:sz w:val="27"/>
          <w:szCs w:val="27"/>
        </w:rPr>
        <w:t>Elntib</w:t>
      </w:r>
      <w:proofErr w:type="spellEnd"/>
      <w:r>
        <w:rPr>
          <w:rFonts w:ascii="Calibri" w:hAnsi="Calibri" w:cs="Calibri"/>
          <w:color w:val="000000"/>
          <w:sz w:val="27"/>
          <w:szCs w:val="27"/>
        </w:rPr>
        <w:t xml:space="preserve">, S. and Christiansen, P. (2013). Why tough tactics </w:t>
      </w:r>
      <w:proofErr w:type="gramStart"/>
      <w:r>
        <w:rPr>
          <w:rFonts w:ascii="Calibri" w:hAnsi="Calibri" w:cs="Calibri"/>
          <w:color w:val="000000"/>
          <w:sz w:val="27"/>
          <w:szCs w:val="27"/>
        </w:rPr>
        <w:t>fail</w:t>
      </w:r>
      <w:proofErr w:type="gramEnd"/>
      <w:r>
        <w:rPr>
          <w:rFonts w:ascii="Calibri" w:hAnsi="Calibri" w:cs="Calibri"/>
          <w:color w:val="000000"/>
          <w:sz w:val="27"/>
          <w:szCs w:val="27"/>
        </w:rPr>
        <w:t xml:space="preserve"> and rapport gets results: Observing Rapport-Based Interpersonal </w:t>
      </w:r>
      <w:r>
        <w:rPr>
          <w:rFonts w:ascii="Calibri" w:hAnsi="Calibri" w:cs="Calibri"/>
          <w:color w:val="000000"/>
          <w:sz w:val="27"/>
          <w:szCs w:val="27"/>
        </w:rPr>
        <w:lastRenderedPageBreak/>
        <w:t>Techniques (ORBIT) to generate useful information from terrorists. </w:t>
      </w:r>
      <w:r>
        <w:rPr>
          <w:rFonts w:ascii="Calibri" w:hAnsi="Calibri" w:cs="Calibri"/>
          <w:i/>
          <w:iCs/>
          <w:color w:val="000000"/>
          <w:sz w:val="27"/>
          <w:szCs w:val="27"/>
        </w:rPr>
        <w:t>Psychology, Public Policy, and Law</w:t>
      </w:r>
      <w:r>
        <w:rPr>
          <w:rFonts w:ascii="Calibri" w:hAnsi="Calibri" w:cs="Calibri"/>
          <w:color w:val="000000"/>
          <w:sz w:val="27"/>
          <w:szCs w:val="27"/>
        </w:rPr>
        <w:t xml:space="preserve">, 19(4), [Online] pp.428-429. </w:t>
      </w:r>
      <w:proofErr w:type="spellStart"/>
      <w:r>
        <w:rPr>
          <w:rFonts w:ascii="Calibri" w:hAnsi="Calibri" w:cs="Calibri"/>
          <w:color w:val="000000"/>
          <w:sz w:val="27"/>
          <w:szCs w:val="27"/>
        </w:rPr>
        <w:t>doi:</w:t>
      </w:r>
      <w:hyperlink r:id="rId19" w:history="1">
        <w:r w:rsidRPr="00B54DC8">
          <w:rPr>
            <w:rStyle w:val="Hyperlink"/>
            <w:rFonts w:ascii="Calibri" w:hAnsi="Calibri" w:cs="Calibri"/>
            <w:sz w:val="27"/>
            <w:szCs w:val="27"/>
          </w:rPr>
          <w:t>https</w:t>
        </w:r>
        <w:proofErr w:type="spellEnd"/>
        <w:r w:rsidRPr="00B54DC8">
          <w:rPr>
            <w:rStyle w:val="Hyperlink"/>
            <w:rFonts w:ascii="Calibri" w:hAnsi="Calibri" w:cs="Calibri"/>
            <w:sz w:val="27"/>
            <w:szCs w:val="27"/>
          </w:rPr>
          <w:t>://doi.org/10.1037/a0034564</w:t>
        </w:r>
      </w:hyperlink>
      <w:r>
        <w:rPr>
          <w:rFonts w:ascii="Calibri" w:hAnsi="Calibri" w:cs="Calibri"/>
          <w:color w:val="000000"/>
          <w:sz w:val="27"/>
          <w:szCs w:val="27"/>
        </w:rPr>
        <w:t>. [Accessed 22 Nov. 2023]</w:t>
      </w:r>
    </w:p>
    <w:p w14:paraId="73D824A0" w14:textId="77777777" w:rsidR="00021378" w:rsidRDefault="00021378" w:rsidP="00021378">
      <w:pPr>
        <w:pStyle w:val="NormalWeb"/>
        <w:spacing w:before="0" w:beforeAutospacing="0" w:after="0" w:afterAutospacing="0" w:line="360" w:lineRule="atLeast"/>
        <w:rPr>
          <w:rFonts w:ascii="Calibri" w:hAnsi="Calibri" w:cs="Calibri"/>
          <w:color w:val="000000"/>
          <w:sz w:val="27"/>
          <w:szCs w:val="27"/>
        </w:rPr>
      </w:pPr>
    </w:p>
    <w:p w14:paraId="626FEAF7" w14:textId="77777777" w:rsidR="00021378" w:rsidRDefault="00021378" w:rsidP="00021378">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Darroch</w:t>
      </w:r>
      <w:proofErr w:type="spellEnd"/>
      <w:r>
        <w:rPr>
          <w:rFonts w:ascii="Calibri" w:hAnsi="Calibri" w:cs="Calibri"/>
          <w:color w:val="000000"/>
          <w:sz w:val="27"/>
          <w:szCs w:val="27"/>
        </w:rPr>
        <w:t>, S. and Mazerolle, L. (2012). Intelligence-Led Policing. </w:t>
      </w:r>
      <w:r>
        <w:rPr>
          <w:rFonts w:ascii="Calibri" w:hAnsi="Calibri" w:cs="Calibri"/>
          <w:i/>
          <w:iCs/>
          <w:color w:val="000000"/>
          <w:sz w:val="27"/>
          <w:szCs w:val="27"/>
        </w:rPr>
        <w:t>Police Quarterly</w:t>
      </w:r>
      <w:r>
        <w:rPr>
          <w:rFonts w:ascii="Calibri" w:hAnsi="Calibri" w:cs="Calibri"/>
          <w:color w:val="000000"/>
          <w:sz w:val="27"/>
          <w:szCs w:val="27"/>
        </w:rPr>
        <w:t xml:space="preserve">, 16(1), [Online] pp.7-8. </w:t>
      </w:r>
      <w:proofErr w:type="spellStart"/>
      <w:r>
        <w:rPr>
          <w:rFonts w:ascii="Calibri" w:hAnsi="Calibri" w:cs="Calibri"/>
          <w:color w:val="000000"/>
          <w:sz w:val="27"/>
          <w:szCs w:val="27"/>
        </w:rPr>
        <w:t>doi:</w:t>
      </w:r>
      <w:hyperlink r:id="rId20" w:history="1">
        <w:r w:rsidRPr="00B54DC8">
          <w:rPr>
            <w:rStyle w:val="Hyperlink"/>
            <w:rFonts w:ascii="Calibri" w:hAnsi="Calibri" w:cs="Calibri"/>
            <w:sz w:val="27"/>
            <w:szCs w:val="27"/>
          </w:rPr>
          <w:t>https</w:t>
        </w:r>
        <w:proofErr w:type="spellEnd"/>
        <w:r w:rsidRPr="00B54DC8">
          <w:rPr>
            <w:rStyle w:val="Hyperlink"/>
            <w:rFonts w:ascii="Calibri" w:hAnsi="Calibri" w:cs="Calibri"/>
            <w:sz w:val="27"/>
            <w:szCs w:val="27"/>
          </w:rPr>
          <w:t>://doi.org/10.1177/1098611112467411</w:t>
        </w:r>
      </w:hyperlink>
      <w:r>
        <w:rPr>
          <w:rFonts w:ascii="Calibri" w:hAnsi="Calibri" w:cs="Calibri"/>
          <w:color w:val="000000"/>
          <w:sz w:val="27"/>
          <w:szCs w:val="27"/>
        </w:rPr>
        <w:t>. [Accessed 22. Nov 2023]</w:t>
      </w:r>
    </w:p>
    <w:p w14:paraId="3169896E" w14:textId="77777777" w:rsidR="00021378" w:rsidRDefault="00021378" w:rsidP="00021378">
      <w:pPr>
        <w:pStyle w:val="NormalWeb"/>
        <w:spacing w:before="0" w:beforeAutospacing="0" w:after="0" w:afterAutospacing="0" w:line="360" w:lineRule="atLeast"/>
        <w:rPr>
          <w:rFonts w:ascii="Calibri" w:hAnsi="Calibri" w:cs="Calibri"/>
          <w:color w:val="000000"/>
          <w:sz w:val="27"/>
          <w:szCs w:val="27"/>
        </w:rPr>
      </w:pPr>
    </w:p>
    <w:p w14:paraId="2E63F7DB" w14:textId="77777777" w:rsidR="00021378" w:rsidRDefault="00021378" w:rsidP="0002137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GOV.UK. (n.d.). </w:t>
      </w:r>
      <w:r>
        <w:rPr>
          <w:rFonts w:ascii="Calibri" w:hAnsi="Calibri" w:cs="Calibri"/>
          <w:i/>
          <w:iCs/>
          <w:color w:val="000000"/>
          <w:sz w:val="27"/>
          <w:szCs w:val="27"/>
        </w:rPr>
        <w:t>Operational Case Studies (accessible version)</w:t>
      </w:r>
      <w:r>
        <w:rPr>
          <w:rFonts w:ascii="Calibri" w:hAnsi="Calibri" w:cs="Calibri"/>
          <w:color w:val="000000"/>
          <w:sz w:val="27"/>
          <w:szCs w:val="27"/>
        </w:rPr>
        <w:t xml:space="preserve">. [online] Available at: </w:t>
      </w:r>
      <w:hyperlink r:id="rId21" w:history="1">
        <w:r w:rsidRPr="00B54DC8">
          <w:rPr>
            <w:rStyle w:val="Hyperlink"/>
            <w:rFonts w:ascii="Calibri" w:hAnsi="Calibri" w:cs="Calibri"/>
            <w:sz w:val="27"/>
            <w:szCs w:val="27"/>
          </w:rPr>
          <w:t>https://www.gov.uk/government/publications/covert-human-intelligence-sources-draft-code-of-practice/covert-human-intelligence-sources-bill-case-studies-accessible-version</w:t>
        </w:r>
      </w:hyperlink>
      <w:r>
        <w:rPr>
          <w:rFonts w:ascii="Calibri" w:hAnsi="Calibri" w:cs="Calibri"/>
          <w:color w:val="000000"/>
          <w:sz w:val="27"/>
          <w:szCs w:val="27"/>
        </w:rPr>
        <w:t>. [Accessed 22 Nov. 2023]</w:t>
      </w:r>
    </w:p>
    <w:p w14:paraId="3A7ED2A6" w14:textId="77777777" w:rsidR="00021378" w:rsidRDefault="00021378" w:rsidP="00021378">
      <w:pPr>
        <w:pStyle w:val="NormalWeb"/>
        <w:spacing w:before="0" w:beforeAutospacing="0" w:after="0" w:afterAutospacing="0" w:line="360" w:lineRule="atLeast"/>
        <w:rPr>
          <w:rFonts w:ascii="Calibri" w:hAnsi="Calibri" w:cs="Calibri"/>
          <w:color w:val="000000"/>
          <w:sz w:val="27"/>
          <w:szCs w:val="27"/>
        </w:rPr>
      </w:pPr>
    </w:p>
    <w:p w14:paraId="69D7A215"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Home Office (2021). </w:t>
      </w:r>
      <w:r>
        <w:rPr>
          <w:rFonts w:ascii="Calibri" w:hAnsi="Calibri" w:cs="Calibri"/>
          <w:i/>
          <w:iCs/>
          <w:color w:val="000000"/>
          <w:sz w:val="27"/>
          <w:szCs w:val="27"/>
        </w:rPr>
        <w:t>Covert Human Intelligence Sources Draft Revised Code of Practice</w:t>
      </w:r>
      <w:r>
        <w:rPr>
          <w:rFonts w:ascii="Calibri" w:hAnsi="Calibri" w:cs="Calibri"/>
          <w:color w:val="000000"/>
          <w:sz w:val="27"/>
          <w:szCs w:val="27"/>
        </w:rPr>
        <w:t xml:space="preserve">. P.10, [online] Available at: </w:t>
      </w:r>
      <w:hyperlink r:id="rId22" w:history="1">
        <w:r w:rsidRPr="00B54DC8">
          <w:rPr>
            <w:rStyle w:val="Hyperlink"/>
            <w:rFonts w:ascii="Calibri" w:hAnsi="Calibri" w:cs="Calibri"/>
            <w:sz w:val="27"/>
            <w:szCs w:val="27"/>
          </w:rPr>
          <w:t>https://assets.publishing.service.gov.uk/government/uploads/system/uploads/attachment_data/file/949806/Covert_Human_Intelligence_Sources_Draft_Revised_Code_of_Practice_FINAL.pdf</w:t>
        </w:r>
      </w:hyperlink>
      <w:r>
        <w:rPr>
          <w:rFonts w:ascii="Calibri" w:hAnsi="Calibri" w:cs="Calibri"/>
          <w:color w:val="000000"/>
          <w:sz w:val="27"/>
          <w:szCs w:val="27"/>
        </w:rPr>
        <w:t>. [Accessed 22 Nov. 2023]</w:t>
      </w:r>
    </w:p>
    <w:p w14:paraId="1071E04A"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2454BD66"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Moffett, L., </w:t>
      </w:r>
      <w:proofErr w:type="spellStart"/>
      <w:r>
        <w:rPr>
          <w:rFonts w:ascii="Calibri" w:hAnsi="Calibri" w:cs="Calibri"/>
          <w:color w:val="000000"/>
          <w:sz w:val="27"/>
          <w:szCs w:val="27"/>
        </w:rPr>
        <w:t>Oxburgh</w:t>
      </w:r>
      <w:proofErr w:type="spellEnd"/>
      <w:r>
        <w:rPr>
          <w:rFonts w:ascii="Calibri" w:hAnsi="Calibri" w:cs="Calibri"/>
          <w:color w:val="000000"/>
          <w:sz w:val="27"/>
          <w:szCs w:val="27"/>
        </w:rPr>
        <w:t>, G.E., Dresser, P., Watson, S.J. and Gabbert, F. (2021). Inside the shadows: a survey of UK human source intelligence (HUMINT) practitioners, examining their considerations when handling a covert human intelligence source (CHIS). </w:t>
      </w:r>
      <w:r>
        <w:rPr>
          <w:rFonts w:ascii="Calibri" w:hAnsi="Calibri" w:cs="Calibri"/>
          <w:i/>
          <w:iCs/>
          <w:color w:val="000000"/>
          <w:sz w:val="27"/>
          <w:szCs w:val="27"/>
        </w:rPr>
        <w:t>Psychiatry, Psychology and Law</w:t>
      </w:r>
      <w:r>
        <w:rPr>
          <w:rFonts w:ascii="Calibri" w:hAnsi="Calibri" w:cs="Calibri"/>
          <w:color w:val="000000"/>
          <w:sz w:val="27"/>
          <w:szCs w:val="27"/>
        </w:rPr>
        <w:t xml:space="preserve">, [Online] pp.496-497. </w:t>
      </w:r>
      <w:proofErr w:type="spellStart"/>
      <w:r>
        <w:rPr>
          <w:rFonts w:ascii="Calibri" w:hAnsi="Calibri" w:cs="Calibri"/>
          <w:color w:val="000000"/>
          <w:sz w:val="27"/>
          <w:szCs w:val="27"/>
        </w:rPr>
        <w:t>doi:</w:t>
      </w:r>
      <w:hyperlink r:id="rId23" w:history="1">
        <w:r w:rsidRPr="00B54DC8">
          <w:rPr>
            <w:rStyle w:val="Hyperlink"/>
            <w:rFonts w:ascii="Calibri" w:hAnsi="Calibri" w:cs="Calibri"/>
            <w:sz w:val="27"/>
            <w:szCs w:val="27"/>
          </w:rPr>
          <w:t>https</w:t>
        </w:r>
        <w:proofErr w:type="spellEnd"/>
        <w:r w:rsidRPr="00B54DC8">
          <w:rPr>
            <w:rStyle w:val="Hyperlink"/>
            <w:rFonts w:ascii="Calibri" w:hAnsi="Calibri" w:cs="Calibri"/>
            <w:sz w:val="27"/>
            <w:szCs w:val="27"/>
          </w:rPr>
          <w:t>://doi.org/10.1080/13218719.2021.1926367</w:t>
        </w:r>
      </w:hyperlink>
      <w:r>
        <w:rPr>
          <w:rFonts w:ascii="Calibri" w:hAnsi="Calibri" w:cs="Calibri"/>
          <w:color w:val="000000"/>
          <w:sz w:val="27"/>
          <w:szCs w:val="27"/>
        </w:rPr>
        <w:t>. [Accessed 22 Nov. 2023]</w:t>
      </w:r>
    </w:p>
    <w:p w14:paraId="61F2B03E"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36603196"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Nunan, J., Stanier, I., Milne, R., </w:t>
      </w:r>
      <w:proofErr w:type="spellStart"/>
      <w:r>
        <w:rPr>
          <w:rFonts w:ascii="Calibri" w:hAnsi="Calibri" w:cs="Calibri"/>
          <w:color w:val="000000"/>
          <w:sz w:val="27"/>
          <w:szCs w:val="27"/>
        </w:rPr>
        <w:t>Shawyer</w:t>
      </w:r>
      <w:proofErr w:type="spellEnd"/>
      <w:r>
        <w:rPr>
          <w:rFonts w:ascii="Calibri" w:hAnsi="Calibri" w:cs="Calibri"/>
          <w:color w:val="000000"/>
          <w:sz w:val="27"/>
          <w:szCs w:val="27"/>
        </w:rPr>
        <w:t>, A., Walsh, D. and May, B. (2020). The Impact of Rapport on Intelligence yield: Police Source Handler Telephone Interactions with Covert Human Intelligence Sources. </w:t>
      </w:r>
      <w:r>
        <w:rPr>
          <w:rFonts w:ascii="Calibri" w:hAnsi="Calibri" w:cs="Calibri"/>
          <w:i/>
          <w:iCs/>
          <w:color w:val="000000"/>
          <w:sz w:val="27"/>
          <w:szCs w:val="27"/>
        </w:rPr>
        <w:t>Psychiatry, Psychology and Law</w:t>
      </w:r>
      <w:r>
        <w:rPr>
          <w:rFonts w:ascii="Calibri" w:hAnsi="Calibri" w:cs="Calibri"/>
          <w:color w:val="000000"/>
          <w:sz w:val="27"/>
          <w:szCs w:val="27"/>
        </w:rPr>
        <w:t xml:space="preserve">, 29(1), [Online] pp.12-13. </w:t>
      </w:r>
      <w:proofErr w:type="spellStart"/>
      <w:r>
        <w:rPr>
          <w:rFonts w:ascii="Calibri" w:hAnsi="Calibri" w:cs="Calibri"/>
          <w:color w:val="000000"/>
          <w:sz w:val="27"/>
          <w:szCs w:val="27"/>
        </w:rPr>
        <w:t>doi:</w:t>
      </w:r>
      <w:hyperlink r:id="rId24" w:history="1">
        <w:r w:rsidRPr="00B54DC8">
          <w:rPr>
            <w:rStyle w:val="Hyperlink"/>
            <w:rFonts w:ascii="Calibri" w:hAnsi="Calibri" w:cs="Calibri"/>
            <w:sz w:val="27"/>
            <w:szCs w:val="27"/>
          </w:rPr>
          <w:t>https</w:t>
        </w:r>
        <w:proofErr w:type="spellEnd"/>
        <w:r w:rsidRPr="00B54DC8">
          <w:rPr>
            <w:rStyle w:val="Hyperlink"/>
            <w:rFonts w:ascii="Calibri" w:hAnsi="Calibri" w:cs="Calibri"/>
            <w:sz w:val="27"/>
            <w:szCs w:val="27"/>
          </w:rPr>
          <w:t>://doi.org/10.1080/13218719.2020.1784807</w:t>
        </w:r>
      </w:hyperlink>
      <w:r>
        <w:rPr>
          <w:rFonts w:ascii="Calibri" w:hAnsi="Calibri" w:cs="Calibri"/>
          <w:color w:val="000000"/>
          <w:sz w:val="27"/>
          <w:szCs w:val="27"/>
        </w:rPr>
        <w:t>. [Accessed 22. Nov 2023]</w:t>
      </w:r>
    </w:p>
    <w:p w14:paraId="235B1306"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20DF787F"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6957A95B" w14:textId="6308FEE5"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2AC49391" w14:textId="4F2091AA" w:rsidR="00FF283F" w:rsidRDefault="00FF283F" w:rsidP="00FF283F">
      <w:pPr>
        <w:pStyle w:val="NormalWeb"/>
        <w:spacing w:before="0" w:beforeAutospacing="0" w:after="0" w:afterAutospacing="0" w:line="360" w:lineRule="atLeast"/>
        <w:rPr>
          <w:rFonts w:ascii="Calibri" w:hAnsi="Calibri" w:cs="Calibri"/>
          <w:color w:val="000000"/>
          <w:sz w:val="27"/>
          <w:szCs w:val="27"/>
          <w:u w:val="single"/>
        </w:rPr>
      </w:pPr>
      <w:r w:rsidRPr="00FF283F">
        <w:rPr>
          <w:rFonts w:ascii="Calibri" w:hAnsi="Calibri" w:cs="Calibri"/>
          <w:color w:val="000000"/>
          <w:sz w:val="27"/>
          <w:szCs w:val="27"/>
          <w:u w:val="single"/>
        </w:rPr>
        <w:t>Essay 4</w:t>
      </w:r>
    </w:p>
    <w:p w14:paraId="6E56A345" w14:textId="77777777" w:rsidR="00E55D26" w:rsidRDefault="00E55D26" w:rsidP="00FF283F">
      <w:pPr>
        <w:pStyle w:val="NormalWeb"/>
        <w:spacing w:before="0" w:beforeAutospacing="0" w:after="0" w:afterAutospacing="0" w:line="360" w:lineRule="atLeast"/>
        <w:rPr>
          <w:rFonts w:ascii="Calibri" w:hAnsi="Calibri" w:cs="Calibri"/>
          <w:color w:val="000000"/>
          <w:sz w:val="27"/>
          <w:szCs w:val="27"/>
          <w:u w:val="single"/>
        </w:rPr>
      </w:pPr>
    </w:p>
    <w:p w14:paraId="278C0596" w14:textId="77777777" w:rsidR="00E55D26" w:rsidRDefault="00E55D26" w:rsidP="00E55D2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Beck, B., Antonelli, J. and </w:t>
      </w:r>
      <w:proofErr w:type="spellStart"/>
      <w:r>
        <w:rPr>
          <w:rFonts w:ascii="Calibri" w:hAnsi="Calibri" w:cs="Calibri"/>
          <w:color w:val="000000"/>
          <w:sz w:val="27"/>
          <w:szCs w:val="27"/>
        </w:rPr>
        <w:t>Piñeros</w:t>
      </w:r>
      <w:proofErr w:type="spellEnd"/>
      <w:r>
        <w:rPr>
          <w:rFonts w:ascii="Calibri" w:hAnsi="Calibri" w:cs="Calibri"/>
          <w:color w:val="000000"/>
          <w:sz w:val="27"/>
          <w:szCs w:val="27"/>
        </w:rPr>
        <w:t xml:space="preserve">, G. (2022). Effects of New York City’s </w:t>
      </w:r>
      <w:proofErr w:type="spellStart"/>
      <w:r>
        <w:rPr>
          <w:rFonts w:ascii="Calibri" w:hAnsi="Calibri" w:cs="Calibri"/>
          <w:color w:val="000000"/>
          <w:sz w:val="27"/>
          <w:szCs w:val="27"/>
        </w:rPr>
        <w:t>Neighborhood</w:t>
      </w:r>
      <w:proofErr w:type="spellEnd"/>
      <w:r>
        <w:rPr>
          <w:rFonts w:ascii="Calibri" w:hAnsi="Calibri" w:cs="Calibri"/>
          <w:color w:val="000000"/>
          <w:sz w:val="27"/>
          <w:szCs w:val="27"/>
        </w:rPr>
        <w:t xml:space="preserve"> Policing Policy. </w:t>
      </w:r>
      <w:r>
        <w:rPr>
          <w:rFonts w:ascii="Calibri" w:hAnsi="Calibri" w:cs="Calibri"/>
          <w:i/>
          <w:iCs/>
          <w:color w:val="000000"/>
          <w:sz w:val="27"/>
          <w:szCs w:val="27"/>
        </w:rPr>
        <w:t>Police Quarterly</w:t>
      </w:r>
      <w:r>
        <w:rPr>
          <w:rFonts w:ascii="Calibri" w:hAnsi="Calibri" w:cs="Calibri"/>
          <w:color w:val="000000"/>
          <w:sz w:val="27"/>
          <w:szCs w:val="27"/>
        </w:rPr>
        <w:t xml:space="preserve">, 25 (4), [Online] pp. 473-474. </w:t>
      </w:r>
      <w:proofErr w:type="spellStart"/>
      <w:r>
        <w:rPr>
          <w:rFonts w:ascii="Calibri" w:hAnsi="Calibri" w:cs="Calibri"/>
          <w:color w:val="000000"/>
          <w:sz w:val="27"/>
          <w:szCs w:val="27"/>
        </w:rPr>
        <w:t>doi:</w:t>
      </w:r>
      <w:hyperlink r:id="rId25" w:history="1">
        <w:r w:rsidRPr="00621002">
          <w:rPr>
            <w:rStyle w:val="Hyperlink"/>
            <w:rFonts w:ascii="Calibri" w:hAnsi="Calibri" w:cs="Calibri"/>
            <w:sz w:val="27"/>
            <w:szCs w:val="27"/>
          </w:rPr>
          <w:t>https</w:t>
        </w:r>
        <w:proofErr w:type="spellEnd"/>
        <w:r w:rsidRPr="00621002">
          <w:rPr>
            <w:rStyle w:val="Hyperlink"/>
            <w:rFonts w:ascii="Calibri" w:hAnsi="Calibri" w:cs="Calibri"/>
            <w:sz w:val="27"/>
            <w:szCs w:val="27"/>
          </w:rPr>
          <w:t>://doi.org/10.1177/10986111211046991</w:t>
        </w:r>
      </w:hyperlink>
      <w:r>
        <w:rPr>
          <w:rFonts w:ascii="Calibri" w:hAnsi="Calibri" w:cs="Calibri"/>
          <w:color w:val="000000"/>
          <w:sz w:val="27"/>
          <w:szCs w:val="27"/>
        </w:rPr>
        <w:t>. [Accessed 24 Nov. 2023]</w:t>
      </w:r>
    </w:p>
    <w:p w14:paraId="7F9314EF" w14:textId="77777777" w:rsidR="00E55D26" w:rsidRDefault="00E55D26" w:rsidP="00E55D2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College of policing (2023). </w:t>
      </w:r>
      <w:r>
        <w:rPr>
          <w:rFonts w:ascii="Calibri" w:hAnsi="Calibri" w:cs="Calibri"/>
          <w:i/>
          <w:iCs/>
          <w:color w:val="000000"/>
          <w:sz w:val="27"/>
          <w:szCs w:val="27"/>
        </w:rPr>
        <w:t>Anti-social behaviour</w:t>
      </w:r>
      <w:r>
        <w:rPr>
          <w:rFonts w:ascii="Calibri" w:hAnsi="Calibri" w:cs="Calibri"/>
          <w:color w:val="000000"/>
          <w:sz w:val="27"/>
          <w:szCs w:val="27"/>
        </w:rPr>
        <w:t xml:space="preserve">. [online] College of Policing. Available at: </w:t>
      </w:r>
      <w:hyperlink r:id="rId26" w:history="1">
        <w:r w:rsidRPr="00621002">
          <w:rPr>
            <w:rStyle w:val="Hyperlink"/>
            <w:rFonts w:ascii="Calibri" w:hAnsi="Calibri" w:cs="Calibri"/>
            <w:sz w:val="27"/>
            <w:szCs w:val="27"/>
          </w:rPr>
          <w:t>https://www.college.police.uk/anti-social-behaviour</w:t>
        </w:r>
      </w:hyperlink>
      <w:r>
        <w:rPr>
          <w:rFonts w:ascii="Calibri" w:hAnsi="Calibri" w:cs="Calibri"/>
          <w:color w:val="000000"/>
          <w:sz w:val="27"/>
          <w:szCs w:val="27"/>
        </w:rPr>
        <w:t>. [Accessed 24 Nov. 2023]</w:t>
      </w:r>
    </w:p>
    <w:p w14:paraId="4897249D" w14:textId="77777777" w:rsidR="00E55D26" w:rsidRDefault="00E55D26" w:rsidP="00E55D26">
      <w:pPr>
        <w:pStyle w:val="NormalWeb"/>
        <w:spacing w:before="0" w:beforeAutospacing="0" w:after="0" w:afterAutospacing="0" w:line="360" w:lineRule="atLeast"/>
        <w:rPr>
          <w:rFonts w:ascii="Calibri" w:hAnsi="Calibri" w:cs="Calibri"/>
          <w:color w:val="000000"/>
          <w:sz w:val="27"/>
          <w:szCs w:val="27"/>
        </w:rPr>
      </w:pPr>
    </w:p>
    <w:p w14:paraId="69646463" w14:textId="77777777" w:rsidR="00E55D26" w:rsidRDefault="00E55D26" w:rsidP="00E55D2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(2022). </w:t>
      </w:r>
      <w:r>
        <w:rPr>
          <w:rFonts w:ascii="Calibri" w:hAnsi="Calibri" w:cs="Calibri"/>
          <w:i/>
          <w:iCs/>
          <w:color w:val="000000"/>
          <w:sz w:val="27"/>
          <w:szCs w:val="27"/>
        </w:rPr>
        <w:t>Neighbourhood policing career pathway</w:t>
      </w:r>
      <w:r>
        <w:rPr>
          <w:rFonts w:ascii="Calibri" w:hAnsi="Calibri" w:cs="Calibri"/>
          <w:color w:val="000000"/>
          <w:sz w:val="27"/>
          <w:szCs w:val="27"/>
        </w:rPr>
        <w:t xml:space="preserve">. [online] College of Policing. Available at: </w:t>
      </w:r>
      <w:hyperlink r:id="rId27" w:history="1">
        <w:r w:rsidRPr="00621002">
          <w:rPr>
            <w:rStyle w:val="Hyperlink"/>
            <w:rFonts w:ascii="Calibri" w:hAnsi="Calibri" w:cs="Calibri"/>
            <w:sz w:val="27"/>
            <w:szCs w:val="27"/>
          </w:rPr>
          <w:t>https://www.college.police.uk/career-learning/career-development/career-pathways/neighbourhood-policing</w:t>
        </w:r>
      </w:hyperlink>
      <w:r>
        <w:rPr>
          <w:rFonts w:ascii="Calibri" w:hAnsi="Calibri" w:cs="Calibri"/>
          <w:color w:val="000000"/>
          <w:sz w:val="27"/>
          <w:szCs w:val="27"/>
        </w:rPr>
        <w:t>. [Accessed 24 Nov. 2023]</w:t>
      </w:r>
    </w:p>
    <w:p w14:paraId="4BA367A3" w14:textId="77777777" w:rsidR="00E55D26" w:rsidRDefault="00E55D26" w:rsidP="00E55D26">
      <w:pPr>
        <w:pStyle w:val="NormalWeb"/>
        <w:spacing w:before="0" w:beforeAutospacing="0" w:after="0" w:afterAutospacing="0" w:line="360" w:lineRule="atLeast"/>
        <w:rPr>
          <w:rFonts w:ascii="Calibri" w:hAnsi="Calibri" w:cs="Calibri"/>
          <w:color w:val="000000"/>
          <w:sz w:val="27"/>
          <w:szCs w:val="27"/>
        </w:rPr>
      </w:pPr>
    </w:p>
    <w:p w14:paraId="70A4C5F2" w14:textId="77777777" w:rsidR="00E55D26" w:rsidRDefault="00E55D26" w:rsidP="00E55D2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Hopkins-Burke, R. and </w:t>
      </w:r>
      <w:proofErr w:type="spellStart"/>
      <w:r>
        <w:rPr>
          <w:rFonts w:ascii="Calibri" w:hAnsi="Calibri" w:cs="Calibri"/>
          <w:color w:val="000000"/>
          <w:sz w:val="27"/>
          <w:szCs w:val="27"/>
        </w:rPr>
        <w:t>Creaney</w:t>
      </w:r>
      <w:proofErr w:type="spellEnd"/>
      <w:r>
        <w:rPr>
          <w:rFonts w:ascii="Calibri" w:hAnsi="Calibri" w:cs="Calibri"/>
          <w:color w:val="000000"/>
          <w:sz w:val="27"/>
          <w:szCs w:val="27"/>
        </w:rPr>
        <w:t>, S. (2014). A ‘new’ response to anti-social behaviour: early reflections on the Anti-Social Behaviour, Crime and Policing Act 2014. </w:t>
      </w:r>
      <w:r>
        <w:rPr>
          <w:rFonts w:ascii="Calibri" w:hAnsi="Calibri" w:cs="Calibri"/>
          <w:i/>
          <w:iCs/>
          <w:color w:val="000000"/>
          <w:sz w:val="27"/>
          <w:szCs w:val="27"/>
        </w:rPr>
        <w:t>Safer Communities</w:t>
      </w:r>
      <w:r>
        <w:rPr>
          <w:rFonts w:ascii="Calibri" w:hAnsi="Calibri" w:cs="Calibri"/>
          <w:color w:val="000000"/>
          <w:sz w:val="27"/>
          <w:szCs w:val="27"/>
        </w:rPr>
        <w:t xml:space="preserve">, 13(4), [Online] pp.167–168. </w:t>
      </w:r>
      <w:proofErr w:type="spellStart"/>
      <w:r>
        <w:rPr>
          <w:rFonts w:ascii="Calibri" w:hAnsi="Calibri" w:cs="Calibri"/>
          <w:color w:val="000000"/>
          <w:sz w:val="27"/>
          <w:szCs w:val="27"/>
        </w:rPr>
        <w:t>doi:</w:t>
      </w:r>
      <w:hyperlink r:id="rId28" w:history="1">
        <w:r w:rsidRPr="00621002">
          <w:rPr>
            <w:rStyle w:val="Hyperlink"/>
            <w:rFonts w:ascii="Calibri" w:hAnsi="Calibri" w:cs="Calibri"/>
            <w:sz w:val="27"/>
            <w:szCs w:val="27"/>
          </w:rPr>
          <w:t>https</w:t>
        </w:r>
        <w:proofErr w:type="spellEnd"/>
        <w:r w:rsidRPr="00621002">
          <w:rPr>
            <w:rStyle w:val="Hyperlink"/>
            <w:rFonts w:ascii="Calibri" w:hAnsi="Calibri" w:cs="Calibri"/>
            <w:sz w:val="27"/>
            <w:szCs w:val="27"/>
          </w:rPr>
          <w:t>://doi.org/10.1108/sc-07-2014-0011</w:t>
        </w:r>
      </w:hyperlink>
      <w:r>
        <w:rPr>
          <w:rFonts w:ascii="Calibri" w:hAnsi="Calibri" w:cs="Calibri"/>
          <w:color w:val="000000"/>
          <w:sz w:val="27"/>
          <w:szCs w:val="27"/>
        </w:rPr>
        <w:t>. [Accessed 24 Nov. 2023]</w:t>
      </w:r>
    </w:p>
    <w:p w14:paraId="7EDA90C5" w14:textId="77777777" w:rsidR="00E55D26" w:rsidRDefault="00E55D26" w:rsidP="00E55D26">
      <w:pPr>
        <w:pStyle w:val="NormalWeb"/>
        <w:spacing w:before="0" w:beforeAutospacing="0" w:after="0" w:afterAutospacing="0" w:line="360" w:lineRule="atLeast"/>
        <w:rPr>
          <w:rFonts w:ascii="Calibri" w:hAnsi="Calibri" w:cs="Calibri"/>
          <w:color w:val="000000"/>
          <w:sz w:val="27"/>
          <w:szCs w:val="27"/>
        </w:rPr>
      </w:pPr>
    </w:p>
    <w:p w14:paraId="61CC64B0" w14:textId="77777777" w:rsidR="00E55D26" w:rsidRDefault="00E55D26" w:rsidP="00E55D2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O’Malley, L. and Grace, S. (2021). Social capital and co-location: A case study of policing anti-social behaviour. </w:t>
      </w:r>
      <w:r>
        <w:rPr>
          <w:rFonts w:ascii="Calibri" w:hAnsi="Calibri" w:cs="Calibri"/>
          <w:i/>
          <w:iCs/>
          <w:color w:val="000000"/>
          <w:sz w:val="27"/>
          <w:szCs w:val="27"/>
        </w:rPr>
        <w:t>International Journal of Police Science &amp; Management</w:t>
      </w:r>
      <w:r>
        <w:rPr>
          <w:rFonts w:ascii="Calibri" w:hAnsi="Calibri" w:cs="Calibri"/>
          <w:color w:val="000000"/>
          <w:sz w:val="27"/>
          <w:szCs w:val="27"/>
        </w:rPr>
        <w:t>, 23 (3</w:t>
      </w:r>
      <w:proofErr w:type="gramStart"/>
      <w:r>
        <w:rPr>
          <w:rFonts w:ascii="Calibri" w:hAnsi="Calibri" w:cs="Calibri"/>
          <w:color w:val="000000"/>
          <w:sz w:val="27"/>
          <w:szCs w:val="27"/>
        </w:rPr>
        <w:t>),[</w:t>
      </w:r>
      <w:proofErr w:type="gramEnd"/>
      <w:r>
        <w:rPr>
          <w:rFonts w:ascii="Calibri" w:hAnsi="Calibri" w:cs="Calibri"/>
          <w:color w:val="000000"/>
          <w:sz w:val="27"/>
          <w:szCs w:val="27"/>
        </w:rPr>
        <w:t xml:space="preserve">Online] pp. 312-313. </w:t>
      </w:r>
      <w:proofErr w:type="spellStart"/>
      <w:r>
        <w:rPr>
          <w:rFonts w:ascii="Calibri" w:hAnsi="Calibri" w:cs="Calibri"/>
          <w:color w:val="000000"/>
          <w:sz w:val="27"/>
          <w:szCs w:val="27"/>
        </w:rPr>
        <w:t>doi:</w:t>
      </w:r>
      <w:hyperlink r:id="rId29" w:history="1">
        <w:r w:rsidRPr="00621002">
          <w:rPr>
            <w:rStyle w:val="Hyperlink"/>
            <w:rFonts w:ascii="Calibri" w:hAnsi="Calibri" w:cs="Calibri"/>
            <w:sz w:val="27"/>
            <w:szCs w:val="27"/>
          </w:rPr>
          <w:t>https</w:t>
        </w:r>
        <w:proofErr w:type="spellEnd"/>
        <w:r w:rsidRPr="00621002">
          <w:rPr>
            <w:rStyle w:val="Hyperlink"/>
            <w:rFonts w:ascii="Calibri" w:hAnsi="Calibri" w:cs="Calibri"/>
            <w:sz w:val="27"/>
            <w:szCs w:val="27"/>
          </w:rPr>
          <w:t>://doi.org/10.1177/14613557211026931</w:t>
        </w:r>
      </w:hyperlink>
      <w:r>
        <w:rPr>
          <w:rFonts w:ascii="Calibri" w:hAnsi="Calibri" w:cs="Calibri"/>
          <w:color w:val="000000"/>
          <w:sz w:val="27"/>
          <w:szCs w:val="27"/>
        </w:rPr>
        <w:t>. [Accessed 24 Nov. 2023]</w:t>
      </w:r>
    </w:p>
    <w:p w14:paraId="3C484EF2" w14:textId="77777777" w:rsidR="00E55D26" w:rsidRDefault="00E55D26" w:rsidP="00E55D26">
      <w:pPr>
        <w:pStyle w:val="NormalWeb"/>
        <w:spacing w:before="0" w:beforeAutospacing="0" w:after="0" w:afterAutospacing="0" w:line="360" w:lineRule="atLeast"/>
        <w:rPr>
          <w:rFonts w:ascii="Calibri" w:hAnsi="Calibri" w:cs="Calibri"/>
          <w:color w:val="000000"/>
          <w:sz w:val="27"/>
          <w:szCs w:val="27"/>
        </w:rPr>
      </w:pPr>
    </w:p>
    <w:p w14:paraId="13E1AEBD" w14:textId="77777777" w:rsidR="00E55D26" w:rsidRDefault="00E55D26" w:rsidP="00E55D2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www.local.gov.uk. (n.d.). </w:t>
      </w:r>
      <w:r>
        <w:rPr>
          <w:rFonts w:ascii="Calibri" w:hAnsi="Calibri" w:cs="Calibri"/>
          <w:i/>
          <w:iCs/>
          <w:color w:val="000000"/>
          <w:sz w:val="27"/>
          <w:szCs w:val="27"/>
        </w:rPr>
        <w:t>Copeland Council: a multi-agency local focus hub to tackle ASB and low-level crime | Local Government Association</w:t>
      </w:r>
      <w:r>
        <w:rPr>
          <w:rFonts w:ascii="Calibri" w:hAnsi="Calibri" w:cs="Calibri"/>
          <w:color w:val="000000"/>
          <w:sz w:val="27"/>
          <w:szCs w:val="27"/>
        </w:rPr>
        <w:t xml:space="preserve">. [online] Available at: </w:t>
      </w:r>
      <w:hyperlink r:id="rId30" w:anchor="contact" w:history="1">
        <w:r w:rsidRPr="00621002">
          <w:rPr>
            <w:rStyle w:val="Hyperlink"/>
            <w:rFonts w:ascii="Calibri" w:hAnsi="Calibri" w:cs="Calibri"/>
            <w:sz w:val="27"/>
            <w:szCs w:val="27"/>
          </w:rPr>
          <w:t>https://www.local.gov.uk/case-studies/copeland-council-multi-agency-local-focus-hub-tackle-asb-and-low-level-crime#contact</w:t>
        </w:r>
      </w:hyperlink>
      <w:r>
        <w:rPr>
          <w:rFonts w:ascii="Calibri" w:hAnsi="Calibri" w:cs="Calibri"/>
          <w:color w:val="000000"/>
          <w:sz w:val="27"/>
          <w:szCs w:val="27"/>
        </w:rPr>
        <w:t xml:space="preserve"> [Accessed 24 Nov. 2023].</w:t>
      </w:r>
    </w:p>
    <w:p w14:paraId="53F955C3" w14:textId="77777777" w:rsidR="00E55D26" w:rsidRDefault="00E55D26" w:rsidP="00E55D26">
      <w:pPr>
        <w:pStyle w:val="NormalWeb"/>
        <w:spacing w:before="0" w:beforeAutospacing="0" w:after="0" w:afterAutospacing="0" w:line="360" w:lineRule="atLeast"/>
        <w:rPr>
          <w:rFonts w:ascii="Calibri" w:hAnsi="Calibri" w:cs="Calibri"/>
          <w:color w:val="000000"/>
          <w:sz w:val="27"/>
          <w:szCs w:val="27"/>
        </w:rPr>
      </w:pPr>
    </w:p>
    <w:p w14:paraId="1F5BF029" w14:textId="77777777" w:rsidR="00E55D26" w:rsidRDefault="00E55D26" w:rsidP="00E55D2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www.ons.gov.uk. (n.d.). </w:t>
      </w:r>
      <w:r>
        <w:rPr>
          <w:rFonts w:ascii="Calibri" w:hAnsi="Calibri" w:cs="Calibri"/>
          <w:i/>
          <w:iCs/>
          <w:color w:val="000000"/>
          <w:sz w:val="27"/>
          <w:szCs w:val="27"/>
        </w:rPr>
        <w:t>Crime in England and Wales - Office for National Statistics</w:t>
      </w:r>
      <w:r>
        <w:rPr>
          <w:rFonts w:ascii="Calibri" w:hAnsi="Calibri" w:cs="Calibri"/>
          <w:color w:val="000000"/>
          <w:sz w:val="27"/>
          <w:szCs w:val="27"/>
        </w:rPr>
        <w:t xml:space="preserve">. [online] Available at: </w:t>
      </w:r>
      <w:hyperlink r:id="rId31" w:anchor="anti-social-behaviour" w:history="1">
        <w:r w:rsidRPr="00621002">
          <w:rPr>
            <w:rStyle w:val="Hyperlink"/>
            <w:rFonts w:ascii="Calibri" w:hAnsi="Calibri" w:cs="Calibri"/>
            <w:sz w:val="27"/>
            <w:szCs w:val="27"/>
          </w:rPr>
          <w:t>https://www.ons.gov.uk/peoplepopulationandcommunity/crimeandjustice/bulletins/crimeinenglandandwales/yearendingdecember2022#anti-social-behaviour</w:t>
        </w:r>
      </w:hyperlink>
      <w:r>
        <w:rPr>
          <w:rFonts w:ascii="Calibri" w:hAnsi="Calibri" w:cs="Calibri"/>
          <w:color w:val="000000"/>
          <w:sz w:val="27"/>
          <w:szCs w:val="27"/>
        </w:rPr>
        <w:t>. [Accessed 24 Nov. 2023]</w:t>
      </w:r>
    </w:p>
    <w:p w14:paraId="2EA1E52D" w14:textId="77777777" w:rsidR="00E55D26" w:rsidRDefault="00E55D26" w:rsidP="00E55D26">
      <w:pPr>
        <w:pStyle w:val="NormalWeb"/>
        <w:spacing w:before="0" w:beforeAutospacing="0" w:after="0" w:afterAutospacing="0" w:line="360" w:lineRule="atLeast"/>
        <w:rPr>
          <w:rFonts w:ascii="Calibri" w:hAnsi="Calibri" w:cs="Calibri"/>
          <w:color w:val="000000"/>
          <w:sz w:val="27"/>
          <w:szCs w:val="27"/>
        </w:rPr>
      </w:pPr>
    </w:p>
    <w:p w14:paraId="7EFEE3B6"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United Nations (n.d.). </w:t>
      </w:r>
      <w:r>
        <w:rPr>
          <w:rFonts w:ascii="Calibri" w:hAnsi="Calibri" w:cs="Calibri"/>
          <w:i/>
          <w:iCs/>
          <w:color w:val="000000"/>
          <w:sz w:val="27"/>
          <w:szCs w:val="27"/>
        </w:rPr>
        <w:t>UNODC Crime Prevention</w:t>
      </w:r>
      <w:r>
        <w:rPr>
          <w:rFonts w:ascii="Calibri" w:hAnsi="Calibri" w:cs="Calibri"/>
          <w:color w:val="000000"/>
          <w:sz w:val="27"/>
          <w:szCs w:val="27"/>
        </w:rPr>
        <w:t xml:space="preserve">. [online] United </w:t>
      </w:r>
      <w:proofErr w:type="gramStart"/>
      <w:r>
        <w:rPr>
          <w:rFonts w:ascii="Calibri" w:hAnsi="Calibri" w:cs="Calibri"/>
          <w:color w:val="000000"/>
          <w:sz w:val="27"/>
          <w:szCs w:val="27"/>
        </w:rPr>
        <w:t>Nations :</w:t>
      </w:r>
      <w:proofErr w:type="gramEnd"/>
      <w:r>
        <w:rPr>
          <w:rFonts w:ascii="Calibri" w:hAnsi="Calibri" w:cs="Calibri"/>
          <w:color w:val="000000"/>
          <w:sz w:val="27"/>
          <w:szCs w:val="27"/>
        </w:rPr>
        <w:t xml:space="preserve"> Office on Drugs and Crime. Available at: </w:t>
      </w:r>
      <w:hyperlink r:id="rId32" w:history="1">
        <w:r w:rsidRPr="00621002">
          <w:rPr>
            <w:rStyle w:val="Hyperlink"/>
            <w:rFonts w:ascii="Calibri" w:hAnsi="Calibri" w:cs="Calibri"/>
            <w:sz w:val="27"/>
            <w:szCs w:val="27"/>
          </w:rPr>
          <w:t>https://www.unodc.org/unodc/en/justice-and-prison-reform/cpcj-crimeprevention-home.html</w:t>
        </w:r>
      </w:hyperlink>
      <w:r>
        <w:rPr>
          <w:rFonts w:ascii="Calibri" w:hAnsi="Calibri" w:cs="Calibri"/>
          <w:color w:val="000000"/>
          <w:sz w:val="27"/>
          <w:szCs w:val="27"/>
        </w:rPr>
        <w:t>. [Accessed 24 Nov. 2023]</w:t>
      </w:r>
    </w:p>
    <w:p w14:paraId="1372B29C"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7A948EE0"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3EDCCF3E"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0AD511CD"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6809E6F5" w14:textId="77777777" w:rsidR="00FF283F" w:rsidRDefault="00FF283F" w:rsidP="00FF283F">
      <w:pPr>
        <w:pStyle w:val="NormalWeb"/>
        <w:spacing w:before="0" w:beforeAutospacing="0" w:after="0" w:afterAutospacing="0" w:line="360" w:lineRule="atLeast"/>
        <w:rPr>
          <w:rFonts w:ascii="Calibri" w:hAnsi="Calibri" w:cs="Calibri"/>
          <w:color w:val="000000"/>
          <w:sz w:val="27"/>
          <w:szCs w:val="27"/>
        </w:rPr>
      </w:pPr>
    </w:p>
    <w:p w14:paraId="44A76AA5" w14:textId="77777777" w:rsidR="00FF283F" w:rsidRDefault="00FF283F" w:rsidP="00FF283F">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3766D4CF" w14:textId="77777777" w:rsidR="00FF283F" w:rsidRPr="00FF283F" w:rsidRDefault="00FF283F" w:rsidP="00FF283F">
      <w:pPr>
        <w:pStyle w:val="NormalWeb"/>
        <w:spacing w:before="0" w:beforeAutospacing="0" w:after="0" w:afterAutospacing="0" w:line="360" w:lineRule="atLeast"/>
        <w:rPr>
          <w:rFonts w:ascii="Calibri" w:hAnsi="Calibri" w:cs="Calibri"/>
          <w:color w:val="000000"/>
          <w:sz w:val="27"/>
          <w:szCs w:val="27"/>
          <w:u w:val="single"/>
        </w:rPr>
      </w:pPr>
    </w:p>
    <w:p w14:paraId="0348C85C" w14:textId="77777777" w:rsidR="00FF283F" w:rsidRDefault="00FF283F" w:rsidP="00FF283F">
      <w:pPr>
        <w:pStyle w:val="NormalWeb"/>
        <w:rPr>
          <w:rFonts w:ascii="Calibri" w:hAnsi="Calibri" w:cs="Calibri"/>
          <w:color w:val="000000"/>
          <w:sz w:val="27"/>
          <w:szCs w:val="27"/>
        </w:rPr>
      </w:pPr>
      <w:r>
        <w:rPr>
          <w:rFonts w:ascii="Calibri" w:hAnsi="Calibri" w:cs="Calibri"/>
          <w:color w:val="000000"/>
          <w:sz w:val="27"/>
          <w:szCs w:val="27"/>
        </w:rPr>
        <w:t>‌</w:t>
      </w:r>
    </w:p>
    <w:p w14:paraId="0831640B" w14:textId="77777777" w:rsidR="00FF283F" w:rsidRPr="00FF283F" w:rsidRDefault="00FF283F" w:rsidP="00FF283F">
      <w:pPr>
        <w:pStyle w:val="NormalWeb"/>
        <w:rPr>
          <w:rFonts w:ascii="Calibri" w:hAnsi="Calibri" w:cs="Calibri"/>
          <w:color w:val="000000"/>
          <w:sz w:val="27"/>
          <w:szCs w:val="27"/>
          <w:u w:val="single"/>
        </w:rPr>
      </w:pPr>
    </w:p>
    <w:p w14:paraId="5BEF4C5B" w14:textId="77777777" w:rsidR="00FF283F" w:rsidRPr="00FF283F" w:rsidRDefault="00FF283F" w:rsidP="00FF283F">
      <w:pPr>
        <w:rPr>
          <w:sz w:val="32"/>
          <w:szCs w:val="32"/>
          <w:u w:val="single"/>
        </w:rPr>
      </w:pPr>
    </w:p>
    <w:p w14:paraId="197A68AB" w14:textId="77777777" w:rsidR="00FF283F" w:rsidRDefault="00FF283F"/>
    <w:sectPr w:rsidR="00FF283F">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70056" w14:textId="77777777" w:rsidR="00B3548B" w:rsidRDefault="00B3548B" w:rsidP="00126B89">
      <w:pPr>
        <w:spacing w:after="0" w:line="240" w:lineRule="auto"/>
      </w:pPr>
      <w:r>
        <w:separator/>
      </w:r>
    </w:p>
  </w:endnote>
  <w:endnote w:type="continuationSeparator" w:id="0">
    <w:p w14:paraId="6955C8A6" w14:textId="77777777" w:rsidR="00B3548B" w:rsidRDefault="00B3548B" w:rsidP="00126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1005509"/>
      <w:docPartObj>
        <w:docPartGallery w:val="Page Numbers (Bottom of Page)"/>
        <w:docPartUnique/>
      </w:docPartObj>
    </w:sdtPr>
    <w:sdtEndPr>
      <w:rPr>
        <w:noProof/>
      </w:rPr>
    </w:sdtEndPr>
    <w:sdtContent>
      <w:p w14:paraId="07FAF125" w14:textId="7C12D263" w:rsidR="00126B89" w:rsidRDefault="00126B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EDA800" w14:textId="77777777" w:rsidR="00126B89" w:rsidRDefault="00126B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DB319" w14:textId="77777777" w:rsidR="00B3548B" w:rsidRDefault="00B3548B" w:rsidP="00126B89">
      <w:pPr>
        <w:spacing w:after="0" w:line="240" w:lineRule="auto"/>
      </w:pPr>
      <w:r>
        <w:separator/>
      </w:r>
    </w:p>
  </w:footnote>
  <w:footnote w:type="continuationSeparator" w:id="0">
    <w:p w14:paraId="14179943" w14:textId="77777777" w:rsidR="00B3548B" w:rsidRDefault="00B3548B" w:rsidP="00126B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83F"/>
    <w:rsid w:val="00021378"/>
    <w:rsid w:val="000B1CFC"/>
    <w:rsid w:val="00126B89"/>
    <w:rsid w:val="004B321B"/>
    <w:rsid w:val="004C6B2C"/>
    <w:rsid w:val="007E5AA1"/>
    <w:rsid w:val="00AF35CB"/>
    <w:rsid w:val="00B3548B"/>
    <w:rsid w:val="00B35B8E"/>
    <w:rsid w:val="00E55D26"/>
    <w:rsid w:val="00F55547"/>
    <w:rsid w:val="00FF2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1637F"/>
  <w15:chartTrackingRefBased/>
  <w15:docId w15:val="{E0559C92-C71B-41B5-B3CD-31B5A60A6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F283F"/>
    <w:rPr>
      <w:i/>
      <w:iCs/>
    </w:rPr>
  </w:style>
  <w:style w:type="paragraph" w:styleId="NormalWeb">
    <w:name w:val="Normal (Web)"/>
    <w:basedOn w:val="Normal"/>
    <w:uiPriority w:val="99"/>
    <w:unhideWhenUsed/>
    <w:rsid w:val="00FF28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F283F"/>
    <w:rPr>
      <w:color w:val="0563C1" w:themeColor="hyperlink"/>
      <w:u w:val="single"/>
    </w:rPr>
  </w:style>
  <w:style w:type="paragraph" w:styleId="Header">
    <w:name w:val="header"/>
    <w:basedOn w:val="Normal"/>
    <w:link w:val="HeaderChar"/>
    <w:uiPriority w:val="99"/>
    <w:unhideWhenUsed/>
    <w:rsid w:val="00126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B89"/>
  </w:style>
  <w:style w:type="paragraph" w:styleId="Footer">
    <w:name w:val="footer"/>
    <w:basedOn w:val="Normal"/>
    <w:link w:val="FooterChar"/>
    <w:uiPriority w:val="99"/>
    <w:unhideWhenUsed/>
    <w:rsid w:val="00126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went.police.uk/SysSiteAssets/media/downloads/gwent/equality-and-diversity/joint-strategic-equality-plan-2020.pdf" TargetMode="External"/><Relationship Id="rId13" Type="http://schemas.openxmlformats.org/officeDocument/2006/relationships/hyperlink" Target="https://www.cps.gov.uk/crime-info/cyber-online-crime" TargetMode="External"/><Relationship Id="rId18" Type="http://schemas.openxmlformats.org/officeDocument/2006/relationships/hyperlink" Target="https://doi.org/10.1177/1057567719846224" TargetMode="External"/><Relationship Id="rId26" Type="http://schemas.openxmlformats.org/officeDocument/2006/relationships/hyperlink" Target="https://www.college.police.uk/anti-social-behaviour" TargetMode="External"/><Relationship Id="rId3" Type="http://schemas.openxmlformats.org/officeDocument/2006/relationships/webSettings" Target="webSettings.xml"/><Relationship Id="rId21" Type="http://schemas.openxmlformats.org/officeDocument/2006/relationships/hyperlink" Target="https://www.gov.uk/government/publications/covert-human-intelligence-sources-draft-code-of-practice/covert-human-intelligence-sources-bill-case-studies-accessible-version" TargetMode="External"/><Relationship Id="rId34" Type="http://schemas.openxmlformats.org/officeDocument/2006/relationships/fontTable" Target="fontTable.xml"/><Relationship Id="rId7" Type="http://schemas.openxmlformats.org/officeDocument/2006/relationships/hyperlink" Target="https://doi.org/10.1287/orsc.6.2.204" TargetMode="External"/><Relationship Id="rId12" Type="http://schemas.openxmlformats.org/officeDocument/2006/relationships/hyperlink" Target="https://www.college.police.uk/research/projects/cybercrime-place-and-internet" TargetMode="External"/><Relationship Id="rId17" Type="http://schemas.openxmlformats.org/officeDocument/2006/relationships/hyperlink" Target="https://doi.org/10.1108/pijpsm-07-2019-0107" TargetMode="External"/><Relationship Id="rId25" Type="http://schemas.openxmlformats.org/officeDocument/2006/relationships/hyperlink" Target="https://doi.org/10.1177/10986111211046991"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doi.org/10.1177/0022018320952559" TargetMode="External"/><Relationship Id="rId20" Type="http://schemas.openxmlformats.org/officeDocument/2006/relationships/hyperlink" Target="https://doi.org/10.1177/1098611112467411" TargetMode="External"/><Relationship Id="rId29" Type="http://schemas.openxmlformats.org/officeDocument/2006/relationships/hyperlink" Target="https://doi.org/10.1177/14613557211026931" TargetMode="External"/><Relationship Id="rId1" Type="http://schemas.openxmlformats.org/officeDocument/2006/relationships/styles" Target="styles.xml"/><Relationship Id="rId6" Type="http://schemas.openxmlformats.org/officeDocument/2006/relationships/hyperlink" Target="https://assets.college.police.uk/s3fs-public/Police-Race-Action-Plan.pdf" TargetMode="External"/><Relationship Id="rId11" Type="http://schemas.openxmlformats.org/officeDocument/2006/relationships/hyperlink" Target="https://www.ethnicity-facts-figures.service.gov.uk/workforce-and-business/workforce-diversity/police-workforce/latest" TargetMode="External"/><Relationship Id="rId24" Type="http://schemas.openxmlformats.org/officeDocument/2006/relationships/hyperlink" Target="https://doi.org/10.1080/13218719.2020.1784807" TargetMode="External"/><Relationship Id="rId32" Type="http://schemas.openxmlformats.org/officeDocument/2006/relationships/hyperlink" Target="https://www.unodc.org/unodc/en/justice-and-prison-reform/cpcj-crimeprevention-home.html" TargetMode="External"/><Relationship Id="rId5" Type="http://schemas.openxmlformats.org/officeDocument/2006/relationships/endnotes" Target="endnotes.xml"/><Relationship Id="rId15" Type="http://schemas.openxmlformats.org/officeDocument/2006/relationships/hyperlink" Target="https://doi.org/10.1080/09540962.2012.676281" TargetMode="External"/><Relationship Id="rId23" Type="http://schemas.openxmlformats.org/officeDocument/2006/relationships/hyperlink" Target="https://doi.org/10.1080/13218719.2021.1926367" TargetMode="External"/><Relationship Id="rId28" Type="http://schemas.openxmlformats.org/officeDocument/2006/relationships/hyperlink" Target="https://doi.org/10.1108/sc-07-2014-0011" TargetMode="External"/><Relationship Id="rId10" Type="http://schemas.openxmlformats.org/officeDocument/2006/relationships/hyperlink" Target="https://doi.org/10.1080/10439463.2012.703198" TargetMode="External"/><Relationship Id="rId19" Type="http://schemas.openxmlformats.org/officeDocument/2006/relationships/hyperlink" Target="https://doi.org/10.1037/a0034564" TargetMode="External"/><Relationship Id="rId31" Type="http://schemas.openxmlformats.org/officeDocument/2006/relationships/hyperlink" Target="https://www.ons.gov.uk/peoplepopulationandcommunity/crimeandjustice/bulletins/crimeinenglandandwales/yearendingdecember2022" TargetMode="External"/><Relationship Id="rId4" Type="http://schemas.openxmlformats.org/officeDocument/2006/relationships/footnotes" Target="footnotes.xml"/><Relationship Id="rId9" Type="http://schemas.openxmlformats.org/officeDocument/2006/relationships/hyperlink" Target="https://doi.org/10.4018/978-1-5225-2965-1.ch005" TargetMode="External"/><Relationship Id="rId14" Type="http://schemas.openxmlformats.org/officeDocument/2006/relationships/hyperlink" Target="https://doi.org/10.1016/s1361-3723(09)70057-0" TargetMode="External"/><Relationship Id="rId22" Type="http://schemas.openxmlformats.org/officeDocument/2006/relationships/hyperlink" Target="https://assets.publishing.service.gov.uk/government/uploads/system/uploads/attachment_data/file/949806/Covert_Human_Intelligence_Sources_Draft_Revised_Code_of_Practice_FINAL.pdf" TargetMode="External"/><Relationship Id="rId27" Type="http://schemas.openxmlformats.org/officeDocument/2006/relationships/hyperlink" Target="https://www.college.police.uk/career-learning/career-development/career-pathways/neighbourhood-policing" TargetMode="External"/><Relationship Id="rId30" Type="http://schemas.openxmlformats.org/officeDocument/2006/relationships/hyperlink" Target="https://www.local.gov.uk/case-studies/copeland-council-multi-agency-local-focus-hub-tackle-asb-and-low-level-crim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5475</Words>
  <Characters>31212</Characters>
  <Application>Microsoft Office Word</Application>
  <DocSecurity>0</DocSecurity>
  <Lines>260</Lines>
  <Paragraphs>73</Paragraphs>
  <ScaleCrop>false</ScaleCrop>
  <Company>Gwent Police</Company>
  <LinksUpToDate>false</LinksUpToDate>
  <CharactersWithSpaces>36614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Parsons, Joseph</dc:creator>
  <cp:keywords/>
  <dc:description/>
  <cp:lastModifiedBy>Parsons, Joseph</cp:lastModifiedBy>
  <cp:revision>3</cp:revision>
  <dcterms:created xsi:type="dcterms:W3CDTF">2023-11-24T20:30:00Z</dcterms:created>
  <dcterms:modified xsi:type="dcterms:W3CDTF">2023-11-24T20:32:00Z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2023-11-24T20:18:06Z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63ffc8f1-e76d-4873-aa08-0cb61b0cc6d2</vt:lpwstr>
  </property>
  <property fmtid="{D5CDD505-2E9C-101B-9397-08002B2CF9AE}" pid="8" name="MSIP_Label_f2acd28b-79a3-4a0f-b0ff-4b75658b1549_ContentBits">
    <vt:lpwstr>0</vt:lpwstr>
  </property>
</Properties>
</file>