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4C83" w:rsidRDefault="004E0545" w:rsidP="00734C83">
      <w:pPr>
        <w:spacing w:line="360" w:lineRule="auto"/>
        <w:jc w:val="both"/>
        <w:rPr>
          <w:b/>
        </w:rPr>
      </w:pPr>
      <w:r>
        <w:rPr>
          <w:noProof/>
        </w:rPr>
        <mc:AlternateContent>
          <mc:Choice Requires="wps">
            <w:drawing>
              <wp:anchor distT="0" distB="0" distL="114300" distR="114300" simplePos="0" relativeHeight="251658240" behindDoc="0" locked="0" layoutInCell="1" allowOverlap="1">
                <wp:simplePos x="0" y="0"/>
                <wp:positionH relativeFrom="column">
                  <wp:posOffset>0</wp:posOffset>
                </wp:positionH>
                <wp:positionV relativeFrom="paragraph">
                  <wp:posOffset>-1</wp:posOffset>
                </wp:positionV>
                <wp:extent cx="6463430" cy="757825"/>
                <wp:effectExtent l="0" t="0" r="0" b="0"/>
                <wp:wrapNone/>
                <wp:docPr id="1" name="Text Box 1"/>
                <wp:cNvGraphicFramePr/>
                <a:graphic xmlns:a="http://schemas.openxmlformats.org/drawingml/2006/main">
                  <a:graphicData uri="http://schemas.microsoft.com/office/word/2010/wordprocessingShape">
                    <wps:wsp>
                      <wps:cNvSpPr txBox="1"/>
                      <wps:spPr>
                        <a:xfrm>
                          <a:off x="0" y="0"/>
                          <a:ext cx="6463430" cy="757825"/>
                        </a:xfrm>
                        <a:prstGeom prst="rect">
                          <a:avLst/>
                        </a:prstGeom>
                        <a:noFill/>
                        <a:ln>
                          <a:noFill/>
                        </a:ln>
                      </wps:spPr>
                      <wps:txbx>
                        <w:txbxContent>
                          <w:p w:rsidR="00734C83" w:rsidRPr="00F66428" w:rsidRDefault="004E0545" w:rsidP="00734C83">
                            <w:pPr>
                              <w:spacing w:line="360" w:lineRule="auto"/>
                              <w:jc w:val="cente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6428">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0;margin-top:0;width:508.95pt;height:59.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" filled="f" stroked="f">
                <v:textbox>
                  <w:txbxContent>
                    <w:p w:rsidR="00734C83" w:rsidRPr="00F66428" w:rsidRDefault="004E0545" w:rsidP="00734C83">
                      <w:pPr>
                        <w:spacing w:line="360" w:lineRule="auto"/>
                        <w:jc w:val="cente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6428">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p>
                  </w:txbxContent>
                </v:textbox>
              </v:shape>
            </w:pict>
          </mc:Fallback>
        </mc:AlternateContent>
      </w:r>
    </w:p>
    <w:p w:rsidR="00734C83" w:rsidRDefault="00734C83" w:rsidP="00734C83">
      <w:pPr>
        <w:spacing w:line="360" w:lineRule="auto"/>
        <w:jc w:val="both"/>
        <w:rPr>
          <w:b/>
        </w:rPr>
      </w:pPr>
    </w:p>
    <w:p w:rsidR="00734C83" w:rsidRDefault="00734C83" w:rsidP="00734C83">
      <w:pPr>
        <w:spacing w:line="360" w:lineRule="auto"/>
        <w:jc w:val="both"/>
        <w:rPr>
          <w:b/>
        </w:rPr>
      </w:pPr>
    </w:p>
    <w:p w:rsidR="00734C83" w:rsidRDefault="00734C83" w:rsidP="00734C83">
      <w:pPr>
        <w:spacing w:line="360" w:lineRule="auto"/>
        <w:jc w:val="both"/>
        <w:rPr>
          <w:b/>
        </w:rPr>
      </w:pPr>
    </w:p>
    <w:p w:rsidR="00734C83" w:rsidRDefault="00734C83" w:rsidP="00734C83">
      <w:pPr>
        <w:spacing w:line="360" w:lineRule="auto"/>
        <w:jc w:val="both"/>
        <w:rPr>
          <w:b/>
        </w:rPr>
      </w:pPr>
    </w:p>
    <w:p w:rsidR="00734C83" w:rsidRDefault="004E0545" w:rsidP="00734C83">
      <w:pPr>
        <w:spacing w:line="360" w:lineRule="auto"/>
        <w:jc w:val="center"/>
        <w:rPr>
          <w:b/>
          <w:sz w:val="36"/>
          <w:szCs w:val="36"/>
        </w:rPr>
      </w:pPr>
      <w:r w:rsidRPr="00F66428">
        <w:rPr>
          <w:b/>
          <w:sz w:val="36"/>
          <w:szCs w:val="36"/>
        </w:rPr>
        <w:t>L</w:t>
      </w:r>
      <w:r>
        <w:rPr>
          <w:b/>
          <w:sz w:val="36"/>
          <w:szCs w:val="36"/>
        </w:rPr>
        <w:t>CDB70005-A2</w:t>
      </w:r>
    </w:p>
    <w:p w:rsidR="00734C83" w:rsidRDefault="00734C83" w:rsidP="00734C83">
      <w:pPr>
        <w:spacing w:line="360" w:lineRule="auto"/>
        <w:jc w:val="center"/>
        <w:rPr>
          <w:b/>
          <w:sz w:val="36"/>
          <w:szCs w:val="36"/>
        </w:rPr>
      </w:pPr>
    </w:p>
    <w:p w:rsidR="00734C83" w:rsidRPr="00F66428" w:rsidRDefault="004E0545" w:rsidP="00734C83">
      <w:pPr>
        <w:spacing w:line="360" w:lineRule="auto"/>
        <w:jc w:val="center"/>
        <w:rPr>
          <w:b/>
          <w:sz w:val="36"/>
          <w:szCs w:val="36"/>
        </w:rPr>
      </w:pPr>
      <w:r>
        <w:rPr>
          <w:b/>
          <w:sz w:val="36"/>
          <w:szCs w:val="36"/>
        </w:rPr>
        <w:t>STRATEGIC CHANGE AND ORGANISATIONS</w:t>
      </w:r>
    </w:p>
    <w:p w:rsidR="00734C83" w:rsidRDefault="00734C83" w:rsidP="00734C83">
      <w:pPr>
        <w:spacing w:line="360" w:lineRule="auto"/>
        <w:jc w:val="both"/>
        <w:rPr>
          <w:b/>
        </w:rPr>
      </w:pPr>
    </w:p>
    <w:p w:rsidR="00734C83" w:rsidRDefault="00734C83" w:rsidP="00734C83">
      <w:pPr>
        <w:spacing w:line="360" w:lineRule="auto"/>
        <w:jc w:val="both"/>
        <w:rPr>
          <w:b/>
        </w:rPr>
      </w:pPr>
    </w:p>
    <w:p w:rsidR="00734C83" w:rsidRPr="00F66428" w:rsidRDefault="004E0545" w:rsidP="00734C83">
      <w:pPr>
        <w:spacing w:line="360" w:lineRule="auto"/>
        <w:jc w:val="both"/>
      </w:pPr>
      <w:r>
        <w:rPr>
          <w:b/>
        </w:rPr>
        <w:t xml:space="preserve">PROGRAMME: </w:t>
      </w:r>
      <w:r w:rsidRPr="00F66428">
        <w:t>DOCTOR OF BUSINESS ADMINISTRATION (DBA)</w:t>
      </w:r>
    </w:p>
    <w:p w:rsidR="00734C83" w:rsidRDefault="00734C83" w:rsidP="00734C83">
      <w:pPr>
        <w:spacing w:line="360" w:lineRule="auto"/>
        <w:jc w:val="both"/>
        <w:rPr>
          <w:b/>
        </w:rPr>
      </w:pPr>
    </w:p>
    <w:p w:rsidR="00734C83" w:rsidRDefault="004E0545" w:rsidP="00734C83">
      <w:pPr>
        <w:spacing w:line="360" w:lineRule="auto"/>
        <w:jc w:val="both"/>
      </w:pPr>
      <w:r>
        <w:rPr>
          <w:b/>
        </w:rPr>
        <w:t xml:space="preserve">STUDENT NAME AND ID: </w:t>
      </w:r>
      <w:r w:rsidRPr="00F66428">
        <w:t>JENIFER MHOJA NKWABI (SID: 1814553)</w:t>
      </w:r>
    </w:p>
    <w:p w:rsidR="00734C83" w:rsidRDefault="00734C83" w:rsidP="00734C83">
      <w:pPr>
        <w:spacing w:line="360" w:lineRule="auto"/>
        <w:jc w:val="both"/>
      </w:pPr>
    </w:p>
    <w:p w:rsidR="00734C83" w:rsidRPr="00F66428" w:rsidRDefault="004E0545" w:rsidP="00734C83">
      <w:pPr>
        <w:spacing w:line="360" w:lineRule="auto"/>
        <w:jc w:val="both"/>
        <w:rPr>
          <w:b/>
        </w:rPr>
      </w:pPr>
      <w:r w:rsidRPr="00F66428">
        <w:rPr>
          <w:b/>
        </w:rPr>
        <w:t>ASSIGNMENT TITLE:</w:t>
      </w:r>
      <w:r>
        <w:rPr>
          <w:b/>
        </w:rPr>
        <w:t xml:space="preserve"> </w:t>
      </w:r>
      <w:r w:rsidRPr="009F510A">
        <w:t>Strategic Change and Organisation</w:t>
      </w:r>
      <w:r>
        <w:t xml:space="preserve"> (Evaluation of Strategic Changes for Banco Santander Bank).</w:t>
      </w:r>
    </w:p>
    <w:p w:rsidR="00734C83" w:rsidRDefault="00734C83" w:rsidP="00734C83">
      <w:pPr>
        <w:spacing w:line="360" w:lineRule="auto"/>
        <w:jc w:val="both"/>
      </w:pPr>
    </w:p>
    <w:p w:rsidR="00734C83" w:rsidRPr="00F66428" w:rsidRDefault="004E0545" w:rsidP="00734C83">
      <w:pPr>
        <w:spacing w:line="360" w:lineRule="auto"/>
        <w:jc w:val="both"/>
      </w:pPr>
      <w:r w:rsidRPr="00F66428">
        <w:rPr>
          <w:b/>
        </w:rPr>
        <w:t>MODULE TUTOR:</w:t>
      </w:r>
      <w:r>
        <w:t xml:space="preserve"> Dr GLADIUS KULOTHUNGAN </w:t>
      </w:r>
    </w:p>
    <w:p w:rsidR="00734C83" w:rsidRDefault="00734C83" w:rsidP="00734C83">
      <w:pPr>
        <w:spacing w:line="360" w:lineRule="auto"/>
        <w:jc w:val="both"/>
        <w:rPr>
          <w:b/>
        </w:rPr>
      </w:pPr>
    </w:p>
    <w:p w:rsidR="00734C83" w:rsidRDefault="00734C83" w:rsidP="00734C83">
      <w:pPr>
        <w:spacing w:line="360" w:lineRule="auto"/>
        <w:jc w:val="both"/>
        <w:rPr>
          <w:b/>
        </w:rPr>
      </w:pPr>
    </w:p>
    <w:p w:rsidR="00734C83" w:rsidRDefault="00734C83" w:rsidP="00734C83">
      <w:pPr>
        <w:spacing w:line="360" w:lineRule="auto"/>
        <w:jc w:val="both"/>
        <w:rPr>
          <w:b/>
        </w:rPr>
      </w:pPr>
    </w:p>
    <w:p w:rsidR="00734C83" w:rsidRDefault="00734C83" w:rsidP="00734C83">
      <w:pPr>
        <w:spacing w:line="360" w:lineRule="auto"/>
        <w:jc w:val="both"/>
        <w:rPr>
          <w:b/>
        </w:rPr>
      </w:pPr>
    </w:p>
    <w:p w:rsidR="00734C83" w:rsidRDefault="00734C83" w:rsidP="00734C83">
      <w:pPr>
        <w:spacing w:line="360" w:lineRule="auto"/>
        <w:jc w:val="both"/>
        <w:rPr>
          <w:b/>
        </w:rPr>
      </w:pPr>
    </w:p>
    <w:p w:rsidR="00734C83" w:rsidRDefault="004E0545" w:rsidP="00734C83">
      <w:pPr>
        <w:spacing w:line="360" w:lineRule="auto"/>
        <w:jc w:val="both"/>
        <w:rPr>
          <w:b/>
        </w:rPr>
      </w:pPr>
      <w:r>
        <w:rPr>
          <w:b/>
        </w:rPr>
        <w:t xml:space="preserve">WORD COUNT: </w:t>
      </w:r>
      <w:r>
        <w:t xml:space="preserve"> </w:t>
      </w:r>
      <w:r w:rsidR="009C0B5E">
        <w:t xml:space="preserve">4364, </w:t>
      </w:r>
      <w:r w:rsidRPr="005013CE">
        <w:t>excluding</w:t>
      </w:r>
      <w:r>
        <w:t xml:space="preserve">, </w:t>
      </w:r>
      <w:r w:rsidRPr="005013CE">
        <w:t xml:space="preserve">table of contents, titles, </w:t>
      </w:r>
      <w:r w:rsidR="009C0B5E">
        <w:t xml:space="preserve">tables, figures, </w:t>
      </w:r>
      <w:r w:rsidRPr="005013CE">
        <w:t>appendixes and references</w:t>
      </w:r>
      <w:r w:rsidR="009C0B5E">
        <w:t>.</w:t>
      </w: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867A92" w:rsidRDefault="004E0545" w:rsidP="00867A92">
      <w:pPr>
        <w:rPr>
          <w:b/>
        </w:rPr>
      </w:pPr>
      <w:r>
        <w:rPr>
          <w:b/>
        </w:rPr>
        <w:t>ABSTRACT</w:t>
      </w:r>
    </w:p>
    <w:p w:rsidR="009C35B4" w:rsidRDefault="009C35B4" w:rsidP="00867A92">
      <w:pPr>
        <w:rPr>
          <w:b/>
        </w:rPr>
      </w:pPr>
    </w:p>
    <w:p w:rsidR="00867A92" w:rsidRDefault="00867A92" w:rsidP="00867A92"/>
    <w:p w:rsidR="00867A92" w:rsidRDefault="004E0545" w:rsidP="00867A92">
      <w:pPr>
        <w:spacing w:line="480" w:lineRule="auto"/>
        <w:jc w:val="both"/>
      </w:pPr>
      <w:r>
        <w:t>Business survival is the most important factor in any organisation. For an organisation to survive, it needs to evolve, and this can only be done through changes. Transformation is the key to an organisation's survival. The most constant thing in everybody's life is "change", everyone changes, from our bodies to our characters to our needs to our goals and so on and the same applies to organisations.</w:t>
      </w:r>
    </w:p>
    <w:p w:rsidR="00867A92" w:rsidRDefault="00867A92" w:rsidP="00867A92">
      <w:pPr>
        <w:spacing w:line="480" w:lineRule="auto"/>
        <w:jc w:val="both"/>
      </w:pPr>
    </w:p>
    <w:p w:rsidR="00867A92" w:rsidRDefault="004E0545" w:rsidP="00867A92">
      <w:pPr>
        <w:spacing w:line="480" w:lineRule="auto"/>
        <w:jc w:val="both"/>
      </w:pPr>
      <w:r>
        <w:t>One of the major reasons for organisational change is to allow for growth and diversity as well as to establish dominance in their respective industries and such is usually attained through globalisation. Companies tend to seek external growth when in-house growth has already reached its mountaintop or as a way of competing with domestic businesses. This study focuses on Banco Santander's (Spanish Bank) strategic journey of transformation from an average Spanish Bank</w:t>
      </w:r>
      <w:r w:rsidR="007C4711" w:rsidRPr="007C4711">
        <w:t xml:space="preserve"> to a major retail banking operator and leader in the world</w:t>
      </w:r>
      <w:r w:rsidR="007C4711">
        <w:t xml:space="preserve"> of financial systems</w:t>
      </w:r>
      <w:r>
        <w:t xml:space="preserve">. The transformation led to significant changes in the banks business profile and provided growth opportunity in the banking market that significantly increased market capitalisation. Banco Santander used three processes in achieving international growth: 1. Constructing competencies in the home-market, 2. </w:t>
      </w:r>
      <w:r w:rsidR="00437CD7" w:rsidRPr="00437CD7">
        <w:t>Create foreign-market development possibilities via strategic partnerships and acquisitions</w:t>
      </w:r>
      <w:r>
        <w:t xml:space="preserve">, and 3. </w:t>
      </w:r>
      <w:r w:rsidR="00437CD7" w:rsidRPr="00437CD7">
        <w:t xml:space="preserve">Early inclusion of foreign market entry across the board </w:t>
      </w:r>
      <w:r w:rsidRPr="005F03E7">
        <w:t>(</w:t>
      </w:r>
      <w:proofErr w:type="spellStart"/>
      <w:r w:rsidRPr="005F03E7">
        <w:t>Parada</w:t>
      </w:r>
      <w:proofErr w:type="spellEnd"/>
      <w:r w:rsidRPr="005F03E7">
        <w:t xml:space="preserve"> et al. 2009</w:t>
      </w:r>
      <w:r>
        <w:t>).</w:t>
      </w:r>
    </w:p>
    <w:p w:rsidR="007C4711" w:rsidRDefault="007C4711" w:rsidP="00867A92">
      <w:pPr>
        <w:spacing w:line="480" w:lineRule="auto"/>
        <w:jc w:val="both"/>
      </w:pPr>
    </w:p>
    <w:p w:rsidR="00867A92" w:rsidRPr="009C35B4" w:rsidRDefault="004E0545" w:rsidP="009C35B4">
      <w:pPr>
        <w:spacing w:line="480" w:lineRule="auto"/>
        <w:jc w:val="both"/>
      </w:pPr>
      <w:r>
        <w:t xml:space="preserve">The study analyses the strategic change programme of Banco Santander from a domestic platform to an international brand through theories and models. It also evaluates the structural choices and design changes of the revolutionary curriculum adopted by Banco Santander and lessons to be learnt by other banks looking to internationalize their platforms. </w:t>
      </w:r>
    </w:p>
    <w:p w:rsidR="00867A92" w:rsidRDefault="00867A92" w:rsidP="00AE331F">
      <w:pPr>
        <w:jc w:val="center"/>
        <w:rPr>
          <w:b/>
        </w:rPr>
      </w:pPr>
    </w:p>
    <w:p w:rsidR="00D14DCA" w:rsidRDefault="004E0545" w:rsidP="00CC4E23">
      <w:pPr>
        <w:jc w:val="center"/>
        <w:rPr>
          <w:b/>
        </w:rPr>
      </w:pPr>
      <w:r>
        <w:rPr>
          <w:b/>
        </w:rPr>
        <w:lastRenderedPageBreak/>
        <w:t>TABLE OF CONTENTS</w:t>
      </w:r>
    </w:p>
    <w:p w:rsidR="00D14DCA" w:rsidRDefault="00D14DCA">
      <w:pPr>
        <w:rPr>
          <w:b/>
        </w:rPr>
      </w:pPr>
    </w:p>
    <w:p w:rsidR="00D14DCA" w:rsidRDefault="00D14DCA">
      <w:pPr>
        <w:rPr>
          <w:b/>
        </w:rPr>
      </w:pPr>
    </w:p>
    <w:sdt>
      <w:sdtPr>
        <w:rPr>
          <w:rFonts w:ascii="Times New Roman" w:eastAsia="Times New Roman" w:hAnsi="Times New Roman" w:cs="Times New Roman"/>
          <w:b w:val="0"/>
          <w:bCs w:val="0"/>
          <w:color w:val="auto"/>
          <w:sz w:val="24"/>
          <w:szCs w:val="24"/>
          <w:lang w:val="en-GB"/>
        </w:rPr>
        <w:id w:val="1284850009"/>
        <w:docPartObj>
          <w:docPartGallery w:val="Table of Contents"/>
          <w:docPartUnique/>
        </w:docPartObj>
      </w:sdtPr>
      <w:sdtEndPr>
        <w:rPr>
          <w:noProof/>
        </w:rPr>
      </w:sdtEndPr>
      <w:sdtContent>
        <w:p w:rsidR="000077AD" w:rsidRDefault="000077AD">
          <w:pPr>
            <w:pStyle w:val="TOCHeading"/>
          </w:pPr>
        </w:p>
        <w:p w:rsidR="00611C08" w:rsidRDefault="000077AD">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9822892" w:history="1">
            <w:r w:rsidR="00611C08" w:rsidRPr="005636CF">
              <w:rPr>
                <w:rStyle w:val="Hyperlink"/>
                <w:noProof/>
              </w:rPr>
              <w:t>INTRODUCTION</w:t>
            </w:r>
            <w:r w:rsidR="00611C08">
              <w:rPr>
                <w:noProof/>
                <w:webHidden/>
              </w:rPr>
              <w:tab/>
            </w:r>
            <w:r w:rsidR="00611C08">
              <w:rPr>
                <w:noProof/>
                <w:webHidden/>
              </w:rPr>
              <w:fldChar w:fldCharType="begin"/>
            </w:r>
            <w:r w:rsidR="00611C08">
              <w:rPr>
                <w:noProof/>
                <w:webHidden/>
              </w:rPr>
              <w:instrText xml:space="preserve"> PAGEREF _Toc19822892 \h </w:instrText>
            </w:r>
            <w:r w:rsidR="00611C08">
              <w:rPr>
                <w:noProof/>
                <w:webHidden/>
              </w:rPr>
            </w:r>
            <w:r w:rsidR="00611C08">
              <w:rPr>
                <w:noProof/>
                <w:webHidden/>
              </w:rPr>
              <w:fldChar w:fldCharType="separate"/>
            </w:r>
            <w:r w:rsidR="00611C08">
              <w:rPr>
                <w:noProof/>
                <w:webHidden/>
              </w:rPr>
              <w:t>4</w:t>
            </w:r>
            <w:r w:rsidR="00611C08">
              <w:rPr>
                <w:noProof/>
                <w:webHidden/>
              </w:rPr>
              <w:fldChar w:fldCharType="end"/>
            </w:r>
          </w:hyperlink>
        </w:p>
        <w:p w:rsidR="00611C08" w:rsidRDefault="00E325B3">
          <w:pPr>
            <w:pStyle w:val="TOC2"/>
            <w:tabs>
              <w:tab w:val="right" w:leader="dot" w:pos="9010"/>
            </w:tabs>
            <w:rPr>
              <w:rFonts w:eastAsiaTheme="minorEastAsia" w:cstheme="minorBidi"/>
              <w:b w:val="0"/>
              <w:bCs w:val="0"/>
              <w:noProof/>
              <w:sz w:val="24"/>
              <w:szCs w:val="24"/>
            </w:rPr>
          </w:pPr>
          <w:hyperlink w:anchor="_Toc19822893" w:history="1">
            <w:r w:rsidR="00611C08" w:rsidRPr="005636CF">
              <w:rPr>
                <w:rStyle w:val="Hyperlink"/>
                <w:noProof/>
              </w:rPr>
              <w:t>Company Background (Strategic history of Banco Santander)</w:t>
            </w:r>
            <w:r w:rsidR="00611C08">
              <w:rPr>
                <w:noProof/>
                <w:webHidden/>
              </w:rPr>
              <w:tab/>
            </w:r>
            <w:r w:rsidR="00611C08">
              <w:rPr>
                <w:noProof/>
                <w:webHidden/>
              </w:rPr>
              <w:fldChar w:fldCharType="begin"/>
            </w:r>
            <w:r w:rsidR="00611C08">
              <w:rPr>
                <w:noProof/>
                <w:webHidden/>
              </w:rPr>
              <w:instrText xml:space="preserve"> PAGEREF _Toc19822893 \h </w:instrText>
            </w:r>
            <w:r w:rsidR="00611C08">
              <w:rPr>
                <w:noProof/>
                <w:webHidden/>
              </w:rPr>
            </w:r>
            <w:r w:rsidR="00611C08">
              <w:rPr>
                <w:noProof/>
                <w:webHidden/>
              </w:rPr>
              <w:fldChar w:fldCharType="separate"/>
            </w:r>
            <w:r w:rsidR="00611C08">
              <w:rPr>
                <w:noProof/>
                <w:webHidden/>
              </w:rPr>
              <w:t>5</w:t>
            </w:r>
            <w:r w:rsidR="00611C08">
              <w:rPr>
                <w:noProof/>
                <w:webHidden/>
              </w:rPr>
              <w:fldChar w:fldCharType="end"/>
            </w:r>
          </w:hyperlink>
        </w:p>
        <w:p w:rsidR="00611C08" w:rsidRDefault="00E325B3">
          <w:pPr>
            <w:pStyle w:val="TOC2"/>
            <w:tabs>
              <w:tab w:val="right" w:leader="dot" w:pos="9010"/>
            </w:tabs>
            <w:rPr>
              <w:rFonts w:eastAsiaTheme="minorEastAsia" w:cstheme="minorBidi"/>
              <w:b w:val="0"/>
              <w:bCs w:val="0"/>
              <w:noProof/>
              <w:sz w:val="24"/>
              <w:szCs w:val="24"/>
            </w:rPr>
          </w:pPr>
          <w:hyperlink w:anchor="_Toc19822894" w:history="1">
            <w:r w:rsidR="00611C08" w:rsidRPr="005636CF">
              <w:rPr>
                <w:rStyle w:val="Hyperlink"/>
                <w:rFonts w:eastAsiaTheme="majorEastAsia" w:cstheme="majorBidi"/>
                <w:noProof/>
              </w:rPr>
              <w:t>The Evaluation of the Change Programme of Banco Santander (2005-2008): An Uppsala Model Analysis</w:t>
            </w:r>
            <w:r w:rsidR="00611C08">
              <w:rPr>
                <w:noProof/>
                <w:webHidden/>
              </w:rPr>
              <w:tab/>
            </w:r>
            <w:r w:rsidR="00611C08">
              <w:rPr>
                <w:noProof/>
                <w:webHidden/>
              </w:rPr>
              <w:fldChar w:fldCharType="begin"/>
            </w:r>
            <w:r w:rsidR="00611C08">
              <w:rPr>
                <w:noProof/>
                <w:webHidden/>
              </w:rPr>
              <w:instrText xml:space="preserve"> PAGEREF _Toc19822894 \h </w:instrText>
            </w:r>
            <w:r w:rsidR="00611C08">
              <w:rPr>
                <w:noProof/>
                <w:webHidden/>
              </w:rPr>
            </w:r>
            <w:r w:rsidR="00611C08">
              <w:rPr>
                <w:noProof/>
                <w:webHidden/>
              </w:rPr>
              <w:fldChar w:fldCharType="separate"/>
            </w:r>
            <w:r w:rsidR="00611C08">
              <w:rPr>
                <w:noProof/>
                <w:webHidden/>
              </w:rPr>
              <w:t>6</w:t>
            </w:r>
            <w:r w:rsidR="00611C08">
              <w:rPr>
                <w:noProof/>
                <w:webHidden/>
              </w:rPr>
              <w:fldChar w:fldCharType="end"/>
            </w:r>
          </w:hyperlink>
        </w:p>
        <w:p w:rsidR="00611C08" w:rsidRDefault="00E325B3">
          <w:pPr>
            <w:pStyle w:val="TOC2"/>
            <w:tabs>
              <w:tab w:val="right" w:leader="dot" w:pos="9010"/>
            </w:tabs>
            <w:rPr>
              <w:rFonts w:eastAsiaTheme="minorEastAsia" w:cstheme="minorBidi"/>
              <w:b w:val="0"/>
              <w:bCs w:val="0"/>
              <w:noProof/>
              <w:sz w:val="24"/>
              <w:szCs w:val="24"/>
            </w:rPr>
          </w:pPr>
          <w:hyperlink w:anchor="_Toc19822895" w:history="1">
            <w:r w:rsidR="00611C08" w:rsidRPr="005636CF">
              <w:rPr>
                <w:rStyle w:val="Hyperlink"/>
                <w:noProof/>
              </w:rPr>
              <w:t>Uppsala Model</w:t>
            </w:r>
            <w:r w:rsidR="00611C08">
              <w:rPr>
                <w:noProof/>
                <w:webHidden/>
              </w:rPr>
              <w:tab/>
            </w:r>
            <w:r w:rsidR="00611C08">
              <w:rPr>
                <w:noProof/>
                <w:webHidden/>
              </w:rPr>
              <w:fldChar w:fldCharType="begin"/>
            </w:r>
            <w:r w:rsidR="00611C08">
              <w:rPr>
                <w:noProof/>
                <w:webHidden/>
              </w:rPr>
              <w:instrText xml:space="preserve"> PAGEREF _Toc19822895 \h </w:instrText>
            </w:r>
            <w:r w:rsidR="00611C08">
              <w:rPr>
                <w:noProof/>
                <w:webHidden/>
              </w:rPr>
            </w:r>
            <w:r w:rsidR="00611C08">
              <w:rPr>
                <w:noProof/>
                <w:webHidden/>
              </w:rPr>
              <w:fldChar w:fldCharType="separate"/>
            </w:r>
            <w:r w:rsidR="00611C08">
              <w:rPr>
                <w:noProof/>
                <w:webHidden/>
              </w:rPr>
              <w:t>7</w:t>
            </w:r>
            <w:r w:rsidR="00611C08">
              <w:rPr>
                <w:noProof/>
                <w:webHidden/>
              </w:rPr>
              <w:fldChar w:fldCharType="end"/>
            </w:r>
          </w:hyperlink>
        </w:p>
        <w:p w:rsidR="00611C08" w:rsidRDefault="00E325B3">
          <w:pPr>
            <w:pStyle w:val="TOC2"/>
            <w:tabs>
              <w:tab w:val="right" w:leader="dot" w:pos="9010"/>
            </w:tabs>
            <w:rPr>
              <w:rFonts w:eastAsiaTheme="minorEastAsia" w:cstheme="minorBidi"/>
              <w:b w:val="0"/>
              <w:bCs w:val="0"/>
              <w:noProof/>
              <w:sz w:val="24"/>
              <w:szCs w:val="24"/>
            </w:rPr>
          </w:pPr>
          <w:hyperlink w:anchor="_Toc19822896" w:history="1">
            <w:r w:rsidR="00611C08" w:rsidRPr="005636CF">
              <w:rPr>
                <w:rStyle w:val="Hyperlink"/>
                <w:noProof/>
                <w:shd w:val="clear" w:color="auto" w:fill="FFFFFF"/>
              </w:rPr>
              <w:t>State Aspects</w:t>
            </w:r>
            <w:r w:rsidR="00611C08">
              <w:rPr>
                <w:noProof/>
                <w:webHidden/>
              </w:rPr>
              <w:tab/>
            </w:r>
            <w:r w:rsidR="00611C08">
              <w:rPr>
                <w:noProof/>
                <w:webHidden/>
              </w:rPr>
              <w:fldChar w:fldCharType="begin"/>
            </w:r>
            <w:r w:rsidR="00611C08">
              <w:rPr>
                <w:noProof/>
                <w:webHidden/>
              </w:rPr>
              <w:instrText xml:space="preserve"> PAGEREF _Toc19822896 \h </w:instrText>
            </w:r>
            <w:r w:rsidR="00611C08">
              <w:rPr>
                <w:noProof/>
                <w:webHidden/>
              </w:rPr>
            </w:r>
            <w:r w:rsidR="00611C08">
              <w:rPr>
                <w:noProof/>
                <w:webHidden/>
              </w:rPr>
              <w:fldChar w:fldCharType="separate"/>
            </w:r>
            <w:r w:rsidR="00611C08">
              <w:rPr>
                <w:noProof/>
                <w:webHidden/>
              </w:rPr>
              <w:t>8</w:t>
            </w:r>
            <w:r w:rsidR="00611C08">
              <w:rPr>
                <w:noProof/>
                <w:webHidden/>
              </w:rPr>
              <w:fldChar w:fldCharType="end"/>
            </w:r>
          </w:hyperlink>
        </w:p>
        <w:p w:rsidR="00611C08" w:rsidRDefault="00E325B3">
          <w:pPr>
            <w:pStyle w:val="TOC2"/>
            <w:tabs>
              <w:tab w:val="right" w:leader="dot" w:pos="9010"/>
            </w:tabs>
            <w:rPr>
              <w:rFonts w:eastAsiaTheme="minorEastAsia" w:cstheme="minorBidi"/>
              <w:b w:val="0"/>
              <w:bCs w:val="0"/>
              <w:noProof/>
              <w:sz w:val="24"/>
              <w:szCs w:val="24"/>
            </w:rPr>
          </w:pPr>
          <w:hyperlink w:anchor="_Toc19822897" w:history="1">
            <w:r w:rsidR="00611C08" w:rsidRPr="005636CF">
              <w:rPr>
                <w:rStyle w:val="Hyperlink"/>
                <w:noProof/>
              </w:rPr>
              <w:t>Change Aspects</w:t>
            </w:r>
            <w:r w:rsidR="00611C08">
              <w:rPr>
                <w:noProof/>
                <w:webHidden/>
              </w:rPr>
              <w:tab/>
            </w:r>
            <w:r w:rsidR="00611C08">
              <w:rPr>
                <w:noProof/>
                <w:webHidden/>
              </w:rPr>
              <w:fldChar w:fldCharType="begin"/>
            </w:r>
            <w:r w:rsidR="00611C08">
              <w:rPr>
                <w:noProof/>
                <w:webHidden/>
              </w:rPr>
              <w:instrText xml:space="preserve"> PAGEREF _Toc19822897 \h </w:instrText>
            </w:r>
            <w:r w:rsidR="00611C08">
              <w:rPr>
                <w:noProof/>
                <w:webHidden/>
              </w:rPr>
            </w:r>
            <w:r w:rsidR="00611C08">
              <w:rPr>
                <w:noProof/>
                <w:webHidden/>
              </w:rPr>
              <w:fldChar w:fldCharType="separate"/>
            </w:r>
            <w:r w:rsidR="00611C08">
              <w:rPr>
                <w:noProof/>
                <w:webHidden/>
              </w:rPr>
              <w:t>10</w:t>
            </w:r>
            <w:r w:rsidR="00611C08">
              <w:rPr>
                <w:noProof/>
                <w:webHidden/>
              </w:rPr>
              <w:fldChar w:fldCharType="end"/>
            </w:r>
          </w:hyperlink>
        </w:p>
        <w:p w:rsidR="00611C08" w:rsidRDefault="00E325B3">
          <w:pPr>
            <w:pStyle w:val="TOC2"/>
            <w:tabs>
              <w:tab w:val="right" w:leader="dot" w:pos="9010"/>
            </w:tabs>
            <w:rPr>
              <w:rFonts w:eastAsiaTheme="minorEastAsia" w:cstheme="minorBidi"/>
              <w:b w:val="0"/>
              <w:bCs w:val="0"/>
              <w:noProof/>
              <w:sz w:val="24"/>
              <w:szCs w:val="24"/>
            </w:rPr>
          </w:pPr>
          <w:hyperlink w:anchor="_Toc19822898" w:history="1">
            <w:r w:rsidR="00611C08" w:rsidRPr="005636CF">
              <w:rPr>
                <w:rStyle w:val="Hyperlink"/>
                <w:rFonts w:eastAsiaTheme="majorEastAsia" w:cstheme="majorBidi"/>
                <w:noProof/>
              </w:rPr>
              <w:t>Investigating the structural and design choices made by Banco Santander in its internationalisation strategy</w:t>
            </w:r>
            <w:r w:rsidR="00611C08">
              <w:rPr>
                <w:noProof/>
                <w:webHidden/>
              </w:rPr>
              <w:tab/>
            </w:r>
            <w:r w:rsidR="00611C08">
              <w:rPr>
                <w:noProof/>
                <w:webHidden/>
              </w:rPr>
              <w:fldChar w:fldCharType="begin"/>
            </w:r>
            <w:r w:rsidR="00611C08">
              <w:rPr>
                <w:noProof/>
                <w:webHidden/>
              </w:rPr>
              <w:instrText xml:space="preserve"> PAGEREF _Toc19822898 \h </w:instrText>
            </w:r>
            <w:r w:rsidR="00611C08">
              <w:rPr>
                <w:noProof/>
                <w:webHidden/>
              </w:rPr>
            </w:r>
            <w:r w:rsidR="00611C08">
              <w:rPr>
                <w:noProof/>
                <w:webHidden/>
              </w:rPr>
              <w:fldChar w:fldCharType="separate"/>
            </w:r>
            <w:r w:rsidR="00611C08">
              <w:rPr>
                <w:noProof/>
                <w:webHidden/>
              </w:rPr>
              <w:t>14</w:t>
            </w:r>
            <w:r w:rsidR="00611C08">
              <w:rPr>
                <w:noProof/>
                <w:webHidden/>
              </w:rPr>
              <w:fldChar w:fldCharType="end"/>
            </w:r>
          </w:hyperlink>
        </w:p>
        <w:p w:rsidR="00611C08" w:rsidRDefault="00E325B3">
          <w:pPr>
            <w:pStyle w:val="TOC1"/>
            <w:tabs>
              <w:tab w:val="right" w:leader="dot" w:pos="9010"/>
            </w:tabs>
            <w:rPr>
              <w:rFonts w:eastAsiaTheme="minorEastAsia" w:cstheme="minorBidi"/>
              <w:b w:val="0"/>
              <w:bCs w:val="0"/>
              <w:i w:val="0"/>
              <w:iCs w:val="0"/>
              <w:noProof/>
            </w:rPr>
          </w:pPr>
          <w:hyperlink w:anchor="_Toc19822899" w:history="1">
            <w:r w:rsidR="00611C08" w:rsidRPr="005636CF">
              <w:rPr>
                <w:rStyle w:val="Hyperlink"/>
                <w:noProof/>
              </w:rPr>
              <w:t>CONCLUSION</w:t>
            </w:r>
            <w:r w:rsidR="00611C08">
              <w:rPr>
                <w:noProof/>
                <w:webHidden/>
              </w:rPr>
              <w:tab/>
            </w:r>
            <w:r w:rsidR="00611C08">
              <w:rPr>
                <w:noProof/>
                <w:webHidden/>
              </w:rPr>
              <w:fldChar w:fldCharType="begin"/>
            </w:r>
            <w:r w:rsidR="00611C08">
              <w:rPr>
                <w:noProof/>
                <w:webHidden/>
              </w:rPr>
              <w:instrText xml:space="preserve"> PAGEREF _Toc19822899 \h </w:instrText>
            </w:r>
            <w:r w:rsidR="00611C08">
              <w:rPr>
                <w:noProof/>
                <w:webHidden/>
              </w:rPr>
            </w:r>
            <w:r w:rsidR="00611C08">
              <w:rPr>
                <w:noProof/>
                <w:webHidden/>
              </w:rPr>
              <w:fldChar w:fldCharType="separate"/>
            </w:r>
            <w:r w:rsidR="00611C08">
              <w:rPr>
                <w:noProof/>
                <w:webHidden/>
              </w:rPr>
              <w:t>17</w:t>
            </w:r>
            <w:r w:rsidR="00611C08">
              <w:rPr>
                <w:noProof/>
                <w:webHidden/>
              </w:rPr>
              <w:fldChar w:fldCharType="end"/>
            </w:r>
          </w:hyperlink>
        </w:p>
        <w:p w:rsidR="00611C08" w:rsidRDefault="00E325B3">
          <w:pPr>
            <w:pStyle w:val="TOC1"/>
            <w:tabs>
              <w:tab w:val="right" w:leader="dot" w:pos="9010"/>
            </w:tabs>
            <w:rPr>
              <w:rFonts w:eastAsiaTheme="minorEastAsia" w:cstheme="minorBidi"/>
              <w:b w:val="0"/>
              <w:bCs w:val="0"/>
              <w:i w:val="0"/>
              <w:iCs w:val="0"/>
              <w:noProof/>
            </w:rPr>
          </w:pPr>
          <w:hyperlink w:anchor="_Toc19822900" w:history="1">
            <w:r w:rsidR="00611C08" w:rsidRPr="005636CF">
              <w:rPr>
                <w:rStyle w:val="Hyperlink"/>
                <w:noProof/>
              </w:rPr>
              <w:t>REFERENCES</w:t>
            </w:r>
            <w:r w:rsidR="00611C08">
              <w:rPr>
                <w:noProof/>
                <w:webHidden/>
              </w:rPr>
              <w:tab/>
            </w:r>
            <w:r w:rsidR="00611C08">
              <w:rPr>
                <w:noProof/>
                <w:webHidden/>
              </w:rPr>
              <w:fldChar w:fldCharType="begin"/>
            </w:r>
            <w:r w:rsidR="00611C08">
              <w:rPr>
                <w:noProof/>
                <w:webHidden/>
              </w:rPr>
              <w:instrText xml:space="preserve"> PAGEREF _Toc19822900 \h </w:instrText>
            </w:r>
            <w:r w:rsidR="00611C08">
              <w:rPr>
                <w:noProof/>
                <w:webHidden/>
              </w:rPr>
            </w:r>
            <w:r w:rsidR="00611C08">
              <w:rPr>
                <w:noProof/>
                <w:webHidden/>
              </w:rPr>
              <w:fldChar w:fldCharType="separate"/>
            </w:r>
            <w:r w:rsidR="00611C08">
              <w:rPr>
                <w:noProof/>
                <w:webHidden/>
              </w:rPr>
              <w:t>18</w:t>
            </w:r>
            <w:r w:rsidR="00611C08">
              <w:rPr>
                <w:noProof/>
                <w:webHidden/>
              </w:rPr>
              <w:fldChar w:fldCharType="end"/>
            </w:r>
          </w:hyperlink>
        </w:p>
        <w:p w:rsidR="00611C08" w:rsidRDefault="00E325B3">
          <w:pPr>
            <w:pStyle w:val="TOC1"/>
            <w:tabs>
              <w:tab w:val="right" w:leader="dot" w:pos="9010"/>
            </w:tabs>
            <w:rPr>
              <w:rFonts w:eastAsiaTheme="minorEastAsia" w:cstheme="minorBidi"/>
              <w:b w:val="0"/>
              <w:bCs w:val="0"/>
              <w:i w:val="0"/>
              <w:iCs w:val="0"/>
              <w:noProof/>
            </w:rPr>
          </w:pPr>
          <w:hyperlink w:anchor="_Toc19822901" w:history="1">
            <w:r w:rsidR="00611C08" w:rsidRPr="005636CF">
              <w:rPr>
                <w:rStyle w:val="Hyperlink"/>
                <w:noProof/>
              </w:rPr>
              <w:t>APPENDIX I</w:t>
            </w:r>
            <w:r w:rsidR="00611C08">
              <w:rPr>
                <w:noProof/>
                <w:webHidden/>
              </w:rPr>
              <w:tab/>
            </w:r>
            <w:r w:rsidR="00611C08">
              <w:rPr>
                <w:noProof/>
                <w:webHidden/>
              </w:rPr>
              <w:fldChar w:fldCharType="begin"/>
            </w:r>
            <w:r w:rsidR="00611C08">
              <w:rPr>
                <w:noProof/>
                <w:webHidden/>
              </w:rPr>
              <w:instrText xml:space="preserve"> PAGEREF _Toc19822901 \h </w:instrText>
            </w:r>
            <w:r w:rsidR="00611C08">
              <w:rPr>
                <w:noProof/>
                <w:webHidden/>
              </w:rPr>
            </w:r>
            <w:r w:rsidR="00611C08">
              <w:rPr>
                <w:noProof/>
                <w:webHidden/>
              </w:rPr>
              <w:fldChar w:fldCharType="separate"/>
            </w:r>
            <w:r w:rsidR="00611C08">
              <w:rPr>
                <w:noProof/>
                <w:webHidden/>
              </w:rPr>
              <w:t>22</w:t>
            </w:r>
            <w:r w:rsidR="00611C08">
              <w:rPr>
                <w:noProof/>
                <w:webHidden/>
              </w:rPr>
              <w:fldChar w:fldCharType="end"/>
            </w:r>
          </w:hyperlink>
        </w:p>
        <w:p w:rsidR="00611C08" w:rsidRDefault="00E325B3">
          <w:pPr>
            <w:pStyle w:val="TOC1"/>
            <w:tabs>
              <w:tab w:val="right" w:leader="dot" w:pos="9010"/>
            </w:tabs>
            <w:rPr>
              <w:rFonts w:eastAsiaTheme="minorEastAsia" w:cstheme="minorBidi"/>
              <w:b w:val="0"/>
              <w:bCs w:val="0"/>
              <w:i w:val="0"/>
              <w:iCs w:val="0"/>
              <w:noProof/>
            </w:rPr>
          </w:pPr>
          <w:hyperlink w:anchor="_Toc19822902" w:history="1">
            <w:r w:rsidR="00611C08" w:rsidRPr="005636CF">
              <w:rPr>
                <w:rStyle w:val="Hyperlink"/>
                <w:noProof/>
              </w:rPr>
              <w:t>APPENDIX: II</w:t>
            </w:r>
            <w:r w:rsidR="00611C08">
              <w:rPr>
                <w:noProof/>
                <w:webHidden/>
              </w:rPr>
              <w:tab/>
            </w:r>
            <w:r w:rsidR="00611C08">
              <w:rPr>
                <w:noProof/>
                <w:webHidden/>
              </w:rPr>
              <w:fldChar w:fldCharType="begin"/>
            </w:r>
            <w:r w:rsidR="00611C08">
              <w:rPr>
                <w:noProof/>
                <w:webHidden/>
              </w:rPr>
              <w:instrText xml:space="preserve"> PAGEREF _Toc19822902 \h </w:instrText>
            </w:r>
            <w:r w:rsidR="00611C08">
              <w:rPr>
                <w:noProof/>
                <w:webHidden/>
              </w:rPr>
            </w:r>
            <w:r w:rsidR="00611C08">
              <w:rPr>
                <w:noProof/>
                <w:webHidden/>
              </w:rPr>
              <w:fldChar w:fldCharType="separate"/>
            </w:r>
            <w:r w:rsidR="00611C08">
              <w:rPr>
                <w:noProof/>
                <w:webHidden/>
              </w:rPr>
              <w:t>24</w:t>
            </w:r>
            <w:r w:rsidR="00611C08">
              <w:rPr>
                <w:noProof/>
                <w:webHidden/>
              </w:rPr>
              <w:fldChar w:fldCharType="end"/>
            </w:r>
          </w:hyperlink>
        </w:p>
        <w:p w:rsidR="00611C08" w:rsidRDefault="00E325B3">
          <w:pPr>
            <w:pStyle w:val="TOC1"/>
            <w:tabs>
              <w:tab w:val="right" w:leader="dot" w:pos="9010"/>
            </w:tabs>
            <w:rPr>
              <w:rFonts w:eastAsiaTheme="minorEastAsia" w:cstheme="minorBidi"/>
              <w:b w:val="0"/>
              <w:bCs w:val="0"/>
              <w:i w:val="0"/>
              <w:iCs w:val="0"/>
              <w:noProof/>
            </w:rPr>
          </w:pPr>
          <w:hyperlink w:anchor="_Toc19822903" w:history="1">
            <w:r w:rsidR="00611C08" w:rsidRPr="005636CF">
              <w:rPr>
                <w:rStyle w:val="Hyperlink"/>
                <w:noProof/>
              </w:rPr>
              <w:t>APPENDIX: III</w:t>
            </w:r>
            <w:r w:rsidR="00611C08">
              <w:rPr>
                <w:noProof/>
                <w:webHidden/>
              </w:rPr>
              <w:tab/>
            </w:r>
            <w:r w:rsidR="00611C08">
              <w:rPr>
                <w:noProof/>
                <w:webHidden/>
              </w:rPr>
              <w:fldChar w:fldCharType="begin"/>
            </w:r>
            <w:r w:rsidR="00611C08">
              <w:rPr>
                <w:noProof/>
                <w:webHidden/>
              </w:rPr>
              <w:instrText xml:space="preserve"> PAGEREF _Toc19822903 \h </w:instrText>
            </w:r>
            <w:r w:rsidR="00611C08">
              <w:rPr>
                <w:noProof/>
                <w:webHidden/>
              </w:rPr>
            </w:r>
            <w:r w:rsidR="00611C08">
              <w:rPr>
                <w:noProof/>
                <w:webHidden/>
              </w:rPr>
              <w:fldChar w:fldCharType="separate"/>
            </w:r>
            <w:r w:rsidR="00611C08">
              <w:rPr>
                <w:noProof/>
                <w:webHidden/>
              </w:rPr>
              <w:t>25</w:t>
            </w:r>
            <w:r w:rsidR="00611C08">
              <w:rPr>
                <w:noProof/>
                <w:webHidden/>
              </w:rPr>
              <w:fldChar w:fldCharType="end"/>
            </w:r>
          </w:hyperlink>
        </w:p>
        <w:p w:rsidR="000077AD" w:rsidRDefault="000077AD">
          <w:r>
            <w:rPr>
              <w:b/>
              <w:bCs/>
              <w:noProof/>
            </w:rPr>
            <w:fldChar w:fldCharType="end"/>
          </w:r>
        </w:p>
      </w:sdtContent>
    </w:sdt>
    <w:p w:rsidR="00D14DCA" w:rsidRDefault="00D14DCA" w:rsidP="000077AD">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D14DCA" w:rsidRDefault="00D14DCA">
      <w:pPr>
        <w:rPr>
          <w:b/>
        </w:rPr>
      </w:pPr>
    </w:p>
    <w:p w:rsidR="00A77FD4" w:rsidRDefault="00A77FD4" w:rsidP="000077AD">
      <w:pPr>
        <w:pStyle w:val="Heading1"/>
        <w:numPr>
          <w:ilvl w:val="0"/>
          <w:numId w:val="0"/>
        </w:numPr>
      </w:pPr>
      <w:bookmarkStart w:id="0" w:name="_Toc19822892"/>
      <w:r>
        <w:lastRenderedPageBreak/>
        <w:t xml:space="preserve">List of Tables </w:t>
      </w:r>
    </w:p>
    <w:p w:rsidR="00A77FD4" w:rsidRPr="00A77FD4" w:rsidRDefault="00A77FD4" w:rsidP="00A77FD4"/>
    <w:p w:rsidR="00A77FD4" w:rsidRDefault="00A77FD4">
      <w:pPr>
        <w:pStyle w:val="TableofFigures"/>
        <w:tabs>
          <w:tab w:val="right" w:leader="dot" w:pos="9010"/>
        </w:tabs>
        <w:rPr>
          <w:noProof/>
        </w:rPr>
      </w:pPr>
      <w:r>
        <w:fldChar w:fldCharType="begin"/>
      </w:r>
      <w:r>
        <w:instrText xml:space="preserve"> TOC \h \z \c "Table" </w:instrText>
      </w:r>
      <w:r>
        <w:fldChar w:fldCharType="separate"/>
      </w:r>
      <w:hyperlink w:anchor="_Toc19823338" w:history="1">
        <w:r w:rsidRPr="009A1805">
          <w:rPr>
            <w:rStyle w:val="Hyperlink"/>
            <w:b/>
            <w:noProof/>
          </w:rPr>
          <w:t>Table 1</w:t>
        </w:r>
        <w:r w:rsidRPr="009A1805">
          <w:rPr>
            <w:rStyle w:val="Hyperlink"/>
            <w:b/>
            <w:noProof/>
            <w:shd w:val="clear" w:color="auto" w:fill="FFFFFF"/>
          </w:rPr>
          <w:t>Market shares in Total Assets for Spanish Banks between 1985-2005</w:t>
        </w:r>
        <w:r>
          <w:rPr>
            <w:noProof/>
            <w:webHidden/>
          </w:rPr>
          <w:tab/>
        </w:r>
        <w:r>
          <w:rPr>
            <w:noProof/>
            <w:webHidden/>
          </w:rPr>
          <w:fldChar w:fldCharType="begin"/>
        </w:r>
        <w:r>
          <w:rPr>
            <w:noProof/>
            <w:webHidden/>
          </w:rPr>
          <w:instrText xml:space="preserve"> PAGEREF _Toc19823338 \h </w:instrText>
        </w:r>
        <w:r>
          <w:rPr>
            <w:noProof/>
            <w:webHidden/>
          </w:rPr>
        </w:r>
        <w:r>
          <w:rPr>
            <w:noProof/>
            <w:webHidden/>
          </w:rPr>
          <w:fldChar w:fldCharType="separate"/>
        </w:r>
        <w:r>
          <w:rPr>
            <w:noProof/>
            <w:webHidden/>
          </w:rPr>
          <w:t>10</w:t>
        </w:r>
        <w:r>
          <w:rPr>
            <w:noProof/>
            <w:webHidden/>
          </w:rPr>
          <w:fldChar w:fldCharType="end"/>
        </w:r>
      </w:hyperlink>
    </w:p>
    <w:p w:rsidR="00A77FD4" w:rsidRDefault="00E325B3">
      <w:pPr>
        <w:pStyle w:val="TableofFigures"/>
        <w:tabs>
          <w:tab w:val="right" w:leader="dot" w:pos="9010"/>
        </w:tabs>
        <w:rPr>
          <w:noProof/>
        </w:rPr>
      </w:pPr>
      <w:hyperlink w:anchor="_Toc19823339" w:history="1">
        <w:r w:rsidR="00A77FD4" w:rsidRPr="009A1805">
          <w:rPr>
            <w:rStyle w:val="Hyperlink"/>
            <w:b/>
            <w:noProof/>
          </w:rPr>
          <w:t>Table 2</w:t>
        </w:r>
        <w:r w:rsidR="00A77FD4" w:rsidRPr="009A1805">
          <w:rPr>
            <w:rStyle w:val="Hyperlink"/>
            <w:b/>
            <w:noProof/>
            <w:shd w:val="clear" w:color="auto" w:fill="FFFFFF"/>
          </w:rPr>
          <w:t xml:space="preserve"> Santander’s Credit ratings by credit-rating agencies</w:t>
        </w:r>
        <w:r w:rsidR="00A77FD4">
          <w:rPr>
            <w:noProof/>
            <w:webHidden/>
          </w:rPr>
          <w:tab/>
        </w:r>
        <w:r w:rsidR="00A77FD4">
          <w:rPr>
            <w:noProof/>
            <w:webHidden/>
          </w:rPr>
          <w:fldChar w:fldCharType="begin"/>
        </w:r>
        <w:r w:rsidR="00A77FD4">
          <w:rPr>
            <w:noProof/>
            <w:webHidden/>
          </w:rPr>
          <w:instrText xml:space="preserve"> PAGEREF _Toc19823339 \h </w:instrText>
        </w:r>
        <w:r w:rsidR="00A77FD4">
          <w:rPr>
            <w:noProof/>
            <w:webHidden/>
          </w:rPr>
        </w:r>
        <w:r w:rsidR="00A77FD4">
          <w:rPr>
            <w:noProof/>
            <w:webHidden/>
          </w:rPr>
          <w:fldChar w:fldCharType="separate"/>
        </w:r>
        <w:r w:rsidR="00A77FD4">
          <w:rPr>
            <w:noProof/>
            <w:webHidden/>
          </w:rPr>
          <w:t>13</w:t>
        </w:r>
        <w:r w:rsidR="00A77FD4">
          <w:rPr>
            <w:noProof/>
            <w:webHidden/>
          </w:rPr>
          <w:fldChar w:fldCharType="end"/>
        </w:r>
      </w:hyperlink>
    </w:p>
    <w:p w:rsidR="00A77FD4" w:rsidRDefault="00E325B3">
      <w:pPr>
        <w:pStyle w:val="TableofFigures"/>
        <w:tabs>
          <w:tab w:val="right" w:leader="dot" w:pos="9010"/>
        </w:tabs>
        <w:rPr>
          <w:noProof/>
        </w:rPr>
      </w:pPr>
      <w:hyperlink w:anchor="_Toc19823340" w:history="1">
        <w:r w:rsidR="00A77FD4" w:rsidRPr="009A1805">
          <w:rPr>
            <w:rStyle w:val="Hyperlink"/>
            <w:b/>
            <w:noProof/>
          </w:rPr>
          <w:t xml:space="preserve">Table 3 </w:t>
        </w:r>
        <w:r w:rsidR="00A77FD4" w:rsidRPr="009A1805">
          <w:rPr>
            <w:rStyle w:val="Hyperlink"/>
            <w:b/>
            <w:noProof/>
            <w:shd w:val="clear" w:color="auto" w:fill="FFFFFF"/>
          </w:rPr>
          <w:t>Estimated impact on Santander’s Equity and Income Statement</w:t>
        </w:r>
        <w:r w:rsidR="00A77FD4">
          <w:rPr>
            <w:noProof/>
            <w:webHidden/>
          </w:rPr>
          <w:tab/>
        </w:r>
        <w:r w:rsidR="00A77FD4">
          <w:rPr>
            <w:noProof/>
            <w:webHidden/>
          </w:rPr>
          <w:fldChar w:fldCharType="begin"/>
        </w:r>
        <w:r w:rsidR="00A77FD4">
          <w:rPr>
            <w:noProof/>
            <w:webHidden/>
          </w:rPr>
          <w:instrText xml:space="preserve"> PAGEREF _Toc19823340 \h </w:instrText>
        </w:r>
        <w:r w:rsidR="00A77FD4">
          <w:rPr>
            <w:noProof/>
            <w:webHidden/>
          </w:rPr>
        </w:r>
        <w:r w:rsidR="00A77FD4">
          <w:rPr>
            <w:noProof/>
            <w:webHidden/>
          </w:rPr>
          <w:fldChar w:fldCharType="separate"/>
        </w:r>
        <w:r w:rsidR="00A77FD4">
          <w:rPr>
            <w:noProof/>
            <w:webHidden/>
          </w:rPr>
          <w:t>14</w:t>
        </w:r>
        <w:r w:rsidR="00A77FD4">
          <w:rPr>
            <w:noProof/>
            <w:webHidden/>
          </w:rPr>
          <w:fldChar w:fldCharType="end"/>
        </w:r>
      </w:hyperlink>
    </w:p>
    <w:p w:rsidR="00A77FD4" w:rsidRDefault="00E325B3">
      <w:pPr>
        <w:pStyle w:val="TableofFigures"/>
        <w:tabs>
          <w:tab w:val="right" w:leader="dot" w:pos="9010"/>
        </w:tabs>
        <w:rPr>
          <w:noProof/>
        </w:rPr>
      </w:pPr>
      <w:hyperlink w:anchor="_Toc19823341" w:history="1">
        <w:r w:rsidR="00A77FD4" w:rsidRPr="009A1805">
          <w:rPr>
            <w:rStyle w:val="Hyperlink"/>
            <w:b/>
            <w:noProof/>
          </w:rPr>
          <w:t>Table 4The lesson to be learnt from Banco Santander Internationalisation Strategy by other Businesses in Retail Banking.</w:t>
        </w:r>
        <w:r w:rsidR="00A77FD4">
          <w:rPr>
            <w:noProof/>
            <w:webHidden/>
          </w:rPr>
          <w:tab/>
        </w:r>
        <w:r w:rsidR="00A77FD4">
          <w:rPr>
            <w:noProof/>
            <w:webHidden/>
          </w:rPr>
          <w:fldChar w:fldCharType="begin"/>
        </w:r>
        <w:r w:rsidR="00A77FD4">
          <w:rPr>
            <w:noProof/>
            <w:webHidden/>
          </w:rPr>
          <w:instrText xml:space="preserve"> PAGEREF _Toc19823341 \h </w:instrText>
        </w:r>
        <w:r w:rsidR="00A77FD4">
          <w:rPr>
            <w:noProof/>
            <w:webHidden/>
          </w:rPr>
        </w:r>
        <w:r w:rsidR="00A77FD4">
          <w:rPr>
            <w:noProof/>
            <w:webHidden/>
          </w:rPr>
          <w:fldChar w:fldCharType="separate"/>
        </w:r>
        <w:r w:rsidR="00A77FD4">
          <w:rPr>
            <w:noProof/>
            <w:webHidden/>
          </w:rPr>
          <w:t>24</w:t>
        </w:r>
        <w:r w:rsidR="00A77FD4">
          <w:rPr>
            <w:noProof/>
            <w:webHidden/>
          </w:rPr>
          <w:fldChar w:fldCharType="end"/>
        </w:r>
      </w:hyperlink>
    </w:p>
    <w:p w:rsidR="00A77FD4" w:rsidRPr="00A77FD4" w:rsidRDefault="00A77FD4" w:rsidP="00A77FD4">
      <w:r>
        <w:fldChar w:fldCharType="end"/>
      </w:r>
    </w:p>
    <w:p w:rsidR="00A77FD4" w:rsidRDefault="00A77FD4" w:rsidP="00A77FD4">
      <w:pPr>
        <w:rPr>
          <w:rFonts w:eastAsiaTheme="majorEastAsia" w:cstheme="majorBidi"/>
          <w:color w:val="000000" w:themeColor="text1"/>
          <w:szCs w:val="32"/>
        </w:rPr>
      </w:pPr>
      <w:r>
        <w:br w:type="page"/>
      </w:r>
    </w:p>
    <w:p w:rsidR="00A77FD4" w:rsidRDefault="00A77FD4" w:rsidP="000077AD">
      <w:pPr>
        <w:pStyle w:val="Heading1"/>
        <w:numPr>
          <w:ilvl w:val="0"/>
          <w:numId w:val="0"/>
        </w:numPr>
      </w:pPr>
      <w:r>
        <w:lastRenderedPageBreak/>
        <w:t xml:space="preserve">List of figures </w:t>
      </w:r>
    </w:p>
    <w:p w:rsidR="00A77FD4" w:rsidRDefault="00A77FD4" w:rsidP="00A77FD4"/>
    <w:p w:rsidR="00A77FD4" w:rsidRDefault="00A77FD4">
      <w:pPr>
        <w:pStyle w:val="TableofFigures"/>
        <w:tabs>
          <w:tab w:val="right" w:leader="dot" w:pos="9010"/>
        </w:tabs>
        <w:rPr>
          <w:rFonts w:asciiTheme="minorHAnsi" w:eastAsiaTheme="minorEastAsia" w:hAnsiTheme="minorHAnsi" w:cstheme="minorBidi"/>
          <w:noProof/>
        </w:rPr>
      </w:pPr>
      <w:r>
        <w:fldChar w:fldCharType="begin"/>
      </w:r>
      <w:r>
        <w:instrText xml:space="preserve"> TOC \h \z \c "Figure" </w:instrText>
      </w:r>
      <w:r>
        <w:fldChar w:fldCharType="separate"/>
      </w:r>
      <w:hyperlink w:anchor="_Toc19823390" w:history="1">
        <w:r w:rsidRPr="00CB15DF">
          <w:rPr>
            <w:rStyle w:val="Hyperlink"/>
            <w:b/>
            <w:noProof/>
          </w:rPr>
          <w:t>Figure 1 Steps adopted by Banco Santander for its Retail Banking Internationalisation</w:t>
        </w:r>
        <w:r>
          <w:rPr>
            <w:noProof/>
            <w:webHidden/>
          </w:rPr>
          <w:tab/>
        </w:r>
        <w:r>
          <w:rPr>
            <w:noProof/>
            <w:webHidden/>
          </w:rPr>
          <w:fldChar w:fldCharType="begin"/>
        </w:r>
        <w:r>
          <w:rPr>
            <w:noProof/>
            <w:webHidden/>
          </w:rPr>
          <w:instrText xml:space="preserve"> PAGEREF _Toc19823390 \h </w:instrText>
        </w:r>
        <w:r>
          <w:rPr>
            <w:noProof/>
            <w:webHidden/>
          </w:rPr>
        </w:r>
        <w:r>
          <w:rPr>
            <w:noProof/>
            <w:webHidden/>
          </w:rPr>
          <w:fldChar w:fldCharType="separate"/>
        </w:r>
        <w:r>
          <w:rPr>
            <w:noProof/>
            <w:webHidden/>
          </w:rPr>
          <w:t>9</w:t>
        </w:r>
        <w:r>
          <w:rPr>
            <w:noProof/>
            <w:webHidden/>
          </w:rPr>
          <w:fldChar w:fldCharType="end"/>
        </w:r>
      </w:hyperlink>
    </w:p>
    <w:p w:rsidR="00A77FD4" w:rsidRDefault="00E325B3">
      <w:pPr>
        <w:pStyle w:val="TableofFigures"/>
        <w:tabs>
          <w:tab w:val="right" w:leader="dot" w:pos="9010"/>
        </w:tabs>
        <w:rPr>
          <w:rFonts w:asciiTheme="minorHAnsi" w:eastAsiaTheme="minorEastAsia" w:hAnsiTheme="minorHAnsi" w:cstheme="minorBidi"/>
          <w:noProof/>
        </w:rPr>
      </w:pPr>
      <w:hyperlink w:anchor="_Toc19823391" w:history="1">
        <w:r w:rsidR="00A77FD4" w:rsidRPr="00CB15DF">
          <w:rPr>
            <w:rStyle w:val="Hyperlink"/>
            <w:b/>
            <w:noProof/>
          </w:rPr>
          <w:t>Figure 2</w:t>
        </w:r>
        <w:r w:rsidR="00A77FD4" w:rsidRPr="00CB15DF">
          <w:rPr>
            <w:rStyle w:val="Hyperlink"/>
            <w:b/>
            <w:noProof/>
            <w:shd w:val="clear" w:color="auto" w:fill="FFFFFF"/>
          </w:rPr>
          <w:t xml:space="preserve"> Internationalization framework State and Change aspects</w:t>
        </w:r>
        <w:r w:rsidR="00A77FD4">
          <w:rPr>
            <w:noProof/>
            <w:webHidden/>
          </w:rPr>
          <w:tab/>
        </w:r>
        <w:r w:rsidR="00A77FD4">
          <w:rPr>
            <w:noProof/>
            <w:webHidden/>
          </w:rPr>
          <w:fldChar w:fldCharType="begin"/>
        </w:r>
        <w:r w:rsidR="00A77FD4">
          <w:rPr>
            <w:noProof/>
            <w:webHidden/>
          </w:rPr>
          <w:instrText xml:space="preserve"> PAGEREF _Toc19823391 \h </w:instrText>
        </w:r>
        <w:r w:rsidR="00A77FD4">
          <w:rPr>
            <w:noProof/>
            <w:webHidden/>
          </w:rPr>
        </w:r>
        <w:r w:rsidR="00A77FD4">
          <w:rPr>
            <w:noProof/>
            <w:webHidden/>
          </w:rPr>
          <w:fldChar w:fldCharType="separate"/>
        </w:r>
        <w:r w:rsidR="00A77FD4">
          <w:rPr>
            <w:noProof/>
            <w:webHidden/>
          </w:rPr>
          <w:t>10</w:t>
        </w:r>
        <w:r w:rsidR="00A77FD4">
          <w:rPr>
            <w:noProof/>
            <w:webHidden/>
          </w:rPr>
          <w:fldChar w:fldCharType="end"/>
        </w:r>
      </w:hyperlink>
    </w:p>
    <w:p w:rsidR="00A77FD4" w:rsidRDefault="00E325B3">
      <w:pPr>
        <w:pStyle w:val="TableofFigures"/>
        <w:tabs>
          <w:tab w:val="right" w:leader="dot" w:pos="9010"/>
        </w:tabs>
        <w:rPr>
          <w:rFonts w:asciiTheme="minorHAnsi" w:eastAsiaTheme="minorEastAsia" w:hAnsiTheme="minorHAnsi" w:cstheme="minorBidi"/>
          <w:noProof/>
        </w:rPr>
      </w:pPr>
      <w:hyperlink w:anchor="_Toc19823392" w:history="1">
        <w:r w:rsidR="00A77FD4" w:rsidRPr="00CB15DF">
          <w:rPr>
            <w:rStyle w:val="Hyperlink"/>
            <w:b/>
            <w:noProof/>
          </w:rPr>
          <w:t>Figure 3 The Santander Business Model (Structure and Design)</w:t>
        </w:r>
        <w:r w:rsidR="00A77FD4">
          <w:rPr>
            <w:noProof/>
            <w:webHidden/>
          </w:rPr>
          <w:tab/>
        </w:r>
        <w:r w:rsidR="00A77FD4">
          <w:rPr>
            <w:noProof/>
            <w:webHidden/>
          </w:rPr>
          <w:fldChar w:fldCharType="begin"/>
        </w:r>
        <w:r w:rsidR="00A77FD4">
          <w:rPr>
            <w:noProof/>
            <w:webHidden/>
          </w:rPr>
          <w:instrText xml:space="preserve"> PAGEREF _Toc19823392 \h </w:instrText>
        </w:r>
        <w:r w:rsidR="00A77FD4">
          <w:rPr>
            <w:noProof/>
            <w:webHidden/>
          </w:rPr>
        </w:r>
        <w:r w:rsidR="00A77FD4">
          <w:rPr>
            <w:noProof/>
            <w:webHidden/>
          </w:rPr>
          <w:fldChar w:fldCharType="separate"/>
        </w:r>
        <w:r w:rsidR="00A77FD4">
          <w:rPr>
            <w:noProof/>
            <w:webHidden/>
          </w:rPr>
          <w:t>18</w:t>
        </w:r>
        <w:r w:rsidR="00A77FD4">
          <w:rPr>
            <w:noProof/>
            <w:webHidden/>
          </w:rPr>
          <w:fldChar w:fldCharType="end"/>
        </w:r>
      </w:hyperlink>
    </w:p>
    <w:p w:rsidR="00A77FD4" w:rsidRDefault="00E325B3">
      <w:pPr>
        <w:pStyle w:val="TableofFigures"/>
        <w:tabs>
          <w:tab w:val="right" w:leader="dot" w:pos="9010"/>
        </w:tabs>
        <w:rPr>
          <w:rFonts w:asciiTheme="minorHAnsi" w:eastAsiaTheme="minorEastAsia" w:hAnsiTheme="minorHAnsi" w:cstheme="minorBidi"/>
          <w:noProof/>
        </w:rPr>
      </w:pPr>
      <w:hyperlink w:anchor="_Toc19823393" w:history="1">
        <w:r w:rsidR="00A77FD4" w:rsidRPr="00CB15DF">
          <w:rPr>
            <w:rStyle w:val="Hyperlink"/>
            <w:b/>
            <w:noProof/>
          </w:rPr>
          <w:t>Figure 4  A map showing Santander’s Retail Banking Establishments in Europe and Latin America.</w:t>
        </w:r>
        <w:r w:rsidR="00A77FD4">
          <w:rPr>
            <w:noProof/>
            <w:webHidden/>
          </w:rPr>
          <w:tab/>
        </w:r>
        <w:r w:rsidR="00A77FD4">
          <w:rPr>
            <w:noProof/>
            <w:webHidden/>
          </w:rPr>
          <w:fldChar w:fldCharType="begin"/>
        </w:r>
        <w:r w:rsidR="00A77FD4">
          <w:rPr>
            <w:noProof/>
            <w:webHidden/>
          </w:rPr>
          <w:instrText xml:space="preserve"> PAGEREF _Toc19823393 \h </w:instrText>
        </w:r>
        <w:r w:rsidR="00A77FD4">
          <w:rPr>
            <w:noProof/>
            <w:webHidden/>
          </w:rPr>
        </w:r>
        <w:r w:rsidR="00A77FD4">
          <w:rPr>
            <w:noProof/>
            <w:webHidden/>
          </w:rPr>
          <w:fldChar w:fldCharType="separate"/>
        </w:r>
        <w:r w:rsidR="00A77FD4">
          <w:rPr>
            <w:noProof/>
            <w:webHidden/>
          </w:rPr>
          <w:t>27</w:t>
        </w:r>
        <w:r w:rsidR="00A77FD4">
          <w:rPr>
            <w:noProof/>
            <w:webHidden/>
          </w:rPr>
          <w:fldChar w:fldCharType="end"/>
        </w:r>
      </w:hyperlink>
    </w:p>
    <w:p w:rsidR="00A77FD4" w:rsidRPr="00A77FD4" w:rsidRDefault="00A77FD4" w:rsidP="00A77FD4">
      <w:r>
        <w:fldChar w:fldCharType="end"/>
      </w:r>
    </w:p>
    <w:p w:rsidR="00A77FD4" w:rsidRDefault="00A77FD4" w:rsidP="00A77FD4">
      <w:pPr>
        <w:rPr>
          <w:rFonts w:eastAsiaTheme="majorEastAsia" w:cstheme="majorBidi"/>
          <w:color w:val="000000" w:themeColor="text1"/>
          <w:szCs w:val="32"/>
        </w:rPr>
      </w:pPr>
      <w:r>
        <w:br w:type="page"/>
      </w:r>
    </w:p>
    <w:p w:rsidR="00714CCB" w:rsidRDefault="00714CCB" w:rsidP="000077AD">
      <w:pPr>
        <w:pStyle w:val="Heading1"/>
        <w:numPr>
          <w:ilvl w:val="0"/>
          <w:numId w:val="0"/>
        </w:numPr>
      </w:pPr>
      <w:r>
        <w:lastRenderedPageBreak/>
        <w:t>LIST OF ABBREVIATIONS</w:t>
      </w:r>
    </w:p>
    <w:p w:rsidR="00714CCB" w:rsidRDefault="00714CCB" w:rsidP="00714CCB"/>
    <w:p w:rsidR="00714CCB" w:rsidRPr="00FA5A6F" w:rsidRDefault="00FA5A6F" w:rsidP="00714CCB">
      <w:pPr>
        <w:pStyle w:val="ListParagraph"/>
        <w:numPr>
          <w:ilvl w:val="0"/>
          <w:numId w:val="19"/>
        </w:numPr>
        <w:rPr>
          <w:b/>
        </w:rPr>
      </w:pPr>
      <w:r w:rsidRPr="00FA5A6F">
        <w:rPr>
          <w:b/>
        </w:rPr>
        <w:t xml:space="preserve">HSBC: </w:t>
      </w:r>
      <w:r w:rsidRPr="00FA5A6F">
        <w:t>Hong Kong and Shanghai Banking Corporation</w:t>
      </w:r>
    </w:p>
    <w:p w:rsidR="00FA5A6F" w:rsidRDefault="00FA5A6F" w:rsidP="00FA5A6F">
      <w:pPr>
        <w:pStyle w:val="ListParagraph"/>
      </w:pPr>
    </w:p>
    <w:p w:rsidR="00FA5A6F" w:rsidRDefault="00FA5A6F" w:rsidP="00714CCB">
      <w:pPr>
        <w:pStyle w:val="ListParagraph"/>
        <w:numPr>
          <w:ilvl w:val="0"/>
          <w:numId w:val="19"/>
        </w:numPr>
      </w:pPr>
      <w:r w:rsidRPr="00FA5A6F">
        <w:rPr>
          <w:b/>
        </w:rPr>
        <w:t>UK:</w:t>
      </w:r>
      <w:r>
        <w:t xml:space="preserve"> United Kingdom</w:t>
      </w:r>
    </w:p>
    <w:p w:rsidR="00FA5A6F" w:rsidRDefault="00FA5A6F" w:rsidP="00FA5A6F"/>
    <w:p w:rsidR="00FA5A6F" w:rsidRPr="00FA5A6F" w:rsidRDefault="00FA5A6F" w:rsidP="00714CCB">
      <w:pPr>
        <w:pStyle w:val="ListParagraph"/>
        <w:numPr>
          <w:ilvl w:val="0"/>
          <w:numId w:val="19"/>
        </w:numPr>
        <w:rPr>
          <w:b/>
        </w:rPr>
      </w:pPr>
      <w:r w:rsidRPr="00FA5A6F">
        <w:rPr>
          <w:b/>
        </w:rPr>
        <w:t>BBVA:</w:t>
      </w:r>
      <w:r>
        <w:rPr>
          <w:b/>
        </w:rPr>
        <w:t xml:space="preserve"> </w:t>
      </w:r>
      <w:r w:rsidRPr="00FA5A6F">
        <w:t>Banco Bilbao Vizcaya Argentaria</w:t>
      </w:r>
    </w:p>
    <w:p w:rsidR="00FA5A6F" w:rsidRDefault="00FA5A6F" w:rsidP="00FA5A6F">
      <w:pPr>
        <w:pStyle w:val="ListParagraph"/>
      </w:pPr>
    </w:p>
    <w:p w:rsidR="00FA5A6F" w:rsidRPr="00FA5A6F" w:rsidRDefault="00FA5A6F" w:rsidP="00714CCB">
      <w:pPr>
        <w:pStyle w:val="ListParagraph"/>
        <w:numPr>
          <w:ilvl w:val="0"/>
          <w:numId w:val="19"/>
        </w:numPr>
        <w:rPr>
          <w:b/>
        </w:rPr>
      </w:pPr>
      <w:r w:rsidRPr="00FA5A6F">
        <w:rPr>
          <w:b/>
        </w:rPr>
        <w:t>BHA:</w:t>
      </w:r>
      <w:r>
        <w:rPr>
          <w:b/>
        </w:rPr>
        <w:t xml:space="preserve"> </w:t>
      </w:r>
      <w:r w:rsidRPr="00FA5A6F">
        <w:t xml:space="preserve">Banco Hispano Americano </w:t>
      </w:r>
    </w:p>
    <w:p w:rsidR="00FA5A6F" w:rsidRDefault="00FA5A6F" w:rsidP="00FA5A6F"/>
    <w:p w:rsidR="00FA5A6F" w:rsidRPr="00FA5A6F" w:rsidRDefault="00FA5A6F" w:rsidP="00714CCB">
      <w:pPr>
        <w:pStyle w:val="ListParagraph"/>
        <w:numPr>
          <w:ilvl w:val="0"/>
          <w:numId w:val="19"/>
        </w:numPr>
        <w:rPr>
          <w:b/>
        </w:rPr>
      </w:pPr>
      <w:r w:rsidRPr="00FA5A6F">
        <w:rPr>
          <w:b/>
        </w:rPr>
        <w:t xml:space="preserve">ABN AMRO: </w:t>
      </w:r>
      <w:proofErr w:type="spellStart"/>
      <w:r w:rsidRPr="00FA5A6F">
        <w:t>Alegemene</w:t>
      </w:r>
      <w:proofErr w:type="spellEnd"/>
      <w:r w:rsidRPr="00FA5A6F">
        <w:t xml:space="preserve"> Bank Nederland </w:t>
      </w:r>
      <w:proofErr w:type="spellStart"/>
      <w:r w:rsidRPr="00FA5A6F">
        <w:t>Amsterdamsche</w:t>
      </w:r>
      <w:proofErr w:type="spellEnd"/>
      <w:r w:rsidRPr="00FA5A6F">
        <w:t xml:space="preserve"> Bank and </w:t>
      </w:r>
      <w:proofErr w:type="spellStart"/>
      <w:r w:rsidRPr="00FA5A6F">
        <w:t>Rotterdamsche</w:t>
      </w:r>
      <w:proofErr w:type="spellEnd"/>
      <w:r w:rsidRPr="00FA5A6F">
        <w:t xml:space="preserve"> Bank</w:t>
      </w:r>
    </w:p>
    <w:p w:rsidR="00FA5A6F" w:rsidRDefault="00FA5A6F" w:rsidP="00FA5A6F"/>
    <w:p w:rsidR="00FA5A6F" w:rsidRDefault="00FA5A6F" w:rsidP="00714CCB">
      <w:pPr>
        <w:pStyle w:val="ListParagraph"/>
        <w:numPr>
          <w:ilvl w:val="0"/>
          <w:numId w:val="19"/>
        </w:numPr>
      </w:pPr>
      <w:r w:rsidRPr="00FA5A6F">
        <w:rPr>
          <w:b/>
        </w:rPr>
        <w:t>USA:</w:t>
      </w:r>
      <w:r>
        <w:t xml:space="preserve"> United States of America</w:t>
      </w:r>
    </w:p>
    <w:p w:rsidR="00FA5A6F" w:rsidRDefault="00FA5A6F" w:rsidP="00FA5A6F"/>
    <w:p w:rsidR="00FA5A6F" w:rsidRDefault="00FA5A6F" w:rsidP="00714CCB">
      <w:pPr>
        <w:pStyle w:val="ListParagraph"/>
        <w:numPr>
          <w:ilvl w:val="0"/>
          <w:numId w:val="19"/>
        </w:numPr>
      </w:pPr>
      <w:r w:rsidRPr="00FA5A6F">
        <w:rPr>
          <w:b/>
        </w:rPr>
        <w:t>USD:</w:t>
      </w:r>
      <w:r>
        <w:t xml:space="preserve"> United States Dollar</w:t>
      </w:r>
    </w:p>
    <w:p w:rsidR="00FA5A6F" w:rsidRDefault="00FA5A6F" w:rsidP="00FA5A6F"/>
    <w:p w:rsidR="00FA5A6F" w:rsidRDefault="00FA5A6F" w:rsidP="00714CCB">
      <w:pPr>
        <w:pStyle w:val="ListParagraph"/>
        <w:numPr>
          <w:ilvl w:val="0"/>
          <w:numId w:val="19"/>
        </w:numPr>
      </w:pPr>
      <w:r w:rsidRPr="00FA5A6F">
        <w:rPr>
          <w:b/>
        </w:rPr>
        <w:t>GBP:</w:t>
      </w:r>
      <w:r>
        <w:t xml:space="preserve"> Great Britain Pound</w:t>
      </w:r>
    </w:p>
    <w:p w:rsidR="00FA5A6F" w:rsidRDefault="00FA5A6F" w:rsidP="00FA5A6F">
      <w:pPr>
        <w:pStyle w:val="ListParagraph"/>
      </w:pPr>
    </w:p>
    <w:p w:rsidR="00FA5A6F" w:rsidRDefault="00FA5A6F" w:rsidP="00714CCB">
      <w:pPr>
        <w:pStyle w:val="ListParagraph"/>
        <w:numPr>
          <w:ilvl w:val="0"/>
          <w:numId w:val="19"/>
        </w:numPr>
      </w:pPr>
      <w:r w:rsidRPr="00FA5A6F">
        <w:rPr>
          <w:b/>
        </w:rPr>
        <w:t>BRL:</w:t>
      </w:r>
      <w:r>
        <w:t xml:space="preserve"> Brazilian Real</w:t>
      </w:r>
    </w:p>
    <w:p w:rsidR="00FA5A6F" w:rsidRDefault="00FA5A6F" w:rsidP="00FA5A6F"/>
    <w:p w:rsidR="00FA5A6F" w:rsidRDefault="00FA5A6F" w:rsidP="00714CCB">
      <w:pPr>
        <w:pStyle w:val="ListParagraph"/>
        <w:numPr>
          <w:ilvl w:val="0"/>
          <w:numId w:val="19"/>
        </w:numPr>
      </w:pPr>
      <w:r w:rsidRPr="00FA5A6F">
        <w:rPr>
          <w:b/>
        </w:rPr>
        <w:t xml:space="preserve">MXN: </w:t>
      </w:r>
      <w:r>
        <w:t>Mexican Peso</w:t>
      </w:r>
    </w:p>
    <w:p w:rsidR="00FA5A6F" w:rsidRDefault="00FA5A6F" w:rsidP="00FA5A6F">
      <w:pPr>
        <w:pStyle w:val="ListParagraph"/>
      </w:pPr>
    </w:p>
    <w:p w:rsidR="00FA5A6F" w:rsidRDefault="00FA5A6F" w:rsidP="00714CCB">
      <w:pPr>
        <w:pStyle w:val="ListParagraph"/>
        <w:numPr>
          <w:ilvl w:val="0"/>
          <w:numId w:val="19"/>
        </w:numPr>
      </w:pPr>
      <w:r w:rsidRPr="00FA5A6F">
        <w:rPr>
          <w:b/>
        </w:rPr>
        <w:t>CLP:</w:t>
      </w:r>
      <w:r>
        <w:t xml:space="preserve"> Chilean Peso</w:t>
      </w:r>
    </w:p>
    <w:p w:rsidR="00FA5A6F" w:rsidRDefault="00FA5A6F" w:rsidP="00FA5A6F"/>
    <w:p w:rsidR="00FA5A6F" w:rsidRPr="00714CCB" w:rsidRDefault="00FA5A6F" w:rsidP="00714CCB">
      <w:pPr>
        <w:pStyle w:val="ListParagraph"/>
        <w:numPr>
          <w:ilvl w:val="0"/>
          <w:numId w:val="19"/>
        </w:numPr>
      </w:pPr>
      <w:r w:rsidRPr="00FA5A6F">
        <w:rPr>
          <w:b/>
        </w:rPr>
        <w:t>CEO:</w:t>
      </w:r>
      <w:r>
        <w:t xml:space="preserve"> Chief Executive Officer</w:t>
      </w:r>
    </w:p>
    <w:p w:rsidR="00714CCB" w:rsidRDefault="00714CCB" w:rsidP="000077AD">
      <w:pPr>
        <w:pStyle w:val="Heading1"/>
        <w:numPr>
          <w:ilvl w:val="0"/>
          <w:numId w:val="0"/>
        </w:numPr>
      </w:pPr>
    </w:p>
    <w:p w:rsidR="00714CCB" w:rsidRDefault="00714CCB" w:rsidP="000077AD">
      <w:pPr>
        <w:pStyle w:val="Heading1"/>
        <w:numPr>
          <w:ilvl w:val="0"/>
          <w:numId w:val="0"/>
        </w:numPr>
      </w:pPr>
    </w:p>
    <w:p w:rsidR="00714CCB" w:rsidRDefault="00714CCB" w:rsidP="000077AD">
      <w:pPr>
        <w:pStyle w:val="Heading1"/>
        <w:numPr>
          <w:ilvl w:val="0"/>
          <w:numId w:val="0"/>
        </w:numPr>
      </w:pPr>
    </w:p>
    <w:p w:rsidR="00714CCB" w:rsidRDefault="00714CCB" w:rsidP="000077AD">
      <w:pPr>
        <w:pStyle w:val="Heading1"/>
        <w:numPr>
          <w:ilvl w:val="0"/>
          <w:numId w:val="0"/>
        </w:numPr>
      </w:pPr>
    </w:p>
    <w:p w:rsidR="00714CCB" w:rsidRDefault="00714CCB" w:rsidP="000077AD">
      <w:pPr>
        <w:pStyle w:val="Heading1"/>
        <w:numPr>
          <w:ilvl w:val="0"/>
          <w:numId w:val="0"/>
        </w:numPr>
      </w:pPr>
    </w:p>
    <w:p w:rsidR="00714CCB" w:rsidRDefault="00714CCB" w:rsidP="000077AD">
      <w:pPr>
        <w:pStyle w:val="Heading1"/>
        <w:numPr>
          <w:ilvl w:val="0"/>
          <w:numId w:val="0"/>
        </w:numPr>
      </w:pPr>
    </w:p>
    <w:p w:rsidR="00714CCB" w:rsidRDefault="00714CCB" w:rsidP="000077AD">
      <w:pPr>
        <w:pStyle w:val="Heading1"/>
        <w:numPr>
          <w:ilvl w:val="0"/>
          <w:numId w:val="0"/>
        </w:numPr>
      </w:pPr>
    </w:p>
    <w:p w:rsidR="00714CCB" w:rsidRDefault="00714CCB" w:rsidP="000077AD">
      <w:pPr>
        <w:pStyle w:val="Heading1"/>
        <w:numPr>
          <w:ilvl w:val="0"/>
          <w:numId w:val="0"/>
        </w:numPr>
      </w:pPr>
    </w:p>
    <w:p w:rsidR="00714CCB" w:rsidRDefault="00714CCB" w:rsidP="000077AD">
      <w:pPr>
        <w:pStyle w:val="Heading1"/>
        <w:numPr>
          <w:ilvl w:val="0"/>
          <w:numId w:val="0"/>
        </w:numPr>
      </w:pPr>
    </w:p>
    <w:p w:rsidR="00714CCB" w:rsidRDefault="00714CCB" w:rsidP="000077AD">
      <w:pPr>
        <w:pStyle w:val="Heading1"/>
        <w:numPr>
          <w:ilvl w:val="0"/>
          <w:numId w:val="0"/>
        </w:numPr>
      </w:pPr>
    </w:p>
    <w:p w:rsidR="00714CCB" w:rsidRDefault="00714CCB" w:rsidP="00714CCB">
      <w:pPr>
        <w:rPr>
          <w:rFonts w:eastAsiaTheme="majorEastAsia" w:cstheme="majorBidi"/>
          <w:b/>
          <w:color w:val="000000" w:themeColor="text1"/>
          <w:szCs w:val="32"/>
        </w:rPr>
      </w:pPr>
    </w:p>
    <w:p w:rsidR="00FA5A6F" w:rsidRDefault="00FA5A6F" w:rsidP="00714CCB"/>
    <w:p w:rsidR="00FA5A6F" w:rsidRDefault="00FA5A6F" w:rsidP="00714CCB"/>
    <w:p w:rsidR="00FA5A6F" w:rsidRPr="00714CCB" w:rsidRDefault="00FA5A6F" w:rsidP="00714CCB"/>
    <w:p w:rsidR="00867000" w:rsidRPr="009C0B5E" w:rsidRDefault="000A4CCC" w:rsidP="000077AD">
      <w:pPr>
        <w:pStyle w:val="Heading1"/>
        <w:numPr>
          <w:ilvl w:val="0"/>
          <w:numId w:val="0"/>
        </w:numPr>
        <w:rPr>
          <w:b w:val="0"/>
        </w:rPr>
      </w:pPr>
      <w:r w:rsidRPr="009C0B5E">
        <w:lastRenderedPageBreak/>
        <w:t>INTRODUCTION</w:t>
      </w:r>
      <w:bookmarkEnd w:id="0"/>
    </w:p>
    <w:p w:rsidR="009C0B5E" w:rsidRPr="009C0B5E" w:rsidRDefault="009C0B5E" w:rsidP="009C0B5E">
      <w:pPr>
        <w:pStyle w:val="ListParagraph"/>
        <w:spacing w:line="360" w:lineRule="auto"/>
        <w:ind w:left="360"/>
        <w:jc w:val="both"/>
        <w:rPr>
          <w:b/>
        </w:rPr>
      </w:pPr>
    </w:p>
    <w:p w:rsidR="00B045CD" w:rsidRDefault="004E0545" w:rsidP="007176FA">
      <w:pPr>
        <w:spacing w:line="360" w:lineRule="auto"/>
        <w:jc w:val="both"/>
      </w:pPr>
      <w:r>
        <w:t xml:space="preserve">According </w:t>
      </w:r>
      <w:r w:rsidR="00CD4144">
        <w:t xml:space="preserve">to </w:t>
      </w:r>
      <w:r w:rsidR="00CD4144" w:rsidRPr="00CD4144">
        <w:t>(Burnes 1996)</w:t>
      </w:r>
      <w:r w:rsidR="00CD4144">
        <w:t xml:space="preserve">, </w:t>
      </w:r>
      <w:r>
        <w:t xml:space="preserve">Change is an omnipresent quality of an </w:t>
      </w:r>
      <w:r w:rsidR="00CD4144">
        <w:t>organisation’s</w:t>
      </w:r>
      <w:r>
        <w:t xml:space="preserve"> life both strategically and operationally</w:t>
      </w:r>
      <w:r w:rsidR="007176FA">
        <w:t xml:space="preserve"> and is influenced</w:t>
      </w:r>
      <w:r w:rsidR="00867000">
        <w:t xml:space="preserve"> </w:t>
      </w:r>
      <w:r w:rsidR="007176FA">
        <w:t>internally and externally</w:t>
      </w:r>
      <w:r>
        <w:t xml:space="preserve">. </w:t>
      </w:r>
      <w:r w:rsidR="00CD4144">
        <w:t>Therefore, every organisation has to</w:t>
      </w:r>
      <w:r w:rsidR="00B914C3">
        <w:t xml:space="preserve"> visualize and</w:t>
      </w:r>
      <w:r w:rsidR="00CD4144">
        <w:t xml:space="preserve"> recognize where it is heading in the future, what changes it needs to get there</w:t>
      </w:r>
      <w:r w:rsidR="00B914C3">
        <w:t>, and estimate the results of that change</w:t>
      </w:r>
      <w:r w:rsidR="00CD4144">
        <w:t xml:space="preserve"> </w:t>
      </w:r>
      <w:r w:rsidR="00CD4144" w:rsidRPr="00CD4144">
        <w:t>(</w:t>
      </w:r>
      <w:r w:rsidR="00B914C3" w:rsidRPr="00B914C3">
        <w:t>Carnall 1997</w:t>
      </w:r>
      <w:r w:rsidR="00B914C3">
        <w:t xml:space="preserve">; </w:t>
      </w:r>
      <w:r w:rsidR="00CD4144" w:rsidRPr="00CD4144">
        <w:t xml:space="preserve">Todnem </w:t>
      </w:r>
      <w:proofErr w:type="gramStart"/>
      <w:r w:rsidR="00CD4144" w:rsidRPr="00CD4144">
        <w:t>By</w:t>
      </w:r>
      <w:proofErr w:type="gramEnd"/>
      <w:r w:rsidR="00CD4144" w:rsidRPr="00CD4144">
        <w:t xml:space="preserve"> 2005)</w:t>
      </w:r>
      <w:r w:rsidR="00CD4144">
        <w:t xml:space="preserve">. </w:t>
      </w:r>
      <w:r w:rsidR="007176FA">
        <w:t xml:space="preserve">However, the need for change in an organisation is arbitrary, unstable and sporadic and it is often </w:t>
      </w:r>
      <w:r w:rsidR="00867000">
        <w:t>“</w:t>
      </w:r>
      <w:r w:rsidR="007176FA">
        <w:t>triggered by organisational crisis</w:t>
      </w:r>
      <w:r w:rsidR="00867000">
        <w:t>”</w:t>
      </w:r>
      <w:r w:rsidR="007176FA">
        <w:t xml:space="preserve"> (</w:t>
      </w:r>
      <w:r w:rsidR="007176FA" w:rsidRPr="00CD4144">
        <w:t xml:space="preserve">Todnem </w:t>
      </w:r>
      <w:proofErr w:type="gramStart"/>
      <w:r w:rsidR="007176FA" w:rsidRPr="00CD4144">
        <w:t>By</w:t>
      </w:r>
      <w:proofErr w:type="gramEnd"/>
      <w:r w:rsidR="007176FA" w:rsidRPr="00CD4144">
        <w:t xml:space="preserve"> 2005</w:t>
      </w:r>
      <w:r w:rsidR="007176FA">
        <w:t xml:space="preserve">). </w:t>
      </w:r>
      <w:r w:rsidR="00CD4144">
        <w:t>Failure in implementing change in an organisation happens when change is separated from the strategy. Change management scholars suggest (</w:t>
      </w:r>
      <w:r w:rsidR="00B914C3" w:rsidRPr="00B914C3">
        <w:t>Edmonstone 1995</w:t>
      </w:r>
      <w:r w:rsidR="00B914C3">
        <w:t xml:space="preserve">; </w:t>
      </w:r>
      <w:r w:rsidR="00CD4144" w:rsidRPr="00CD4144">
        <w:t>Burnes 1996</w:t>
      </w:r>
      <w:r w:rsidR="00CD4144">
        <w:t xml:space="preserve">; </w:t>
      </w:r>
      <w:r w:rsidR="00B914C3" w:rsidRPr="00B914C3">
        <w:t>Carnall 1997</w:t>
      </w:r>
      <w:r w:rsidR="00B914C3">
        <w:t xml:space="preserve">; </w:t>
      </w:r>
      <w:r w:rsidR="00820CE3" w:rsidRPr="0007025C">
        <w:t>Stewart and Kringas 2003</w:t>
      </w:r>
      <w:r w:rsidR="00820CE3">
        <w:t>;</w:t>
      </w:r>
      <w:r w:rsidR="00E171BA">
        <w:t xml:space="preserve"> </w:t>
      </w:r>
      <w:r w:rsidR="00CD4144" w:rsidRPr="00CD4144">
        <w:t xml:space="preserve">Todnem </w:t>
      </w:r>
      <w:proofErr w:type="gramStart"/>
      <w:r w:rsidR="00CD4144" w:rsidRPr="00CD4144">
        <w:t>By</w:t>
      </w:r>
      <w:proofErr w:type="gramEnd"/>
      <w:r w:rsidR="00CD4144" w:rsidRPr="00CD4144">
        <w:t xml:space="preserve"> 2005</w:t>
      </w:r>
      <w:r w:rsidR="00B914C3" w:rsidRPr="00B914C3">
        <w:t>)</w:t>
      </w:r>
      <w:r w:rsidR="00CD4144">
        <w:t xml:space="preserve"> that organisational change needs to go hand in hand with an organisational strategy so that clear-cut objectives can be formulated and execution planned accordingly. </w:t>
      </w:r>
      <w:r w:rsidR="00E5541A">
        <w:t xml:space="preserve"> </w:t>
      </w:r>
    </w:p>
    <w:p w:rsidR="007176FA" w:rsidRDefault="007176FA" w:rsidP="007176FA">
      <w:pPr>
        <w:spacing w:line="360" w:lineRule="auto"/>
        <w:jc w:val="both"/>
      </w:pPr>
    </w:p>
    <w:p w:rsidR="00F877EF" w:rsidRDefault="004E0545" w:rsidP="007176FA">
      <w:pPr>
        <w:spacing w:line="360" w:lineRule="auto"/>
        <w:jc w:val="both"/>
      </w:pPr>
      <w:r>
        <w:t xml:space="preserve">In view of the above, it is essential to define change management. </w:t>
      </w:r>
      <w:r w:rsidR="0007025C">
        <w:t xml:space="preserve">The term “change management” is difficult to define and as noted by </w:t>
      </w:r>
      <w:r w:rsidR="0007025C" w:rsidRPr="0007025C">
        <w:t xml:space="preserve">Stewart and Kringas </w:t>
      </w:r>
      <w:r w:rsidR="0007025C">
        <w:t>(</w:t>
      </w:r>
      <w:r w:rsidR="0007025C" w:rsidRPr="0007025C">
        <w:t>2003</w:t>
      </w:r>
      <w:r w:rsidR="00820CE3">
        <w:t>, p. 2</w:t>
      </w:r>
      <w:r w:rsidR="0007025C" w:rsidRPr="0007025C">
        <w:t>)</w:t>
      </w:r>
      <w:r w:rsidR="00820CE3">
        <w:t xml:space="preserve"> the term has become a "</w:t>
      </w:r>
      <w:r w:rsidR="00820CE3" w:rsidRPr="00820CE3">
        <w:t>ubiquitous theme in management literature</w:t>
      </w:r>
      <w:r w:rsidR="00820CE3">
        <w:t>”</w:t>
      </w:r>
      <w:r w:rsidR="002362BD">
        <w:t xml:space="preserve"> </w:t>
      </w:r>
      <w:r w:rsidR="002362BD" w:rsidRPr="002362BD">
        <w:t>(D’Ortenzio 2012)</w:t>
      </w:r>
      <w:r w:rsidR="00E171BA">
        <w:t xml:space="preserve">. </w:t>
      </w:r>
      <w:r w:rsidR="002362BD" w:rsidRPr="007C4711">
        <w:t>H</w:t>
      </w:r>
      <w:r w:rsidR="00E171BA" w:rsidRPr="007C4711">
        <w:t>owever</w:t>
      </w:r>
      <w:r w:rsidR="002362BD" w:rsidRPr="007C4711">
        <w:t xml:space="preserve">, most scholars (Todnem </w:t>
      </w:r>
      <w:proofErr w:type="gramStart"/>
      <w:r w:rsidR="002362BD" w:rsidRPr="007C4711">
        <w:t>By</w:t>
      </w:r>
      <w:proofErr w:type="gramEnd"/>
      <w:r w:rsidR="002362BD" w:rsidRPr="007C4711">
        <w:t xml:space="preserve"> 2005; Degnegaard 2010;</w:t>
      </w:r>
      <w:r w:rsidR="002362BD" w:rsidRPr="007C4711">
        <w:rPr>
          <w:rFonts w:ascii="Arial" w:hAnsi="Arial" w:cs="Arial"/>
          <w:color w:val="000000"/>
          <w:sz w:val="20"/>
          <w:szCs w:val="20"/>
          <w:shd w:val="clear" w:color="auto" w:fill="FFFFFF"/>
        </w:rPr>
        <w:t xml:space="preserve"> </w:t>
      </w:r>
      <w:r w:rsidR="002362BD" w:rsidRPr="007C4711">
        <w:t>D’Ortenzio 2012) have agreed to Moran, J. W. and Brightman, B. K. (2001</w:t>
      </w:r>
      <w:r w:rsidR="007C4711" w:rsidRPr="007C4711">
        <w:t xml:space="preserve">, quoted in </w:t>
      </w:r>
      <w:proofErr w:type="spellStart"/>
      <w:r w:rsidR="007C4711" w:rsidRPr="007C4711">
        <w:t>Todnem</w:t>
      </w:r>
      <w:proofErr w:type="spellEnd"/>
      <w:r w:rsidR="007C4711" w:rsidRPr="007C4711">
        <w:t xml:space="preserve"> By, 2005, p.269</w:t>
      </w:r>
      <w:r w:rsidR="002362BD" w:rsidRPr="007C4711">
        <w:t>) definition of change management that defines change management as the “the process of continually renewing an organization’s direction, structure and capabilities to serve the ever-changing needs of external and internal customers”</w:t>
      </w:r>
      <w:r w:rsidR="003F116C" w:rsidRPr="007C4711">
        <w:t>.</w:t>
      </w:r>
      <w:r w:rsidR="009E0018">
        <w:t xml:space="preserve"> This definition </w:t>
      </w:r>
      <w:r w:rsidR="00927242">
        <w:t>is appropriate for this study because</w:t>
      </w:r>
      <w:r w:rsidR="009E0018">
        <w:t xml:space="preserve"> </w:t>
      </w:r>
      <w:r w:rsidR="00927242">
        <w:t xml:space="preserve">it aligns with </w:t>
      </w:r>
      <w:r w:rsidR="009E0018">
        <w:t>Banco Santander</w:t>
      </w:r>
      <w:r w:rsidR="00927242">
        <w:t xml:space="preserve">'s development of an international strategy. Banco Santander since its existence has gone through major structural changes, improvement of competencies and leadership to increase its customer base and position itself as one of the most leading retail banking </w:t>
      </w:r>
      <w:r w:rsidR="00CD0822">
        <w:t>operators</w:t>
      </w:r>
      <w:r w:rsidR="00927242">
        <w:t xml:space="preserve">. </w:t>
      </w:r>
      <w:r w:rsidR="00CD0822">
        <w:t xml:space="preserve"> The bank supports the key characteristics of the Uppsala Model of internationalisation: firstly, by strengthening its domestic market before launching into foreign markets, secondly</w:t>
      </w:r>
      <w:r>
        <w:t xml:space="preserve"> expanding operations to close countries and thirdly moving to further distant countries</w:t>
      </w:r>
      <w:r w:rsidR="00AE331F">
        <w:t xml:space="preserve"> </w:t>
      </w:r>
      <w:r w:rsidR="00AE331F" w:rsidRPr="005F03E7">
        <w:t>(</w:t>
      </w:r>
      <w:r w:rsidR="00AE331F" w:rsidRPr="00AE331F">
        <w:t>Parada, Alemany and Planellas</w:t>
      </w:r>
      <w:r w:rsidR="00AE331F">
        <w:t xml:space="preserve"> </w:t>
      </w:r>
      <w:r w:rsidR="00AE331F" w:rsidRPr="00AE331F">
        <w:t>2007</w:t>
      </w:r>
      <w:r w:rsidR="00AE331F">
        <w:t xml:space="preserve">, </w:t>
      </w:r>
      <w:r w:rsidR="00AE331F" w:rsidRPr="005F03E7">
        <w:t>Parada et al. 2009</w:t>
      </w:r>
      <w:r w:rsidR="00AE331F">
        <w:t xml:space="preserve">). </w:t>
      </w:r>
    </w:p>
    <w:p w:rsidR="00AE331F" w:rsidRDefault="00AE331F" w:rsidP="007176FA">
      <w:pPr>
        <w:spacing w:line="360" w:lineRule="auto"/>
        <w:jc w:val="both"/>
      </w:pPr>
    </w:p>
    <w:p w:rsidR="009E0018" w:rsidRDefault="004E0545" w:rsidP="007176FA">
      <w:pPr>
        <w:spacing w:line="360" w:lineRule="auto"/>
        <w:jc w:val="both"/>
      </w:pPr>
      <w:r>
        <w:t xml:space="preserve">Retail </w:t>
      </w:r>
      <w:r w:rsidR="005F03E7">
        <w:t>b</w:t>
      </w:r>
      <w:r>
        <w:t>anks face significant challenges in expanding</w:t>
      </w:r>
      <w:r w:rsidR="00AB5987">
        <w:t xml:space="preserve"> and creating value</w:t>
      </w:r>
      <w:r>
        <w:t xml:space="preserve"> internationally because they do not have the </w:t>
      </w:r>
      <w:r w:rsidR="005F03E7">
        <w:t>ability to analyse foreign markets through export</w:t>
      </w:r>
      <w:r w:rsidR="00AB5987">
        <w:t xml:space="preserve"> as well as there are heavy government regulations in comparison with national markets </w:t>
      </w:r>
      <w:r w:rsidR="005F03E7" w:rsidRPr="005F03E7">
        <w:t>(</w:t>
      </w:r>
      <w:proofErr w:type="spellStart"/>
      <w:r w:rsidR="005F03E7" w:rsidRPr="005F03E7">
        <w:t>Parada</w:t>
      </w:r>
      <w:proofErr w:type="spellEnd"/>
      <w:r w:rsidR="005F03E7" w:rsidRPr="005F03E7">
        <w:t xml:space="preserve"> et al. 2009)</w:t>
      </w:r>
      <w:r w:rsidR="005F03E7">
        <w:t>.</w:t>
      </w:r>
      <w:r w:rsidR="00AB5987">
        <w:t xml:space="preserve"> The only way banks can break into a foreign market is through acquisitions but also such acquisitions pose as a threat because the premium amount paid to acquire the local bank must not exceed the value created. Despite these challenges, Santander managed to creat</w:t>
      </w:r>
      <w:r w:rsidR="005A2276">
        <w:t>e</w:t>
      </w:r>
      <w:r w:rsidR="00AB5987">
        <w:t xml:space="preserve"> </w:t>
      </w:r>
      <w:r w:rsidR="005A2276">
        <w:t xml:space="preserve">a </w:t>
      </w:r>
      <w:r w:rsidR="00AB5987">
        <w:lastRenderedPageBreak/>
        <w:t>remarkab</w:t>
      </w:r>
      <w:r w:rsidR="005A2276">
        <w:t xml:space="preserve">le financial and operational success in its performances. </w:t>
      </w:r>
      <w:r>
        <w:t>Th</w:t>
      </w:r>
      <w:r w:rsidR="005A2276">
        <w:t>erefore, this</w:t>
      </w:r>
      <w:r>
        <w:t xml:space="preserve"> study looks at the internationalisation strategic change of Banco Santander between 1985-2008 to analyse its strategic change </w:t>
      </w:r>
      <w:r w:rsidR="005A2276">
        <w:t>programme and examine the change in structural designs and choices adopted by the bank while transitioning to a global bank.</w:t>
      </w:r>
    </w:p>
    <w:p w:rsidR="00AE331F" w:rsidRDefault="00AE331F" w:rsidP="007176FA">
      <w:pPr>
        <w:spacing w:line="360" w:lineRule="auto"/>
        <w:jc w:val="both"/>
      </w:pPr>
    </w:p>
    <w:p w:rsidR="00F877EF" w:rsidRDefault="00F877EF"/>
    <w:p w:rsidR="006511A0" w:rsidRPr="000077AD" w:rsidRDefault="004E0545" w:rsidP="000077AD">
      <w:r w:rsidRPr="00D7648F">
        <w:rPr>
          <w:b/>
        </w:rPr>
        <w:t xml:space="preserve"> </w:t>
      </w:r>
      <w:bookmarkStart w:id="1" w:name="_Toc19822893"/>
      <w:r w:rsidRPr="00E707E8">
        <w:rPr>
          <w:rStyle w:val="Heading2Char"/>
        </w:rPr>
        <w:t xml:space="preserve">Company </w:t>
      </w:r>
      <w:r w:rsidR="005A2276" w:rsidRPr="00E707E8">
        <w:rPr>
          <w:rStyle w:val="Heading2Char"/>
        </w:rPr>
        <w:t>Background</w:t>
      </w:r>
      <w:r w:rsidR="00D7648F" w:rsidRPr="00E707E8">
        <w:rPr>
          <w:rStyle w:val="Heading2Char"/>
        </w:rPr>
        <w:t xml:space="preserve"> (Strategic history of Banco Santander)</w:t>
      </w:r>
      <w:bookmarkEnd w:id="1"/>
    </w:p>
    <w:p w:rsidR="006511A0" w:rsidRDefault="006511A0"/>
    <w:p w:rsidR="006511A0" w:rsidRDefault="006511A0"/>
    <w:p w:rsidR="009C0B5E" w:rsidRDefault="004E0545" w:rsidP="00AE331F">
      <w:pPr>
        <w:spacing w:line="360" w:lineRule="auto"/>
        <w:jc w:val="both"/>
      </w:pPr>
      <w:r>
        <w:t xml:space="preserve">Banco </w:t>
      </w:r>
      <w:r w:rsidR="00F66C8F">
        <w:t>Santander</w:t>
      </w:r>
      <w:r>
        <w:t xml:space="preserve"> is a </w:t>
      </w:r>
      <w:r w:rsidR="00C20C10">
        <w:t xml:space="preserve">Spain-based </w:t>
      </w:r>
      <w:r>
        <w:t>multinationa</w:t>
      </w:r>
      <w:r w:rsidR="00F66C8F">
        <w:t xml:space="preserve">l company </w:t>
      </w:r>
      <w:r w:rsidR="00C20C10">
        <w:t>specialising in commercial and retail banking. It was founded in 1857 in Santander, Spain and it is considered to be one of the largest banks in Spain</w:t>
      </w:r>
      <w:r>
        <w:t xml:space="preserve"> (Horwood, 2005)</w:t>
      </w:r>
      <w:r w:rsidR="00C20C10">
        <w:t>. The Santander banking group has expanded its operations through acquisitions of financial institutions in different countries</w:t>
      </w:r>
      <w:r w:rsidR="00AE331F">
        <w:t xml:space="preserve"> </w:t>
      </w:r>
      <w:r w:rsidR="00AE331F" w:rsidRPr="00327B00">
        <w:t>(Santander</w:t>
      </w:r>
      <w:r w:rsidR="00FC15D2">
        <w:t xml:space="preserve"> Group</w:t>
      </w:r>
      <w:r w:rsidR="00AE331F" w:rsidRPr="00327B00">
        <w:t>, 2004)</w:t>
      </w:r>
      <w:r w:rsidR="00C20C10" w:rsidRPr="00327B00">
        <w:t>.</w:t>
      </w:r>
      <w:r w:rsidR="00C20C10">
        <w:t xml:space="preserve"> Therefore, it has bank segments across Europe, Asia, South America and North America. </w:t>
      </w:r>
      <w:r w:rsidRPr="009C0B5E">
        <w:t xml:space="preserve">A significant event in the history of Santander was the purchase of Bank Español de Crédito (Banesto) in 1994, which made the company the leading actor on the Spanish </w:t>
      </w:r>
      <w:r w:rsidRPr="00327B00">
        <w:t>market (Santander</w:t>
      </w:r>
      <w:r w:rsidR="000D536D">
        <w:t xml:space="preserve"> Group</w:t>
      </w:r>
      <w:r w:rsidRPr="00327B00">
        <w:t>,</w:t>
      </w:r>
      <w:r w:rsidR="00327B00">
        <w:t xml:space="preserve"> </w:t>
      </w:r>
      <w:r w:rsidRPr="00327B00">
        <w:t>200</w:t>
      </w:r>
      <w:r w:rsidR="00327B00" w:rsidRPr="00327B00">
        <w:t>4</w:t>
      </w:r>
      <w:r w:rsidRPr="00327B00">
        <w:t>).</w:t>
      </w:r>
    </w:p>
    <w:p w:rsidR="009C0B5E" w:rsidRDefault="009C0B5E" w:rsidP="00AE331F">
      <w:pPr>
        <w:spacing w:line="360" w:lineRule="auto"/>
        <w:jc w:val="both"/>
      </w:pPr>
    </w:p>
    <w:p w:rsidR="009C0B5E" w:rsidRDefault="004E0545" w:rsidP="00C20C10">
      <w:pPr>
        <w:spacing w:line="360" w:lineRule="auto"/>
        <w:jc w:val="both"/>
      </w:pPr>
      <w:r w:rsidRPr="00AE331F">
        <w:t xml:space="preserve">Banco Santander succeeded in becoming the </w:t>
      </w:r>
      <w:r>
        <w:t>European</w:t>
      </w:r>
      <w:r w:rsidRPr="00AE331F">
        <w:t xml:space="preserve"> number one </w:t>
      </w:r>
      <w:r>
        <w:t>b</w:t>
      </w:r>
      <w:r w:rsidRPr="00AE331F">
        <w:t>ank and ranked among the world</w:t>
      </w:r>
      <w:r>
        <w:t>’</w:t>
      </w:r>
      <w:r w:rsidRPr="00AE331F">
        <w:t>s top ten banks</w:t>
      </w:r>
      <w:r>
        <w:t xml:space="preserve"> (Horwood, 2005)</w:t>
      </w:r>
      <w:r w:rsidRPr="00AE331F">
        <w:t>. Banco Santander was awarded in July 2005 as the best bank in the world with the Euromoney Award for Excellence</w:t>
      </w:r>
      <w:r>
        <w:t xml:space="preserve"> (a</w:t>
      </w:r>
      <w:r w:rsidRPr="00AE331F">
        <w:t xml:space="preserve"> magazine known for its banking and worldwide finances reports</w:t>
      </w:r>
      <w:r>
        <w:t xml:space="preserve">) </w:t>
      </w:r>
      <w:r w:rsidRPr="00AE331F">
        <w:t>(</w:t>
      </w:r>
      <w:r>
        <w:t xml:space="preserve">Horwood 2005, </w:t>
      </w:r>
      <w:r w:rsidRPr="00AE331F">
        <w:t>Parada, Alemany and Planellas 2007).</w:t>
      </w:r>
      <w:r>
        <w:t xml:space="preserve"> </w:t>
      </w:r>
      <w:r w:rsidR="00C20C10">
        <w:t>One of its major</w:t>
      </w:r>
      <w:r w:rsidR="00C63CB7">
        <w:t xml:space="preserve"> accomplishment was the </w:t>
      </w:r>
      <w:r w:rsidR="00C20C10">
        <w:t>acquisition of Abbey National</w:t>
      </w:r>
      <w:r w:rsidR="00C63CB7">
        <w:t xml:space="preserve"> (UK financial institution) in 2004 that helped</w:t>
      </w:r>
      <w:r w:rsidR="00C20C10">
        <w:t xml:space="preserve"> </w:t>
      </w:r>
      <w:r w:rsidR="00C63CB7">
        <w:t>Santander</w:t>
      </w:r>
      <w:r w:rsidR="00C20C10">
        <w:t xml:space="preserve"> bank bec</w:t>
      </w:r>
      <w:r w:rsidR="00C63CB7">
        <w:t>o</w:t>
      </w:r>
      <w:r w:rsidR="00C20C10">
        <w:t>me one of the</w:t>
      </w:r>
      <w:r w:rsidR="00C63CB7">
        <w:t xml:space="preserve"> most leading retail </w:t>
      </w:r>
      <w:r w:rsidR="00020568">
        <w:t>banks</w:t>
      </w:r>
      <w:r w:rsidR="00C63CB7">
        <w:t xml:space="preserve"> in the world</w:t>
      </w:r>
      <w:r>
        <w:t xml:space="preserve"> (Horwood, 2005)</w:t>
      </w:r>
      <w:r w:rsidR="00C63CB7">
        <w:t>.</w:t>
      </w:r>
      <w:r>
        <w:t xml:space="preserve"> </w:t>
      </w:r>
      <w:r w:rsidRPr="009C0B5E">
        <w:t>In 2006, the Santander recorded € 7.596 million in revenues, which was the largest corporation ever to have goaded heavy retail and service investment</w:t>
      </w:r>
      <w:r>
        <w:t xml:space="preserve"> (Santander</w:t>
      </w:r>
      <w:r w:rsidR="00FC15D2">
        <w:t xml:space="preserve"> Group</w:t>
      </w:r>
      <w:r>
        <w:t>, 2006)</w:t>
      </w:r>
      <w:r w:rsidRPr="009C0B5E">
        <w:t xml:space="preserve">. </w:t>
      </w:r>
    </w:p>
    <w:p w:rsidR="00B045CD" w:rsidRDefault="00B045CD" w:rsidP="00C20C10">
      <w:pPr>
        <w:spacing w:line="360" w:lineRule="auto"/>
        <w:jc w:val="both"/>
      </w:pPr>
    </w:p>
    <w:p w:rsidR="0007025C" w:rsidRDefault="0007025C"/>
    <w:p w:rsidR="0007025C" w:rsidRDefault="0007025C"/>
    <w:p w:rsidR="0007025C" w:rsidRDefault="0007025C"/>
    <w:p w:rsidR="0007025C" w:rsidRDefault="0007025C"/>
    <w:p w:rsidR="0007025C" w:rsidRDefault="0007025C"/>
    <w:p w:rsidR="00FE4C0F" w:rsidRDefault="00FE4C0F"/>
    <w:p w:rsidR="00865A74" w:rsidRDefault="00865A74" w:rsidP="00FE4C0F">
      <w:pPr>
        <w:shd w:val="clear" w:color="auto" w:fill="FFFFFF"/>
        <w:spacing w:after="100" w:afterAutospacing="1"/>
        <w:outlineLvl w:val="1"/>
        <w:rPr>
          <w:b/>
          <w:color w:val="000000"/>
        </w:rPr>
      </w:pPr>
    </w:p>
    <w:p w:rsidR="009C0B5E" w:rsidRDefault="009C0B5E" w:rsidP="00FE4C0F">
      <w:pPr>
        <w:shd w:val="clear" w:color="auto" w:fill="FFFFFF"/>
        <w:spacing w:after="100" w:afterAutospacing="1"/>
        <w:outlineLvl w:val="1"/>
        <w:rPr>
          <w:b/>
          <w:color w:val="000000"/>
        </w:rPr>
      </w:pPr>
    </w:p>
    <w:p w:rsidR="00DD259A" w:rsidRDefault="00DD259A" w:rsidP="00FE4C0F">
      <w:pPr>
        <w:shd w:val="clear" w:color="auto" w:fill="FFFFFF"/>
        <w:spacing w:after="100" w:afterAutospacing="1"/>
        <w:outlineLvl w:val="1"/>
        <w:rPr>
          <w:b/>
          <w:color w:val="000000"/>
        </w:rPr>
      </w:pPr>
    </w:p>
    <w:p w:rsidR="00AE331F" w:rsidRPr="00347821" w:rsidRDefault="004E0545" w:rsidP="000077AD">
      <w:pPr>
        <w:shd w:val="clear" w:color="auto" w:fill="FFFFFF"/>
        <w:spacing w:after="100" w:afterAutospacing="1"/>
        <w:outlineLvl w:val="1"/>
        <w:rPr>
          <w:rStyle w:val="Heading1Char"/>
        </w:rPr>
      </w:pPr>
      <w:bookmarkStart w:id="2" w:name="_Toc19822894"/>
      <w:r w:rsidRPr="00347821">
        <w:rPr>
          <w:rStyle w:val="Heading1Char"/>
        </w:rPr>
        <w:lastRenderedPageBreak/>
        <w:t>The Evaluation of the Change Programme of Banco Santander</w:t>
      </w:r>
      <w:r w:rsidR="00BF4E5C" w:rsidRPr="00347821">
        <w:rPr>
          <w:rStyle w:val="Heading1Char"/>
        </w:rPr>
        <w:t xml:space="preserve"> (2005-2008)</w:t>
      </w:r>
      <w:r w:rsidRPr="00347821">
        <w:rPr>
          <w:rStyle w:val="Heading1Char"/>
        </w:rPr>
        <w:t xml:space="preserve">: </w:t>
      </w:r>
      <w:r w:rsidR="00AA7CB8" w:rsidRPr="00347821">
        <w:rPr>
          <w:rStyle w:val="Heading1Char"/>
        </w:rPr>
        <w:t>An Uppsala</w:t>
      </w:r>
      <w:r w:rsidRPr="00347821">
        <w:rPr>
          <w:rStyle w:val="Heading1Char"/>
        </w:rPr>
        <w:t xml:space="preserve"> Model Analysis</w:t>
      </w:r>
      <w:bookmarkEnd w:id="2"/>
    </w:p>
    <w:p w:rsidR="00FC15D2" w:rsidRDefault="004E0545" w:rsidP="000077AD">
      <w:pPr>
        <w:spacing w:line="360" w:lineRule="auto"/>
        <w:jc w:val="both"/>
      </w:pPr>
      <w:r w:rsidRPr="00AE331F">
        <w:t>It is difficult to get a company to the global scene</w:t>
      </w:r>
      <w:r>
        <w:t xml:space="preserve">, but it can even be harder for banks because of their complexity and higher levels of leverage. Bank visionaries and adventurers have attempted to globalise their banks by spreading their firms countlessly in different nations or concentrating on attending to big firms and aiding trade </w:t>
      </w:r>
      <w:r w:rsidRPr="00327B00">
        <w:t>(The Economist, 2018).</w:t>
      </w:r>
      <w:r>
        <w:t xml:space="preserve"> These approaches have been mostly adopted by banks like HSBC and big financial institutions of China. Another way of banking globalisation has been through the concentration on investment banking hubs mostly practised in famous cities such as London, New York, etc. However, both of these approaches have caused mayhem for those who have chosen to do so.</w:t>
      </w:r>
    </w:p>
    <w:p w:rsidR="00AE331F" w:rsidRDefault="004E0545" w:rsidP="000077AD">
      <w:pPr>
        <w:spacing w:line="360" w:lineRule="auto"/>
        <w:jc w:val="both"/>
      </w:pPr>
      <w:r>
        <w:t xml:space="preserve">  </w:t>
      </w:r>
    </w:p>
    <w:p w:rsidR="00AE331F" w:rsidRDefault="004E0545" w:rsidP="000077AD">
      <w:pPr>
        <w:spacing w:line="360" w:lineRule="auto"/>
        <w:jc w:val="both"/>
      </w:pPr>
      <w:r>
        <w:t xml:space="preserve">Then came Santander a local Spanish with a model that paved its way to </w:t>
      </w:r>
      <w:r w:rsidR="00FC15D2">
        <w:t>be</w:t>
      </w:r>
      <w:r>
        <w:t xml:space="preserve"> the leader in retail banking globalisation through the creation of a deeply present global retail bank that gave birth to the true economies of scale </w:t>
      </w:r>
      <w:r w:rsidRPr="00327B00">
        <w:t>(The Economist, 2018).</w:t>
      </w:r>
      <w:r>
        <w:t xml:space="preserve"> Banco Santander came up with an internationalisation strategy model that involved three methods that helped their journey towards globalisation. These include</w:t>
      </w:r>
      <w:r w:rsidR="00867A92">
        <w:t>d</w:t>
      </w:r>
      <w:r>
        <w:t xml:space="preserve"> developing strong</w:t>
      </w:r>
      <w:r w:rsidR="00867A92">
        <w:t xml:space="preserve"> home</w:t>
      </w:r>
      <w:r>
        <w:t xml:space="preserve"> market competencies, o</w:t>
      </w:r>
      <w:r w:rsidRPr="00AE331F">
        <w:t xml:space="preserve">verseas </w:t>
      </w:r>
      <w:r>
        <w:t>e</w:t>
      </w:r>
      <w:r w:rsidRPr="00AE331F">
        <w:t xml:space="preserve">xploration </w:t>
      </w:r>
      <w:r>
        <w:t>of potential acquisitions and utilisation of the opportunity by constructing a dominant position. What made Santander succeed was its consistency in its strategies adopted for its businesses in Latin, America and Europe. The strategies adopted by the Santander bank in its internationalisation target are shown in the figure below:</w:t>
      </w:r>
    </w:p>
    <w:p w:rsidR="00611C08" w:rsidRDefault="00611C08" w:rsidP="000077AD">
      <w:pPr>
        <w:spacing w:line="360" w:lineRule="auto"/>
        <w:jc w:val="both"/>
      </w:pPr>
    </w:p>
    <w:p w:rsidR="00AE331F" w:rsidRPr="00611C08" w:rsidRDefault="00611C08" w:rsidP="00611C08">
      <w:pPr>
        <w:pStyle w:val="Caption"/>
        <w:rPr>
          <w:b/>
          <w:i w:val="0"/>
          <w:color w:val="000000" w:themeColor="text1"/>
          <w:sz w:val="24"/>
          <w:szCs w:val="24"/>
        </w:rPr>
      </w:pPr>
      <w:bookmarkStart w:id="3" w:name="_Toc19823390"/>
      <w:r w:rsidRPr="00611C08">
        <w:rPr>
          <w:b/>
          <w:i w:val="0"/>
          <w:color w:val="000000" w:themeColor="text1"/>
          <w:sz w:val="24"/>
          <w:szCs w:val="24"/>
        </w:rPr>
        <w:t xml:space="preserve">Figure </w:t>
      </w:r>
      <w:r w:rsidRPr="00611C08">
        <w:rPr>
          <w:b/>
          <w:i w:val="0"/>
          <w:color w:val="000000" w:themeColor="text1"/>
          <w:sz w:val="24"/>
          <w:szCs w:val="24"/>
        </w:rPr>
        <w:fldChar w:fldCharType="begin"/>
      </w:r>
      <w:r w:rsidRPr="00611C08">
        <w:rPr>
          <w:b/>
          <w:i w:val="0"/>
          <w:color w:val="000000" w:themeColor="text1"/>
          <w:sz w:val="24"/>
          <w:szCs w:val="24"/>
        </w:rPr>
        <w:instrText xml:space="preserve"> SEQ Figure \* ARABIC </w:instrText>
      </w:r>
      <w:r w:rsidRPr="00611C08">
        <w:rPr>
          <w:b/>
          <w:i w:val="0"/>
          <w:color w:val="000000" w:themeColor="text1"/>
          <w:sz w:val="24"/>
          <w:szCs w:val="24"/>
        </w:rPr>
        <w:fldChar w:fldCharType="separate"/>
      </w:r>
      <w:r w:rsidR="00420FDB">
        <w:rPr>
          <w:b/>
          <w:i w:val="0"/>
          <w:noProof/>
          <w:color w:val="000000" w:themeColor="text1"/>
          <w:sz w:val="24"/>
          <w:szCs w:val="24"/>
        </w:rPr>
        <w:t>1</w:t>
      </w:r>
      <w:r w:rsidRPr="00611C08">
        <w:rPr>
          <w:b/>
          <w:i w:val="0"/>
          <w:color w:val="000000" w:themeColor="text1"/>
          <w:sz w:val="24"/>
          <w:szCs w:val="24"/>
        </w:rPr>
        <w:fldChar w:fldCharType="end"/>
      </w:r>
      <w:r w:rsidR="004E0545" w:rsidRPr="00611C08">
        <w:rPr>
          <w:b/>
          <w:i w:val="0"/>
          <w:color w:val="000000" w:themeColor="text1"/>
          <w:sz w:val="24"/>
          <w:szCs w:val="24"/>
        </w:rPr>
        <w:t xml:space="preserve"> Steps adopted by Banco Santander for its Retail Banking Internationalisation</w:t>
      </w:r>
      <w:bookmarkEnd w:id="3"/>
    </w:p>
    <w:p w:rsidR="00AE331F" w:rsidRDefault="00611C08" w:rsidP="00FA5A6F">
      <w:pPr>
        <w:jc w:val="center"/>
      </w:pPr>
      <w:r>
        <w:rPr>
          <w:noProof/>
        </w:rPr>
        <w:drawing>
          <wp:inline distT="0" distB="0" distL="0" distR="0" wp14:anchorId="627978B5" wp14:editId="69189A48">
            <wp:extent cx="3717469" cy="2687934"/>
            <wp:effectExtent l="0" t="0" r="381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160353" name="Screenshot 2019-09-18 at 17.40.37.png"/>
                    <pic:cNvPicPr/>
                  </pic:nvPicPr>
                  <pic:blipFill>
                    <a:blip r:embed="rId8" cstate="print">
                      <a:extLst>
                        <a:ext uri="{28A0092B-C50C-407E-A947-70E740481C1C}">
                          <a14:useLocalDpi xmlns:a14="http://schemas.microsoft.com/office/drawing/2010/main" val="0"/>
                        </a:ext>
                      </a:extLst>
                    </a:blip>
                    <a:srcRect l="11259" t="1831" r="3358" b="3914"/>
                    <a:stretch>
                      <a:fillRect/>
                    </a:stretch>
                  </pic:blipFill>
                  <pic:spPr bwMode="auto">
                    <a:xfrm>
                      <a:off x="0" y="0"/>
                      <a:ext cx="3846743" cy="2781406"/>
                    </a:xfrm>
                    <a:prstGeom prst="rect">
                      <a:avLst/>
                    </a:prstGeom>
                    <a:ln>
                      <a:noFill/>
                    </a:ln>
                    <a:extLst>
                      <a:ext uri="{53640926-AAD7-44D8-BBD7-CCE9431645EC}">
                        <a14:shadowObscured xmlns:a14="http://schemas.microsoft.com/office/drawing/2010/main"/>
                      </a:ext>
                    </a:extLst>
                  </pic:spPr>
                </pic:pic>
              </a:graphicData>
            </a:graphic>
          </wp:inline>
        </w:drawing>
      </w:r>
    </w:p>
    <w:p w:rsidR="009C0B5E" w:rsidRDefault="004E0545" w:rsidP="00AE331F">
      <w:pPr>
        <w:spacing w:line="360" w:lineRule="auto"/>
        <w:jc w:val="both"/>
      </w:pPr>
      <w:r>
        <w:rPr>
          <w:color w:val="000000"/>
        </w:rPr>
        <w:t xml:space="preserve">Source: </w:t>
      </w:r>
      <w:r w:rsidRPr="005F03E7">
        <w:t>(Parada et al. 2009</w:t>
      </w:r>
      <w:r>
        <w:t>, p.660)</w:t>
      </w:r>
    </w:p>
    <w:p w:rsidR="00FC15D2" w:rsidRDefault="00FC15D2" w:rsidP="00AE331F">
      <w:pPr>
        <w:spacing w:line="360" w:lineRule="auto"/>
        <w:jc w:val="both"/>
      </w:pPr>
    </w:p>
    <w:p w:rsidR="009C0B5E" w:rsidRPr="00611C08" w:rsidRDefault="004E0545" w:rsidP="00AE331F">
      <w:pPr>
        <w:spacing w:line="360" w:lineRule="auto"/>
        <w:jc w:val="both"/>
      </w:pPr>
      <w:r w:rsidRPr="00AE331F">
        <w:lastRenderedPageBreak/>
        <w:t>The strategic measures taken by Santander bank fit well with t</w:t>
      </w:r>
      <w:r>
        <w:t>he</w:t>
      </w:r>
      <w:r w:rsidRPr="00AE331F">
        <w:t xml:space="preserve"> </w:t>
      </w:r>
      <w:r>
        <w:t xml:space="preserve">Uppsala model of </w:t>
      </w:r>
      <w:r w:rsidRPr="00AE331F">
        <w:t>internationalisation</w:t>
      </w:r>
      <w:r>
        <w:t xml:space="preserve"> and is described below:</w:t>
      </w:r>
    </w:p>
    <w:p w:rsidR="009C0B5E" w:rsidRPr="00611C08" w:rsidRDefault="009A5876" w:rsidP="00611C08">
      <w:pPr>
        <w:pStyle w:val="Heading2"/>
        <w:numPr>
          <w:ilvl w:val="0"/>
          <w:numId w:val="0"/>
        </w:numPr>
      </w:pPr>
      <w:bookmarkStart w:id="4" w:name="_Toc19822895"/>
      <w:r w:rsidRPr="00347821">
        <w:t>Uppsala Model</w:t>
      </w:r>
      <w:bookmarkEnd w:id="4"/>
    </w:p>
    <w:p w:rsidR="00BF058A" w:rsidRPr="009C0B5E" w:rsidRDefault="004E0545" w:rsidP="009C0B5E">
      <w:pPr>
        <w:spacing w:line="360" w:lineRule="auto"/>
        <w:jc w:val="both"/>
        <w:rPr>
          <w:color w:val="000000"/>
          <w:shd w:val="clear" w:color="auto" w:fill="FFFFFF"/>
        </w:rPr>
      </w:pPr>
      <w:r w:rsidRPr="00AE331F">
        <w:t>This model was first designed by researchers</w:t>
      </w:r>
      <w:r>
        <w:t xml:space="preserve"> </w:t>
      </w:r>
      <w:r w:rsidRPr="00AE331F">
        <w:t xml:space="preserve">Johanson and Weidersheim-Paul (1975, quoted in </w:t>
      </w:r>
      <w:r w:rsidRPr="009C0B5E">
        <w:rPr>
          <w:color w:val="000000"/>
          <w:shd w:val="clear" w:color="auto" w:fill="FFFFFF"/>
        </w:rPr>
        <w:t>Costa e Silva et al., 2012, p. 142)</w:t>
      </w:r>
      <w:r w:rsidRPr="00AE331F">
        <w:t xml:space="preserve"> and Johanson and Vahlne (1977, quoted in </w:t>
      </w:r>
      <w:r w:rsidRPr="009C0B5E">
        <w:rPr>
          <w:color w:val="000000"/>
          <w:shd w:val="clear" w:color="auto" w:fill="FFFFFF"/>
        </w:rPr>
        <w:t>Costa e Silva et al., 2012, p. 142) from Sweden's Uppsala University. It is a four-step method used to evaluate the internationalisation strategy of companies. These include market knowledge, market commitment, commitment decisions</w:t>
      </w:r>
      <w:r w:rsidR="00867A92" w:rsidRPr="009C0B5E">
        <w:rPr>
          <w:color w:val="000000"/>
          <w:shd w:val="clear" w:color="auto" w:fill="FFFFFF"/>
        </w:rPr>
        <w:t xml:space="preserve"> and</w:t>
      </w:r>
      <w:r w:rsidRPr="009C0B5E">
        <w:rPr>
          <w:color w:val="000000"/>
          <w:shd w:val="clear" w:color="auto" w:fill="FFFFFF"/>
        </w:rPr>
        <w:t xml:space="preserve"> current activities as modified by </w:t>
      </w:r>
      <w:r w:rsidRPr="00AE331F">
        <w:t>Johanson and Vahlne (1977</w:t>
      </w:r>
      <w:r>
        <w:t xml:space="preserve">, quoted in </w:t>
      </w:r>
      <w:r w:rsidRPr="004105CE">
        <w:t>Pandian &amp; Sim</w:t>
      </w:r>
      <w:r>
        <w:t xml:space="preserve">, </w:t>
      </w:r>
      <w:r w:rsidRPr="004105CE">
        <w:t>2002</w:t>
      </w:r>
      <w:r>
        <w:t>, p.4)</w:t>
      </w:r>
      <w:r w:rsidRPr="009C0B5E">
        <w:rPr>
          <w:color w:val="000000"/>
          <w:shd w:val="clear" w:color="auto" w:fill="FFFFFF"/>
        </w:rPr>
        <w:t>. The model is used in the evaluation of this study because the Santander case confirms the model's internationalisation theory predictions that require a company to have an accurate knowledge of its markets and be able to commit for a chance at success in its foreign markets. The Uppsala framework is distinguished between two aspects- the State and the Change</w:t>
      </w:r>
      <w:r w:rsidR="00867A92" w:rsidRPr="009C0B5E">
        <w:rPr>
          <w:color w:val="000000"/>
          <w:shd w:val="clear" w:color="auto" w:fill="FFFFFF"/>
        </w:rPr>
        <w:t xml:space="preserve">, </w:t>
      </w:r>
      <w:r w:rsidRPr="009C0B5E">
        <w:rPr>
          <w:color w:val="000000"/>
          <w:shd w:val="clear" w:color="auto" w:fill="FFFFFF"/>
        </w:rPr>
        <w:t>the result of one cycle of occasions establishes the contribution of the next as illustrated in the diagram below:</w:t>
      </w:r>
    </w:p>
    <w:p w:rsidR="00BF058A" w:rsidRPr="00BF058A" w:rsidRDefault="00BF058A" w:rsidP="00BF058A">
      <w:pPr>
        <w:pStyle w:val="ListParagraph"/>
        <w:spacing w:line="360" w:lineRule="auto"/>
        <w:ind w:left="360"/>
        <w:jc w:val="both"/>
        <w:rPr>
          <w:color w:val="000000"/>
          <w:shd w:val="clear" w:color="auto" w:fill="FFFFFF"/>
        </w:rPr>
      </w:pPr>
    </w:p>
    <w:p w:rsidR="00BF058A" w:rsidRPr="00611C08" w:rsidRDefault="00611C08" w:rsidP="00611C08">
      <w:pPr>
        <w:pStyle w:val="Caption"/>
        <w:rPr>
          <w:b/>
          <w:i w:val="0"/>
          <w:color w:val="000000" w:themeColor="text1"/>
          <w:sz w:val="24"/>
          <w:szCs w:val="24"/>
          <w:shd w:val="clear" w:color="auto" w:fill="FFFFFF"/>
        </w:rPr>
      </w:pPr>
      <w:bookmarkStart w:id="5" w:name="_Toc19823391"/>
      <w:r w:rsidRPr="00611C08">
        <w:rPr>
          <w:b/>
          <w:i w:val="0"/>
          <w:color w:val="000000" w:themeColor="text1"/>
          <w:sz w:val="24"/>
          <w:szCs w:val="24"/>
        </w:rPr>
        <w:t xml:space="preserve">Figure </w:t>
      </w:r>
      <w:r w:rsidRPr="00611C08">
        <w:rPr>
          <w:b/>
          <w:i w:val="0"/>
          <w:color w:val="000000" w:themeColor="text1"/>
          <w:sz w:val="24"/>
          <w:szCs w:val="24"/>
        </w:rPr>
        <w:fldChar w:fldCharType="begin"/>
      </w:r>
      <w:r w:rsidRPr="00611C08">
        <w:rPr>
          <w:b/>
          <w:i w:val="0"/>
          <w:color w:val="000000" w:themeColor="text1"/>
          <w:sz w:val="24"/>
          <w:szCs w:val="24"/>
        </w:rPr>
        <w:instrText xml:space="preserve"> SEQ Figure \* ARABIC </w:instrText>
      </w:r>
      <w:r w:rsidRPr="00611C08">
        <w:rPr>
          <w:b/>
          <w:i w:val="0"/>
          <w:color w:val="000000" w:themeColor="text1"/>
          <w:sz w:val="24"/>
          <w:szCs w:val="24"/>
        </w:rPr>
        <w:fldChar w:fldCharType="separate"/>
      </w:r>
      <w:r w:rsidR="00420FDB">
        <w:rPr>
          <w:b/>
          <w:i w:val="0"/>
          <w:noProof/>
          <w:color w:val="000000" w:themeColor="text1"/>
          <w:sz w:val="24"/>
          <w:szCs w:val="24"/>
        </w:rPr>
        <w:t>2</w:t>
      </w:r>
      <w:r w:rsidRPr="00611C08">
        <w:rPr>
          <w:b/>
          <w:i w:val="0"/>
          <w:color w:val="000000" w:themeColor="text1"/>
          <w:sz w:val="24"/>
          <w:szCs w:val="24"/>
        </w:rPr>
        <w:fldChar w:fldCharType="end"/>
      </w:r>
      <w:r w:rsidR="004E0545" w:rsidRPr="00611C08">
        <w:rPr>
          <w:b/>
          <w:i w:val="0"/>
          <w:color w:val="000000" w:themeColor="text1"/>
          <w:sz w:val="24"/>
          <w:szCs w:val="24"/>
          <w:shd w:val="clear" w:color="auto" w:fill="FFFFFF"/>
        </w:rPr>
        <w:t xml:space="preserve"> Internationalization framework State and Change aspects</w:t>
      </w:r>
      <w:bookmarkEnd w:id="5"/>
    </w:p>
    <w:p w:rsidR="00BF058A" w:rsidRDefault="00BF058A" w:rsidP="00BF058A">
      <w:pPr>
        <w:spacing w:line="360" w:lineRule="auto"/>
        <w:jc w:val="both"/>
        <w:rPr>
          <w:b/>
          <w:color w:val="000000"/>
          <w:shd w:val="clear" w:color="auto" w:fill="FFFFFF"/>
        </w:rPr>
      </w:pPr>
    </w:p>
    <w:p w:rsidR="00BF058A" w:rsidRDefault="004E0545" w:rsidP="00BF058A">
      <w:pPr>
        <w:spacing w:line="360" w:lineRule="auto"/>
        <w:jc w:val="center"/>
        <w:rPr>
          <w:b/>
          <w:color w:val="000000"/>
          <w:shd w:val="clear" w:color="auto" w:fill="FFFFFF"/>
        </w:rPr>
      </w:pPr>
      <w:r>
        <w:rPr>
          <w:b/>
          <w:noProof/>
          <w:color w:val="000000"/>
          <w:shd w:val="clear" w:color="auto" w:fill="FFFFFF"/>
        </w:rPr>
        <w:drawing>
          <wp:inline distT="0" distB="0" distL="0" distR="0">
            <wp:extent cx="4184500" cy="2526125"/>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16118" name="Screenshot 2019-09-18 at 19.41.31.png"/>
                    <pic:cNvPicPr/>
                  </pic:nvPicPr>
                  <pic:blipFill>
                    <a:blip r:embed="rId9" cstate="print">
                      <a:extLst>
                        <a:ext uri="{28A0092B-C50C-407E-A947-70E740481C1C}">
                          <a14:useLocalDpi xmlns:a14="http://schemas.microsoft.com/office/drawing/2010/main" val="0"/>
                        </a:ext>
                      </a:extLst>
                    </a:blip>
                    <a:srcRect l="811" r="1371"/>
                    <a:stretch>
                      <a:fillRect/>
                    </a:stretch>
                  </pic:blipFill>
                  <pic:spPr bwMode="auto">
                    <a:xfrm>
                      <a:off x="0" y="0"/>
                      <a:ext cx="4230710" cy="2554022"/>
                    </a:xfrm>
                    <a:prstGeom prst="rect">
                      <a:avLst/>
                    </a:prstGeom>
                    <a:ln>
                      <a:noFill/>
                    </a:ln>
                    <a:extLst>
                      <a:ext uri="{53640926-AAD7-44D8-BBD7-CCE9431645EC}">
                        <a14:shadowObscured xmlns:a14="http://schemas.microsoft.com/office/drawing/2010/main"/>
                      </a:ext>
                    </a:extLst>
                  </pic:spPr>
                </pic:pic>
              </a:graphicData>
            </a:graphic>
          </wp:inline>
        </w:drawing>
      </w:r>
    </w:p>
    <w:p w:rsidR="00BF058A" w:rsidRDefault="00BF058A" w:rsidP="00BF058A">
      <w:pPr>
        <w:spacing w:line="360" w:lineRule="auto"/>
        <w:jc w:val="both"/>
        <w:rPr>
          <w:color w:val="000000"/>
          <w:shd w:val="clear" w:color="auto" w:fill="FFFFFF"/>
        </w:rPr>
      </w:pPr>
    </w:p>
    <w:p w:rsidR="00BF058A" w:rsidRPr="00BF058A" w:rsidRDefault="004E0545" w:rsidP="00BF058A">
      <w:pPr>
        <w:spacing w:line="360" w:lineRule="auto"/>
        <w:jc w:val="both"/>
        <w:rPr>
          <w:b/>
          <w:color w:val="000000"/>
          <w:shd w:val="clear" w:color="auto" w:fill="FFFFFF"/>
        </w:rPr>
      </w:pPr>
      <w:r w:rsidRPr="00BF058A">
        <w:rPr>
          <w:color w:val="000000"/>
          <w:shd w:val="clear" w:color="auto" w:fill="FFFFFF"/>
        </w:rPr>
        <w:t>Source:</w:t>
      </w:r>
      <w:r>
        <w:rPr>
          <w:b/>
          <w:color w:val="000000"/>
          <w:shd w:val="clear" w:color="auto" w:fill="FFFFFF"/>
        </w:rPr>
        <w:t xml:space="preserve"> </w:t>
      </w:r>
      <w:r w:rsidRPr="00BF058A">
        <w:rPr>
          <w:color w:val="000000"/>
          <w:shd w:val="clear" w:color="auto" w:fill="FFFFFF"/>
        </w:rPr>
        <w:t>(Johanson and Vahlne, 1977</w:t>
      </w:r>
      <w:r>
        <w:rPr>
          <w:color w:val="000000"/>
          <w:shd w:val="clear" w:color="auto" w:fill="FFFFFF"/>
        </w:rPr>
        <w:t>, p.26</w:t>
      </w:r>
      <w:r w:rsidRPr="00BF058A">
        <w:rPr>
          <w:color w:val="000000"/>
          <w:shd w:val="clear" w:color="auto" w:fill="FFFFFF"/>
        </w:rPr>
        <w:t>)</w:t>
      </w:r>
    </w:p>
    <w:p w:rsidR="00BF058A" w:rsidRDefault="00BF058A" w:rsidP="00BF058A">
      <w:pPr>
        <w:spacing w:line="360" w:lineRule="auto"/>
        <w:jc w:val="both"/>
        <w:rPr>
          <w:color w:val="000000"/>
          <w:shd w:val="clear" w:color="auto" w:fill="FFFFFF"/>
        </w:rPr>
      </w:pPr>
    </w:p>
    <w:p w:rsidR="009C0B5E" w:rsidRDefault="009C0B5E" w:rsidP="00BF058A">
      <w:pPr>
        <w:spacing w:line="360" w:lineRule="auto"/>
        <w:jc w:val="both"/>
        <w:rPr>
          <w:color w:val="000000"/>
          <w:shd w:val="clear" w:color="auto" w:fill="FFFFFF"/>
        </w:rPr>
      </w:pPr>
    </w:p>
    <w:p w:rsidR="009C0B5E" w:rsidRDefault="009C0B5E" w:rsidP="00BF058A">
      <w:pPr>
        <w:spacing w:line="360" w:lineRule="auto"/>
        <w:jc w:val="both"/>
        <w:rPr>
          <w:color w:val="000000"/>
          <w:shd w:val="clear" w:color="auto" w:fill="FFFFFF"/>
        </w:rPr>
      </w:pPr>
    </w:p>
    <w:p w:rsidR="00BF058A" w:rsidRDefault="004E0545" w:rsidP="00BF058A">
      <w:pPr>
        <w:spacing w:line="360" w:lineRule="auto"/>
        <w:jc w:val="both"/>
        <w:rPr>
          <w:color w:val="000000"/>
          <w:shd w:val="clear" w:color="auto" w:fill="FFFFFF"/>
        </w:rPr>
      </w:pPr>
      <w:r>
        <w:rPr>
          <w:color w:val="000000"/>
          <w:shd w:val="clear" w:color="auto" w:fill="FFFFFF"/>
        </w:rPr>
        <w:lastRenderedPageBreak/>
        <w:t>The internationalisation framework of Banco Santander based on state and change aspects is discussed in detail below:</w:t>
      </w:r>
    </w:p>
    <w:p w:rsidR="00BF058A" w:rsidRDefault="00BF058A" w:rsidP="00BF058A">
      <w:pPr>
        <w:spacing w:line="360" w:lineRule="auto"/>
        <w:jc w:val="both"/>
        <w:rPr>
          <w:color w:val="000000"/>
          <w:shd w:val="clear" w:color="auto" w:fill="FFFFFF"/>
        </w:rPr>
      </w:pPr>
    </w:p>
    <w:p w:rsidR="00546E3E" w:rsidRDefault="00546E3E" w:rsidP="00E92032">
      <w:pPr>
        <w:pStyle w:val="Heading2"/>
        <w:numPr>
          <w:ilvl w:val="0"/>
          <w:numId w:val="0"/>
        </w:numPr>
        <w:ind w:left="576" w:hanging="576"/>
        <w:rPr>
          <w:shd w:val="clear" w:color="auto" w:fill="FFFFFF"/>
        </w:rPr>
      </w:pPr>
      <w:bookmarkStart w:id="6" w:name="_Toc19822896"/>
      <w:r w:rsidRPr="00BF058A">
        <w:rPr>
          <w:shd w:val="clear" w:color="auto" w:fill="FFFFFF"/>
        </w:rPr>
        <w:t>State Aspects</w:t>
      </w:r>
      <w:bookmarkEnd w:id="6"/>
    </w:p>
    <w:p w:rsidR="00BF058A" w:rsidRPr="00BF058A" w:rsidRDefault="004E0545" w:rsidP="00BF058A">
      <w:pPr>
        <w:spacing w:line="360" w:lineRule="auto"/>
        <w:jc w:val="both"/>
        <w:rPr>
          <w:color w:val="000000"/>
          <w:shd w:val="clear" w:color="auto" w:fill="FFFFFF"/>
        </w:rPr>
      </w:pPr>
      <w:r>
        <w:rPr>
          <w:b/>
          <w:color w:val="000000"/>
          <w:shd w:val="clear" w:color="auto" w:fill="FFFFFF"/>
        </w:rPr>
        <w:t xml:space="preserve"> </w:t>
      </w:r>
      <w:r w:rsidRPr="00BF058A">
        <w:rPr>
          <w:color w:val="000000"/>
          <w:shd w:val="clear" w:color="auto" w:fill="FFFFFF"/>
        </w:rPr>
        <w:t>The state aspects of the internationalisation theory involve market knowledge and market commitment.</w:t>
      </w:r>
      <w:r>
        <w:rPr>
          <w:color w:val="000000"/>
          <w:shd w:val="clear" w:color="auto" w:fill="FFFFFF"/>
        </w:rPr>
        <w:t xml:space="preserve"> </w:t>
      </w:r>
      <w:r w:rsidRPr="00BF058A">
        <w:rPr>
          <w:color w:val="000000"/>
          <w:shd w:val="clear" w:color="auto" w:fill="FFFFFF"/>
        </w:rPr>
        <w:t xml:space="preserve">Johanson and Vahlne </w:t>
      </w:r>
      <w:r>
        <w:rPr>
          <w:color w:val="000000"/>
          <w:shd w:val="clear" w:color="auto" w:fill="FFFFFF"/>
        </w:rPr>
        <w:t>(</w:t>
      </w:r>
      <w:r w:rsidRPr="00BF058A">
        <w:rPr>
          <w:color w:val="000000"/>
          <w:shd w:val="clear" w:color="auto" w:fill="FFFFFF"/>
        </w:rPr>
        <w:t>1977</w:t>
      </w:r>
      <w:r>
        <w:rPr>
          <w:color w:val="000000"/>
          <w:shd w:val="clear" w:color="auto" w:fill="FFFFFF"/>
        </w:rPr>
        <w:t>), assumes that m</w:t>
      </w:r>
      <w:r w:rsidRPr="00BF058A">
        <w:rPr>
          <w:color w:val="000000"/>
          <w:shd w:val="clear" w:color="auto" w:fill="FFFFFF"/>
        </w:rPr>
        <w:t>arket</w:t>
      </w:r>
      <w:r>
        <w:rPr>
          <w:color w:val="000000"/>
          <w:shd w:val="clear" w:color="auto" w:fill="FFFFFF"/>
        </w:rPr>
        <w:t xml:space="preserve"> commitment</w:t>
      </w:r>
      <w:r w:rsidRPr="00BF058A">
        <w:rPr>
          <w:color w:val="000000"/>
          <w:shd w:val="clear" w:color="auto" w:fill="FFFFFF"/>
        </w:rPr>
        <w:t xml:space="preserve"> has an impact on the </w:t>
      </w:r>
      <w:r>
        <w:rPr>
          <w:color w:val="000000"/>
          <w:shd w:val="clear" w:color="auto" w:fill="FFFFFF"/>
        </w:rPr>
        <w:t>“</w:t>
      </w:r>
      <w:r w:rsidRPr="00BF058A">
        <w:rPr>
          <w:color w:val="000000"/>
          <w:shd w:val="clear" w:color="auto" w:fill="FFFFFF"/>
        </w:rPr>
        <w:t>perceived opportunities and risks of the firm</w:t>
      </w:r>
      <w:r>
        <w:rPr>
          <w:color w:val="000000"/>
          <w:shd w:val="clear" w:color="auto" w:fill="FFFFFF"/>
        </w:rPr>
        <w:t>”.</w:t>
      </w:r>
    </w:p>
    <w:p w:rsidR="00BF058A" w:rsidRPr="00BF058A" w:rsidRDefault="00BF058A" w:rsidP="00BF058A">
      <w:pPr>
        <w:spacing w:line="360" w:lineRule="auto"/>
        <w:jc w:val="both"/>
        <w:rPr>
          <w:b/>
          <w:color w:val="000000"/>
          <w:shd w:val="clear" w:color="auto" w:fill="FFFFFF"/>
        </w:rPr>
      </w:pPr>
    </w:p>
    <w:p w:rsidR="00046682" w:rsidRPr="0010239D" w:rsidRDefault="004E0545" w:rsidP="0010239D">
      <w:pPr>
        <w:pStyle w:val="ListParagraph"/>
        <w:numPr>
          <w:ilvl w:val="0"/>
          <w:numId w:val="6"/>
        </w:numPr>
        <w:spacing w:line="360" w:lineRule="auto"/>
        <w:jc w:val="both"/>
        <w:rPr>
          <w:color w:val="000000"/>
          <w:shd w:val="clear" w:color="auto" w:fill="FFFFFF"/>
        </w:rPr>
      </w:pPr>
      <w:r w:rsidRPr="00BF058A">
        <w:rPr>
          <w:b/>
          <w:color w:val="000000"/>
          <w:shd w:val="clear" w:color="auto" w:fill="FFFFFF"/>
        </w:rPr>
        <w:t>Market Knowledge:</w:t>
      </w:r>
      <w:r w:rsidRPr="00BF058A">
        <w:rPr>
          <w:color w:val="000000"/>
          <w:shd w:val="clear" w:color="auto" w:fill="FFFFFF"/>
        </w:rPr>
        <w:t xml:space="preserve"> Market knowledge is simply how well a company knows the market it wishes to operate in and what resources it plans to employ to fulfil its objectives successfully. In the case of Banco Santander, before deciding to move to cross-border markets, the company first decided to build a stronghold in its domestic markets. In the early 1980s, Spain's banking sector was highly regulated by the Government based on wages to be paid, regular bank meetings, interest rates, consolidated bank publications, etc., therefore banking sectors were highly restricted</w:t>
      </w:r>
      <w:r>
        <w:rPr>
          <w:color w:val="000000"/>
          <w:shd w:val="clear" w:color="auto" w:fill="FFFFFF"/>
        </w:rPr>
        <w:t xml:space="preserve"> and there were no opportunities or alternatives. However, in the late 1980s, the Government decided to deregulate and liberalised the banking sectors to make their own decisions</w:t>
      </w:r>
      <w:r w:rsidRPr="00BF058A">
        <w:rPr>
          <w:color w:val="000000"/>
          <w:shd w:val="clear" w:color="auto" w:fill="FFFFFF"/>
        </w:rPr>
        <w:t xml:space="preserve"> </w:t>
      </w:r>
      <w:r>
        <w:rPr>
          <w:color w:val="000000"/>
          <w:shd w:val="clear" w:color="auto" w:fill="FFFFFF"/>
        </w:rPr>
        <w:t>spurring competitions among various financial institutions in Spain</w:t>
      </w:r>
      <w:r w:rsidR="009C0B5E" w:rsidRPr="009C0B5E">
        <w:rPr>
          <w:color w:val="000000"/>
          <w:shd w:val="clear" w:color="auto" w:fill="FFFFFF"/>
        </w:rPr>
        <w:t xml:space="preserve"> </w:t>
      </w:r>
      <w:r w:rsidR="009C0B5E">
        <w:rPr>
          <w:color w:val="000000"/>
          <w:shd w:val="clear" w:color="auto" w:fill="FFFFFF"/>
        </w:rPr>
        <w:t>(</w:t>
      </w:r>
      <w:r w:rsidR="009C0B5E" w:rsidRPr="003A3A98">
        <w:rPr>
          <w:color w:val="000000"/>
          <w:shd w:val="clear" w:color="auto" w:fill="FFFFFF"/>
        </w:rPr>
        <w:t>Figueira-de-Lemos, Johanson and Vahlne, 2011)</w:t>
      </w:r>
      <w:r>
        <w:rPr>
          <w:color w:val="000000"/>
          <w:shd w:val="clear" w:color="auto" w:fill="FFFFFF"/>
        </w:rPr>
        <w:t xml:space="preserve">. This created a very competitive over-banked financial market in Spain that even prevented foreign banks </w:t>
      </w:r>
      <w:r w:rsidRPr="00046682">
        <w:rPr>
          <w:color w:val="000000"/>
          <w:shd w:val="clear" w:color="auto" w:fill="FFFFFF"/>
        </w:rPr>
        <w:t>to enter the Spanish market and capture substantial market share since international entrants were confronted by strongly established local competitors who were generally sophisticated and efficient</w:t>
      </w:r>
      <w:r w:rsidR="0010239D" w:rsidRPr="0010239D">
        <w:rPr>
          <w:rFonts w:ascii="Arial" w:hAnsi="Arial" w:cs="Arial"/>
          <w:color w:val="000000"/>
          <w:sz w:val="20"/>
          <w:szCs w:val="20"/>
          <w:shd w:val="clear" w:color="auto" w:fill="FFFFFF"/>
        </w:rPr>
        <w:t xml:space="preserve"> </w:t>
      </w:r>
      <w:r w:rsidR="0010239D" w:rsidRPr="0010239D">
        <w:rPr>
          <w:color w:val="000000"/>
          <w:shd w:val="clear" w:color="auto" w:fill="FFFFFF"/>
        </w:rPr>
        <w:t>(Xifra and Ordeix, 2009)</w:t>
      </w:r>
      <w:r w:rsidRPr="0010239D">
        <w:rPr>
          <w:color w:val="000000"/>
          <w:shd w:val="clear" w:color="auto" w:fill="FFFFFF"/>
        </w:rPr>
        <w:t>. During this time Spanish banks were competitive with savings banks that had an exceptional legal framework which prevented them from paying dividends and forced them to reinvest not only in the</w:t>
      </w:r>
      <w:r w:rsidR="00867A92" w:rsidRPr="0010239D">
        <w:rPr>
          <w:color w:val="000000"/>
          <w:shd w:val="clear" w:color="auto" w:fill="FFFFFF"/>
        </w:rPr>
        <w:t>ir</w:t>
      </w:r>
      <w:r w:rsidRPr="0010239D">
        <w:rPr>
          <w:color w:val="000000"/>
          <w:shd w:val="clear" w:color="auto" w:fill="FFFFFF"/>
        </w:rPr>
        <w:t xml:space="preserve"> original business but in Spain, severely restricting their opportunities for internationalisation.  </w:t>
      </w:r>
    </w:p>
    <w:p w:rsidR="00046682" w:rsidRDefault="00046682" w:rsidP="00046682">
      <w:pPr>
        <w:pStyle w:val="ListParagraph"/>
        <w:spacing w:line="360" w:lineRule="auto"/>
        <w:jc w:val="both"/>
        <w:rPr>
          <w:b/>
          <w:color w:val="000000"/>
          <w:shd w:val="clear" w:color="auto" w:fill="FFFFFF"/>
        </w:rPr>
      </w:pPr>
    </w:p>
    <w:p w:rsidR="00046682" w:rsidRPr="0010239D" w:rsidRDefault="004E0545" w:rsidP="0010239D">
      <w:pPr>
        <w:pStyle w:val="ListParagraph"/>
        <w:spacing w:line="360" w:lineRule="auto"/>
        <w:ind w:left="360"/>
        <w:jc w:val="both"/>
        <w:rPr>
          <w:color w:val="000000"/>
          <w:shd w:val="clear" w:color="auto" w:fill="FFFFFF"/>
        </w:rPr>
      </w:pPr>
      <w:r>
        <w:rPr>
          <w:color w:val="000000"/>
          <w:shd w:val="clear" w:color="auto" w:fill="FFFFFF"/>
        </w:rPr>
        <w:t xml:space="preserve">However, while other Spanish Banks were busy enjoying their new-found freedom and getting comfortable, </w:t>
      </w:r>
      <w:r w:rsidRPr="00046682">
        <w:rPr>
          <w:color w:val="000000"/>
          <w:shd w:val="clear" w:color="auto" w:fill="FFFFFF"/>
        </w:rPr>
        <w:t xml:space="preserve">Banco Santander </w:t>
      </w:r>
      <w:r>
        <w:rPr>
          <w:color w:val="000000"/>
          <w:shd w:val="clear" w:color="auto" w:fill="FFFFFF"/>
        </w:rPr>
        <w:t xml:space="preserve">saw that as an opportunity </w:t>
      </w:r>
      <w:r w:rsidRPr="00046682">
        <w:rPr>
          <w:color w:val="000000"/>
          <w:shd w:val="clear" w:color="auto" w:fill="FFFFFF"/>
        </w:rPr>
        <w:t xml:space="preserve">to improve its capabilities in the domestic market by acquiring </w:t>
      </w:r>
      <w:r>
        <w:rPr>
          <w:color w:val="000000"/>
          <w:shd w:val="clear" w:color="auto" w:fill="FFFFFF"/>
        </w:rPr>
        <w:t xml:space="preserve">three largest </w:t>
      </w:r>
      <w:r w:rsidRPr="00046682">
        <w:rPr>
          <w:color w:val="000000"/>
          <w:shd w:val="clear" w:color="auto" w:fill="FFFFFF"/>
        </w:rPr>
        <w:t>Spanish banks</w:t>
      </w:r>
      <w:r>
        <w:rPr>
          <w:color w:val="000000"/>
          <w:shd w:val="clear" w:color="auto" w:fill="FFFFFF"/>
        </w:rPr>
        <w:t>: Central, Banesto and Bha that formed Santander</w:t>
      </w:r>
      <w:r w:rsidR="0010239D">
        <w:rPr>
          <w:color w:val="000000"/>
          <w:shd w:val="clear" w:color="auto" w:fill="FFFFFF"/>
        </w:rPr>
        <w:t xml:space="preserve"> </w:t>
      </w:r>
      <w:r w:rsidR="000D536D">
        <w:rPr>
          <w:color w:val="000000"/>
          <w:shd w:val="clear" w:color="auto" w:fill="FFFFFF"/>
        </w:rPr>
        <w:t xml:space="preserve">Group </w:t>
      </w:r>
      <w:r w:rsidR="0010239D" w:rsidRPr="0010239D">
        <w:rPr>
          <w:color w:val="000000"/>
          <w:shd w:val="clear" w:color="auto" w:fill="FFFFFF"/>
        </w:rPr>
        <w:t>(</w:t>
      </w:r>
      <w:proofErr w:type="spellStart"/>
      <w:r w:rsidR="0010239D" w:rsidRPr="0010239D">
        <w:rPr>
          <w:color w:val="000000"/>
          <w:shd w:val="clear" w:color="auto" w:fill="FFFFFF"/>
        </w:rPr>
        <w:t>Xifra</w:t>
      </w:r>
      <w:proofErr w:type="spellEnd"/>
      <w:r w:rsidR="0010239D" w:rsidRPr="0010239D">
        <w:rPr>
          <w:color w:val="000000"/>
          <w:shd w:val="clear" w:color="auto" w:fill="FFFFFF"/>
        </w:rPr>
        <w:t xml:space="preserve"> and </w:t>
      </w:r>
      <w:proofErr w:type="spellStart"/>
      <w:r w:rsidR="0010239D" w:rsidRPr="0010239D">
        <w:rPr>
          <w:color w:val="000000"/>
          <w:shd w:val="clear" w:color="auto" w:fill="FFFFFF"/>
        </w:rPr>
        <w:t>Ordeix</w:t>
      </w:r>
      <w:proofErr w:type="spellEnd"/>
      <w:r w:rsidR="0010239D" w:rsidRPr="0010239D">
        <w:rPr>
          <w:color w:val="000000"/>
          <w:shd w:val="clear" w:color="auto" w:fill="FFFFFF"/>
        </w:rPr>
        <w:t>, 2009)</w:t>
      </w:r>
      <w:r w:rsidRPr="0010239D">
        <w:rPr>
          <w:color w:val="000000"/>
          <w:shd w:val="clear" w:color="auto" w:fill="FFFFFF"/>
        </w:rPr>
        <w:t>. This proves that Santander was thinking ahead of time and knew that opportunities for internationalisation would soon arise and they needed to get bigger. By 2005, Santander became the largest bank in Spain in terms of market share</w:t>
      </w:r>
      <w:r w:rsidR="00FC15D2">
        <w:rPr>
          <w:color w:val="000000"/>
          <w:shd w:val="clear" w:color="auto" w:fill="FFFFFF"/>
        </w:rPr>
        <w:t xml:space="preserve"> (Santander Group, 2005)</w:t>
      </w:r>
      <w:r w:rsidRPr="0010239D">
        <w:rPr>
          <w:color w:val="000000"/>
          <w:shd w:val="clear" w:color="auto" w:fill="FFFFFF"/>
        </w:rPr>
        <w:t>. A comparison chart of the market share and total assets of top banks in Spain between 1985-2005 is shown in Table 1:</w:t>
      </w:r>
    </w:p>
    <w:p w:rsidR="00865A74" w:rsidRDefault="00865A74" w:rsidP="009C0B5E">
      <w:pPr>
        <w:spacing w:line="360" w:lineRule="auto"/>
        <w:jc w:val="both"/>
        <w:rPr>
          <w:color w:val="000000"/>
          <w:shd w:val="clear" w:color="auto" w:fill="FFFFFF"/>
        </w:rPr>
      </w:pPr>
    </w:p>
    <w:p w:rsidR="009C0B5E" w:rsidRPr="009C0B5E" w:rsidRDefault="009C0B5E" w:rsidP="009C0B5E">
      <w:pPr>
        <w:spacing w:line="360" w:lineRule="auto"/>
        <w:jc w:val="both"/>
        <w:rPr>
          <w:b/>
          <w:color w:val="000000"/>
          <w:shd w:val="clear" w:color="auto" w:fill="FFFFFF"/>
        </w:rPr>
      </w:pPr>
    </w:p>
    <w:p w:rsidR="00FC15D2" w:rsidRDefault="00FC15D2" w:rsidP="00420FDB">
      <w:pPr>
        <w:pStyle w:val="Caption"/>
        <w:rPr>
          <w:b/>
          <w:i w:val="0"/>
          <w:color w:val="000000" w:themeColor="text1"/>
          <w:sz w:val="24"/>
          <w:szCs w:val="24"/>
        </w:rPr>
      </w:pPr>
      <w:bookmarkStart w:id="7" w:name="_Toc19823338"/>
    </w:p>
    <w:p w:rsidR="00046682" w:rsidRPr="00420FDB" w:rsidRDefault="00420FDB" w:rsidP="00420FDB">
      <w:pPr>
        <w:pStyle w:val="Caption"/>
        <w:rPr>
          <w:b/>
          <w:i w:val="0"/>
          <w:color w:val="000000" w:themeColor="text1"/>
          <w:sz w:val="24"/>
          <w:szCs w:val="24"/>
          <w:shd w:val="clear" w:color="auto" w:fill="FFFFFF"/>
        </w:rPr>
      </w:pPr>
      <w:r w:rsidRPr="00420FDB">
        <w:rPr>
          <w:b/>
          <w:i w:val="0"/>
          <w:color w:val="000000" w:themeColor="text1"/>
          <w:sz w:val="24"/>
          <w:szCs w:val="24"/>
        </w:rPr>
        <w:t xml:space="preserve">Table </w:t>
      </w:r>
      <w:r w:rsidRPr="00420FDB">
        <w:rPr>
          <w:b/>
          <w:i w:val="0"/>
          <w:color w:val="000000" w:themeColor="text1"/>
          <w:sz w:val="24"/>
          <w:szCs w:val="24"/>
        </w:rPr>
        <w:fldChar w:fldCharType="begin"/>
      </w:r>
      <w:r w:rsidRPr="00420FDB">
        <w:rPr>
          <w:b/>
          <w:i w:val="0"/>
          <w:color w:val="000000" w:themeColor="text1"/>
          <w:sz w:val="24"/>
          <w:szCs w:val="24"/>
        </w:rPr>
        <w:instrText xml:space="preserve"> SEQ Table \* ARABIC </w:instrText>
      </w:r>
      <w:r w:rsidRPr="00420FDB">
        <w:rPr>
          <w:b/>
          <w:i w:val="0"/>
          <w:color w:val="000000" w:themeColor="text1"/>
          <w:sz w:val="24"/>
          <w:szCs w:val="24"/>
        </w:rPr>
        <w:fldChar w:fldCharType="separate"/>
      </w:r>
      <w:r>
        <w:rPr>
          <w:b/>
          <w:i w:val="0"/>
          <w:noProof/>
          <w:color w:val="000000" w:themeColor="text1"/>
          <w:sz w:val="24"/>
          <w:szCs w:val="24"/>
        </w:rPr>
        <w:t>1</w:t>
      </w:r>
      <w:r w:rsidRPr="00420FDB">
        <w:rPr>
          <w:b/>
          <w:i w:val="0"/>
          <w:color w:val="000000" w:themeColor="text1"/>
          <w:sz w:val="24"/>
          <w:szCs w:val="24"/>
        </w:rPr>
        <w:fldChar w:fldCharType="end"/>
      </w:r>
      <w:r w:rsidR="00FC15D2">
        <w:rPr>
          <w:b/>
          <w:i w:val="0"/>
          <w:color w:val="000000" w:themeColor="text1"/>
          <w:sz w:val="24"/>
          <w:szCs w:val="24"/>
        </w:rPr>
        <w:t xml:space="preserve">: </w:t>
      </w:r>
      <w:r w:rsidR="004E0545" w:rsidRPr="00420FDB">
        <w:rPr>
          <w:b/>
          <w:i w:val="0"/>
          <w:color w:val="000000" w:themeColor="text1"/>
          <w:sz w:val="24"/>
          <w:szCs w:val="24"/>
          <w:shd w:val="clear" w:color="auto" w:fill="FFFFFF"/>
        </w:rPr>
        <w:t>Market shares in Total Assets for Spanish Banks between 1985-2005</w:t>
      </w:r>
      <w:bookmarkEnd w:id="7"/>
    </w:p>
    <w:p w:rsidR="00046682" w:rsidRDefault="00046682" w:rsidP="00046682">
      <w:pPr>
        <w:pStyle w:val="ListParagraph"/>
        <w:spacing w:line="360" w:lineRule="auto"/>
        <w:jc w:val="both"/>
        <w:rPr>
          <w:color w:val="000000"/>
          <w:shd w:val="clear" w:color="auto" w:fill="FFFFFF"/>
        </w:rPr>
      </w:pPr>
    </w:p>
    <w:tbl>
      <w:tblPr>
        <w:tblStyle w:val="TableGrid"/>
        <w:tblW w:w="8685" w:type="dxa"/>
        <w:tblInd w:w="720" w:type="dxa"/>
        <w:tblLook w:val="04A0" w:firstRow="1" w:lastRow="0" w:firstColumn="1" w:lastColumn="0" w:noHBand="0" w:noVBand="1"/>
      </w:tblPr>
      <w:tblGrid>
        <w:gridCol w:w="925"/>
        <w:gridCol w:w="2082"/>
        <w:gridCol w:w="1894"/>
        <w:gridCol w:w="1892"/>
        <w:gridCol w:w="1892"/>
      </w:tblGrid>
      <w:tr w:rsidR="00BA37FD" w:rsidTr="00046682">
        <w:trPr>
          <w:trHeight w:val="887"/>
        </w:trPr>
        <w:tc>
          <w:tcPr>
            <w:tcW w:w="925"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S.no</w:t>
            </w:r>
          </w:p>
        </w:tc>
        <w:tc>
          <w:tcPr>
            <w:tcW w:w="208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Bank Name</w:t>
            </w:r>
          </w:p>
        </w:tc>
        <w:tc>
          <w:tcPr>
            <w:tcW w:w="1894"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1985 (market share)</w:t>
            </w:r>
          </w:p>
        </w:tc>
        <w:tc>
          <w:tcPr>
            <w:tcW w:w="189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Bank Name</w:t>
            </w:r>
          </w:p>
        </w:tc>
        <w:tc>
          <w:tcPr>
            <w:tcW w:w="189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2005 (market share)</w:t>
            </w:r>
          </w:p>
        </w:tc>
      </w:tr>
      <w:tr w:rsidR="00BA37FD" w:rsidTr="00046682">
        <w:trPr>
          <w:trHeight w:val="303"/>
        </w:trPr>
        <w:tc>
          <w:tcPr>
            <w:tcW w:w="925"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1</w:t>
            </w:r>
          </w:p>
        </w:tc>
        <w:tc>
          <w:tcPr>
            <w:tcW w:w="208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Central</w:t>
            </w:r>
          </w:p>
        </w:tc>
        <w:tc>
          <w:tcPr>
            <w:tcW w:w="1894"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9.60</w:t>
            </w:r>
          </w:p>
        </w:tc>
        <w:tc>
          <w:tcPr>
            <w:tcW w:w="189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Grupo Santander</w:t>
            </w:r>
          </w:p>
        </w:tc>
        <w:tc>
          <w:tcPr>
            <w:tcW w:w="1892"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40.30</w:t>
            </w:r>
          </w:p>
        </w:tc>
      </w:tr>
      <w:tr w:rsidR="00BA37FD" w:rsidTr="00046682">
        <w:trPr>
          <w:trHeight w:val="297"/>
        </w:trPr>
        <w:tc>
          <w:tcPr>
            <w:tcW w:w="925"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2</w:t>
            </w:r>
          </w:p>
        </w:tc>
        <w:tc>
          <w:tcPr>
            <w:tcW w:w="208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Banesto</w:t>
            </w:r>
          </w:p>
        </w:tc>
        <w:tc>
          <w:tcPr>
            <w:tcW w:w="1894"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8.90</w:t>
            </w:r>
          </w:p>
        </w:tc>
        <w:tc>
          <w:tcPr>
            <w:tcW w:w="189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BBVA</w:t>
            </w:r>
          </w:p>
        </w:tc>
        <w:tc>
          <w:tcPr>
            <w:tcW w:w="1892"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29.70</w:t>
            </w:r>
          </w:p>
        </w:tc>
      </w:tr>
      <w:tr w:rsidR="00BA37FD" w:rsidTr="00046682">
        <w:trPr>
          <w:trHeight w:val="297"/>
        </w:trPr>
        <w:tc>
          <w:tcPr>
            <w:tcW w:w="925"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3</w:t>
            </w:r>
          </w:p>
        </w:tc>
        <w:tc>
          <w:tcPr>
            <w:tcW w:w="208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Bilbao</w:t>
            </w:r>
          </w:p>
        </w:tc>
        <w:tc>
          <w:tcPr>
            <w:tcW w:w="1894"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7.50</w:t>
            </w:r>
          </w:p>
        </w:tc>
        <w:tc>
          <w:tcPr>
            <w:tcW w:w="189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Popular</w:t>
            </w:r>
          </w:p>
        </w:tc>
        <w:tc>
          <w:tcPr>
            <w:tcW w:w="1892"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8.30</w:t>
            </w:r>
          </w:p>
        </w:tc>
      </w:tr>
      <w:tr w:rsidR="00BA37FD" w:rsidTr="00046682">
        <w:trPr>
          <w:trHeight w:val="297"/>
        </w:trPr>
        <w:tc>
          <w:tcPr>
            <w:tcW w:w="925"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4</w:t>
            </w:r>
          </w:p>
        </w:tc>
        <w:tc>
          <w:tcPr>
            <w:tcW w:w="208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BHA</w:t>
            </w:r>
          </w:p>
        </w:tc>
        <w:tc>
          <w:tcPr>
            <w:tcW w:w="1894"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7.50</w:t>
            </w:r>
          </w:p>
        </w:tc>
        <w:tc>
          <w:tcPr>
            <w:tcW w:w="189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Sabadell</w:t>
            </w:r>
          </w:p>
        </w:tc>
        <w:tc>
          <w:tcPr>
            <w:tcW w:w="1892"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5.60</w:t>
            </w:r>
          </w:p>
        </w:tc>
      </w:tr>
      <w:tr w:rsidR="00BA37FD" w:rsidTr="00046682">
        <w:trPr>
          <w:trHeight w:val="297"/>
        </w:trPr>
        <w:tc>
          <w:tcPr>
            <w:tcW w:w="925"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5</w:t>
            </w:r>
          </w:p>
        </w:tc>
        <w:tc>
          <w:tcPr>
            <w:tcW w:w="208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Vizcaya</w:t>
            </w:r>
          </w:p>
        </w:tc>
        <w:tc>
          <w:tcPr>
            <w:tcW w:w="1894"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6.30</w:t>
            </w:r>
          </w:p>
        </w:tc>
        <w:tc>
          <w:tcPr>
            <w:tcW w:w="189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Bankinter</w:t>
            </w:r>
          </w:p>
        </w:tc>
        <w:tc>
          <w:tcPr>
            <w:tcW w:w="1892"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4.0</w:t>
            </w:r>
          </w:p>
        </w:tc>
      </w:tr>
      <w:tr w:rsidR="00BA37FD" w:rsidTr="00046682">
        <w:trPr>
          <w:trHeight w:val="297"/>
        </w:trPr>
        <w:tc>
          <w:tcPr>
            <w:tcW w:w="925"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6</w:t>
            </w:r>
          </w:p>
        </w:tc>
        <w:tc>
          <w:tcPr>
            <w:tcW w:w="208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Santander</w:t>
            </w:r>
          </w:p>
        </w:tc>
        <w:tc>
          <w:tcPr>
            <w:tcW w:w="1894"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5.40</w:t>
            </w:r>
          </w:p>
        </w:tc>
        <w:tc>
          <w:tcPr>
            <w:tcW w:w="189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Barclays</w:t>
            </w:r>
          </w:p>
        </w:tc>
        <w:tc>
          <w:tcPr>
            <w:tcW w:w="1892"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2.0</w:t>
            </w:r>
          </w:p>
        </w:tc>
      </w:tr>
      <w:tr w:rsidR="00BA37FD" w:rsidTr="00046682">
        <w:trPr>
          <w:trHeight w:val="297"/>
        </w:trPr>
        <w:tc>
          <w:tcPr>
            <w:tcW w:w="925"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7</w:t>
            </w:r>
          </w:p>
        </w:tc>
        <w:tc>
          <w:tcPr>
            <w:tcW w:w="208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Popular</w:t>
            </w:r>
          </w:p>
        </w:tc>
        <w:tc>
          <w:tcPr>
            <w:tcW w:w="1894"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3.60</w:t>
            </w:r>
          </w:p>
        </w:tc>
        <w:tc>
          <w:tcPr>
            <w:tcW w:w="189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Pastor</w:t>
            </w:r>
          </w:p>
        </w:tc>
        <w:tc>
          <w:tcPr>
            <w:tcW w:w="1892"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1.9</w:t>
            </w:r>
          </w:p>
        </w:tc>
      </w:tr>
      <w:tr w:rsidR="00BA37FD" w:rsidTr="00046682">
        <w:trPr>
          <w:trHeight w:val="595"/>
        </w:trPr>
        <w:tc>
          <w:tcPr>
            <w:tcW w:w="925" w:type="dxa"/>
          </w:tcPr>
          <w:p w:rsidR="00046682" w:rsidRDefault="00046682" w:rsidP="00046682">
            <w:pPr>
              <w:pStyle w:val="ListParagraph"/>
              <w:spacing w:line="360" w:lineRule="auto"/>
              <w:ind w:left="0"/>
              <w:jc w:val="both"/>
              <w:rPr>
                <w:color w:val="000000"/>
                <w:shd w:val="clear" w:color="auto" w:fill="FFFFFF"/>
              </w:rPr>
            </w:pPr>
          </w:p>
        </w:tc>
        <w:tc>
          <w:tcPr>
            <w:tcW w:w="2082" w:type="dxa"/>
          </w:tcPr>
          <w:p w:rsidR="00046682" w:rsidRDefault="004E0545" w:rsidP="00046682">
            <w:pPr>
              <w:pStyle w:val="ListParagraph"/>
              <w:spacing w:line="360" w:lineRule="auto"/>
              <w:ind w:left="0"/>
              <w:jc w:val="both"/>
              <w:rPr>
                <w:color w:val="000000"/>
                <w:shd w:val="clear" w:color="auto" w:fill="FFFFFF"/>
              </w:rPr>
            </w:pPr>
            <w:r>
              <w:rPr>
                <w:color w:val="000000"/>
                <w:shd w:val="clear" w:color="auto" w:fill="FFFFFF"/>
              </w:rPr>
              <w:t>TOTAL ASSETS</w:t>
            </w:r>
          </w:p>
        </w:tc>
        <w:tc>
          <w:tcPr>
            <w:tcW w:w="1894"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48.70</w:t>
            </w:r>
          </w:p>
        </w:tc>
        <w:tc>
          <w:tcPr>
            <w:tcW w:w="1892" w:type="dxa"/>
          </w:tcPr>
          <w:p w:rsidR="00046682" w:rsidRDefault="00046682" w:rsidP="00046682">
            <w:pPr>
              <w:pStyle w:val="ListParagraph"/>
              <w:spacing w:line="360" w:lineRule="auto"/>
              <w:ind w:left="0"/>
              <w:jc w:val="both"/>
              <w:rPr>
                <w:color w:val="000000"/>
                <w:shd w:val="clear" w:color="auto" w:fill="FFFFFF"/>
              </w:rPr>
            </w:pPr>
          </w:p>
        </w:tc>
        <w:tc>
          <w:tcPr>
            <w:tcW w:w="1892" w:type="dxa"/>
          </w:tcPr>
          <w:p w:rsidR="00046682" w:rsidRDefault="004E0545" w:rsidP="00046682">
            <w:pPr>
              <w:pStyle w:val="ListParagraph"/>
              <w:spacing w:line="360" w:lineRule="auto"/>
              <w:ind w:left="0"/>
              <w:jc w:val="right"/>
              <w:rPr>
                <w:color w:val="000000"/>
                <w:shd w:val="clear" w:color="auto" w:fill="FFFFFF"/>
              </w:rPr>
            </w:pPr>
            <w:r>
              <w:rPr>
                <w:color w:val="000000"/>
                <w:shd w:val="clear" w:color="auto" w:fill="FFFFFF"/>
              </w:rPr>
              <w:t>91.70</w:t>
            </w:r>
          </w:p>
        </w:tc>
      </w:tr>
    </w:tbl>
    <w:p w:rsidR="00046682" w:rsidRDefault="00046682" w:rsidP="00046682">
      <w:pPr>
        <w:spacing w:line="360" w:lineRule="auto"/>
        <w:jc w:val="both"/>
        <w:rPr>
          <w:color w:val="000000"/>
          <w:shd w:val="clear" w:color="auto" w:fill="FFFFFF"/>
        </w:rPr>
      </w:pPr>
    </w:p>
    <w:p w:rsidR="00046682" w:rsidRDefault="004E0545" w:rsidP="00046682">
      <w:pPr>
        <w:spacing w:line="360" w:lineRule="auto"/>
        <w:jc w:val="both"/>
      </w:pPr>
      <w:r>
        <w:rPr>
          <w:color w:val="000000"/>
          <w:shd w:val="clear" w:color="auto" w:fill="FFFFFF"/>
        </w:rPr>
        <w:t xml:space="preserve">Source: </w:t>
      </w:r>
      <w:r w:rsidRPr="005F03E7">
        <w:t>(Parada et al. 2009</w:t>
      </w:r>
      <w:r>
        <w:t>, p.658)</w:t>
      </w:r>
    </w:p>
    <w:p w:rsidR="00046682" w:rsidRDefault="00046682" w:rsidP="00046682">
      <w:pPr>
        <w:spacing w:line="360" w:lineRule="auto"/>
        <w:jc w:val="both"/>
        <w:rPr>
          <w:color w:val="000000"/>
          <w:shd w:val="clear" w:color="auto" w:fill="FFFFFF"/>
        </w:rPr>
      </w:pPr>
    </w:p>
    <w:p w:rsidR="00046682" w:rsidRDefault="004E0545" w:rsidP="00046682">
      <w:pPr>
        <w:spacing w:line="360" w:lineRule="auto"/>
        <w:jc w:val="both"/>
        <w:rPr>
          <w:color w:val="000000"/>
          <w:shd w:val="clear" w:color="auto" w:fill="FFFFFF"/>
        </w:rPr>
      </w:pPr>
      <w:r>
        <w:rPr>
          <w:color w:val="000000"/>
          <w:shd w:val="clear" w:color="auto" w:fill="FFFFFF"/>
        </w:rPr>
        <w:t>Another area where Santander proved to know about its opportunities is its strategy to move to cross-border markets. Santander had insight that Latin America and Western Europe had very similar "historical links" to its own market due to colonisation and decided to acquire banking sectors in these areas because "cultural and psychological distances"</w:t>
      </w:r>
      <w:r w:rsidRPr="00046682">
        <w:t xml:space="preserve"> </w:t>
      </w:r>
      <w:r>
        <w:t>were minimal (</w:t>
      </w:r>
      <w:r w:rsidRPr="00AE331F">
        <w:t>Parada, Alemany and Planellas</w:t>
      </w:r>
      <w:r>
        <w:t xml:space="preserve">, </w:t>
      </w:r>
      <w:r w:rsidRPr="00AE331F">
        <w:t>2007</w:t>
      </w:r>
      <w:r>
        <w:t>)</w:t>
      </w:r>
      <w:r>
        <w:rPr>
          <w:color w:val="000000"/>
          <w:shd w:val="clear" w:color="auto" w:fill="FFFFFF"/>
        </w:rPr>
        <w:t xml:space="preserve">. Its initial cross-border acquisition was in Portugal where it established efficient business and management processes, whereas in Latin America it renovated and popularised banking services. </w:t>
      </w:r>
      <w:r w:rsidR="003C00AC">
        <w:rPr>
          <w:color w:val="000000"/>
          <w:shd w:val="clear" w:color="auto" w:fill="FFFFFF"/>
        </w:rPr>
        <w:t>However, the main challenge for Santander was establishing its business in Continental Europe due to high barriers to foreign entry. Therefore, Santander chose a strategy that involved only small acquisitions</w:t>
      </w:r>
      <w:r w:rsidR="002D2A82">
        <w:rPr>
          <w:color w:val="000000"/>
          <w:shd w:val="clear" w:color="auto" w:fill="FFFFFF"/>
        </w:rPr>
        <w:t xml:space="preserve"> (for instance: strategic alliance with Royal Bank of Scotland, acquisition of </w:t>
      </w:r>
      <w:r w:rsidR="002D2A82">
        <w:t>Banco Geral do Comercio in Brazil</w:t>
      </w:r>
      <w:r w:rsidR="002D2A82">
        <w:rPr>
          <w:color w:val="000000"/>
          <w:shd w:val="clear" w:color="auto" w:fill="FFFFFF"/>
        </w:rPr>
        <w:t xml:space="preserve">) </w:t>
      </w:r>
      <w:r w:rsidR="002D2A82" w:rsidRPr="00327B00">
        <w:rPr>
          <w:color w:val="000000"/>
          <w:shd w:val="clear" w:color="auto" w:fill="FFFFFF"/>
        </w:rPr>
        <w:t>(Santander</w:t>
      </w:r>
      <w:r w:rsidR="00FC15D2">
        <w:rPr>
          <w:color w:val="000000"/>
          <w:shd w:val="clear" w:color="auto" w:fill="FFFFFF"/>
        </w:rPr>
        <w:t xml:space="preserve"> Group</w:t>
      </w:r>
      <w:r w:rsidR="002D2A82" w:rsidRPr="00327B00">
        <w:rPr>
          <w:color w:val="000000"/>
          <w:shd w:val="clear" w:color="auto" w:fill="FFFFFF"/>
        </w:rPr>
        <w:t>,</w:t>
      </w:r>
      <w:r w:rsidR="00FC15D2">
        <w:rPr>
          <w:color w:val="000000"/>
          <w:shd w:val="clear" w:color="auto" w:fill="FFFFFF"/>
        </w:rPr>
        <w:t xml:space="preserve"> </w:t>
      </w:r>
      <w:r w:rsidR="002D2A82" w:rsidRPr="00327B00">
        <w:rPr>
          <w:color w:val="000000"/>
          <w:shd w:val="clear" w:color="auto" w:fill="FFFFFF"/>
        </w:rPr>
        <w:t>20</w:t>
      </w:r>
      <w:r w:rsidR="00327B00" w:rsidRPr="00327B00">
        <w:rPr>
          <w:color w:val="000000"/>
          <w:shd w:val="clear" w:color="auto" w:fill="FFFFFF"/>
        </w:rPr>
        <w:t>05</w:t>
      </w:r>
      <w:r w:rsidR="002D2A82" w:rsidRPr="00327B00">
        <w:rPr>
          <w:color w:val="000000"/>
          <w:shd w:val="clear" w:color="auto" w:fill="FFFFFF"/>
        </w:rPr>
        <w:t>)</w:t>
      </w:r>
      <w:r w:rsidR="002D2A82">
        <w:rPr>
          <w:color w:val="000000"/>
          <w:shd w:val="clear" w:color="auto" w:fill="FFFFFF"/>
        </w:rPr>
        <w:t>. The purpose of these strategies was to gain market information about the different countries in Europe so as to prepare for even larger projects. The strategic alliance with RBS gave Santander a chance to learn about the UK market that helped it acquire its biggest success acquisition of Abbey National in 2005</w:t>
      </w:r>
      <w:r w:rsidR="009C0B5E">
        <w:rPr>
          <w:color w:val="000000"/>
          <w:shd w:val="clear" w:color="auto" w:fill="FFFFFF"/>
        </w:rPr>
        <w:t xml:space="preserve"> </w:t>
      </w:r>
      <w:r w:rsidR="002D2A82" w:rsidRPr="00327B00">
        <w:rPr>
          <w:color w:val="000000"/>
          <w:shd w:val="clear" w:color="auto" w:fill="FFFFFF"/>
        </w:rPr>
        <w:t>(Santander</w:t>
      </w:r>
      <w:r w:rsidR="00FC15D2">
        <w:rPr>
          <w:color w:val="000000"/>
          <w:shd w:val="clear" w:color="auto" w:fill="FFFFFF"/>
        </w:rPr>
        <w:t xml:space="preserve"> Group</w:t>
      </w:r>
      <w:r w:rsidR="002D2A82" w:rsidRPr="00327B00">
        <w:rPr>
          <w:color w:val="000000"/>
          <w:shd w:val="clear" w:color="auto" w:fill="FFFFFF"/>
        </w:rPr>
        <w:t>,</w:t>
      </w:r>
      <w:r w:rsidR="00327B00">
        <w:rPr>
          <w:color w:val="000000"/>
          <w:shd w:val="clear" w:color="auto" w:fill="FFFFFF"/>
        </w:rPr>
        <w:t xml:space="preserve"> </w:t>
      </w:r>
      <w:r w:rsidR="002D2A82" w:rsidRPr="00327B00">
        <w:rPr>
          <w:color w:val="000000"/>
          <w:shd w:val="clear" w:color="auto" w:fill="FFFFFF"/>
        </w:rPr>
        <w:t>20</w:t>
      </w:r>
      <w:r w:rsidR="00327B00" w:rsidRPr="00327B00">
        <w:rPr>
          <w:color w:val="000000"/>
          <w:shd w:val="clear" w:color="auto" w:fill="FFFFFF"/>
        </w:rPr>
        <w:t>05</w:t>
      </w:r>
      <w:r w:rsidR="002D2A82" w:rsidRPr="00327B00">
        <w:rPr>
          <w:color w:val="000000"/>
          <w:shd w:val="clear" w:color="auto" w:fill="FFFFFF"/>
        </w:rPr>
        <w:t>)</w:t>
      </w:r>
      <w:r w:rsidR="002D2A82">
        <w:rPr>
          <w:color w:val="000000"/>
          <w:shd w:val="clear" w:color="auto" w:fill="FFFFFF"/>
        </w:rPr>
        <w:t xml:space="preserve">. According to </w:t>
      </w:r>
      <w:r w:rsidR="002D2A82" w:rsidRPr="00BF058A">
        <w:rPr>
          <w:color w:val="000000"/>
          <w:shd w:val="clear" w:color="auto" w:fill="FFFFFF"/>
        </w:rPr>
        <w:t xml:space="preserve">Johanson and Vahlne </w:t>
      </w:r>
      <w:r w:rsidR="002D2A82">
        <w:rPr>
          <w:color w:val="000000"/>
          <w:shd w:val="clear" w:color="auto" w:fill="FFFFFF"/>
        </w:rPr>
        <w:t>(</w:t>
      </w:r>
      <w:r w:rsidR="002D2A82" w:rsidRPr="00BF058A">
        <w:rPr>
          <w:color w:val="000000"/>
          <w:shd w:val="clear" w:color="auto" w:fill="FFFFFF"/>
        </w:rPr>
        <w:t>1977</w:t>
      </w:r>
      <w:r w:rsidR="002D2A82">
        <w:rPr>
          <w:color w:val="000000"/>
          <w:shd w:val="clear" w:color="auto" w:fill="FFFFFF"/>
        </w:rPr>
        <w:t>), knowledge especially about foreign markets can only be gained with experience and takes time, and such supports Santander’s strategic choices.</w:t>
      </w:r>
    </w:p>
    <w:p w:rsidR="009C0B5E" w:rsidRDefault="009C0B5E" w:rsidP="00046682">
      <w:pPr>
        <w:spacing w:line="360" w:lineRule="auto"/>
        <w:jc w:val="both"/>
        <w:rPr>
          <w:color w:val="000000"/>
          <w:shd w:val="clear" w:color="auto" w:fill="FFFFFF"/>
        </w:rPr>
      </w:pPr>
    </w:p>
    <w:p w:rsidR="002D2A82" w:rsidRDefault="004E0545" w:rsidP="00865A74">
      <w:pPr>
        <w:pStyle w:val="ListParagraph"/>
        <w:numPr>
          <w:ilvl w:val="0"/>
          <w:numId w:val="6"/>
        </w:numPr>
        <w:spacing w:line="360" w:lineRule="auto"/>
        <w:jc w:val="both"/>
        <w:rPr>
          <w:color w:val="000000"/>
          <w:shd w:val="clear" w:color="auto" w:fill="FFFFFF"/>
        </w:rPr>
      </w:pPr>
      <w:r w:rsidRPr="002D2A82">
        <w:rPr>
          <w:b/>
          <w:color w:val="000000"/>
          <w:shd w:val="clear" w:color="auto" w:fill="FFFFFF"/>
        </w:rPr>
        <w:t xml:space="preserve">Market Commitment: </w:t>
      </w:r>
      <w:r w:rsidRPr="002D2A82">
        <w:rPr>
          <w:color w:val="000000"/>
          <w:shd w:val="clear" w:color="auto" w:fill="FFFFFF"/>
        </w:rPr>
        <w:t xml:space="preserve">A direct relationship exists between market knowledge and market commitment, according to Johanson and Vahlne (1977). The knowledge a company gains from experience is associated with the specific conditions of the market and therefore it is non-transferable and can be considered as a resource. When a company gains a deeper understanding of a market the more valuable the resources are and the stronger is the commitment to the market. This is applicable in Banco Santander case because the bank firstly gained and captured banking service knowledge from its home market, which in turn was used to set up banking sectors in cross-border countries with the same historical background and such knowledge helped them in moving to other </w:t>
      </w:r>
      <w:r w:rsidR="00867A92">
        <w:rPr>
          <w:color w:val="000000"/>
          <w:shd w:val="clear" w:color="auto" w:fill="FFFFFF"/>
        </w:rPr>
        <w:t xml:space="preserve">European </w:t>
      </w:r>
      <w:r w:rsidRPr="002D2A82">
        <w:rPr>
          <w:color w:val="000000"/>
          <w:shd w:val="clear" w:color="auto" w:fill="FFFFFF"/>
        </w:rPr>
        <w:t xml:space="preserve">countries </w:t>
      </w:r>
      <w:r w:rsidR="00867A92">
        <w:rPr>
          <w:color w:val="000000"/>
          <w:shd w:val="clear" w:color="auto" w:fill="FFFFFF"/>
        </w:rPr>
        <w:t xml:space="preserve">and </w:t>
      </w:r>
      <w:r w:rsidRPr="002D2A82">
        <w:rPr>
          <w:color w:val="000000"/>
          <w:shd w:val="clear" w:color="auto" w:fill="FFFFFF"/>
        </w:rPr>
        <w:t>outside</w:t>
      </w:r>
      <w:r w:rsidR="00867A92">
        <w:rPr>
          <w:color w:val="000000"/>
          <w:shd w:val="clear" w:color="auto" w:fill="FFFFFF"/>
        </w:rPr>
        <w:t xml:space="preserve"> of</w:t>
      </w:r>
      <w:r w:rsidRPr="002D2A82">
        <w:rPr>
          <w:color w:val="000000"/>
          <w:shd w:val="clear" w:color="auto" w:fill="FFFFFF"/>
        </w:rPr>
        <w:t xml:space="preserve"> Europe. Its small acquisition’s in Continental Europe helped it gather market information and helped them understand how the banking sector worked</w:t>
      </w:r>
      <w:r>
        <w:rPr>
          <w:color w:val="000000"/>
          <w:shd w:val="clear" w:color="auto" w:fill="FFFFFF"/>
        </w:rPr>
        <w:t xml:space="preserve"> in</w:t>
      </w:r>
      <w:r w:rsidRPr="002D2A82">
        <w:rPr>
          <w:color w:val="000000"/>
          <w:shd w:val="clear" w:color="auto" w:fill="FFFFFF"/>
        </w:rPr>
        <w:t xml:space="preserve"> countries such as Germany and the UK and it is that experience that created value to them which led to its biggest success of becoming one of the most successful retail banks in the world. </w:t>
      </w:r>
      <w:r>
        <w:rPr>
          <w:color w:val="000000"/>
          <w:shd w:val="clear" w:color="auto" w:fill="FFFFFF"/>
        </w:rPr>
        <w:t xml:space="preserve">The </w:t>
      </w:r>
      <w:r w:rsidRPr="002D2A82">
        <w:rPr>
          <w:color w:val="000000"/>
          <w:shd w:val="clear" w:color="auto" w:fill="FFFFFF"/>
        </w:rPr>
        <w:t>commitment</w:t>
      </w:r>
      <w:r>
        <w:rPr>
          <w:color w:val="000000"/>
          <w:shd w:val="clear" w:color="auto" w:fill="FFFFFF"/>
        </w:rPr>
        <w:t xml:space="preserve"> strategy used by</w:t>
      </w:r>
      <w:r w:rsidRPr="002D2A82">
        <w:rPr>
          <w:color w:val="000000"/>
          <w:shd w:val="clear" w:color="auto" w:fill="FFFFFF"/>
        </w:rPr>
        <w:t xml:space="preserve"> </w:t>
      </w:r>
      <w:r>
        <w:rPr>
          <w:color w:val="000000"/>
          <w:shd w:val="clear" w:color="auto" w:fill="FFFFFF"/>
        </w:rPr>
        <w:t xml:space="preserve">Banco </w:t>
      </w:r>
      <w:r w:rsidRPr="002D2A82">
        <w:rPr>
          <w:color w:val="000000"/>
          <w:shd w:val="clear" w:color="auto" w:fill="FFFFFF"/>
        </w:rPr>
        <w:t>Santander is impeccable</w:t>
      </w:r>
      <w:r>
        <w:rPr>
          <w:color w:val="000000"/>
          <w:shd w:val="clear" w:color="auto" w:fill="FFFFFF"/>
        </w:rPr>
        <w:t>, the bank while moving to newer markets, did not start by acquiring larger institutions but rather committed lowly through smaller acquisitions to first study the market before competing with the local banks in the new market. Such gave an advantage to Banco Santander if things didn’t go as planned because huge investments can be very painful if plans nosedive and also helped them in studying the opportunities around the seemingly harder markets</w:t>
      </w:r>
      <w:r w:rsidR="009C0B5E">
        <w:rPr>
          <w:color w:val="000000"/>
          <w:shd w:val="clear" w:color="auto" w:fill="FFFFFF"/>
        </w:rPr>
        <w:t xml:space="preserve"> which is what other managers and businesses ought to learn </w:t>
      </w:r>
      <w:r w:rsidR="009C0B5E" w:rsidRPr="00DD259A">
        <w:rPr>
          <w:color w:val="000000"/>
          <w:shd w:val="clear" w:color="auto" w:fill="FFFFFF"/>
        </w:rPr>
        <w:t>(see Appendix I</w:t>
      </w:r>
      <w:r w:rsidR="00DD259A">
        <w:rPr>
          <w:color w:val="000000"/>
          <w:shd w:val="clear" w:color="auto" w:fill="FFFFFF"/>
        </w:rPr>
        <w:t>I for lessons retail bankers need to learn</w:t>
      </w:r>
      <w:r w:rsidR="009C0B5E" w:rsidRPr="00DD259A">
        <w:rPr>
          <w:color w:val="000000"/>
          <w:shd w:val="clear" w:color="auto" w:fill="FFFFFF"/>
        </w:rPr>
        <w:t>)</w:t>
      </w:r>
      <w:r w:rsidRPr="00DD259A">
        <w:rPr>
          <w:color w:val="000000"/>
          <w:shd w:val="clear" w:color="auto" w:fill="FFFFFF"/>
        </w:rPr>
        <w:t>.</w:t>
      </w:r>
      <w:r>
        <w:rPr>
          <w:color w:val="000000"/>
          <w:shd w:val="clear" w:color="auto" w:fill="FFFFFF"/>
        </w:rPr>
        <w:t xml:space="preserve"> </w:t>
      </w:r>
    </w:p>
    <w:p w:rsidR="002D2A82" w:rsidRPr="002D2A82" w:rsidRDefault="002D2A82" w:rsidP="002D2A82">
      <w:pPr>
        <w:spacing w:line="360" w:lineRule="auto"/>
        <w:jc w:val="both"/>
        <w:rPr>
          <w:color w:val="000000"/>
          <w:shd w:val="clear" w:color="auto" w:fill="FFFFFF"/>
        </w:rPr>
      </w:pPr>
    </w:p>
    <w:p w:rsidR="00046682" w:rsidRPr="00347821" w:rsidRDefault="009A5876" w:rsidP="00347821">
      <w:pPr>
        <w:pStyle w:val="Heading2"/>
        <w:numPr>
          <w:ilvl w:val="0"/>
          <w:numId w:val="0"/>
        </w:numPr>
        <w:ind w:left="576" w:hanging="576"/>
      </w:pPr>
      <w:bookmarkStart w:id="8" w:name="_Toc19822897"/>
      <w:r w:rsidRPr="00347821">
        <w:t>Change Aspects</w:t>
      </w:r>
      <w:bookmarkEnd w:id="8"/>
    </w:p>
    <w:p w:rsidR="002D2A82" w:rsidRDefault="002D2A82" w:rsidP="00046682">
      <w:pPr>
        <w:pStyle w:val="ListParagraph"/>
        <w:spacing w:line="360" w:lineRule="auto"/>
        <w:jc w:val="both"/>
        <w:rPr>
          <w:b/>
          <w:color w:val="000000"/>
          <w:shd w:val="clear" w:color="auto" w:fill="FFFFFF"/>
        </w:rPr>
      </w:pPr>
    </w:p>
    <w:p w:rsidR="002D2A82" w:rsidRDefault="004E0545" w:rsidP="00865A74">
      <w:pPr>
        <w:pStyle w:val="ListParagraph"/>
        <w:spacing w:line="360" w:lineRule="auto"/>
        <w:ind w:left="0"/>
        <w:jc w:val="both"/>
        <w:rPr>
          <w:color w:val="000000"/>
          <w:shd w:val="clear" w:color="auto" w:fill="FFFFFF"/>
        </w:rPr>
      </w:pPr>
      <w:r w:rsidRPr="002D2A82">
        <w:rPr>
          <w:color w:val="000000"/>
          <w:shd w:val="clear" w:color="auto" w:fill="FFFFFF"/>
        </w:rPr>
        <w:t xml:space="preserve">The change aspects of the Uppsala Model involve </w:t>
      </w:r>
      <w:r>
        <w:rPr>
          <w:color w:val="000000"/>
          <w:shd w:val="clear" w:color="auto" w:fill="FFFFFF"/>
        </w:rPr>
        <w:t>a commitment to decisions and current activities</w:t>
      </w:r>
      <w:r w:rsidR="00DF727D" w:rsidRPr="00DF727D">
        <w:rPr>
          <w:color w:val="000000"/>
          <w:shd w:val="clear" w:color="auto" w:fill="FFFFFF"/>
        </w:rPr>
        <w:t xml:space="preserve"> </w:t>
      </w:r>
      <w:r w:rsidR="00DF727D">
        <w:rPr>
          <w:color w:val="000000"/>
          <w:shd w:val="clear" w:color="auto" w:fill="FFFFFF"/>
        </w:rPr>
        <w:t>(</w:t>
      </w:r>
      <w:proofErr w:type="spellStart"/>
      <w:r w:rsidR="00DF727D" w:rsidRPr="001106D7">
        <w:rPr>
          <w:color w:val="000000"/>
          <w:shd w:val="clear" w:color="auto" w:fill="FFFFFF"/>
        </w:rPr>
        <w:t>Figueira</w:t>
      </w:r>
      <w:proofErr w:type="spellEnd"/>
      <w:r w:rsidR="00DF727D" w:rsidRPr="001106D7">
        <w:rPr>
          <w:color w:val="000000"/>
          <w:shd w:val="clear" w:color="auto" w:fill="FFFFFF"/>
        </w:rPr>
        <w:t>-de-</w:t>
      </w:r>
      <w:proofErr w:type="spellStart"/>
      <w:r w:rsidR="00DF727D" w:rsidRPr="001106D7">
        <w:rPr>
          <w:color w:val="000000"/>
          <w:shd w:val="clear" w:color="auto" w:fill="FFFFFF"/>
        </w:rPr>
        <w:t>Lemos</w:t>
      </w:r>
      <w:proofErr w:type="spellEnd"/>
      <w:r w:rsidR="00DF727D" w:rsidRPr="001106D7">
        <w:rPr>
          <w:color w:val="000000"/>
          <w:shd w:val="clear" w:color="auto" w:fill="FFFFFF"/>
        </w:rPr>
        <w:t xml:space="preserve">, </w:t>
      </w:r>
      <w:proofErr w:type="spellStart"/>
      <w:r w:rsidR="00DF727D" w:rsidRPr="001106D7">
        <w:rPr>
          <w:color w:val="000000"/>
          <w:shd w:val="clear" w:color="auto" w:fill="FFFFFF"/>
        </w:rPr>
        <w:t>Johanson</w:t>
      </w:r>
      <w:proofErr w:type="spellEnd"/>
      <w:r w:rsidR="00DF727D" w:rsidRPr="001106D7">
        <w:rPr>
          <w:color w:val="000000"/>
          <w:shd w:val="clear" w:color="auto" w:fill="FFFFFF"/>
        </w:rPr>
        <w:t xml:space="preserve"> and </w:t>
      </w:r>
      <w:proofErr w:type="spellStart"/>
      <w:r w:rsidR="00DF727D" w:rsidRPr="001106D7">
        <w:rPr>
          <w:color w:val="000000"/>
          <w:shd w:val="clear" w:color="auto" w:fill="FFFFFF"/>
        </w:rPr>
        <w:t>Vahlne</w:t>
      </w:r>
      <w:proofErr w:type="spellEnd"/>
      <w:r w:rsidR="00DF727D" w:rsidRPr="001106D7">
        <w:rPr>
          <w:color w:val="000000"/>
          <w:shd w:val="clear" w:color="auto" w:fill="FFFFFF"/>
        </w:rPr>
        <w:t>, 2011)</w:t>
      </w:r>
      <w:r>
        <w:rPr>
          <w:color w:val="000000"/>
          <w:shd w:val="clear" w:color="auto" w:fill="FFFFFF"/>
        </w:rPr>
        <w:t>.</w:t>
      </w:r>
    </w:p>
    <w:p w:rsidR="002D2A82" w:rsidRDefault="002D2A82" w:rsidP="00046682">
      <w:pPr>
        <w:pStyle w:val="ListParagraph"/>
        <w:spacing w:line="360" w:lineRule="auto"/>
        <w:jc w:val="both"/>
        <w:rPr>
          <w:color w:val="000000"/>
          <w:shd w:val="clear" w:color="auto" w:fill="FFFFFF"/>
        </w:rPr>
      </w:pPr>
    </w:p>
    <w:p w:rsidR="002D2A82" w:rsidRPr="003A3A98" w:rsidRDefault="004E0545" w:rsidP="00865A74">
      <w:pPr>
        <w:pStyle w:val="ListParagraph"/>
        <w:numPr>
          <w:ilvl w:val="0"/>
          <w:numId w:val="6"/>
        </w:numPr>
        <w:spacing w:line="360" w:lineRule="auto"/>
        <w:jc w:val="both"/>
        <w:rPr>
          <w:color w:val="000000"/>
          <w:shd w:val="clear" w:color="auto" w:fill="FFFFFF"/>
        </w:rPr>
      </w:pPr>
      <w:r w:rsidRPr="002D2A82">
        <w:rPr>
          <w:b/>
          <w:color w:val="000000"/>
          <w:shd w:val="clear" w:color="auto" w:fill="FFFFFF"/>
        </w:rPr>
        <w:t xml:space="preserve">Commitment to decisions: </w:t>
      </w:r>
      <w:r w:rsidRPr="002D2A82">
        <w:rPr>
          <w:color w:val="000000"/>
          <w:shd w:val="clear" w:color="auto" w:fill="FFFFFF"/>
        </w:rPr>
        <w:t xml:space="preserve">Johanson and Vahlne (1977) account that commitment decisions are made in line with the identified opportunities and threats that a company identifies. The success of a company in the foreign market highly depends on how the company evaluates its risk factors and how to minimise them as well as how well the company can find economic prospects to exploit. Foreign markets are very unpredictable which makes them highly volatile and a company needs to have back up plans to help with </w:t>
      </w:r>
      <w:r w:rsidRPr="002D2A82">
        <w:rPr>
          <w:color w:val="000000"/>
          <w:shd w:val="clear" w:color="auto" w:fill="FFFFFF"/>
        </w:rPr>
        <w:lastRenderedPageBreak/>
        <w:t>uncertainties they may face</w:t>
      </w:r>
      <w:r w:rsidR="003A3A98" w:rsidRPr="003A3A98">
        <w:rPr>
          <w:rFonts w:ascii="Arial" w:hAnsi="Arial" w:cs="Arial"/>
          <w:color w:val="000000"/>
          <w:sz w:val="20"/>
          <w:szCs w:val="20"/>
          <w:shd w:val="clear" w:color="auto" w:fill="FFFFFF"/>
        </w:rPr>
        <w:t xml:space="preserve"> </w:t>
      </w:r>
      <w:r w:rsidR="003A3A98" w:rsidRPr="003A3A98">
        <w:rPr>
          <w:color w:val="000000"/>
          <w:shd w:val="clear" w:color="auto" w:fill="FFFFFF"/>
        </w:rPr>
        <w:t>(Figueira-de-Lemos, Johanson and Vahlne, 2011)</w:t>
      </w:r>
      <w:r w:rsidRPr="003A3A98">
        <w:rPr>
          <w:color w:val="000000"/>
          <w:shd w:val="clear" w:color="auto" w:fill="FFFFFF"/>
        </w:rPr>
        <w:t>. Where there is an opportunity there is a risk.</w:t>
      </w:r>
      <w:r w:rsidRPr="003A3A98">
        <w:rPr>
          <w:b/>
          <w:color w:val="000000"/>
          <w:shd w:val="clear" w:color="auto" w:fill="FFFFFF"/>
        </w:rPr>
        <w:t xml:space="preserve"> </w:t>
      </w:r>
      <w:r w:rsidRPr="003A3A98">
        <w:rPr>
          <w:color w:val="000000"/>
          <w:shd w:val="clear" w:color="auto" w:fill="FFFFFF"/>
        </w:rPr>
        <w:t xml:space="preserve">Santander’s goal was to achieve globalisation of its bank and saw an opportunity through the acquirement of UK portfolio financial institutions (Abbey National, Alliance &amp; Leicester, Bradford &amp; Bingley, etc. Following the announcement of the acquisition of Alliance &amp; Leicester, the deposits of Bradford &amp; Bingley and all Sovèreign assets, Fitch Ratings (credit-rating agency) altered its perspective to "negative" until all the required approval is obtained </w:t>
      </w:r>
      <w:r w:rsidRPr="00327B00">
        <w:rPr>
          <w:color w:val="000000"/>
          <w:shd w:val="clear" w:color="auto" w:fill="FFFFFF"/>
        </w:rPr>
        <w:t>(Santander</w:t>
      </w:r>
      <w:r w:rsidR="00FC15D2">
        <w:rPr>
          <w:color w:val="000000"/>
          <w:shd w:val="clear" w:color="auto" w:fill="FFFFFF"/>
        </w:rPr>
        <w:t xml:space="preserve"> Group</w:t>
      </w:r>
      <w:r w:rsidRPr="00327B00">
        <w:rPr>
          <w:color w:val="000000"/>
          <w:shd w:val="clear" w:color="auto" w:fill="FFFFFF"/>
        </w:rPr>
        <w:t>, 200</w:t>
      </w:r>
      <w:r w:rsidR="0071558E" w:rsidRPr="00327B00">
        <w:rPr>
          <w:color w:val="000000"/>
          <w:shd w:val="clear" w:color="auto" w:fill="FFFFFF"/>
        </w:rPr>
        <w:t>8</w:t>
      </w:r>
      <w:r w:rsidRPr="00327B00">
        <w:rPr>
          <w:color w:val="000000"/>
          <w:shd w:val="clear" w:color="auto" w:fill="FFFFFF"/>
        </w:rPr>
        <w:t>).</w:t>
      </w:r>
      <w:r w:rsidRPr="003A3A98">
        <w:rPr>
          <w:color w:val="000000"/>
          <w:shd w:val="clear" w:color="auto" w:fill="FFFFFF"/>
        </w:rPr>
        <w:t xml:space="preserve">  Table 2 shows Santander's credit ratings by different agencies as of 200</w:t>
      </w:r>
      <w:r w:rsidR="0071558E" w:rsidRPr="003A3A98">
        <w:rPr>
          <w:color w:val="000000"/>
          <w:shd w:val="clear" w:color="auto" w:fill="FFFFFF"/>
        </w:rPr>
        <w:t>8</w:t>
      </w:r>
      <w:r w:rsidRPr="003A3A98">
        <w:rPr>
          <w:color w:val="000000"/>
          <w:shd w:val="clear" w:color="auto" w:fill="FFFFFF"/>
        </w:rPr>
        <w:t>:</w:t>
      </w:r>
    </w:p>
    <w:p w:rsidR="002D2A82" w:rsidRDefault="002D2A82" w:rsidP="002D2A82">
      <w:pPr>
        <w:pStyle w:val="ListParagraph"/>
        <w:spacing w:line="360" w:lineRule="auto"/>
        <w:jc w:val="both"/>
        <w:rPr>
          <w:b/>
          <w:color w:val="000000"/>
          <w:shd w:val="clear" w:color="auto" w:fill="FFFFFF"/>
        </w:rPr>
      </w:pPr>
    </w:p>
    <w:p w:rsidR="002D2A82" w:rsidRPr="00420FDB" w:rsidRDefault="00420FDB" w:rsidP="00420FDB">
      <w:pPr>
        <w:pStyle w:val="Caption"/>
        <w:rPr>
          <w:b/>
          <w:i w:val="0"/>
          <w:color w:val="000000" w:themeColor="text1"/>
          <w:sz w:val="24"/>
          <w:szCs w:val="24"/>
          <w:shd w:val="clear" w:color="auto" w:fill="FFFFFF"/>
        </w:rPr>
      </w:pPr>
      <w:bookmarkStart w:id="9" w:name="_Toc19823339"/>
      <w:r w:rsidRPr="00420FDB">
        <w:rPr>
          <w:b/>
          <w:i w:val="0"/>
          <w:color w:val="000000" w:themeColor="text1"/>
          <w:sz w:val="24"/>
          <w:szCs w:val="24"/>
        </w:rPr>
        <w:t xml:space="preserve">Table </w:t>
      </w:r>
      <w:r w:rsidRPr="00420FDB">
        <w:rPr>
          <w:b/>
          <w:i w:val="0"/>
          <w:color w:val="000000" w:themeColor="text1"/>
          <w:sz w:val="24"/>
          <w:szCs w:val="24"/>
        </w:rPr>
        <w:fldChar w:fldCharType="begin"/>
      </w:r>
      <w:r w:rsidRPr="00420FDB">
        <w:rPr>
          <w:b/>
          <w:i w:val="0"/>
          <w:color w:val="000000" w:themeColor="text1"/>
          <w:sz w:val="24"/>
          <w:szCs w:val="24"/>
        </w:rPr>
        <w:instrText xml:space="preserve"> SEQ Table \* ARABIC </w:instrText>
      </w:r>
      <w:r w:rsidRPr="00420FDB">
        <w:rPr>
          <w:b/>
          <w:i w:val="0"/>
          <w:color w:val="000000" w:themeColor="text1"/>
          <w:sz w:val="24"/>
          <w:szCs w:val="24"/>
        </w:rPr>
        <w:fldChar w:fldCharType="separate"/>
      </w:r>
      <w:r>
        <w:rPr>
          <w:b/>
          <w:i w:val="0"/>
          <w:noProof/>
          <w:color w:val="000000" w:themeColor="text1"/>
          <w:sz w:val="24"/>
          <w:szCs w:val="24"/>
        </w:rPr>
        <w:t>2</w:t>
      </w:r>
      <w:r w:rsidRPr="00420FDB">
        <w:rPr>
          <w:b/>
          <w:i w:val="0"/>
          <w:color w:val="000000" w:themeColor="text1"/>
          <w:sz w:val="24"/>
          <w:szCs w:val="24"/>
        </w:rPr>
        <w:fldChar w:fldCharType="end"/>
      </w:r>
      <w:r w:rsidR="004E0545" w:rsidRPr="00420FDB">
        <w:rPr>
          <w:b/>
          <w:i w:val="0"/>
          <w:color w:val="000000" w:themeColor="text1"/>
          <w:sz w:val="24"/>
          <w:szCs w:val="24"/>
          <w:shd w:val="clear" w:color="auto" w:fill="FFFFFF"/>
        </w:rPr>
        <w:t xml:space="preserve"> Santander’s Credit ratings by credit-rating agencies</w:t>
      </w:r>
      <w:bookmarkEnd w:id="9"/>
    </w:p>
    <w:p w:rsidR="002D2A82" w:rsidRPr="002D2A82" w:rsidRDefault="002D2A82" w:rsidP="002D2A82">
      <w:pPr>
        <w:pStyle w:val="ListParagraph"/>
        <w:spacing w:line="360" w:lineRule="auto"/>
        <w:jc w:val="both"/>
        <w:rPr>
          <w:b/>
          <w:color w:val="000000"/>
          <w:shd w:val="clear" w:color="auto" w:fill="FFFFFF"/>
        </w:rPr>
      </w:pPr>
    </w:p>
    <w:tbl>
      <w:tblPr>
        <w:tblStyle w:val="TableGrid"/>
        <w:tblW w:w="0" w:type="auto"/>
        <w:jc w:val="center"/>
        <w:tblLook w:val="04A0" w:firstRow="1" w:lastRow="0" w:firstColumn="1" w:lastColumn="0" w:noHBand="0" w:noVBand="1"/>
      </w:tblPr>
      <w:tblGrid>
        <w:gridCol w:w="663"/>
        <w:gridCol w:w="1873"/>
        <w:gridCol w:w="1417"/>
        <w:gridCol w:w="1418"/>
        <w:gridCol w:w="1559"/>
        <w:gridCol w:w="1360"/>
      </w:tblGrid>
      <w:tr w:rsidR="00BA37FD" w:rsidTr="00865A74">
        <w:trPr>
          <w:trHeight w:val="580"/>
          <w:jc w:val="center"/>
        </w:trPr>
        <w:tc>
          <w:tcPr>
            <w:tcW w:w="663" w:type="dxa"/>
          </w:tcPr>
          <w:p w:rsidR="002D2A82" w:rsidRDefault="004E0545" w:rsidP="002D2A82">
            <w:pPr>
              <w:pStyle w:val="ListParagraph"/>
              <w:spacing w:line="360" w:lineRule="auto"/>
              <w:ind w:left="0"/>
              <w:jc w:val="center"/>
              <w:rPr>
                <w:b/>
                <w:color w:val="000000"/>
                <w:shd w:val="clear" w:color="auto" w:fill="FFFFFF"/>
              </w:rPr>
            </w:pPr>
            <w:r>
              <w:rPr>
                <w:b/>
                <w:color w:val="000000"/>
                <w:shd w:val="clear" w:color="auto" w:fill="FFFFFF"/>
              </w:rPr>
              <w:t>S.no</w:t>
            </w:r>
          </w:p>
        </w:tc>
        <w:tc>
          <w:tcPr>
            <w:tcW w:w="1873" w:type="dxa"/>
          </w:tcPr>
          <w:p w:rsidR="002D2A82" w:rsidRDefault="004E0545" w:rsidP="002D2A82">
            <w:pPr>
              <w:pStyle w:val="ListParagraph"/>
              <w:spacing w:line="360" w:lineRule="auto"/>
              <w:ind w:left="0"/>
              <w:jc w:val="center"/>
              <w:rPr>
                <w:b/>
                <w:color w:val="000000"/>
                <w:shd w:val="clear" w:color="auto" w:fill="FFFFFF"/>
              </w:rPr>
            </w:pPr>
            <w:r>
              <w:rPr>
                <w:b/>
                <w:color w:val="000000"/>
                <w:shd w:val="clear" w:color="auto" w:fill="FFFFFF"/>
              </w:rPr>
              <w:t>Agency Name</w:t>
            </w:r>
          </w:p>
        </w:tc>
        <w:tc>
          <w:tcPr>
            <w:tcW w:w="1417" w:type="dxa"/>
          </w:tcPr>
          <w:p w:rsidR="002D2A82" w:rsidRDefault="004E0545" w:rsidP="002D2A82">
            <w:pPr>
              <w:pStyle w:val="ListParagraph"/>
              <w:spacing w:line="360" w:lineRule="auto"/>
              <w:ind w:left="0"/>
              <w:jc w:val="center"/>
              <w:rPr>
                <w:b/>
                <w:color w:val="000000"/>
                <w:shd w:val="clear" w:color="auto" w:fill="FFFFFF"/>
              </w:rPr>
            </w:pPr>
            <w:r>
              <w:rPr>
                <w:b/>
                <w:color w:val="000000"/>
                <w:shd w:val="clear" w:color="auto" w:fill="FFFFFF"/>
              </w:rPr>
              <w:t>Long-term</w:t>
            </w:r>
          </w:p>
        </w:tc>
        <w:tc>
          <w:tcPr>
            <w:tcW w:w="1418" w:type="dxa"/>
          </w:tcPr>
          <w:p w:rsidR="002D2A82" w:rsidRDefault="004E0545" w:rsidP="002D2A82">
            <w:pPr>
              <w:pStyle w:val="ListParagraph"/>
              <w:spacing w:line="360" w:lineRule="auto"/>
              <w:ind w:left="0"/>
              <w:jc w:val="center"/>
              <w:rPr>
                <w:b/>
                <w:color w:val="000000"/>
                <w:shd w:val="clear" w:color="auto" w:fill="FFFFFF"/>
              </w:rPr>
            </w:pPr>
            <w:r>
              <w:rPr>
                <w:b/>
                <w:color w:val="000000"/>
                <w:shd w:val="clear" w:color="auto" w:fill="FFFFFF"/>
              </w:rPr>
              <w:t>Short-term</w:t>
            </w:r>
          </w:p>
        </w:tc>
        <w:tc>
          <w:tcPr>
            <w:tcW w:w="1559" w:type="dxa"/>
          </w:tcPr>
          <w:p w:rsidR="002D2A82" w:rsidRDefault="004E0545" w:rsidP="002D2A82">
            <w:pPr>
              <w:pStyle w:val="ListParagraph"/>
              <w:spacing w:line="360" w:lineRule="auto"/>
              <w:ind w:left="0"/>
              <w:jc w:val="center"/>
              <w:rPr>
                <w:b/>
                <w:color w:val="000000"/>
                <w:shd w:val="clear" w:color="auto" w:fill="FFFFFF"/>
              </w:rPr>
            </w:pPr>
            <w:r>
              <w:rPr>
                <w:b/>
                <w:color w:val="000000"/>
                <w:shd w:val="clear" w:color="auto" w:fill="FFFFFF"/>
              </w:rPr>
              <w:t>Financial strength</w:t>
            </w:r>
          </w:p>
        </w:tc>
        <w:tc>
          <w:tcPr>
            <w:tcW w:w="1360" w:type="dxa"/>
          </w:tcPr>
          <w:p w:rsidR="002D2A82" w:rsidRDefault="004E0545" w:rsidP="002D2A82">
            <w:pPr>
              <w:pStyle w:val="ListParagraph"/>
              <w:spacing w:line="360" w:lineRule="auto"/>
              <w:ind w:left="0"/>
              <w:jc w:val="center"/>
              <w:rPr>
                <w:b/>
                <w:color w:val="000000"/>
                <w:shd w:val="clear" w:color="auto" w:fill="FFFFFF"/>
              </w:rPr>
            </w:pPr>
            <w:r>
              <w:rPr>
                <w:b/>
                <w:color w:val="000000"/>
                <w:shd w:val="clear" w:color="auto" w:fill="FFFFFF"/>
              </w:rPr>
              <w:t>Outlook</w:t>
            </w:r>
          </w:p>
        </w:tc>
      </w:tr>
      <w:tr w:rsidR="00BA37FD" w:rsidTr="00865A74">
        <w:trPr>
          <w:trHeight w:val="580"/>
          <w:jc w:val="center"/>
        </w:trPr>
        <w:tc>
          <w:tcPr>
            <w:tcW w:w="663" w:type="dxa"/>
          </w:tcPr>
          <w:p w:rsidR="002D2A82" w:rsidRDefault="004E0545" w:rsidP="002D2A82">
            <w:pPr>
              <w:pStyle w:val="ListParagraph"/>
              <w:spacing w:line="360" w:lineRule="auto"/>
              <w:ind w:left="0"/>
              <w:jc w:val="both"/>
              <w:rPr>
                <w:b/>
                <w:color w:val="000000"/>
                <w:shd w:val="clear" w:color="auto" w:fill="FFFFFF"/>
              </w:rPr>
            </w:pPr>
            <w:r>
              <w:rPr>
                <w:b/>
                <w:color w:val="000000"/>
                <w:shd w:val="clear" w:color="auto" w:fill="FFFFFF"/>
              </w:rPr>
              <w:t>1</w:t>
            </w:r>
          </w:p>
        </w:tc>
        <w:tc>
          <w:tcPr>
            <w:tcW w:w="1873" w:type="dxa"/>
          </w:tcPr>
          <w:p w:rsidR="002D2A82" w:rsidRPr="002D2A82" w:rsidRDefault="004E0545" w:rsidP="002D2A82">
            <w:pPr>
              <w:pStyle w:val="ListParagraph"/>
              <w:spacing w:line="360" w:lineRule="auto"/>
              <w:ind w:left="0"/>
              <w:jc w:val="both"/>
              <w:rPr>
                <w:color w:val="000000"/>
                <w:shd w:val="clear" w:color="auto" w:fill="FFFFFF"/>
              </w:rPr>
            </w:pPr>
            <w:r w:rsidRPr="002D2A82">
              <w:rPr>
                <w:color w:val="000000"/>
                <w:shd w:val="clear" w:color="auto" w:fill="FFFFFF"/>
              </w:rPr>
              <w:t>Standard &amp; Poor’s</w:t>
            </w:r>
          </w:p>
        </w:tc>
        <w:tc>
          <w:tcPr>
            <w:tcW w:w="1417" w:type="dxa"/>
          </w:tcPr>
          <w:p w:rsidR="002D2A82" w:rsidRPr="002D2A82" w:rsidRDefault="004E0545" w:rsidP="002D2A82">
            <w:pPr>
              <w:pStyle w:val="ListParagraph"/>
              <w:spacing w:line="360" w:lineRule="auto"/>
              <w:ind w:left="0"/>
              <w:jc w:val="right"/>
              <w:rPr>
                <w:color w:val="000000"/>
                <w:shd w:val="clear" w:color="auto" w:fill="FFFFFF"/>
              </w:rPr>
            </w:pPr>
            <w:r w:rsidRPr="002D2A82">
              <w:rPr>
                <w:color w:val="000000"/>
                <w:shd w:val="clear" w:color="auto" w:fill="FFFFFF"/>
              </w:rPr>
              <w:t>AA</w:t>
            </w:r>
          </w:p>
        </w:tc>
        <w:tc>
          <w:tcPr>
            <w:tcW w:w="1418" w:type="dxa"/>
          </w:tcPr>
          <w:p w:rsidR="002D2A82" w:rsidRPr="002D2A82" w:rsidRDefault="004E0545" w:rsidP="002D2A82">
            <w:pPr>
              <w:pStyle w:val="ListParagraph"/>
              <w:spacing w:line="360" w:lineRule="auto"/>
              <w:ind w:left="0"/>
              <w:jc w:val="right"/>
              <w:rPr>
                <w:color w:val="000000"/>
                <w:shd w:val="clear" w:color="auto" w:fill="FFFFFF"/>
              </w:rPr>
            </w:pPr>
            <w:r w:rsidRPr="002D2A82">
              <w:rPr>
                <w:color w:val="000000"/>
                <w:shd w:val="clear" w:color="auto" w:fill="FFFFFF"/>
              </w:rPr>
              <w:t>A1+</w:t>
            </w:r>
          </w:p>
        </w:tc>
        <w:tc>
          <w:tcPr>
            <w:tcW w:w="1559" w:type="dxa"/>
          </w:tcPr>
          <w:p w:rsidR="002D2A82" w:rsidRPr="002D2A82" w:rsidRDefault="002D2A82" w:rsidP="002D2A82">
            <w:pPr>
              <w:pStyle w:val="ListParagraph"/>
              <w:spacing w:line="360" w:lineRule="auto"/>
              <w:ind w:left="0"/>
              <w:jc w:val="both"/>
              <w:rPr>
                <w:color w:val="000000"/>
                <w:shd w:val="clear" w:color="auto" w:fill="FFFFFF"/>
              </w:rPr>
            </w:pPr>
          </w:p>
        </w:tc>
        <w:tc>
          <w:tcPr>
            <w:tcW w:w="1360" w:type="dxa"/>
          </w:tcPr>
          <w:p w:rsidR="002D2A82" w:rsidRPr="002D2A82" w:rsidRDefault="004E0545" w:rsidP="002D2A82">
            <w:pPr>
              <w:pStyle w:val="ListParagraph"/>
              <w:spacing w:line="360" w:lineRule="auto"/>
              <w:ind w:left="0"/>
              <w:jc w:val="right"/>
              <w:rPr>
                <w:color w:val="000000"/>
                <w:shd w:val="clear" w:color="auto" w:fill="FFFFFF"/>
              </w:rPr>
            </w:pPr>
            <w:r w:rsidRPr="002D2A82">
              <w:rPr>
                <w:color w:val="000000"/>
                <w:shd w:val="clear" w:color="auto" w:fill="FFFFFF"/>
              </w:rPr>
              <w:t>Stable</w:t>
            </w:r>
          </w:p>
        </w:tc>
      </w:tr>
      <w:tr w:rsidR="00BA37FD" w:rsidTr="00865A74">
        <w:trPr>
          <w:trHeight w:val="580"/>
          <w:jc w:val="center"/>
        </w:trPr>
        <w:tc>
          <w:tcPr>
            <w:tcW w:w="663" w:type="dxa"/>
          </w:tcPr>
          <w:p w:rsidR="002D2A82" w:rsidRDefault="004E0545" w:rsidP="002D2A82">
            <w:pPr>
              <w:pStyle w:val="ListParagraph"/>
              <w:spacing w:line="360" w:lineRule="auto"/>
              <w:ind w:left="0"/>
              <w:jc w:val="both"/>
              <w:rPr>
                <w:b/>
                <w:color w:val="000000"/>
                <w:shd w:val="clear" w:color="auto" w:fill="FFFFFF"/>
              </w:rPr>
            </w:pPr>
            <w:r>
              <w:rPr>
                <w:b/>
                <w:color w:val="000000"/>
                <w:shd w:val="clear" w:color="auto" w:fill="FFFFFF"/>
              </w:rPr>
              <w:t>2</w:t>
            </w:r>
          </w:p>
        </w:tc>
        <w:tc>
          <w:tcPr>
            <w:tcW w:w="1873" w:type="dxa"/>
          </w:tcPr>
          <w:p w:rsidR="002D2A82" w:rsidRPr="002D2A82" w:rsidRDefault="004E0545" w:rsidP="002D2A82">
            <w:pPr>
              <w:pStyle w:val="ListParagraph"/>
              <w:spacing w:line="360" w:lineRule="auto"/>
              <w:ind w:left="0"/>
              <w:jc w:val="both"/>
              <w:rPr>
                <w:color w:val="000000"/>
                <w:shd w:val="clear" w:color="auto" w:fill="FFFFFF"/>
              </w:rPr>
            </w:pPr>
            <w:r w:rsidRPr="002D2A82">
              <w:rPr>
                <w:color w:val="000000"/>
                <w:shd w:val="clear" w:color="auto" w:fill="FFFFFF"/>
              </w:rPr>
              <w:t>Fitch Ratings</w:t>
            </w:r>
          </w:p>
        </w:tc>
        <w:tc>
          <w:tcPr>
            <w:tcW w:w="1417" w:type="dxa"/>
          </w:tcPr>
          <w:p w:rsidR="002D2A82" w:rsidRPr="002D2A82" w:rsidRDefault="004E0545" w:rsidP="002D2A82">
            <w:pPr>
              <w:pStyle w:val="ListParagraph"/>
              <w:spacing w:line="360" w:lineRule="auto"/>
              <w:ind w:left="0"/>
              <w:jc w:val="right"/>
              <w:rPr>
                <w:color w:val="000000"/>
                <w:shd w:val="clear" w:color="auto" w:fill="FFFFFF"/>
              </w:rPr>
            </w:pPr>
            <w:r w:rsidRPr="002D2A82">
              <w:rPr>
                <w:color w:val="000000"/>
                <w:shd w:val="clear" w:color="auto" w:fill="FFFFFF"/>
              </w:rPr>
              <w:t>AA</w:t>
            </w:r>
          </w:p>
        </w:tc>
        <w:tc>
          <w:tcPr>
            <w:tcW w:w="1418" w:type="dxa"/>
          </w:tcPr>
          <w:p w:rsidR="002D2A82" w:rsidRPr="002D2A82" w:rsidRDefault="004E0545" w:rsidP="002D2A82">
            <w:pPr>
              <w:pStyle w:val="ListParagraph"/>
              <w:spacing w:line="360" w:lineRule="auto"/>
              <w:ind w:left="0"/>
              <w:jc w:val="right"/>
              <w:rPr>
                <w:color w:val="000000"/>
                <w:shd w:val="clear" w:color="auto" w:fill="FFFFFF"/>
              </w:rPr>
            </w:pPr>
            <w:r w:rsidRPr="002D2A82">
              <w:rPr>
                <w:color w:val="000000"/>
                <w:shd w:val="clear" w:color="auto" w:fill="FFFFFF"/>
              </w:rPr>
              <w:t>F1+</w:t>
            </w:r>
          </w:p>
        </w:tc>
        <w:tc>
          <w:tcPr>
            <w:tcW w:w="1559" w:type="dxa"/>
          </w:tcPr>
          <w:p w:rsidR="002D2A82" w:rsidRPr="002D2A82" w:rsidRDefault="004E0545" w:rsidP="002D2A82">
            <w:pPr>
              <w:pStyle w:val="ListParagraph"/>
              <w:spacing w:line="360" w:lineRule="auto"/>
              <w:ind w:left="0"/>
              <w:jc w:val="right"/>
              <w:rPr>
                <w:color w:val="000000"/>
                <w:shd w:val="clear" w:color="auto" w:fill="FFFFFF"/>
              </w:rPr>
            </w:pPr>
            <w:r w:rsidRPr="002D2A82">
              <w:rPr>
                <w:color w:val="000000"/>
                <w:shd w:val="clear" w:color="auto" w:fill="FFFFFF"/>
              </w:rPr>
              <w:t>A/B</w:t>
            </w:r>
          </w:p>
        </w:tc>
        <w:tc>
          <w:tcPr>
            <w:tcW w:w="1360" w:type="dxa"/>
          </w:tcPr>
          <w:p w:rsidR="002D2A82" w:rsidRPr="002D2A82" w:rsidRDefault="004E0545" w:rsidP="002D2A82">
            <w:pPr>
              <w:pStyle w:val="ListParagraph"/>
              <w:spacing w:line="360" w:lineRule="auto"/>
              <w:ind w:left="0"/>
              <w:jc w:val="right"/>
              <w:rPr>
                <w:color w:val="000000"/>
                <w:shd w:val="clear" w:color="auto" w:fill="FFFFFF"/>
              </w:rPr>
            </w:pPr>
            <w:r w:rsidRPr="002D2A82">
              <w:rPr>
                <w:color w:val="000000"/>
                <w:shd w:val="clear" w:color="auto" w:fill="FFFFFF"/>
              </w:rPr>
              <w:t>Negative</w:t>
            </w:r>
          </w:p>
        </w:tc>
      </w:tr>
      <w:tr w:rsidR="00BA37FD" w:rsidTr="00865A74">
        <w:trPr>
          <w:trHeight w:val="590"/>
          <w:jc w:val="center"/>
        </w:trPr>
        <w:tc>
          <w:tcPr>
            <w:tcW w:w="663" w:type="dxa"/>
          </w:tcPr>
          <w:p w:rsidR="002D2A82" w:rsidRDefault="004E0545" w:rsidP="002D2A82">
            <w:pPr>
              <w:pStyle w:val="ListParagraph"/>
              <w:spacing w:line="360" w:lineRule="auto"/>
              <w:ind w:left="0"/>
              <w:jc w:val="both"/>
              <w:rPr>
                <w:b/>
                <w:color w:val="000000"/>
                <w:shd w:val="clear" w:color="auto" w:fill="FFFFFF"/>
              </w:rPr>
            </w:pPr>
            <w:r>
              <w:rPr>
                <w:b/>
                <w:color w:val="000000"/>
                <w:shd w:val="clear" w:color="auto" w:fill="FFFFFF"/>
              </w:rPr>
              <w:t>3</w:t>
            </w:r>
          </w:p>
        </w:tc>
        <w:tc>
          <w:tcPr>
            <w:tcW w:w="1873" w:type="dxa"/>
          </w:tcPr>
          <w:p w:rsidR="002D2A82" w:rsidRPr="002D2A82" w:rsidRDefault="004E0545" w:rsidP="002D2A82">
            <w:pPr>
              <w:pStyle w:val="ListParagraph"/>
              <w:spacing w:line="360" w:lineRule="auto"/>
              <w:ind w:left="0"/>
              <w:jc w:val="both"/>
              <w:rPr>
                <w:color w:val="000000"/>
                <w:shd w:val="clear" w:color="auto" w:fill="FFFFFF"/>
              </w:rPr>
            </w:pPr>
            <w:r w:rsidRPr="002D2A82">
              <w:rPr>
                <w:color w:val="000000"/>
                <w:shd w:val="clear" w:color="auto" w:fill="FFFFFF"/>
              </w:rPr>
              <w:t>Moody’s</w:t>
            </w:r>
          </w:p>
        </w:tc>
        <w:tc>
          <w:tcPr>
            <w:tcW w:w="1417" w:type="dxa"/>
          </w:tcPr>
          <w:p w:rsidR="002D2A82" w:rsidRPr="002D2A82" w:rsidRDefault="004E0545" w:rsidP="002D2A82">
            <w:pPr>
              <w:pStyle w:val="ListParagraph"/>
              <w:spacing w:line="360" w:lineRule="auto"/>
              <w:ind w:left="0"/>
              <w:jc w:val="right"/>
              <w:rPr>
                <w:color w:val="000000"/>
                <w:shd w:val="clear" w:color="auto" w:fill="FFFFFF"/>
              </w:rPr>
            </w:pPr>
            <w:r w:rsidRPr="002D2A82">
              <w:rPr>
                <w:color w:val="000000"/>
                <w:shd w:val="clear" w:color="auto" w:fill="FFFFFF"/>
              </w:rPr>
              <w:t>Aa1</w:t>
            </w:r>
          </w:p>
        </w:tc>
        <w:tc>
          <w:tcPr>
            <w:tcW w:w="1418" w:type="dxa"/>
          </w:tcPr>
          <w:p w:rsidR="002D2A82" w:rsidRPr="002D2A82" w:rsidRDefault="004E0545" w:rsidP="002D2A82">
            <w:pPr>
              <w:pStyle w:val="ListParagraph"/>
              <w:spacing w:line="360" w:lineRule="auto"/>
              <w:ind w:left="0"/>
              <w:jc w:val="right"/>
              <w:rPr>
                <w:color w:val="000000"/>
                <w:shd w:val="clear" w:color="auto" w:fill="FFFFFF"/>
              </w:rPr>
            </w:pPr>
            <w:r w:rsidRPr="002D2A82">
              <w:rPr>
                <w:color w:val="000000"/>
                <w:shd w:val="clear" w:color="auto" w:fill="FFFFFF"/>
              </w:rPr>
              <w:t>P1</w:t>
            </w:r>
          </w:p>
        </w:tc>
        <w:tc>
          <w:tcPr>
            <w:tcW w:w="1559" w:type="dxa"/>
          </w:tcPr>
          <w:p w:rsidR="002D2A82" w:rsidRPr="002D2A82" w:rsidRDefault="004E0545" w:rsidP="002D2A82">
            <w:pPr>
              <w:pStyle w:val="ListParagraph"/>
              <w:spacing w:line="360" w:lineRule="auto"/>
              <w:ind w:left="0"/>
              <w:jc w:val="right"/>
              <w:rPr>
                <w:color w:val="000000"/>
                <w:shd w:val="clear" w:color="auto" w:fill="FFFFFF"/>
              </w:rPr>
            </w:pPr>
            <w:r w:rsidRPr="002D2A82">
              <w:rPr>
                <w:color w:val="000000"/>
                <w:shd w:val="clear" w:color="auto" w:fill="FFFFFF"/>
              </w:rPr>
              <w:t>B</w:t>
            </w:r>
          </w:p>
        </w:tc>
        <w:tc>
          <w:tcPr>
            <w:tcW w:w="1360" w:type="dxa"/>
          </w:tcPr>
          <w:p w:rsidR="002D2A82" w:rsidRPr="002D2A82" w:rsidRDefault="004E0545" w:rsidP="002D2A82">
            <w:pPr>
              <w:pStyle w:val="ListParagraph"/>
              <w:spacing w:line="360" w:lineRule="auto"/>
              <w:ind w:left="0"/>
              <w:jc w:val="right"/>
              <w:rPr>
                <w:color w:val="000000"/>
                <w:shd w:val="clear" w:color="auto" w:fill="FFFFFF"/>
              </w:rPr>
            </w:pPr>
            <w:r w:rsidRPr="002D2A82">
              <w:rPr>
                <w:color w:val="000000"/>
                <w:shd w:val="clear" w:color="auto" w:fill="FFFFFF"/>
              </w:rPr>
              <w:t>Stable</w:t>
            </w:r>
          </w:p>
        </w:tc>
      </w:tr>
      <w:tr w:rsidR="00BA37FD" w:rsidTr="00865A74">
        <w:trPr>
          <w:trHeight w:val="590"/>
          <w:jc w:val="center"/>
        </w:trPr>
        <w:tc>
          <w:tcPr>
            <w:tcW w:w="663" w:type="dxa"/>
          </w:tcPr>
          <w:p w:rsidR="002D2A82" w:rsidRDefault="004E0545" w:rsidP="002D2A82">
            <w:pPr>
              <w:pStyle w:val="ListParagraph"/>
              <w:spacing w:line="360" w:lineRule="auto"/>
              <w:ind w:left="0"/>
              <w:jc w:val="both"/>
              <w:rPr>
                <w:b/>
                <w:color w:val="000000"/>
                <w:shd w:val="clear" w:color="auto" w:fill="FFFFFF"/>
              </w:rPr>
            </w:pPr>
            <w:r>
              <w:rPr>
                <w:b/>
                <w:color w:val="000000"/>
                <w:shd w:val="clear" w:color="auto" w:fill="FFFFFF"/>
              </w:rPr>
              <w:t>4</w:t>
            </w:r>
          </w:p>
        </w:tc>
        <w:tc>
          <w:tcPr>
            <w:tcW w:w="1873" w:type="dxa"/>
          </w:tcPr>
          <w:p w:rsidR="002D2A82" w:rsidRPr="002D2A82" w:rsidRDefault="004E0545" w:rsidP="002D2A82">
            <w:pPr>
              <w:pStyle w:val="ListParagraph"/>
              <w:spacing w:line="360" w:lineRule="auto"/>
              <w:ind w:left="0"/>
              <w:jc w:val="both"/>
              <w:rPr>
                <w:color w:val="000000"/>
                <w:shd w:val="clear" w:color="auto" w:fill="FFFFFF"/>
              </w:rPr>
            </w:pPr>
            <w:r w:rsidRPr="002D2A82">
              <w:rPr>
                <w:color w:val="000000"/>
                <w:shd w:val="clear" w:color="auto" w:fill="FFFFFF"/>
              </w:rPr>
              <w:t>DBRS</w:t>
            </w:r>
          </w:p>
        </w:tc>
        <w:tc>
          <w:tcPr>
            <w:tcW w:w="1417" w:type="dxa"/>
          </w:tcPr>
          <w:p w:rsidR="002D2A82" w:rsidRPr="002D2A82" w:rsidRDefault="004E0545" w:rsidP="002D2A82">
            <w:pPr>
              <w:pStyle w:val="ListParagraph"/>
              <w:spacing w:line="360" w:lineRule="auto"/>
              <w:ind w:left="0"/>
              <w:jc w:val="right"/>
              <w:rPr>
                <w:color w:val="000000"/>
                <w:shd w:val="clear" w:color="auto" w:fill="FFFFFF"/>
              </w:rPr>
            </w:pPr>
            <w:r w:rsidRPr="002D2A82">
              <w:rPr>
                <w:color w:val="000000"/>
                <w:shd w:val="clear" w:color="auto" w:fill="FFFFFF"/>
              </w:rPr>
              <w:t>AA</w:t>
            </w:r>
          </w:p>
        </w:tc>
        <w:tc>
          <w:tcPr>
            <w:tcW w:w="1418" w:type="dxa"/>
          </w:tcPr>
          <w:p w:rsidR="002D2A82" w:rsidRPr="002D2A82" w:rsidRDefault="004E0545" w:rsidP="002D2A82">
            <w:pPr>
              <w:pStyle w:val="ListParagraph"/>
              <w:spacing w:line="360" w:lineRule="auto"/>
              <w:ind w:left="0"/>
              <w:jc w:val="right"/>
              <w:rPr>
                <w:color w:val="000000"/>
                <w:shd w:val="clear" w:color="auto" w:fill="FFFFFF"/>
              </w:rPr>
            </w:pPr>
            <w:r w:rsidRPr="002D2A82">
              <w:rPr>
                <w:color w:val="000000"/>
                <w:shd w:val="clear" w:color="auto" w:fill="FFFFFF"/>
              </w:rPr>
              <w:t>R1 (high)</w:t>
            </w:r>
          </w:p>
        </w:tc>
        <w:tc>
          <w:tcPr>
            <w:tcW w:w="1559" w:type="dxa"/>
          </w:tcPr>
          <w:p w:rsidR="002D2A82" w:rsidRPr="002D2A82" w:rsidRDefault="002D2A82" w:rsidP="002D2A82">
            <w:pPr>
              <w:pStyle w:val="ListParagraph"/>
              <w:spacing w:line="360" w:lineRule="auto"/>
              <w:ind w:left="0"/>
              <w:jc w:val="both"/>
              <w:rPr>
                <w:color w:val="000000"/>
                <w:shd w:val="clear" w:color="auto" w:fill="FFFFFF"/>
              </w:rPr>
            </w:pPr>
          </w:p>
        </w:tc>
        <w:tc>
          <w:tcPr>
            <w:tcW w:w="1360" w:type="dxa"/>
          </w:tcPr>
          <w:p w:rsidR="002D2A82" w:rsidRPr="002D2A82" w:rsidRDefault="004E0545" w:rsidP="002D2A82">
            <w:pPr>
              <w:pStyle w:val="ListParagraph"/>
              <w:spacing w:line="360" w:lineRule="auto"/>
              <w:ind w:left="0"/>
              <w:jc w:val="right"/>
              <w:rPr>
                <w:color w:val="000000"/>
                <w:shd w:val="clear" w:color="auto" w:fill="FFFFFF"/>
              </w:rPr>
            </w:pPr>
            <w:r w:rsidRPr="002D2A82">
              <w:rPr>
                <w:color w:val="000000"/>
                <w:shd w:val="clear" w:color="auto" w:fill="FFFFFF"/>
              </w:rPr>
              <w:t>Stable</w:t>
            </w:r>
          </w:p>
        </w:tc>
      </w:tr>
    </w:tbl>
    <w:p w:rsidR="002D2A82" w:rsidRPr="002D2A82" w:rsidRDefault="002D2A82" w:rsidP="002D2A82">
      <w:pPr>
        <w:spacing w:line="360" w:lineRule="auto"/>
        <w:jc w:val="both"/>
        <w:rPr>
          <w:b/>
          <w:color w:val="000000"/>
          <w:shd w:val="clear" w:color="auto" w:fill="FFFFFF"/>
        </w:rPr>
      </w:pPr>
    </w:p>
    <w:p w:rsidR="002D2A82" w:rsidRDefault="004E0545" w:rsidP="00865A74">
      <w:pPr>
        <w:spacing w:line="360" w:lineRule="auto"/>
        <w:jc w:val="both"/>
        <w:rPr>
          <w:color w:val="000000"/>
          <w:shd w:val="clear" w:color="auto" w:fill="FFFFFF"/>
        </w:rPr>
      </w:pPr>
      <w:r>
        <w:rPr>
          <w:color w:val="000000"/>
          <w:shd w:val="clear" w:color="auto" w:fill="FFFFFF"/>
        </w:rPr>
        <w:t>Source: (Santander, 200</w:t>
      </w:r>
      <w:r w:rsidR="00FA3556">
        <w:rPr>
          <w:color w:val="000000"/>
          <w:shd w:val="clear" w:color="auto" w:fill="FFFFFF"/>
        </w:rPr>
        <w:t>8</w:t>
      </w:r>
      <w:r>
        <w:rPr>
          <w:color w:val="000000"/>
          <w:shd w:val="clear" w:color="auto" w:fill="FFFFFF"/>
        </w:rPr>
        <w:t>)</w:t>
      </w:r>
    </w:p>
    <w:p w:rsidR="002D2A82" w:rsidRDefault="002D2A82" w:rsidP="002D2A82">
      <w:pPr>
        <w:spacing w:line="360" w:lineRule="auto"/>
        <w:jc w:val="both"/>
        <w:rPr>
          <w:color w:val="000000"/>
          <w:shd w:val="clear" w:color="auto" w:fill="FFFFFF"/>
        </w:rPr>
      </w:pPr>
    </w:p>
    <w:p w:rsidR="002D2A82" w:rsidRPr="008C1876" w:rsidRDefault="004E0545" w:rsidP="00865A74">
      <w:pPr>
        <w:spacing w:line="360" w:lineRule="auto"/>
        <w:jc w:val="both"/>
        <w:rPr>
          <w:color w:val="000000"/>
          <w:shd w:val="clear" w:color="auto" w:fill="FFFFFF"/>
        </w:rPr>
      </w:pPr>
      <w:r w:rsidRPr="002D2A82">
        <w:rPr>
          <w:color w:val="000000"/>
          <w:shd w:val="clear" w:color="auto" w:fill="FFFFFF"/>
        </w:rPr>
        <w:t>One of the major risks that Santander faced was the dropdown in its credit ratings</w:t>
      </w:r>
      <w:r>
        <w:rPr>
          <w:color w:val="000000"/>
          <w:shd w:val="clear" w:color="auto" w:fill="FFFFFF"/>
        </w:rPr>
        <w:t xml:space="preserve"> especially by Fitch Ratings,</w:t>
      </w:r>
      <w:r w:rsidRPr="002D2A82">
        <w:rPr>
          <w:color w:val="000000"/>
          <w:shd w:val="clear" w:color="auto" w:fill="FFFFFF"/>
        </w:rPr>
        <w:t xml:space="preserve"> that could massively increase its borrowing expenses which could in turn cause restriction to capital markets, affect sales and product marketing and its ability to maintain its clients ultimately causing liquidity problems for the company. </w:t>
      </w:r>
      <w:r w:rsidR="00867A92">
        <w:rPr>
          <w:color w:val="000000"/>
          <w:shd w:val="clear" w:color="auto" w:fill="FFFFFF"/>
        </w:rPr>
        <w:t>In 2007, Santander realised an opportunity to acquire ABN AMRO (a Dutch bank) and formed alliances with RBS and Fortis, however with this new-found area of exploitation Santander faced risks with the p</w:t>
      </w:r>
      <w:r w:rsidR="00867A92" w:rsidRPr="00867A92">
        <w:rPr>
          <w:color w:val="000000"/>
          <w:shd w:val="clear" w:color="auto" w:fill="FFFFFF"/>
        </w:rPr>
        <w:t>roposals for the restructuring of the undertakings acquired from ABN A</w:t>
      </w:r>
      <w:r w:rsidR="00867A92">
        <w:rPr>
          <w:color w:val="000000"/>
          <w:shd w:val="clear" w:color="auto" w:fill="FFFFFF"/>
        </w:rPr>
        <w:t>MRO</w:t>
      </w:r>
      <w:r w:rsidR="00867A92" w:rsidRPr="00867A92">
        <w:rPr>
          <w:color w:val="000000"/>
          <w:shd w:val="clear" w:color="auto" w:fill="FFFFFF"/>
        </w:rPr>
        <w:t xml:space="preserve"> </w:t>
      </w:r>
      <w:r w:rsidR="00867A92">
        <w:rPr>
          <w:color w:val="000000"/>
          <w:shd w:val="clear" w:color="auto" w:fill="FFFFFF"/>
        </w:rPr>
        <w:t>which we</w:t>
      </w:r>
      <w:r w:rsidR="00867A92" w:rsidRPr="00867A92">
        <w:rPr>
          <w:color w:val="000000"/>
          <w:shd w:val="clear" w:color="auto" w:fill="FFFFFF"/>
        </w:rPr>
        <w:t>re complex</w:t>
      </w:r>
      <w:r w:rsidR="00867A92">
        <w:rPr>
          <w:color w:val="000000"/>
          <w:shd w:val="clear" w:color="auto" w:fill="FFFFFF"/>
        </w:rPr>
        <w:t xml:space="preserve"> and may not bear the fruits on time as expected (Santander</w:t>
      </w:r>
      <w:r w:rsidR="00FC15D2">
        <w:rPr>
          <w:color w:val="000000"/>
          <w:shd w:val="clear" w:color="auto" w:fill="FFFFFF"/>
        </w:rPr>
        <w:t xml:space="preserve"> Group</w:t>
      </w:r>
      <w:r w:rsidR="00867A92">
        <w:rPr>
          <w:color w:val="000000"/>
          <w:shd w:val="clear" w:color="auto" w:fill="FFFFFF"/>
        </w:rPr>
        <w:t>, 2008). Therefore, this proves Uppsala’s model assumption that with every additional commitment to foreign markets the higher the “economic effect” and the “uncertainty effect” will be</w:t>
      </w:r>
      <w:r w:rsidR="00867A92" w:rsidRPr="00867A92">
        <w:rPr>
          <w:color w:val="000000"/>
          <w:shd w:val="clear" w:color="auto" w:fill="FFFFFF"/>
        </w:rPr>
        <w:t xml:space="preserve"> </w:t>
      </w:r>
      <w:r w:rsidR="00867A92">
        <w:rPr>
          <w:color w:val="000000"/>
          <w:shd w:val="clear" w:color="auto" w:fill="FFFFFF"/>
        </w:rPr>
        <w:t>(</w:t>
      </w:r>
      <w:r w:rsidR="00867A92" w:rsidRPr="002D2A82">
        <w:rPr>
          <w:color w:val="000000"/>
          <w:shd w:val="clear" w:color="auto" w:fill="FFFFFF"/>
        </w:rPr>
        <w:t>Johanson and Vahlne 1977</w:t>
      </w:r>
      <w:r w:rsidR="00867A92">
        <w:rPr>
          <w:color w:val="000000"/>
          <w:shd w:val="clear" w:color="auto" w:fill="FFFFFF"/>
        </w:rPr>
        <w:t>, p. 29</w:t>
      </w:r>
      <w:r w:rsidR="00867A92" w:rsidRPr="002D2A82">
        <w:rPr>
          <w:color w:val="000000"/>
          <w:shd w:val="clear" w:color="auto" w:fill="FFFFFF"/>
        </w:rPr>
        <w:t>)</w:t>
      </w:r>
      <w:r w:rsidR="00867A92">
        <w:rPr>
          <w:color w:val="000000"/>
          <w:shd w:val="clear" w:color="auto" w:fill="FFFFFF"/>
        </w:rPr>
        <w:t xml:space="preserve">. The </w:t>
      </w:r>
      <w:r w:rsidR="00DF727D">
        <w:rPr>
          <w:color w:val="000000"/>
          <w:shd w:val="clear" w:color="auto" w:fill="FFFFFF"/>
        </w:rPr>
        <w:t>“</w:t>
      </w:r>
      <w:r w:rsidR="00867A92">
        <w:rPr>
          <w:color w:val="000000"/>
          <w:shd w:val="clear" w:color="auto" w:fill="FFFFFF"/>
        </w:rPr>
        <w:t>economic effect</w:t>
      </w:r>
      <w:r w:rsidR="00DF727D">
        <w:rPr>
          <w:color w:val="000000"/>
          <w:shd w:val="clear" w:color="auto" w:fill="FFFFFF"/>
        </w:rPr>
        <w:t>”</w:t>
      </w:r>
      <w:r w:rsidR="00867A92">
        <w:rPr>
          <w:color w:val="000000"/>
          <w:shd w:val="clear" w:color="auto" w:fill="FFFFFF"/>
        </w:rPr>
        <w:t xml:space="preserve"> is associated with the </w:t>
      </w:r>
      <w:r w:rsidR="00A30DA3">
        <w:rPr>
          <w:color w:val="000000"/>
          <w:shd w:val="clear" w:color="auto" w:fill="FFFFFF"/>
        </w:rPr>
        <w:t xml:space="preserve">enhanced operations of scale </w:t>
      </w:r>
      <w:r w:rsidR="00867A92">
        <w:rPr>
          <w:color w:val="000000"/>
          <w:shd w:val="clear" w:color="auto" w:fill="FFFFFF"/>
        </w:rPr>
        <w:t xml:space="preserve">whereas the </w:t>
      </w:r>
      <w:r w:rsidR="00DF727D">
        <w:rPr>
          <w:color w:val="000000"/>
          <w:shd w:val="clear" w:color="auto" w:fill="FFFFFF"/>
        </w:rPr>
        <w:t>“</w:t>
      </w:r>
      <w:r w:rsidR="00867A92">
        <w:rPr>
          <w:color w:val="000000"/>
          <w:shd w:val="clear" w:color="auto" w:fill="FFFFFF"/>
        </w:rPr>
        <w:t>uncertainty effect</w:t>
      </w:r>
      <w:r w:rsidR="00DF727D">
        <w:rPr>
          <w:color w:val="000000"/>
          <w:shd w:val="clear" w:color="auto" w:fill="FFFFFF"/>
        </w:rPr>
        <w:t>”</w:t>
      </w:r>
      <w:r w:rsidR="00867A92">
        <w:rPr>
          <w:color w:val="000000"/>
          <w:shd w:val="clear" w:color="auto" w:fill="FFFFFF"/>
        </w:rPr>
        <w:t xml:space="preserve"> is related to the market unpredictable</w:t>
      </w:r>
      <w:r w:rsidR="00A30DA3">
        <w:rPr>
          <w:color w:val="000000"/>
          <w:shd w:val="clear" w:color="auto" w:fill="FFFFFF"/>
        </w:rPr>
        <w:t xml:space="preserve"> and undetermined</w:t>
      </w:r>
      <w:r w:rsidR="00867A92">
        <w:rPr>
          <w:color w:val="000000"/>
          <w:shd w:val="clear" w:color="auto" w:fill="FFFFFF"/>
        </w:rPr>
        <w:t xml:space="preserve"> risks</w:t>
      </w:r>
      <w:r w:rsidR="001106D7" w:rsidRPr="001106D7">
        <w:rPr>
          <w:rFonts w:ascii="Arial" w:hAnsi="Arial" w:cs="Arial"/>
          <w:color w:val="000000"/>
          <w:sz w:val="20"/>
          <w:szCs w:val="20"/>
          <w:shd w:val="clear" w:color="auto" w:fill="FFFFFF"/>
        </w:rPr>
        <w:t xml:space="preserve"> </w:t>
      </w:r>
      <w:r w:rsidR="00A30DA3">
        <w:rPr>
          <w:color w:val="000000"/>
          <w:shd w:val="clear" w:color="auto" w:fill="FFFFFF"/>
        </w:rPr>
        <w:lastRenderedPageBreak/>
        <w:t>(</w:t>
      </w:r>
      <w:proofErr w:type="spellStart"/>
      <w:r w:rsidR="00A30DA3" w:rsidRPr="002D2A82">
        <w:rPr>
          <w:color w:val="000000"/>
          <w:shd w:val="clear" w:color="auto" w:fill="FFFFFF"/>
        </w:rPr>
        <w:t>Johanson</w:t>
      </w:r>
      <w:proofErr w:type="spellEnd"/>
      <w:r w:rsidR="00A30DA3" w:rsidRPr="002D2A82">
        <w:rPr>
          <w:color w:val="000000"/>
          <w:shd w:val="clear" w:color="auto" w:fill="FFFFFF"/>
        </w:rPr>
        <w:t xml:space="preserve"> and </w:t>
      </w:r>
      <w:proofErr w:type="spellStart"/>
      <w:r w:rsidR="00A30DA3" w:rsidRPr="002D2A82">
        <w:rPr>
          <w:color w:val="000000"/>
          <w:shd w:val="clear" w:color="auto" w:fill="FFFFFF"/>
        </w:rPr>
        <w:t>Vahlne</w:t>
      </w:r>
      <w:proofErr w:type="spellEnd"/>
      <w:r w:rsidR="00A30DA3" w:rsidRPr="002D2A82">
        <w:rPr>
          <w:color w:val="000000"/>
          <w:shd w:val="clear" w:color="auto" w:fill="FFFFFF"/>
        </w:rPr>
        <w:t xml:space="preserve"> 1977</w:t>
      </w:r>
      <w:r w:rsidR="00A30DA3">
        <w:rPr>
          <w:color w:val="000000"/>
          <w:shd w:val="clear" w:color="auto" w:fill="FFFFFF"/>
        </w:rPr>
        <w:t>, p. 29</w:t>
      </w:r>
      <w:r w:rsidR="00A30DA3" w:rsidRPr="002D2A82">
        <w:rPr>
          <w:color w:val="000000"/>
          <w:shd w:val="clear" w:color="auto" w:fill="FFFFFF"/>
        </w:rPr>
        <w:t>)</w:t>
      </w:r>
      <w:r w:rsidR="00A30DA3">
        <w:rPr>
          <w:color w:val="000000"/>
          <w:shd w:val="clear" w:color="auto" w:fill="FFFFFF"/>
        </w:rPr>
        <w:t xml:space="preserve">. </w:t>
      </w:r>
      <w:r w:rsidR="001106D7" w:rsidRPr="008C1876">
        <w:rPr>
          <w:color w:val="000000"/>
          <w:shd w:val="clear" w:color="auto" w:fill="FFFFFF"/>
        </w:rPr>
        <w:t>Additional opportunity-risk factors are attached in Appendix I</w:t>
      </w:r>
      <w:r w:rsidR="008C1876" w:rsidRPr="008C1876">
        <w:rPr>
          <w:color w:val="000000"/>
          <w:shd w:val="clear" w:color="auto" w:fill="FFFFFF"/>
        </w:rPr>
        <w:t>I</w:t>
      </w:r>
    </w:p>
    <w:p w:rsidR="002D2A82" w:rsidRPr="002D2A82" w:rsidRDefault="002D2A82" w:rsidP="002D2A82">
      <w:pPr>
        <w:spacing w:line="360" w:lineRule="auto"/>
        <w:jc w:val="both"/>
        <w:rPr>
          <w:b/>
          <w:color w:val="000000"/>
          <w:shd w:val="clear" w:color="auto" w:fill="FFFFFF"/>
        </w:rPr>
      </w:pPr>
    </w:p>
    <w:p w:rsidR="001106D7" w:rsidRDefault="004E0545" w:rsidP="001106D7">
      <w:pPr>
        <w:pStyle w:val="ListParagraph"/>
        <w:numPr>
          <w:ilvl w:val="0"/>
          <w:numId w:val="6"/>
        </w:numPr>
        <w:spacing w:line="360" w:lineRule="auto"/>
        <w:jc w:val="both"/>
        <w:rPr>
          <w:color w:val="000000"/>
          <w:shd w:val="clear" w:color="auto" w:fill="FFFFFF"/>
        </w:rPr>
      </w:pPr>
      <w:r w:rsidRPr="002D2A82">
        <w:rPr>
          <w:b/>
          <w:color w:val="000000"/>
          <w:shd w:val="clear" w:color="auto" w:fill="FFFFFF"/>
        </w:rPr>
        <w:t>Current activities</w:t>
      </w:r>
      <w:r>
        <w:rPr>
          <w:b/>
          <w:color w:val="000000"/>
          <w:shd w:val="clear" w:color="auto" w:fill="FFFFFF"/>
        </w:rPr>
        <w:t xml:space="preserve">: </w:t>
      </w:r>
      <w:r w:rsidRPr="001106D7">
        <w:rPr>
          <w:color w:val="000000"/>
          <w:shd w:val="clear" w:color="auto" w:fill="FFFFFF"/>
        </w:rPr>
        <w:t>Cu</w:t>
      </w:r>
      <w:r>
        <w:rPr>
          <w:color w:val="000000"/>
          <w:shd w:val="clear" w:color="auto" w:fill="FFFFFF"/>
        </w:rPr>
        <w:t>r</w:t>
      </w:r>
      <w:r w:rsidRPr="001106D7">
        <w:rPr>
          <w:color w:val="000000"/>
          <w:shd w:val="clear" w:color="auto" w:fill="FFFFFF"/>
        </w:rPr>
        <w:t>rent activities relate to the operations</w:t>
      </w:r>
      <w:r>
        <w:rPr>
          <w:color w:val="000000"/>
          <w:shd w:val="clear" w:color="auto" w:fill="FFFFFF"/>
        </w:rPr>
        <w:t xml:space="preserve"> pursued by the business in its foreign market </w:t>
      </w:r>
      <w:r w:rsidRPr="001106D7">
        <w:rPr>
          <w:color w:val="000000"/>
          <w:shd w:val="clear" w:color="auto" w:fill="FFFFFF"/>
        </w:rPr>
        <w:t xml:space="preserve">(Vahlne and Johanson, 2013).  </w:t>
      </w:r>
      <w:r>
        <w:rPr>
          <w:color w:val="000000"/>
          <w:shd w:val="clear" w:color="auto" w:fill="FFFFFF"/>
        </w:rPr>
        <w:t>There exists a gap between current activities and its effects which is one of the reasons internationalisation procedures often take longer. In the case of Santander, it took them almost 18 years (1990-2008) to successfully integrate its internationalisation operations (Santander</w:t>
      </w:r>
      <w:r w:rsidR="00FC15D2">
        <w:rPr>
          <w:color w:val="000000"/>
          <w:shd w:val="clear" w:color="auto" w:fill="FFFFFF"/>
        </w:rPr>
        <w:t xml:space="preserve"> Group</w:t>
      </w:r>
      <w:r>
        <w:rPr>
          <w:color w:val="000000"/>
          <w:shd w:val="clear" w:color="auto" w:fill="FFFFFF"/>
        </w:rPr>
        <w:t>, 2008). While Santander group was growing it realized that there was an increase in the price competition of financial markets in the regions it operated especially in Europe and Latin America. Therefore, its success highly depended on how effectively the company was able to compete with its prices and hence making it difficult to predict growth projections.</w:t>
      </w:r>
    </w:p>
    <w:p w:rsidR="001106D7" w:rsidRDefault="001106D7" w:rsidP="001106D7">
      <w:pPr>
        <w:pStyle w:val="ListParagraph"/>
        <w:spacing w:line="360" w:lineRule="auto"/>
        <w:jc w:val="both"/>
        <w:rPr>
          <w:b/>
          <w:color w:val="000000"/>
          <w:shd w:val="clear" w:color="auto" w:fill="FFFFFF"/>
        </w:rPr>
      </w:pPr>
    </w:p>
    <w:p w:rsidR="00AE331F" w:rsidRDefault="004E0545" w:rsidP="00865A74">
      <w:pPr>
        <w:pStyle w:val="ListParagraph"/>
        <w:spacing w:line="360" w:lineRule="auto"/>
        <w:ind w:left="360"/>
        <w:jc w:val="both"/>
        <w:rPr>
          <w:color w:val="000000"/>
          <w:shd w:val="clear" w:color="auto" w:fill="FFFFFF"/>
        </w:rPr>
      </w:pPr>
      <w:r w:rsidRPr="001106D7">
        <w:rPr>
          <w:color w:val="000000"/>
          <w:shd w:val="clear" w:color="auto" w:fill="FFFFFF"/>
        </w:rPr>
        <w:t xml:space="preserve">Vahlne and Johanson </w:t>
      </w:r>
      <w:r>
        <w:rPr>
          <w:color w:val="000000"/>
          <w:shd w:val="clear" w:color="auto" w:fill="FFFFFF"/>
        </w:rPr>
        <w:t>(</w:t>
      </w:r>
      <w:r w:rsidRPr="001106D7">
        <w:rPr>
          <w:color w:val="000000"/>
          <w:shd w:val="clear" w:color="auto" w:fill="FFFFFF"/>
        </w:rPr>
        <w:t>2013</w:t>
      </w:r>
      <w:r>
        <w:rPr>
          <w:color w:val="000000"/>
          <w:shd w:val="clear" w:color="auto" w:fill="FFFFFF"/>
        </w:rPr>
        <w:t xml:space="preserve">) suggest that if a firm wants to gain practical knowledge about a foreign market it needs to hire expertise managers with experience in the targeted market. In the Santander case, while looking for possible acquisitions around Asia, it hired two of its general managers to explore the market for potential businesses. </w:t>
      </w:r>
      <w:r w:rsidRPr="009C0B5E">
        <w:rPr>
          <w:color w:val="000000"/>
          <w:shd w:val="clear" w:color="auto" w:fill="FFFFFF"/>
        </w:rPr>
        <w:t>However, while in waiting for the financial crisis of 2008 hit which made Santander withdraw its Asian acquisition plan and focus solely on strengthening its USA acquisition of Sovereign</w:t>
      </w:r>
      <w:r w:rsidR="009C0B5E" w:rsidRPr="009C0B5E">
        <w:rPr>
          <w:color w:val="000000"/>
          <w:shd w:val="clear" w:color="auto" w:fill="FFFFFF"/>
        </w:rPr>
        <w:t xml:space="preserve"> (</w:t>
      </w:r>
      <w:r w:rsidR="009C0B5E" w:rsidRPr="009C0B5E">
        <w:rPr>
          <w:color w:val="000000" w:themeColor="text1"/>
        </w:rPr>
        <w:t>Xifra and Ordeix, 2009)</w:t>
      </w:r>
      <w:r w:rsidRPr="009C0B5E">
        <w:rPr>
          <w:color w:val="000000"/>
          <w:shd w:val="clear" w:color="auto" w:fill="FFFFFF"/>
        </w:rPr>
        <w:t>.</w:t>
      </w:r>
    </w:p>
    <w:p w:rsidR="00865A74" w:rsidRDefault="00865A74" w:rsidP="00865A74">
      <w:pPr>
        <w:pStyle w:val="ListParagraph"/>
        <w:spacing w:line="360" w:lineRule="auto"/>
        <w:jc w:val="both"/>
        <w:rPr>
          <w:color w:val="000000"/>
          <w:shd w:val="clear" w:color="auto" w:fill="FFFFFF"/>
        </w:rPr>
      </w:pPr>
    </w:p>
    <w:p w:rsidR="00865A74" w:rsidRDefault="004E0545" w:rsidP="009C0B5E">
      <w:pPr>
        <w:pStyle w:val="ListParagraph"/>
        <w:spacing w:line="360" w:lineRule="auto"/>
        <w:ind w:left="360"/>
        <w:jc w:val="both"/>
        <w:rPr>
          <w:rFonts w:ascii="TimesNewRoman" w:hAnsi="TimesNewRoman"/>
        </w:rPr>
      </w:pPr>
      <w:r>
        <w:rPr>
          <w:color w:val="000000"/>
          <w:shd w:val="clear" w:color="auto" w:fill="FFFFFF"/>
        </w:rPr>
        <w:t>Whilst Santander was expanding its economies of scale it was at risk of foreign exchange fluctuations that proves Uppsala model’s assumption that current activities of a firm formulate newer risks that could impact the growth of that firm. On 31</w:t>
      </w:r>
      <w:r w:rsidRPr="00865A74">
        <w:rPr>
          <w:color w:val="000000"/>
          <w:shd w:val="clear" w:color="auto" w:fill="FFFFFF"/>
          <w:vertAlign w:val="superscript"/>
        </w:rPr>
        <w:t>st</w:t>
      </w:r>
      <w:r>
        <w:rPr>
          <w:color w:val="000000"/>
          <w:shd w:val="clear" w:color="auto" w:fill="FFFFFF"/>
        </w:rPr>
        <w:t xml:space="preserve"> December 2007, Santander faced a temporary maximum foreign risk exposure (that could affect the income statement) on USD and GBP currencies (Santander</w:t>
      </w:r>
      <w:r w:rsidR="00FC15D2">
        <w:rPr>
          <w:color w:val="000000"/>
          <w:shd w:val="clear" w:color="auto" w:fill="FFFFFF"/>
        </w:rPr>
        <w:t xml:space="preserve"> Group</w:t>
      </w:r>
      <w:r>
        <w:rPr>
          <w:color w:val="000000"/>
          <w:shd w:val="clear" w:color="auto" w:fill="FFFFFF"/>
        </w:rPr>
        <w:t>, 2008) as. Similarly, on the same day, the bank faced permanent maximum foreign risk exposure (that could affect equity) on the BRL, GBP, MXN and CLP currencies (Santander</w:t>
      </w:r>
      <w:r w:rsidR="00FC15D2">
        <w:rPr>
          <w:color w:val="000000"/>
          <w:shd w:val="clear" w:color="auto" w:fill="FFFFFF"/>
        </w:rPr>
        <w:t xml:space="preserve"> Group</w:t>
      </w:r>
      <w:r>
        <w:rPr>
          <w:color w:val="000000"/>
          <w:shd w:val="clear" w:color="auto" w:fill="FFFFFF"/>
        </w:rPr>
        <w:t xml:space="preserve">, 2008).  To protect itself against foreign exchange risks in the future, Santander decided to permanently hedge a quota of the currency positions through </w:t>
      </w:r>
      <w:r>
        <w:rPr>
          <w:rFonts w:ascii="TimesNewRoman" w:hAnsi="TimesNewRoman"/>
        </w:rPr>
        <w:t xml:space="preserve">exchange rate derivatives. As a result, shareholder’s equity was negatively impacted at approximately € </w:t>
      </w:r>
      <w:r w:rsidRPr="00865A74">
        <w:rPr>
          <w:rFonts w:ascii="TimesNewRoman" w:hAnsi="TimesNewRoman"/>
        </w:rPr>
        <w:t>455 million</w:t>
      </w:r>
      <w:r>
        <w:rPr>
          <w:rFonts w:ascii="TimesNewRoman" w:hAnsi="TimesNewRoman"/>
        </w:rPr>
        <w:t xml:space="preserve"> </w:t>
      </w:r>
      <w:r>
        <w:rPr>
          <w:color w:val="000000"/>
          <w:shd w:val="clear" w:color="auto" w:fill="FFFFFF"/>
        </w:rPr>
        <w:t>(Santander</w:t>
      </w:r>
      <w:r w:rsidR="00FC15D2">
        <w:rPr>
          <w:color w:val="000000"/>
          <w:shd w:val="clear" w:color="auto" w:fill="FFFFFF"/>
        </w:rPr>
        <w:t xml:space="preserve"> Group</w:t>
      </w:r>
      <w:r>
        <w:rPr>
          <w:color w:val="000000"/>
          <w:shd w:val="clear" w:color="auto" w:fill="FFFFFF"/>
        </w:rPr>
        <w:t>, 2008)</w:t>
      </w:r>
      <w:r>
        <w:rPr>
          <w:rFonts w:ascii="TimesNewRoman" w:hAnsi="TimesNewRoman"/>
        </w:rPr>
        <w:t xml:space="preserve">. </w:t>
      </w:r>
    </w:p>
    <w:p w:rsidR="001E28B8" w:rsidRDefault="001E28B8" w:rsidP="009C0B5E">
      <w:pPr>
        <w:pStyle w:val="ListParagraph"/>
        <w:spacing w:line="360" w:lineRule="auto"/>
        <w:ind w:left="360"/>
        <w:jc w:val="both"/>
        <w:rPr>
          <w:rFonts w:ascii="TimesNewRoman" w:hAnsi="TimesNewRoman"/>
        </w:rPr>
      </w:pPr>
    </w:p>
    <w:p w:rsidR="001E28B8" w:rsidRDefault="001E28B8" w:rsidP="009C0B5E">
      <w:pPr>
        <w:pStyle w:val="ListParagraph"/>
        <w:spacing w:line="360" w:lineRule="auto"/>
        <w:ind w:left="360"/>
        <w:jc w:val="both"/>
        <w:rPr>
          <w:rFonts w:ascii="TimesNewRoman" w:hAnsi="TimesNewRoman"/>
        </w:rPr>
      </w:pPr>
    </w:p>
    <w:p w:rsidR="00FC15D2" w:rsidRPr="00FA5A6F" w:rsidRDefault="00FC15D2" w:rsidP="00FA5A6F">
      <w:pPr>
        <w:spacing w:line="360" w:lineRule="auto"/>
        <w:jc w:val="both"/>
        <w:rPr>
          <w:rFonts w:ascii="TimesNewRoman" w:hAnsi="TimesNewRoman"/>
        </w:rPr>
      </w:pPr>
    </w:p>
    <w:p w:rsidR="00FC15D2" w:rsidRDefault="00FC15D2" w:rsidP="009C0B5E">
      <w:pPr>
        <w:pStyle w:val="ListParagraph"/>
        <w:spacing w:line="360" w:lineRule="auto"/>
        <w:ind w:left="360"/>
        <w:jc w:val="both"/>
        <w:rPr>
          <w:rFonts w:ascii="TimesNewRoman" w:hAnsi="TimesNewRoman"/>
        </w:rPr>
      </w:pPr>
    </w:p>
    <w:p w:rsidR="00865A74" w:rsidRPr="00420FDB" w:rsidRDefault="00420FDB" w:rsidP="00420FDB">
      <w:pPr>
        <w:pStyle w:val="Caption"/>
        <w:rPr>
          <w:b/>
          <w:i w:val="0"/>
          <w:color w:val="000000" w:themeColor="text1"/>
          <w:sz w:val="24"/>
          <w:szCs w:val="24"/>
          <w:shd w:val="clear" w:color="auto" w:fill="FFFFFF"/>
        </w:rPr>
      </w:pPr>
      <w:bookmarkStart w:id="10" w:name="_Toc19823340"/>
      <w:r w:rsidRPr="00420FDB">
        <w:rPr>
          <w:b/>
          <w:i w:val="0"/>
          <w:color w:val="000000" w:themeColor="text1"/>
          <w:sz w:val="24"/>
          <w:szCs w:val="24"/>
        </w:rPr>
        <w:lastRenderedPageBreak/>
        <w:t xml:space="preserve">Table </w:t>
      </w:r>
      <w:r w:rsidRPr="00420FDB">
        <w:rPr>
          <w:b/>
          <w:i w:val="0"/>
          <w:color w:val="000000" w:themeColor="text1"/>
          <w:sz w:val="24"/>
          <w:szCs w:val="24"/>
        </w:rPr>
        <w:fldChar w:fldCharType="begin"/>
      </w:r>
      <w:r w:rsidRPr="00420FDB">
        <w:rPr>
          <w:b/>
          <w:i w:val="0"/>
          <w:color w:val="000000" w:themeColor="text1"/>
          <w:sz w:val="24"/>
          <w:szCs w:val="24"/>
        </w:rPr>
        <w:instrText xml:space="preserve"> SEQ Table \* ARABIC </w:instrText>
      </w:r>
      <w:r w:rsidRPr="00420FDB">
        <w:rPr>
          <w:b/>
          <w:i w:val="0"/>
          <w:color w:val="000000" w:themeColor="text1"/>
          <w:sz w:val="24"/>
          <w:szCs w:val="24"/>
        </w:rPr>
        <w:fldChar w:fldCharType="separate"/>
      </w:r>
      <w:r>
        <w:rPr>
          <w:b/>
          <w:i w:val="0"/>
          <w:noProof/>
          <w:color w:val="000000" w:themeColor="text1"/>
          <w:sz w:val="24"/>
          <w:szCs w:val="24"/>
        </w:rPr>
        <w:t>3</w:t>
      </w:r>
      <w:r w:rsidRPr="00420FDB">
        <w:rPr>
          <w:b/>
          <w:i w:val="0"/>
          <w:color w:val="000000" w:themeColor="text1"/>
          <w:sz w:val="24"/>
          <w:szCs w:val="24"/>
        </w:rPr>
        <w:fldChar w:fldCharType="end"/>
      </w:r>
      <w:r>
        <w:rPr>
          <w:b/>
          <w:i w:val="0"/>
          <w:color w:val="000000" w:themeColor="text1"/>
          <w:sz w:val="24"/>
          <w:szCs w:val="24"/>
        </w:rPr>
        <w:t xml:space="preserve"> </w:t>
      </w:r>
      <w:r w:rsidR="004E0545" w:rsidRPr="00420FDB">
        <w:rPr>
          <w:b/>
          <w:i w:val="0"/>
          <w:color w:val="000000" w:themeColor="text1"/>
          <w:sz w:val="24"/>
          <w:szCs w:val="24"/>
          <w:shd w:val="clear" w:color="auto" w:fill="FFFFFF"/>
        </w:rPr>
        <w:t>Estimated impact on Santander’s Equity and Income Statement</w:t>
      </w:r>
      <w:bookmarkEnd w:id="10"/>
    </w:p>
    <w:p w:rsidR="00865A74" w:rsidRDefault="00865A74" w:rsidP="00865A74">
      <w:pPr>
        <w:pStyle w:val="ListParagraph"/>
        <w:spacing w:line="360" w:lineRule="auto"/>
        <w:jc w:val="both"/>
        <w:rPr>
          <w:b/>
          <w:color w:val="000000"/>
          <w:shd w:val="clear" w:color="auto" w:fill="FFFFFF"/>
        </w:rPr>
      </w:pPr>
    </w:p>
    <w:tbl>
      <w:tblPr>
        <w:tblStyle w:val="TableGrid"/>
        <w:tblW w:w="8509" w:type="dxa"/>
        <w:tblInd w:w="720" w:type="dxa"/>
        <w:tblLook w:val="04A0" w:firstRow="1" w:lastRow="0" w:firstColumn="1" w:lastColumn="0" w:noHBand="0" w:noVBand="1"/>
      </w:tblPr>
      <w:tblGrid>
        <w:gridCol w:w="854"/>
        <w:gridCol w:w="2215"/>
        <w:gridCol w:w="2160"/>
        <w:gridCol w:w="3280"/>
      </w:tblGrid>
      <w:tr w:rsidR="00BA37FD" w:rsidTr="00865A74">
        <w:trPr>
          <w:trHeight w:val="1089"/>
        </w:trPr>
        <w:tc>
          <w:tcPr>
            <w:tcW w:w="854" w:type="dxa"/>
          </w:tcPr>
          <w:p w:rsidR="00865A74" w:rsidRDefault="004E0545" w:rsidP="00865A74">
            <w:pPr>
              <w:pStyle w:val="ListParagraph"/>
              <w:spacing w:line="360" w:lineRule="auto"/>
              <w:ind w:left="0"/>
              <w:jc w:val="both"/>
              <w:rPr>
                <w:b/>
                <w:color w:val="000000"/>
                <w:shd w:val="clear" w:color="auto" w:fill="FFFFFF"/>
              </w:rPr>
            </w:pPr>
            <w:r>
              <w:rPr>
                <w:b/>
                <w:color w:val="000000"/>
                <w:shd w:val="clear" w:color="auto" w:fill="FFFFFF"/>
              </w:rPr>
              <w:t>S.no</w:t>
            </w:r>
          </w:p>
        </w:tc>
        <w:tc>
          <w:tcPr>
            <w:tcW w:w="2215" w:type="dxa"/>
          </w:tcPr>
          <w:p w:rsidR="00865A74" w:rsidRDefault="004E0545" w:rsidP="00865A74">
            <w:pPr>
              <w:pStyle w:val="ListParagraph"/>
              <w:spacing w:line="360" w:lineRule="auto"/>
              <w:ind w:left="0"/>
              <w:jc w:val="both"/>
              <w:rPr>
                <w:b/>
                <w:color w:val="000000"/>
                <w:shd w:val="clear" w:color="auto" w:fill="FFFFFF"/>
              </w:rPr>
            </w:pPr>
            <w:r>
              <w:rPr>
                <w:b/>
                <w:color w:val="000000"/>
                <w:shd w:val="clear" w:color="auto" w:fill="FFFFFF"/>
              </w:rPr>
              <w:t>Currency</w:t>
            </w:r>
          </w:p>
        </w:tc>
        <w:tc>
          <w:tcPr>
            <w:tcW w:w="2160" w:type="dxa"/>
          </w:tcPr>
          <w:p w:rsidR="00865A74" w:rsidRDefault="004E0545" w:rsidP="00865A74">
            <w:pPr>
              <w:pStyle w:val="ListParagraph"/>
              <w:spacing w:line="360" w:lineRule="auto"/>
              <w:ind w:left="0"/>
              <w:jc w:val="both"/>
              <w:rPr>
                <w:b/>
                <w:color w:val="000000"/>
                <w:shd w:val="clear" w:color="auto" w:fill="FFFFFF"/>
              </w:rPr>
            </w:pPr>
            <w:r>
              <w:rPr>
                <w:b/>
                <w:color w:val="000000"/>
                <w:shd w:val="clear" w:color="auto" w:fill="FFFFFF"/>
              </w:rPr>
              <w:t>Effect on Equity (</w:t>
            </w:r>
            <w:r>
              <w:rPr>
                <w:rFonts w:ascii="TimesNewRoman" w:hAnsi="TimesNewRoman"/>
              </w:rPr>
              <w:t xml:space="preserve">€ </w:t>
            </w:r>
            <w:r w:rsidRPr="00865A74">
              <w:rPr>
                <w:rFonts w:ascii="TimesNewRoman" w:hAnsi="TimesNewRoman"/>
                <w:b/>
              </w:rPr>
              <w:t>millions)</w:t>
            </w:r>
          </w:p>
        </w:tc>
        <w:tc>
          <w:tcPr>
            <w:tcW w:w="3280" w:type="dxa"/>
          </w:tcPr>
          <w:p w:rsidR="00865A74" w:rsidRDefault="004E0545" w:rsidP="00865A74">
            <w:pPr>
              <w:pStyle w:val="ListParagraph"/>
              <w:spacing w:line="360" w:lineRule="auto"/>
              <w:ind w:left="0"/>
              <w:jc w:val="both"/>
              <w:rPr>
                <w:b/>
                <w:color w:val="000000"/>
                <w:shd w:val="clear" w:color="auto" w:fill="FFFFFF"/>
              </w:rPr>
            </w:pPr>
            <w:r>
              <w:rPr>
                <w:b/>
                <w:color w:val="000000"/>
                <w:shd w:val="clear" w:color="auto" w:fill="FFFFFF"/>
              </w:rPr>
              <w:t>Effect on Consolidated results</w:t>
            </w:r>
          </w:p>
          <w:p w:rsidR="00865A74" w:rsidRDefault="004E0545" w:rsidP="00865A74">
            <w:pPr>
              <w:pStyle w:val="ListParagraph"/>
              <w:spacing w:line="360" w:lineRule="auto"/>
              <w:ind w:left="0"/>
              <w:jc w:val="both"/>
              <w:rPr>
                <w:b/>
                <w:color w:val="000000"/>
                <w:shd w:val="clear" w:color="auto" w:fill="FFFFFF"/>
              </w:rPr>
            </w:pPr>
            <w:r>
              <w:rPr>
                <w:b/>
                <w:color w:val="000000"/>
                <w:shd w:val="clear" w:color="auto" w:fill="FFFFFF"/>
              </w:rPr>
              <w:t>(</w:t>
            </w:r>
            <w:r>
              <w:rPr>
                <w:rFonts w:ascii="TimesNewRoman" w:hAnsi="TimesNewRoman"/>
              </w:rPr>
              <w:t xml:space="preserve">€ </w:t>
            </w:r>
            <w:r w:rsidRPr="00865A74">
              <w:rPr>
                <w:rFonts w:ascii="TimesNewRoman" w:hAnsi="TimesNewRoman"/>
                <w:b/>
              </w:rPr>
              <w:t>millions)</w:t>
            </w:r>
          </w:p>
        </w:tc>
      </w:tr>
      <w:tr w:rsidR="00BA37FD" w:rsidTr="00865A74">
        <w:trPr>
          <w:trHeight w:val="369"/>
        </w:trPr>
        <w:tc>
          <w:tcPr>
            <w:tcW w:w="854" w:type="dxa"/>
          </w:tcPr>
          <w:p w:rsidR="00865A74" w:rsidRDefault="004E0545" w:rsidP="00865A74">
            <w:pPr>
              <w:pStyle w:val="ListParagraph"/>
              <w:spacing w:line="360" w:lineRule="auto"/>
              <w:ind w:left="0"/>
              <w:jc w:val="both"/>
              <w:rPr>
                <w:b/>
                <w:color w:val="000000"/>
                <w:shd w:val="clear" w:color="auto" w:fill="FFFFFF"/>
              </w:rPr>
            </w:pPr>
            <w:r>
              <w:rPr>
                <w:b/>
                <w:color w:val="000000"/>
                <w:shd w:val="clear" w:color="auto" w:fill="FFFFFF"/>
              </w:rPr>
              <w:t>1</w:t>
            </w:r>
          </w:p>
        </w:tc>
        <w:tc>
          <w:tcPr>
            <w:tcW w:w="2215" w:type="dxa"/>
          </w:tcPr>
          <w:p w:rsidR="00865A74" w:rsidRPr="00865A74" w:rsidRDefault="004E0545" w:rsidP="00865A74">
            <w:pPr>
              <w:pStyle w:val="ListParagraph"/>
              <w:spacing w:line="360" w:lineRule="auto"/>
              <w:ind w:left="0"/>
              <w:jc w:val="both"/>
              <w:rPr>
                <w:color w:val="000000"/>
                <w:shd w:val="clear" w:color="auto" w:fill="FFFFFF"/>
              </w:rPr>
            </w:pPr>
            <w:r w:rsidRPr="00865A74">
              <w:rPr>
                <w:color w:val="000000"/>
                <w:shd w:val="clear" w:color="auto" w:fill="FFFFFF"/>
              </w:rPr>
              <w:t>USD</w:t>
            </w:r>
          </w:p>
        </w:tc>
        <w:tc>
          <w:tcPr>
            <w:tcW w:w="2160" w:type="dxa"/>
          </w:tcPr>
          <w:p w:rsidR="00865A74" w:rsidRDefault="004E0545" w:rsidP="00865A74">
            <w:pPr>
              <w:pStyle w:val="ListParagraph"/>
              <w:spacing w:line="360" w:lineRule="auto"/>
              <w:ind w:left="0"/>
              <w:jc w:val="right"/>
              <w:rPr>
                <w:b/>
                <w:color w:val="000000"/>
                <w:shd w:val="clear" w:color="auto" w:fill="FFFFFF"/>
              </w:rPr>
            </w:pPr>
            <w:r>
              <w:rPr>
                <w:b/>
                <w:color w:val="000000"/>
                <w:shd w:val="clear" w:color="auto" w:fill="FFFFFF"/>
              </w:rPr>
              <w:t>-</w:t>
            </w:r>
          </w:p>
        </w:tc>
        <w:tc>
          <w:tcPr>
            <w:tcW w:w="3280" w:type="dxa"/>
          </w:tcPr>
          <w:p w:rsidR="00865A74" w:rsidRPr="00865A74" w:rsidRDefault="004E0545" w:rsidP="00865A74">
            <w:pPr>
              <w:pStyle w:val="ListParagraph"/>
              <w:spacing w:line="360" w:lineRule="auto"/>
              <w:ind w:left="0"/>
              <w:jc w:val="right"/>
              <w:rPr>
                <w:color w:val="000000"/>
                <w:shd w:val="clear" w:color="auto" w:fill="FFFFFF"/>
              </w:rPr>
            </w:pPr>
            <w:r w:rsidRPr="00865A74">
              <w:rPr>
                <w:color w:val="000000"/>
                <w:shd w:val="clear" w:color="auto" w:fill="FFFFFF"/>
              </w:rPr>
              <w:t>30.1</w:t>
            </w:r>
          </w:p>
        </w:tc>
      </w:tr>
      <w:tr w:rsidR="00BA37FD" w:rsidTr="00865A74">
        <w:trPr>
          <w:trHeight w:val="362"/>
        </w:trPr>
        <w:tc>
          <w:tcPr>
            <w:tcW w:w="854" w:type="dxa"/>
          </w:tcPr>
          <w:p w:rsidR="00865A74" w:rsidRDefault="004E0545" w:rsidP="00865A74">
            <w:pPr>
              <w:pStyle w:val="ListParagraph"/>
              <w:spacing w:line="360" w:lineRule="auto"/>
              <w:ind w:left="0"/>
              <w:jc w:val="both"/>
              <w:rPr>
                <w:b/>
                <w:color w:val="000000"/>
                <w:shd w:val="clear" w:color="auto" w:fill="FFFFFF"/>
              </w:rPr>
            </w:pPr>
            <w:r>
              <w:rPr>
                <w:b/>
                <w:color w:val="000000"/>
                <w:shd w:val="clear" w:color="auto" w:fill="FFFFFF"/>
              </w:rPr>
              <w:t>2</w:t>
            </w:r>
          </w:p>
        </w:tc>
        <w:tc>
          <w:tcPr>
            <w:tcW w:w="2215" w:type="dxa"/>
          </w:tcPr>
          <w:p w:rsidR="00865A74" w:rsidRPr="00865A74" w:rsidRDefault="004E0545" w:rsidP="00865A74">
            <w:pPr>
              <w:pStyle w:val="ListParagraph"/>
              <w:spacing w:line="360" w:lineRule="auto"/>
              <w:ind w:left="0"/>
              <w:jc w:val="both"/>
              <w:rPr>
                <w:color w:val="000000"/>
                <w:shd w:val="clear" w:color="auto" w:fill="FFFFFF"/>
              </w:rPr>
            </w:pPr>
            <w:r w:rsidRPr="00865A74">
              <w:rPr>
                <w:color w:val="000000"/>
                <w:shd w:val="clear" w:color="auto" w:fill="FFFFFF"/>
              </w:rPr>
              <w:t>CLP</w:t>
            </w:r>
          </w:p>
        </w:tc>
        <w:tc>
          <w:tcPr>
            <w:tcW w:w="2160" w:type="dxa"/>
          </w:tcPr>
          <w:p w:rsidR="00865A74" w:rsidRPr="00865A74" w:rsidRDefault="004E0545" w:rsidP="00865A74">
            <w:pPr>
              <w:pStyle w:val="ListParagraph"/>
              <w:spacing w:line="360" w:lineRule="auto"/>
              <w:ind w:left="0"/>
              <w:jc w:val="right"/>
              <w:rPr>
                <w:color w:val="000000"/>
                <w:shd w:val="clear" w:color="auto" w:fill="FFFFFF"/>
              </w:rPr>
            </w:pPr>
            <w:r w:rsidRPr="00865A74">
              <w:rPr>
                <w:color w:val="000000"/>
                <w:shd w:val="clear" w:color="auto" w:fill="FFFFFF"/>
              </w:rPr>
              <w:t>(13.70)</w:t>
            </w:r>
          </w:p>
        </w:tc>
        <w:tc>
          <w:tcPr>
            <w:tcW w:w="3280" w:type="dxa"/>
          </w:tcPr>
          <w:p w:rsidR="00865A74" w:rsidRDefault="004E0545" w:rsidP="00865A74">
            <w:pPr>
              <w:pStyle w:val="ListParagraph"/>
              <w:spacing w:line="360" w:lineRule="auto"/>
              <w:ind w:left="0"/>
              <w:jc w:val="right"/>
              <w:rPr>
                <w:b/>
                <w:color w:val="000000"/>
                <w:shd w:val="clear" w:color="auto" w:fill="FFFFFF"/>
              </w:rPr>
            </w:pPr>
            <w:r>
              <w:rPr>
                <w:b/>
                <w:color w:val="000000"/>
                <w:shd w:val="clear" w:color="auto" w:fill="FFFFFF"/>
              </w:rPr>
              <w:t>-</w:t>
            </w:r>
          </w:p>
        </w:tc>
      </w:tr>
      <w:tr w:rsidR="00BA37FD" w:rsidTr="00865A74">
        <w:trPr>
          <w:trHeight w:val="369"/>
        </w:trPr>
        <w:tc>
          <w:tcPr>
            <w:tcW w:w="854" w:type="dxa"/>
          </w:tcPr>
          <w:p w:rsidR="00865A74" w:rsidRDefault="004E0545" w:rsidP="00865A74">
            <w:pPr>
              <w:pStyle w:val="ListParagraph"/>
              <w:spacing w:line="360" w:lineRule="auto"/>
              <w:ind w:left="0"/>
              <w:jc w:val="both"/>
              <w:rPr>
                <w:b/>
                <w:color w:val="000000"/>
                <w:shd w:val="clear" w:color="auto" w:fill="FFFFFF"/>
              </w:rPr>
            </w:pPr>
            <w:r>
              <w:rPr>
                <w:b/>
                <w:color w:val="000000"/>
                <w:shd w:val="clear" w:color="auto" w:fill="FFFFFF"/>
              </w:rPr>
              <w:t>3</w:t>
            </w:r>
          </w:p>
        </w:tc>
        <w:tc>
          <w:tcPr>
            <w:tcW w:w="2215" w:type="dxa"/>
          </w:tcPr>
          <w:p w:rsidR="00865A74" w:rsidRPr="00865A74" w:rsidRDefault="004E0545" w:rsidP="00865A74">
            <w:pPr>
              <w:pStyle w:val="ListParagraph"/>
              <w:spacing w:line="360" w:lineRule="auto"/>
              <w:ind w:left="0"/>
              <w:jc w:val="both"/>
              <w:rPr>
                <w:color w:val="000000"/>
                <w:shd w:val="clear" w:color="auto" w:fill="FFFFFF"/>
              </w:rPr>
            </w:pPr>
            <w:r w:rsidRPr="00865A74">
              <w:rPr>
                <w:color w:val="000000"/>
                <w:shd w:val="clear" w:color="auto" w:fill="FFFFFF"/>
              </w:rPr>
              <w:t>GBP</w:t>
            </w:r>
          </w:p>
        </w:tc>
        <w:tc>
          <w:tcPr>
            <w:tcW w:w="2160" w:type="dxa"/>
          </w:tcPr>
          <w:p w:rsidR="00865A74" w:rsidRPr="00865A74" w:rsidRDefault="004E0545" w:rsidP="00865A74">
            <w:pPr>
              <w:pStyle w:val="ListParagraph"/>
              <w:spacing w:line="360" w:lineRule="auto"/>
              <w:ind w:left="0"/>
              <w:jc w:val="right"/>
              <w:rPr>
                <w:color w:val="000000"/>
                <w:shd w:val="clear" w:color="auto" w:fill="FFFFFF"/>
              </w:rPr>
            </w:pPr>
            <w:r w:rsidRPr="00865A74">
              <w:rPr>
                <w:color w:val="000000"/>
                <w:shd w:val="clear" w:color="auto" w:fill="FFFFFF"/>
              </w:rPr>
              <w:t>(4.30)</w:t>
            </w:r>
          </w:p>
        </w:tc>
        <w:tc>
          <w:tcPr>
            <w:tcW w:w="3280" w:type="dxa"/>
          </w:tcPr>
          <w:p w:rsidR="00865A74" w:rsidRPr="00865A74" w:rsidRDefault="004E0545" w:rsidP="00865A74">
            <w:pPr>
              <w:pStyle w:val="ListParagraph"/>
              <w:spacing w:line="360" w:lineRule="auto"/>
              <w:ind w:left="0"/>
              <w:jc w:val="right"/>
              <w:rPr>
                <w:color w:val="000000"/>
                <w:shd w:val="clear" w:color="auto" w:fill="FFFFFF"/>
              </w:rPr>
            </w:pPr>
            <w:r w:rsidRPr="00865A74">
              <w:rPr>
                <w:color w:val="000000"/>
                <w:shd w:val="clear" w:color="auto" w:fill="FFFFFF"/>
              </w:rPr>
              <w:t>12.22</w:t>
            </w:r>
          </w:p>
        </w:tc>
      </w:tr>
      <w:tr w:rsidR="00BA37FD" w:rsidTr="00865A74">
        <w:trPr>
          <w:trHeight w:val="369"/>
        </w:trPr>
        <w:tc>
          <w:tcPr>
            <w:tcW w:w="854" w:type="dxa"/>
          </w:tcPr>
          <w:p w:rsidR="00865A74" w:rsidRDefault="004E0545" w:rsidP="00865A74">
            <w:pPr>
              <w:pStyle w:val="ListParagraph"/>
              <w:spacing w:line="360" w:lineRule="auto"/>
              <w:ind w:left="0"/>
              <w:jc w:val="both"/>
              <w:rPr>
                <w:b/>
                <w:color w:val="000000"/>
                <w:shd w:val="clear" w:color="auto" w:fill="FFFFFF"/>
              </w:rPr>
            </w:pPr>
            <w:r>
              <w:rPr>
                <w:b/>
                <w:color w:val="000000"/>
                <w:shd w:val="clear" w:color="auto" w:fill="FFFFFF"/>
              </w:rPr>
              <w:t>4</w:t>
            </w:r>
          </w:p>
        </w:tc>
        <w:tc>
          <w:tcPr>
            <w:tcW w:w="2215" w:type="dxa"/>
          </w:tcPr>
          <w:p w:rsidR="00865A74" w:rsidRPr="00865A74" w:rsidRDefault="004E0545" w:rsidP="00865A74">
            <w:pPr>
              <w:pStyle w:val="ListParagraph"/>
              <w:spacing w:line="360" w:lineRule="auto"/>
              <w:ind w:left="0"/>
              <w:jc w:val="both"/>
              <w:rPr>
                <w:color w:val="000000"/>
                <w:shd w:val="clear" w:color="auto" w:fill="FFFFFF"/>
              </w:rPr>
            </w:pPr>
            <w:r w:rsidRPr="00865A74">
              <w:rPr>
                <w:color w:val="000000"/>
                <w:shd w:val="clear" w:color="auto" w:fill="FFFFFF"/>
              </w:rPr>
              <w:t>MXN</w:t>
            </w:r>
          </w:p>
        </w:tc>
        <w:tc>
          <w:tcPr>
            <w:tcW w:w="2160" w:type="dxa"/>
          </w:tcPr>
          <w:p w:rsidR="00865A74" w:rsidRPr="00865A74" w:rsidRDefault="004E0545" w:rsidP="00865A74">
            <w:pPr>
              <w:pStyle w:val="ListParagraph"/>
              <w:spacing w:line="360" w:lineRule="auto"/>
              <w:ind w:left="0"/>
              <w:jc w:val="right"/>
              <w:rPr>
                <w:color w:val="000000"/>
                <w:shd w:val="clear" w:color="auto" w:fill="FFFFFF"/>
              </w:rPr>
            </w:pPr>
            <w:r w:rsidRPr="00865A74">
              <w:rPr>
                <w:color w:val="000000"/>
                <w:shd w:val="clear" w:color="auto" w:fill="FFFFFF"/>
              </w:rPr>
              <w:t>(16.30)</w:t>
            </w:r>
          </w:p>
        </w:tc>
        <w:tc>
          <w:tcPr>
            <w:tcW w:w="3280" w:type="dxa"/>
          </w:tcPr>
          <w:p w:rsidR="00865A74" w:rsidRDefault="004E0545" w:rsidP="00865A74">
            <w:pPr>
              <w:pStyle w:val="ListParagraph"/>
              <w:spacing w:line="360" w:lineRule="auto"/>
              <w:ind w:left="0"/>
              <w:jc w:val="right"/>
              <w:rPr>
                <w:b/>
                <w:color w:val="000000"/>
                <w:shd w:val="clear" w:color="auto" w:fill="FFFFFF"/>
              </w:rPr>
            </w:pPr>
            <w:r>
              <w:rPr>
                <w:b/>
                <w:color w:val="000000"/>
                <w:shd w:val="clear" w:color="auto" w:fill="FFFFFF"/>
              </w:rPr>
              <w:t>-</w:t>
            </w:r>
          </w:p>
        </w:tc>
      </w:tr>
      <w:tr w:rsidR="00BA37FD" w:rsidTr="00865A74">
        <w:trPr>
          <w:trHeight w:val="369"/>
        </w:trPr>
        <w:tc>
          <w:tcPr>
            <w:tcW w:w="854" w:type="dxa"/>
          </w:tcPr>
          <w:p w:rsidR="00865A74" w:rsidRDefault="004E0545" w:rsidP="00865A74">
            <w:pPr>
              <w:pStyle w:val="ListParagraph"/>
              <w:spacing w:line="360" w:lineRule="auto"/>
              <w:ind w:left="0"/>
              <w:jc w:val="both"/>
              <w:rPr>
                <w:b/>
                <w:color w:val="000000"/>
                <w:shd w:val="clear" w:color="auto" w:fill="FFFFFF"/>
              </w:rPr>
            </w:pPr>
            <w:r>
              <w:rPr>
                <w:b/>
                <w:color w:val="000000"/>
                <w:shd w:val="clear" w:color="auto" w:fill="FFFFFF"/>
              </w:rPr>
              <w:t>5</w:t>
            </w:r>
          </w:p>
        </w:tc>
        <w:tc>
          <w:tcPr>
            <w:tcW w:w="2215" w:type="dxa"/>
          </w:tcPr>
          <w:p w:rsidR="00865A74" w:rsidRPr="00865A74" w:rsidRDefault="004E0545" w:rsidP="00865A74">
            <w:pPr>
              <w:pStyle w:val="ListParagraph"/>
              <w:spacing w:line="360" w:lineRule="auto"/>
              <w:ind w:left="0"/>
              <w:jc w:val="both"/>
              <w:rPr>
                <w:color w:val="000000"/>
                <w:shd w:val="clear" w:color="auto" w:fill="FFFFFF"/>
              </w:rPr>
            </w:pPr>
            <w:r w:rsidRPr="00865A74">
              <w:rPr>
                <w:color w:val="000000"/>
                <w:shd w:val="clear" w:color="auto" w:fill="FFFFFF"/>
              </w:rPr>
              <w:t>BRL</w:t>
            </w:r>
          </w:p>
        </w:tc>
        <w:tc>
          <w:tcPr>
            <w:tcW w:w="2160" w:type="dxa"/>
          </w:tcPr>
          <w:p w:rsidR="00865A74" w:rsidRPr="00865A74" w:rsidRDefault="004E0545" w:rsidP="00865A74">
            <w:pPr>
              <w:pStyle w:val="ListParagraph"/>
              <w:spacing w:line="360" w:lineRule="auto"/>
              <w:ind w:left="0"/>
              <w:jc w:val="right"/>
              <w:rPr>
                <w:color w:val="000000"/>
                <w:shd w:val="clear" w:color="auto" w:fill="FFFFFF"/>
              </w:rPr>
            </w:pPr>
            <w:r w:rsidRPr="00865A74">
              <w:rPr>
                <w:color w:val="000000"/>
                <w:shd w:val="clear" w:color="auto" w:fill="FFFFFF"/>
              </w:rPr>
              <w:t>(68.50)</w:t>
            </w:r>
          </w:p>
        </w:tc>
        <w:tc>
          <w:tcPr>
            <w:tcW w:w="3280" w:type="dxa"/>
          </w:tcPr>
          <w:p w:rsidR="00865A74" w:rsidRDefault="004E0545" w:rsidP="00865A74">
            <w:pPr>
              <w:pStyle w:val="ListParagraph"/>
              <w:spacing w:line="360" w:lineRule="auto"/>
              <w:ind w:left="0"/>
              <w:jc w:val="right"/>
              <w:rPr>
                <w:b/>
                <w:color w:val="000000"/>
                <w:shd w:val="clear" w:color="auto" w:fill="FFFFFF"/>
              </w:rPr>
            </w:pPr>
            <w:r>
              <w:rPr>
                <w:b/>
                <w:color w:val="000000"/>
                <w:shd w:val="clear" w:color="auto" w:fill="FFFFFF"/>
              </w:rPr>
              <w:t>-</w:t>
            </w:r>
          </w:p>
        </w:tc>
      </w:tr>
    </w:tbl>
    <w:p w:rsidR="00865A74" w:rsidRPr="00865A74" w:rsidRDefault="00865A74" w:rsidP="00865A74">
      <w:pPr>
        <w:spacing w:line="360" w:lineRule="auto"/>
        <w:jc w:val="both"/>
        <w:rPr>
          <w:color w:val="000000"/>
          <w:shd w:val="clear" w:color="auto" w:fill="FFFFFF"/>
        </w:rPr>
      </w:pPr>
    </w:p>
    <w:p w:rsidR="00865A74" w:rsidRPr="00FC15D2" w:rsidRDefault="00FC15D2" w:rsidP="00BF4E5C">
      <w:pPr>
        <w:pStyle w:val="ListParagraph"/>
        <w:shd w:val="clear" w:color="auto" w:fill="FFFFFF"/>
        <w:spacing w:after="100" w:afterAutospacing="1"/>
        <w:ind w:left="360"/>
        <w:outlineLvl w:val="1"/>
        <w:rPr>
          <w:color w:val="000000"/>
        </w:rPr>
      </w:pPr>
      <w:r w:rsidRPr="00FC15D2">
        <w:rPr>
          <w:color w:val="000000"/>
        </w:rPr>
        <w:t>Source: (Santander Group, 2008)</w:t>
      </w:r>
    </w:p>
    <w:p w:rsidR="00FC15D2" w:rsidRDefault="00FC15D2" w:rsidP="00BF4E5C">
      <w:pPr>
        <w:pStyle w:val="ListParagraph"/>
        <w:spacing w:line="360" w:lineRule="auto"/>
        <w:ind w:left="360"/>
        <w:jc w:val="both"/>
        <w:rPr>
          <w:color w:val="000000"/>
          <w:shd w:val="clear" w:color="auto" w:fill="FFFFFF"/>
        </w:rPr>
      </w:pPr>
    </w:p>
    <w:p w:rsidR="00BF4E5C" w:rsidRPr="00865A74" w:rsidRDefault="004E0545" w:rsidP="00BF4E5C">
      <w:pPr>
        <w:pStyle w:val="ListParagraph"/>
        <w:spacing w:line="360" w:lineRule="auto"/>
        <w:ind w:left="360"/>
        <w:jc w:val="both"/>
        <w:rPr>
          <w:color w:val="000000"/>
          <w:shd w:val="clear" w:color="auto" w:fill="FFFFFF"/>
        </w:rPr>
      </w:pPr>
      <w:r>
        <w:rPr>
          <w:color w:val="000000"/>
          <w:shd w:val="clear" w:color="auto" w:fill="FFFFFF"/>
        </w:rPr>
        <w:t>Table :3 shows the pre-calculated impact on Santander's shareholder's equity as the result of a 1% increase in the euro exchange rate concerning each currency as of 31</w:t>
      </w:r>
      <w:r w:rsidRPr="00865A74">
        <w:rPr>
          <w:color w:val="000000"/>
          <w:shd w:val="clear" w:color="auto" w:fill="FFFFFF"/>
          <w:vertAlign w:val="superscript"/>
        </w:rPr>
        <w:t>st</w:t>
      </w:r>
      <w:r>
        <w:rPr>
          <w:color w:val="000000"/>
          <w:shd w:val="clear" w:color="auto" w:fill="FFFFFF"/>
        </w:rPr>
        <w:t xml:space="preserve"> December 2007. The table shows how the shareholder’s equity was negatively affected which means that the liabilities have exceeded the assets which could impact the banks’ earnings in the future, but, the consolidated results have managed to keep the risk at bay.</w:t>
      </w:r>
    </w:p>
    <w:p w:rsidR="00AE331F" w:rsidRDefault="00AE331F" w:rsidP="00FE4C0F">
      <w:pPr>
        <w:shd w:val="clear" w:color="auto" w:fill="FFFFFF"/>
        <w:spacing w:after="100" w:afterAutospacing="1"/>
        <w:outlineLvl w:val="1"/>
        <w:rPr>
          <w:b/>
          <w:color w:val="000000"/>
        </w:rPr>
      </w:pPr>
    </w:p>
    <w:p w:rsidR="00B358E1" w:rsidRDefault="00B358E1" w:rsidP="00FE4C0F">
      <w:pPr>
        <w:shd w:val="clear" w:color="auto" w:fill="FFFFFF"/>
        <w:spacing w:after="100" w:afterAutospacing="1"/>
        <w:outlineLvl w:val="1"/>
        <w:rPr>
          <w:b/>
          <w:color w:val="000000"/>
        </w:rPr>
      </w:pPr>
    </w:p>
    <w:p w:rsidR="00B358E1" w:rsidRPr="00B358E1" w:rsidRDefault="00B358E1" w:rsidP="00FE4C0F">
      <w:pPr>
        <w:shd w:val="clear" w:color="auto" w:fill="FFFFFF"/>
        <w:spacing w:after="100" w:afterAutospacing="1"/>
        <w:outlineLvl w:val="1"/>
        <w:rPr>
          <w:b/>
          <w:color w:val="000000"/>
        </w:rPr>
      </w:pPr>
    </w:p>
    <w:p w:rsidR="005A2276" w:rsidRDefault="005A2276" w:rsidP="00FE4C0F">
      <w:pPr>
        <w:shd w:val="clear" w:color="auto" w:fill="FFFFFF"/>
        <w:spacing w:after="100" w:afterAutospacing="1"/>
        <w:outlineLvl w:val="1"/>
        <w:rPr>
          <w:color w:val="000000"/>
          <w:sz w:val="36"/>
          <w:szCs w:val="36"/>
        </w:rPr>
      </w:pPr>
    </w:p>
    <w:p w:rsidR="005A2276" w:rsidRDefault="005A2276" w:rsidP="00FE4C0F">
      <w:pPr>
        <w:shd w:val="clear" w:color="auto" w:fill="FFFFFF"/>
        <w:spacing w:after="100" w:afterAutospacing="1"/>
        <w:outlineLvl w:val="1"/>
        <w:rPr>
          <w:color w:val="000000"/>
          <w:sz w:val="36"/>
          <w:szCs w:val="36"/>
        </w:rPr>
      </w:pPr>
    </w:p>
    <w:p w:rsidR="005A2276" w:rsidRDefault="005A2276" w:rsidP="00FE4C0F">
      <w:pPr>
        <w:shd w:val="clear" w:color="auto" w:fill="FFFFFF"/>
        <w:spacing w:after="100" w:afterAutospacing="1"/>
        <w:outlineLvl w:val="1"/>
        <w:rPr>
          <w:color w:val="000000"/>
          <w:sz w:val="36"/>
          <w:szCs w:val="36"/>
        </w:rPr>
      </w:pPr>
    </w:p>
    <w:p w:rsidR="00B358E1" w:rsidRDefault="00B358E1" w:rsidP="00FE4C0F">
      <w:pPr>
        <w:shd w:val="clear" w:color="auto" w:fill="FFFFFF"/>
        <w:spacing w:after="100" w:afterAutospacing="1"/>
        <w:outlineLvl w:val="1"/>
        <w:rPr>
          <w:color w:val="000000"/>
          <w:sz w:val="36"/>
          <w:szCs w:val="36"/>
        </w:rPr>
      </w:pPr>
    </w:p>
    <w:p w:rsidR="009C0B5E" w:rsidRDefault="009C0B5E" w:rsidP="00B358E1">
      <w:pPr>
        <w:shd w:val="clear" w:color="auto" w:fill="FFFFFF"/>
        <w:tabs>
          <w:tab w:val="left" w:pos="1301"/>
        </w:tabs>
        <w:spacing w:after="100" w:afterAutospacing="1"/>
        <w:outlineLvl w:val="1"/>
        <w:rPr>
          <w:color w:val="000000"/>
          <w:sz w:val="36"/>
          <w:szCs w:val="36"/>
        </w:rPr>
      </w:pPr>
    </w:p>
    <w:p w:rsidR="00391555" w:rsidRDefault="00391555" w:rsidP="00B358E1">
      <w:pPr>
        <w:shd w:val="clear" w:color="auto" w:fill="FFFFFF"/>
        <w:spacing w:after="100" w:afterAutospacing="1" w:line="360" w:lineRule="auto"/>
        <w:jc w:val="both"/>
        <w:outlineLvl w:val="1"/>
        <w:rPr>
          <w:rStyle w:val="Heading1Char"/>
        </w:rPr>
      </w:pPr>
      <w:bookmarkStart w:id="11" w:name="_Toc19822898"/>
    </w:p>
    <w:p w:rsidR="00391555" w:rsidRDefault="00391555" w:rsidP="00B358E1">
      <w:pPr>
        <w:shd w:val="clear" w:color="auto" w:fill="FFFFFF"/>
        <w:spacing w:after="100" w:afterAutospacing="1" w:line="360" w:lineRule="auto"/>
        <w:jc w:val="both"/>
        <w:outlineLvl w:val="1"/>
        <w:rPr>
          <w:rStyle w:val="Heading1Char"/>
        </w:rPr>
      </w:pPr>
    </w:p>
    <w:p w:rsidR="00B358E1" w:rsidRPr="00347821" w:rsidRDefault="004E0545" w:rsidP="00B358E1">
      <w:pPr>
        <w:shd w:val="clear" w:color="auto" w:fill="FFFFFF"/>
        <w:spacing w:after="100" w:afterAutospacing="1" w:line="360" w:lineRule="auto"/>
        <w:jc w:val="both"/>
        <w:outlineLvl w:val="1"/>
        <w:rPr>
          <w:rStyle w:val="Heading1Char"/>
        </w:rPr>
      </w:pPr>
      <w:r w:rsidRPr="00347821">
        <w:rPr>
          <w:rStyle w:val="Heading1Char"/>
        </w:rPr>
        <w:lastRenderedPageBreak/>
        <w:t>Investigating the structural and design choices made by Banco Santander in its internationalisation strategy</w:t>
      </w:r>
      <w:bookmarkEnd w:id="11"/>
    </w:p>
    <w:p w:rsidR="00865A74" w:rsidRDefault="004E0545" w:rsidP="00B85770">
      <w:pPr>
        <w:spacing w:line="360" w:lineRule="auto"/>
        <w:jc w:val="both"/>
      </w:pPr>
      <w:r>
        <w:t xml:space="preserve">Internationalisation can cause reorganized structural and design changes of a firm and these are complex than it sounds. When a company moves to a foreign market it is essential to rethink their organisational structures because these could highly impact their success in the new market conditions. </w:t>
      </w:r>
      <w:r w:rsidRPr="00865A74">
        <w:t>A scheme that defines how certain operations</w:t>
      </w:r>
      <w:r>
        <w:t xml:space="preserve"> (such as regulations, roles and duties)</w:t>
      </w:r>
      <w:r w:rsidRPr="00865A74">
        <w:t xml:space="preserve"> are conducted to attain an organisation's objectives is</w:t>
      </w:r>
      <w:r>
        <w:t xml:space="preserve"> termed as</w:t>
      </w:r>
      <w:r w:rsidRPr="00865A74">
        <w:t xml:space="preserve"> an organizational structure</w:t>
      </w:r>
      <w:r>
        <w:t xml:space="preserve">, whereas, organisational design is a methodology that is used for analysing and evaluating the defective components of a firms workflow, processes and techniques including its organisational structure with the purpose of readjusting the operations to suit the </w:t>
      </w:r>
      <w:r w:rsidR="009242B3">
        <w:t xml:space="preserve">set  </w:t>
      </w:r>
      <w:r>
        <w:t xml:space="preserve">business objectives </w:t>
      </w:r>
      <w:r w:rsidR="0009618D" w:rsidRPr="0009618D">
        <w:t>(Bernus and Nemes 1999</w:t>
      </w:r>
      <w:r w:rsidR="0009618D">
        <w:t xml:space="preserve">, </w:t>
      </w:r>
      <w:r w:rsidR="0009618D" w:rsidRPr="0009618D">
        <w:t>Ashton, 2004)</w:t>
      </w:r>
      <w:r>
        <w:t>.  Organisational design is an unending process since both internal and external environments always change and include uncertainties</w:t>
      </w:r>
      <w:r w:rsidR="0009618D">
        <w:t xml:space="preserve"> (</w:t>
      </w:r>
      <w:proofErr w:type="spellStart"/>
      <w:r w:rsidR="0009618D" w:rsidRPr="0009618D">
        <w:t>Bernus</w:t>
      </w:r>
      <w:proofErr w:type="spellEnd"/>
      <w:r w:rsidR="0009618D" w:rsidRPr="0009618D">
        <w:t xml:space="preserve"> and </w:t>
      </w:r>
      <w:proofErr w:type="spellStart"/>
      <w:r w:rsidR="0009618D" w:rsidRPr="0009618D">
        <w:t>Nemes</w:t>
      </w:r>
      <w:proofErr w:type="spellEnd"/>
      <w:r w:rsidR="0009618D">
        <w:t>,</w:t>
      </w:r>
      <w:r w:rsidR="0009618D" w:rsidRPr="0009618D">
        <w:t xml:space="preserve"> 1999</w:t>
      </w:r>
      <w:r w:rsidR="0009618D">
        <w:t>)</w:t>
      </w:r>
      <w:r>
        <w:t>.</w:t>
      </w:r>
    </w:p>
    <w:p w:rsidR="00FC15D2" w:rsidRDefault="00FC15D2" w:rsidP="00B85770">
      <w:pPr>
        <w:spacing w:line="360" w:lineRule="auto"/>
        <w:jc w:val="both"/>
      </w:pPr>
    </w:p>
    <w:p w:rsidR="009242B3" w:rsidRDefault="004E0545" w:rsidP="00E3321E">
      <w:pPr>
        <w:spacing w:line="360" w:lineRule="auto"/>
        <w:jc w:val="both"/>
      </w:pPr>
      <w:r>
        <w:t xml:space="preserve">The internationalisation design of Santander Bank involves a methodical approach to business expansion that involved four main steps. Firstly, consistency in identifying retail banking services as the key business objective of the Bank. Secondly, increasing its growth strategy which recognizes the necessity to learn fresh markets. Thirdly, following a disciplined acquisition process that involved a methodical identification, assessments and preparation of bids </w:t>
      </w:r>
      <w:r w:rsidRPr="009242B3">
        <w:t>(Parada, Alemany and Planellas, 2007)</w:t>
      </w:r>
      <w:r>
        <w:t xml:space="preserve">. Lastly, creating an efficient integration after the acquisition rooted in a clearly defined </w:t>
      </w:r>
      <w:r w:rsidRPr="009242B3">
        <w:t xml:space="preserve">comprehension of the underlying capacities of </w:t>
      </w:r>
      <w:r>
        <w:t>its</w:t>
      </w:r>
      <w:r w:rsidRPr="009242B3">
        <w:t xml:space="preserve"> </w:t>
      </w:r>
      <w:r>
        <w:t>bank group</w:t>
      </w:r>
      <w:r w:rsidRPr="009242B3">
        <w:rPr>
          <w:rFonts w:ascii="Arial" w:hAnsi="Arial" w:cs="Arial"/>
          <w:color w:val="000000"/>
          <w:sz w:val="20"/>
          <w:szCs w:val="20"/>
          <w:shd w:val="clear" w:color="auto" w:fill="FFFFFF"/>
        </w:rPr>
        <w:t xml:space="preserve"> </w:t>
      </w:r>
      <w:r w:rsidRPr="009242B3">
        <w:t>(</w:t>
      </w:r>
      <w:proofErr w:type="spellStart"/>
      <w:r w:rsidRPr="009242B3">
        <w:t>Xifra</w:t>
      </w:r>
      <w:proofErr w:type="spellEnd"/>
      <w:r w:rsidRPr="009242B3">
        <w:t xml:space="preserve"> and </w:t>
      </w:r>
      <w:proofErr w:type="spellStart"/>
      <w:r w:rsidRPr="009242B3">
        <w:t>Ordeix</w:t>
      </w:r>
      <w:proofErr w:type="spellEnd"/>
      <w:r w:rsidRPr="009242B3">
        <w:t>, 2009).</w:t>
      </w:r>
    </w:p>
    <w:p w:rsidR="00FC15D2" w:rsidRDefault="00FC15D2" w:rsidP="00E3321E">
      <w:pPr>
        <w:spacing w:line="360" w:lineRule="auto"/>
        <w:jc w:val="both"/>
      </w:pPr>
    </w:p>
    <w:p w:rsidR="009242B3" w:rsidRPr="00FE6B90" w:rsidRDefault="004E0545" w:rsidP="00C2506A">
      <w:pPr>
        <w:spacing w:line="360" w:lineRule="auto"/>
        <w:jc w:val="both"/>
        <w:rPr>
          <w:highlight w:val="yellow"/>
        </w:rPr>
      </w:pPr>
      <w:r>
        <w:rPr>
          <w:color w:val="000000" w:themeColor="text1"/>
        </w:rPr>
        <w:t xml:space="preserve">Based on the organisational structure, </w:t>
      </w:r>
      <w:r>
        <w:t xml:space="preserve">a </w:t>
      </w:r>
      <w:r w:rsidRPr="009242B3">
        <w:t xml:space="preserve">clear leadership company model consisting of powerful key control over certain tasks (risk management, IT and company management), with significant local adjustment in advertising and sales, </w:t>
      </w:r>
      <w:r w:rsidR="005A5DA3">
        <w:t xml:space="preserve">was </w:t>
      </w:r>
      <w:r w:rsidRPr="009242B3">
        <w:t xml:space="preserve">essential to Santander's internationalization policy. </w:t>
      </w:r>
      <w:r>
        <w:t>Santander structured its back-office following a more centralised structure which made it more internationally focused. However, it's brand management's front office followed a multi-locally</w:t>
      </w:r>
      <w:r w:rsidR="005A5DA3">
        <w:t xml:space="preserve"> </w:t>
      </w:r>
      <w:r>
        <w:t>responsible structure</w:t>
      </w:r>
      <w:r w:rsidR="005A5DA3">
        <w:t xml:space="preserve"> (decentralised hierarchy) </w:t>
      </w:r>
      <w:r>
        <w:t>where full responsibility is delegated to the local managers who have to report about the mid-term business plan activities and results. Such a structural strategy gave Santander t</w:t>
      </w:r>
      <w:r w:rsidRPr="009242B3">
        <w:t>he capacity to reconcile ambitious development targets and entrepreneurial initiatives with efficient operational leadership and rigid control over loan danger</w:t>
      </w:r>
      <w:r>
        <w:t xml:space="preserve">. </w:t>
      </w:r>
      <w:r w:rsidR="00E92C72" w:rsidRPr="00E92C72">
        <w:t xml:space="preserve">Alfredo </w:t>
      </w:r>
      <w:proofErr w:type="spellStart"/>
      <w:r w:rsidR="00E92C72" w:rsidRPr="00E92C72">
        <w:t>Sáenz</w:t>
      </w:r>
      <w:proofErr w:type="spellEnd"/>
      <w:r w:rsidR="00E92C72" w:rsidRPr="00E92C72">
        <w:t xml:space="preserve"> (former Santander CEO) argues that international techniques must be applied, as long as they are more effective </w:t>
      </w:r>
      <w:r w:rsidR="00E92C72" w:rsidRPr="00E92C72">
        <w:lastRenderedPageBreak/>
        <w:t>than the local model, by always settling on the local market while using worldwide administration as the local layer.</w:t>
      </w:r>
      <w:r w:rsidR="00E92C72" w:rsidRPr="00E92C72">
        <w:t xml:space="preserve"> </w:t>
      </w:r>
      <w:r w:rsidR="005A5DA3" w:rsidRPr="009242B3">
        <w:rPr>
          <w:color w:val="000000" w:themeColor="text1"/>
        </w:rPr>
        <w:t>(</w:t>
      </w:r>
      <w:proofErr w:type="spellStart"/>
      <w:r w:rsidR="005A5DA3" w:rsidRPr="009242B3">
        <w:rPr>
          <w:color w:val="000000" w:themeColor="text1"/>
        </w:rPr>
        <w:t>Parada</w:t>
      </w:r>
      <w:proofErr w:type="spellEnd"/>
      <w:r w:rsidR="005A5DA3" w:rsidRPr="009242B3">
        <w:rPr>
          <w:color w:val="000000" w:themeColor="text1"/>
        </w:rPr>
        <w:t>, Alemany and Planellas, 2007</w:t>
      </w:r>
      <w:r w:rsidR="005A5DA3">
        <w:rPr>
          <w:color w:val="000000" w:themeColor="text1"/>
        </w:rPr>
        <w:t>)</w:t>
      </w:r>
      <w:r>
        <w:t>. This structure seemed effective because ever s</w:t>
      </w:r>
      <w:r w:rsidRPr="009242B3">
        <w:t>ince</w:t>
      </w:r>
      <w:r>
        <w:t xml:space="preserve"> </w:t>
      </w:r>
      <w:r w:rsidRPr="009242B3">
        <w:t>Alfredo Sáenz</w:t>
      </w:r>
      <w:r>
        <w:t xml:space="preserve"> </w:t>
      </w:r>
      <w:r w:rsidRPr="009242B3">
        <w:t>took over as its CEO in 2002, Santander</w:t>
      </w:r>
      <w:r w:rsidR="000D536D">
        <w:t xml:space="preserve"> Group</w:t>
      </w:r>
      <w:r w:rsidRPr="009242B3">
        <w:t xml:space="preserve"> ha</w:t>
      </w:r>
      <w:r>
        <w:t>d</w:t>
      </w:r>
      <w:r w:rsidRPr="009242B3">
        <w:t xml:space="preserve"> multiplied its size by purchasing Abbey National, Alliance &amp; Leicester and much of Bradford &amp; Bingley, renaming it Santander</w:t>
      </w:r>
      <w:r>
        <w:t xml:space="preserve"> </w:t>
      </w:r>
      <w:r w:rsidRPr="00FE6B90">
        <w:rPr>
          <w:shd w:val="clear" w:color="auto" w:fill="FFFFFF" w:themeFill="background1"/>
        </w:rPr>
        <w:t>(</w:t>
      </w:r>
      <w:r w:rsidR="00FE6B90" w:rsidRPr="00FE6B90">
        <w:rPr>
          <w:shd w:val="clear" w:color="auto" w:fill="FFFFFF" w:themeFill="background1"/>
        </w:rPr>
        <w:t>Tremlett and Treanor, 2013</w:t>
      </w:r>
      <w:r w:rsidRPr="00FE6B90">
        <w:rPr>
          <w:shd w:val="clear" w:color="auto" w:fill="FFFFFF" w:themeFill="background1"/>
        </w:rPr>
        <w:t>).</w:t>
      </w:r>
      <w:r w:rsidR="005A5DA3">
        <w:t xml:space="preserve"> The most analytical component in constructing Santander’s business model was to ensure effectual communication and cooperation between the parent company and its subsidiaries. The development of Santander laid solely on its top-level management team with the power to decide on acquisitions, whereas the implementation of the decisions laid solely on operations team with backing and assurance from its </w:t>
      </w:r>
      <w:r w:rsidR="00AA7CB8">
        <w:t xml:space="preserve">parent company </w:t>
      </w:r>
      <w:r w:rsidR="005A5DA3">
        <w:t>(Castro, 2008).</w:t>
      </w:r>
      <w:r w:rsidR="009C35B4">
        <w:t xml:space="preserve"> See Figure 3 for Santander's structural business model: </w:t>
      </w:r>
    </w:p>
    <w:p w:rsidR="009C35B4" w:rsidRPr="00420FDB" w:rsidRDefault="00420FDB" w:rsidP="00420FDB">
      <w:pPr>
        <w:pStyle w:val="Caption"/>
        <w:rPr>
          <w:b/>
          <w:i w:val="0"/>
          <w:color w:val="000000" w:themeColor="text1"/>
          <w:sz w:val="24"/>
          <w:szCs w:val="24"/>
        </w:rPr>
      </w:pPr>
      <w:bookmarkStart w:id="12" w:name="_Toc19823392"/>
      <w:r w:rsidRPr="00420FDB">
        <w:rPr>
          <w:b/>
          <w:i w:val="0"/>
          <w:color w:val="000000" w:themeColor="text1"/>
          <w:sz w:val="24"/>
          <w:szCs w:val="24"/>
        </w:rPr>
        <w:t xml:space="preserve">Figure </w:t>
      </w:r>
      <w:r w:rsidRPr="00420FDB">
        <w:rPr>
          <w:b/>
          <w:i w:val="0"/>
          <w:color w:val="000000" w:themeColor="text1"/>
          <w:sz w:val="24"/>
          <w:szCs w:val="24"/>
        </w:rPr>
        <w:fldChar w:fldCharType="begin"/>
      </w:r>
      <w:r w:rsidRPr="00420FDB">
        <w:rPr>
          <w:b/>
          <w:i w:val="0"/>
          <w:color w:val="000000" w:themeColor="text1"/>
          <w:sz w:val="24"/>
          <w:szCs w:val="24"/>
        </w:rPr>
        <w:instrText xml:space="preserve"> SEQ Figure \* ARABIC </w:instrText>
      </w:r>
      <w:r w:rsidRPr="00420FDB">
        <w:rPr>
          <w:b/>
          <w:i w:val="0"/>
          <w:color w:val="000000" w:themeColor="text1"/>
          <w:sz w:val="24"/>
          <w:szCs w:val="24"/>
        </w:rPr>
        <w:fldChar w:fldCharType="separate"/>
      </w:r>
      <w:r>
        <w:rPr>
          <w:b/>
          <w:i w:val="0"/>
          <w:noProof/>
          <w:color w:val="000000" w:themeColor="text1"/>
          <w:sz w:val="24"/>
          <w:szCs w:val="24"/>
        </w:rPr>
        <w:t>3</w:t>
      </w:r>
      <w:r w:rsidRPr="00420FDB">
        <w:rPr>
          <w:b/>
          <w:i w:val="0"/>
          <w:color w:val="000000" w:themeColor="text1"/>
          <w:sz w:val="24"/>
          <w:szCs w:val="24"/>
        </w:rPr>
        <w:fldChar w:fldCharType="end"/>
      </w:r>
      <w:r w:rsidR="004E0545" w:rsidRPr="00420FDB">
        <w:rPr>
          <w:b/>
          <w:i w:val="0"/>
          <w:color w:val="000000" w:themeColor="text1"/>
          <w:sz w:val="24"/>
          <w:szCs w:val="24"/>
        </w:rPr>
        <w:t xml:space="preserve"> The Santander Business Model</w:t>
      </w:r>
      <w:r w:rsidR="00FE6B90" w:rsidRPr="00420FDB">
        <w:rPr>
          <w:b/>
          <w:i w:val="0"/>
          <w:color w:val="000000" w:themeColor="text1"/>
          <w:sz w:val="24"/>
          <w:szCs w:val="24"/>
        </w:rPr>
        <w:t xml:space="preserve"> (Structure and Design)</w:t>
      </w:r>
      <w:bookmarkEnd w:id="12"/>
    </w:p>
    <w:p w:rsidR="009C35B4" w:rsidRPr="00FE6B90" w:rsidRDefault="004E0545" w:rsidP="00C80D8C">
      <w:pPr>
        <w:spacing w:line="360" w:lineRule="auto"/>
        <w:jc w:val="both"/>
      </w:pPr>
      <w:r>
        <w:rPr>
          <w:noProof/>
        </w:rPr>
        <w:drawing>
          <wp:inline distT="0" distB="0" distL="0" distR="0">
            <wp:extent cx="5727700" cy="29470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901381" name="Screenshot 2019-09-19 at 19.32.3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947035"/>
                    </a:xfrm>
                    <a:prstGeom prst="rect">
                      <a:avLst/>
                    </a:prstGeom>
                  </pic:spPr>
                </pic:pic>
              </a:graphicData>
            </a:graphic>
          </wp:inline>
        </w:drawing>
      </w:r>
    </w:p>
    <w:p w:rsidR="009C35B4" w:rsidRDefault="004E0545" w:rsidP="00C80D8C">
      <w:pPr>
        <w:spacing w:line="360" w:lineRule="auto"/>
        <w:jc w:val="both"/>
      </w:pPr>
      <w:r>
        <w:t>Source: (Santander</w:t>
      </w:r>
      <w:r w:rsidR="00FC15D2">
        <w:t xml:space="preserve"> Group</w:t>
      </w:r>
      <w:r>
        <w:t>, 2004)</w:t>
      </w:r>
    </w:p>
    <w:p w:rsidR="005A5DA3" w:rsidRDefault="004E0545" w:rsidP="00C80D8C">
      <w:pPr>
        <w:spacing w:line="360" w:lineRule="auto"/>
        <w:jc w:val="both"/>
        <w:rPr>
          <w:color w:val="000000" w:themeColor="text1"/>
        </w:rPr>
      </w:pPr>
      <w:r>
        <w:t>It is essential to note that</w:t>
      </w:r>
      <w:r w:rsidR="00AA7CB8">
        <w:t>,</w:t>
      </w:r>
      <w:r>
        <w:t xml:space="preserve"> </w:t>
      </w:r>
      <w:r w:rsidRPr="005A5DA3">
        <w:t xml:space="preserve">Banco Santander integrates extremely centralized back-office systems in its </w:t>
      </w:r>
      <w:r>
        <w:t xml:space="preserve">acquired </w:t>
      </w:r>
      <w:r w:rsidRPr="005A5DA3">
        <w:t xml:space="preserve">banks, but its headquarters are extremely decentralized with local executives attracting the new customers and developing trade relations. </w:t>
      </w:r>
      <w:r w:rsidR="0093361C" w:rsidRPr="0093361C">
        <w:t xml:space="preserve">The </w:t>
      </w:r>
      <w:bookmarkStart w:id="13" w:name="_GoBack"/>
      <w:bookmarkEnd w:id="13"/>
      <w:r w:rsidR="0093361C" w:rsidRPr="0093361C">
        <w:t>equilibrium</w:t>
      </w:r>
      <w:r w:rsidR="0093361C" w:rsidRPr="0093361C">
        <w:t xml:space="preserve"> of conventional back office systems, centralized loan control and decentralized client services and company and advertising is adjusted to the local market conditions and development of local banks in Santander.</w:t>
      </w:r>
      <w:r w:rsidR="0093361C" w:rsidRPr="0093361C">
        <w:t xml:space="preserve"> </w:t>
      </w:r>
      <w:r>
        <w:t>(Castro 2008; Santander</w:t>
      </w:r>
      <w:r w:rsidR="00FC15D2">
        <w:t xml:space="preserve"> Group</w:t>
      </w:r>
      <w:r>
        <w:t xml:space="preserve"> 2008; </w:t>
      </w:r>
      <w:proofErr w:type="spellStart"/>
      <w:r w:rsidRPr="005F03E7">
        <w:t>Parada</w:t>
      </w:r>
      <w:proofErr w:type="spellEnd"/>
      <w:r w:rsidRPr="005F03E7">
        <w:t xml:space="preserve"> et al. 2009</w:t>
      </w:r>
      <w:r>
        <w:t xml:space="preserve">). </w:t>
      </w:r>
      <w:r w:rsidRPr="005A5DA3">
        <w:t xml:space="preserve">Santander has, therefore, followed a closely assessed </w:t>
      </w:r>
      <w:r>
        <w:t xml:space="preserve">symmetry </w:t>
      </w:r>
      <w:r w:rsidRPr="005A5DA3">
        <w:t>in its branding approach</w:t>
      </w:r>
      <w:r>
        <w:t>.</w:t>
      </w:r>
      <w:r w:rsidRPr="005A5DA3">
        <w:t xml:space="preserve"> </w:t>
      </w:r>
      <w:r>
        <w:t>T</w:t>
      </w:r>
      <w:r w:rsidRPr="005A5DA3">
        <w:t>he stronger the brand is, the slower it conver</w:t>
      </w:r>
      <w:r>
        <w:t>ted</w:t>
      </w:r>
      <w:r w:rsidRPr="005A5DA3">
        <w:t xml:space="preserve"> to the Santander brand</w:t>
      </w:r>
      <w:r>
        <w:t>. F</w:t>
      </w:r>
      <w:r w:rsidRPr="005A5DA3">
        <w:t xml:space="preserve">or example, in Latin America, this method </w:t>
      </w:r>
      <w:r>
        <w:t xml:space="preserve">moved quicker because of </w:t>
      </w:r>
      <w:r w:rsidRPr="005A5DA3">
        <w:t>Santander</w:t>
      </w:r>
      <w:r>
        <w:t>’s</w:t>
      </w:r>
      <w:r w:rsidRPr="005A5DA3">
        <w:t xml:space="preserve"> dominant brand </w:t>
      </w:r>
      <w:r>
        <w:t>establishment in countries like Puerto Rico, Colombia and Uruguay (</w:t>
      </w:r>
      <w:r w:rsidRPr="005F03E7">
        <w:t>Parada et al. 2009</w:t>
      </w:r>
      <w:r>
        <w:t xml:space="preserve">). However, in unsteady political </w:t>
      </w:r>
      <w:r>
        <w:lastRenderedPageBreak/>
        <w:t xml:space="preserve">environment countries such as Argentina, Venezuela, etc its promotion strategy involved focusing on the native brand while using its banks colour and symbol, therefore, rebranding its subsidiaries as Banco Rio and Banco de Venezuela, </w:t>
      </w:r>
      <w:r w:rsidRPr="009242B3">
        <w:rPr>
          <w:color w:val="000000" w:themeColor="text1"/>
        </w:rPr>
        <w:t>(</w:t>
      </w:r>
      <w:proofErr w:type="spellStart"/>
      <w:r w:rsidRPr="009242B3">
        <w:rPr>
          <w:color w:val="000000" w:themeColor="text1"/>
        </w:rPr>
        <w:t>Parada</w:t>
      </w:r>
      <w:proofErr w:type="spellEnd"/>
      <w:r w:rsidRPr="009242B3">
        <w:rPr>
          <w:color w:val="000000" w:themeColor="text1"/>
        </w:rPr>
        <w:t xml:space="preserve">, </w:t>
      </w:r>
      <w:proofErr w:type="spellStart"/>
      <w:r w:rsidRPr="009242B3">
        <w:rPr>
          <w:color w:val="000000" w:themeColor="text1"/>
        </w:rPr>
        <w:t>Alemany</w:t>
      </w:r>
      <w:proofErr w:type="spellEnd"/>
      <w:r w:rsidRPr="009242B3">
        <w:rPr>
          <w:color w:val="000000" w:themeColor="text1"/>
        </w:rPr>
        <w:t xml:space="preserve"> and </w:t>
      </w:r>
      <w:proofErr w:type="spellStart"/>
      <w:r w:rsidRPr="009242B3">
        <w:rPr>
          <w:color w:val="000000" w:themeColor="text1"/>
        </w:rPr>
        <w:t>Planellas</w:t>
      </w:r>
      <w:proofErr w:type="spellEnd"/>
      <w:r w:rsidRPr="009242B3">
        <w:rPr>
          <w:color w:val="000000" w:themeColor="text1"/>
        </w:rPr>
        <w:t>, 2007</w:t>
      </w:r>
      <w:r>
        <w:rPr>
          <w:color w:val="000000" w:themeColor="text1"/>
        </w:rPr>
        <w:t xml:space="preserve">, </w:t>
      </w:r>
      <w:r w:rsidRPr="005A5DA3">
        <w:rPr>
          <w:color w:val="000000" w:themeColor="text1"/>
        </w:rPr>
        <w:t>Xifra and Ordeix, 2009</w:t>
      </w:r>
      <w:r>
        <w:rPr>
          <w:color w:val="000000" w:themeColor="text1"/>
        </w:rPr>
        <w:t>)</w:t>
      </w:r>
      <w:r>
        <w:t xml:space="preserve">. </w:t>
      </w:r>
      <w:r>
        <w:rPr>
          <w:color w:val="000000" w:themeColor="text1"/>
        </w:rPr>
        <w:t xml:space="preserve">In countries like Mexico, Brazil, Chile, and the Uk Santander combined its own home market brand along with the subsidiaries local brand name, therefore, forming Santander Serfin, Santander Banespa, Santander Santiago and Abbey Part of the Santander respectively </w:t>
      </w:r>
      <w:r w:rsidRPr="005A5DA3">
        <w:rPr>
          <w:color w:val="000000" w:themeColor="text1"/>
        </w:rPr>
        <w:t>(Nohria and Ghoshal</w:t>
      </w:r>
      <w:r>
        <w:rPr>
          <w:color w:val="000000" w:themeColor="text1"/>
        </w:rPr>
        <w:t xml:space="preserve"> </w:t>
      </w:r>
      <w:r w:rsidRPr="005A5DA3">
        <w:rPr>
          <w:color w:val="000000" w:themeColor="text1"/>
        </w:rPr>
        <w:t>1994</w:t>
      </w:r>
      <w:r>
        <w:rPr>
          <w:color w:val="000000" w:themeColor="text1"/>
        </w:rPr>
        <w:t>,</w:t>
      </w:r>
      <w:r w:rsidR="00AA7CB8" w:rsidRPr="00AA7CB8">
        <w:rPr>
          <w:rFonts w:ascii="Arial" w:hAnsi="Arial" w:cs="Arial"/>
          <w:color w:val="000000"/>
          <w:sz w:val="20"/>
          <w:szCs w:val="20"/>
          <w:shd w:val="clear" w:color="auto" w:fill="FFFFFF"/>
        </w:rPr>
        <w:t xml:space="preserve"> </w:t>
      </w:r>
      <w:r w:rsidR="00AA7CB8" w:rsidRPr="00AA7CB8">
        <w:rPr>
          <w:color w:val="000000" w:themeColor="text1"/>
        </w:rPr>
        <w:t>Filardi, Barros and Fischmann, 2018</w:t>
      </w:r>
      <w:r w:rsidRPr="005A5DA3">
        <w:rPr>
          <w:color w:val="000000" w:themeColor="text1"/>
        </w:rPr>
        <w:t>)</w:t>
      </w:r>
      <w:r>
        <w:rPr>
          <w:color w:val="000000" w:themeColor="text1"/>
        </w:rPr>
        <w:t>.</w:t>
      </w:r>
      <w:r w:rsidR="009C35B4">
        <w:rPr>
          <w:color w:val="000000" w:themeColor="text1"/>
        </w:rPr>
        <w:t xml:space="preserve"> </w:t>
      </w:r>
    </w:p>
    <w:p w:rsidR="00FC15D2" w:rsidRDefault="00FC15D2" w:rsidP="00C80D8C">
      <w:pPr>
        <w:spacing w:line="360" w:lineRule="auto"/>
        <w:jc w:val="both"/>
        <w:rPr>
          <w:color w:val="000000" w:themeColor="text1"/>
        </w:rPr>
      </w:pPr>
    </w:p>
    <w:p w:rsidR="00AA7CB8" w:rsidRDefault="004E0545" w:rsidP="00C80D8C">
      <w:pPr>
        <w:spacing w:line="360" w:lineRule="auto"/>
        <w:jc w:val="both"/>
        <w:rPr>
          <w:color w:val="000000" w:themeColor="text1"/>
        </w:rPr>
      </w:pPr>
      <w:r>
        <w:rPr>
          <w:color w:val="000000" w:themeColor="text1"/>
        </w:rPr>
        <w:t xml:space="preserve">Nevertheless, one of the biggest challenges faced by Santander was its restructuring of ABN AMBRO (Dutch bank). </w:t>
      </w:r>
      <w:r w:rsidRPr="00AA7CB8">
        <w:rPr>
          <w:color w:val="000000" w:themeColor="text1"/>
        </w:rPr>
        <w:t xml:space="preserve">The restructuring plan </w:t>
      </w:r>
      <w:r>
        <w:rPr>
          <w:color w:val="000000" w:themeColor="text1"/>
        </w:rPr>
        <w:t xml:space="preserve">that Santander put in place </w:t>
      </w:r>
      <w:r w:rsidRPr="00AA7CB8">
        <w:rPr>
          <w:color w:val="000000" w:themeColor="text1"/>
        </w:rPr>
        <w:t xml:space="preserve">for the separation and integration of ABN AMRO into the Group’s businesses and operations </w:t>
      </w:r>
      <w:r>
        <w:rPr>
          <w:color w:val="000000" w:themeColor="text1"/>
        </w:rPr>
        <w:t>proved to be</w:t>
      </w:r>
      <w:r w:rsidRPr="00AA7CB8">
        <w:rPr>
          <w:color w:val="000000" w:themeColor="text1"/>
        </w:rPr>
        <w:t xml:space="preserve"> complex and require</w:t>
      </w:r>
      <w:r>
        <w:rPr>
          <w:color w:val="000000" w:themeColor="text1"/>
        </w:rPr>
        <w:t>d</w:t>
      </w:r>
      <w:r w:rsidRPr="00AA7CB8">
        <w:rPr>
          <w:color w:val="000000" w:themeColor="text1"/>
        </w:rPr>
        <w:t xml:space="preserve"> a considerable reorganization of the operations and legal structure of ABN AMRO</w:t>
      </w:r>
      <w:r>
        <w:rPr>
          <w:color w:val="000000" w:themeColor="text1"/>
        </w:rPr>
        <w:t xml:space="preserve"> (Grupo Santander, 2008)</w:t>
      </w:r>
      <w:r w:rsidRPr="00AA7CB8">
        <w:rPr>
          <w:color w:val="000000" w:themeColor="text1"/>
        </w:rPr>
        <w:t xml:space="preserve">. </w:t>
      </w:r>
      <w:r>
        <w:rPr>
          <w:color w:val="000000" w:themeColor="text1"/>
        </w:rPr>
        <w:t>Therefore, Santander made a plan to restructure its leadership funds that were previously assigned to the Company as well as retaining the previous efficiently qualified employees of ABN AMRO. It also noted that due to the need for the intensive restructuring procedure, the bank would have to wait to see the benefits later than it had anticipated (Santander</w:t>
      </w:r>
      <w:r w:rsidR="00FC15D2">
        <w:rPr>
          <w:color w:val="000000" w:themeColor="text1"/>
        </w:rPr>
        <w:t xml:space="preserve"> Group</w:t>
      </w:r>
      <w:r>
        <w:rPr>
          <w:color w:val="000000" w:themeColor="text1"/>
        </w:rPr>
        <w:t>, 2008).</w:t>
      </w:r>
    </w:p>
    <w:p w:rsidR="00AA7CB8" w:rsidRDefault="00AA7CB8" w:rsidP="00C80D8C">
      <w:pPr>
        <w:spacing w:line="360" w:lineRule="auto"/>
        <w:jc w:val="both"/>
        <w:rPr>
          <w:color w:val="000000" w:themeColor="text1"/>
        </w:rPr>
      </w:pPr>
    </w:p>
    <w:p w:rsidR="00AA7CB8" w:rsidRDefault="004E0545" w:rsidP="00C80D8C">
      <w:pPr>
        <w:spacing w:line="360" w:lineRule="auto"/>
        <w:jc w:val="both"/>
        <w:rPr>
          <w:color w:val="000000" w:themeColor="text1"/>
        </w:rPr>
      </w:pPr>
      <w:r>
        <w:rPr>
          <w:color w:val="000000" w:themeColor="text1"/>
        </w:rPr>
        <w:t xml:space="preserve">With opportunities emerging for Santander it realised that it had to change its cost designs to reduce ‘cost to income ratio' and allow for value creation for its cross-border acquisitions </w:t>
      </w:r>
      <w:r>
        <w:t>(</w:t>
      </w:r>
      <w:r w:rsidRPr="005F03E7">
        <w:t>Parada et al. 2009</w:t>
      </w:r>
      <w:r>
        <w:t>, p</w:t>
      </w:r>
      <w:r>
        <w:rPr>
          <w:color w:val="000000" w:themeColor="text1"/>
        </w:rPr>
        <w:t xml:space="preserve">. 670).  This design worked better in Abbey national because the UK had a better mature market that allowed Santander to incorporate its entrepreneurial disposition which was highly backed up by the participation and involvement of the bank's top-level management and the executive board with its centralised structural services.  Santander also noticed that the IT sector of Abbey national was very weak and slow and decided to adopt its cross-border IT service skills and processes into Abbey which was further appreciated by the Abbey national’s directors </w:t>
      </w:r>
      <w:r w:rsidRPr="00327B00">
        <w:rPr>
          <w:color w:val="000000" w:themeColor="text1"/>
        </w:rPr>
        <w:t>(Horwood, 2005).</w:t>
      </w:r>
      <w:r>
        <w:rPr>
          <w:color w:val="000000" w:themeColor="text1"/>
        </w:rPr>
        <w:t xml:space="preserve"> </w:t>
      </w:r>
    </w:p>
    <w:p w:rsidR="00FC15D2" w:rsidRDefault="00FC15D2" w:rsidP="00C80D8C">
      <w:pPr>
        <w:spacing w:line="360" w:lineRule="auto"/>
        <w:jc w:val="both"/>
        <w:rPr>
          <w:color w:val="000000" w:themeColor="text1"/>
        </w:rPr>
      </w:pPr>
    </w:p>
    <w:p w:rsidR="00B358E1" w:rsidRDefault="004E0545" w:rsidP="00C80D8C">
      <w:pPr>
        <w:spacing w:line="360" w:lineRule="auto"/>
        <w:jc w:val="both"/>
      </w:pPr>
      <w:r>
        <w:rPr>
          <w:color w:val="000000" w:themeColor="text1"/>
        </w:rPr>
        <w:t xml:space="preserve">Another area, where Santander faced a defective organisational design was from its operations team. Santander along with its subsidiaries are </w:t>
      </w:r>
      <w:r w:rsidRPr="00AA7CB8">
        <w:t xml:space="preserve">dependent upon the capacity to effectively and accurately process a big amount of transactions. </w:t>
      </w:r>
      <w:r>
        <w:t xml:space="preserve">Therefore, </w:t>
      </w:r>
      <w:r w:rsidRPr="00AA7CB8">
        <w:t>the recruitment of insufficient employees, insufficient or faulty inner systems and controls and by external occurrences</w:t>
      </w:r>
      <w:r>
        <w:t xml:space="preserve"> could massively cause losses and </w:t>
      </w:r>
      <w:r w:rsidRPr="00AA7CB8">
        <w:t>which</w:t>
      </w:r>
      <w:r>
        <w:t xml:space="preserve"> could</w:t>
      </w:r>
      <w:r w:rsidRPr="00AA7CB8">
        <w:t xml:space="preserve"> disrupt the Group</w:t>
      </w:r>
      <w:r>
        <w:t>’</w:t>
      </w:r>
      <w:r w:rsidRPr="00AA7CB8">
        <w:t>s regular activities.</w:t>
      </w:r>
      <w:r w:rsidR="00FC15D2">
        <w:t xml:space="preserve"> </w:t>
      </w:r>
      <w:r>
        <w:t>Santander</w:t>
      </w:r>
      <w:r w:rsidR="00FC15D2">
        <w:t xml:space="preserve"> Group</w:t>
      </w:r>
      <w:r>
        <w:t xml:space="preserve"> (2008) also reported </w:t>
      </w:r>
      <w:r w:rsidRPr="00AA7CB8">
        <w:t xml:space="preserve">danger of inadequately designing </w:t>
      </w:r>
      <w:r>
        <w:t>its</w:t>
      </w:r>
      <w:r w:rsidRPr="00AA7CB8">
        <w:t xml:space="preserve"> controls and </w:t>
      </w:r>
      <w:r>
        <w:t>operations team,</w:t>
      </w:r>
      <w:r w:rsidRPr="00AA7CB8">
        <w:t xml:space="preserve"> </w:t>
      </w:r>
      <w:r>
        <w:t xml:space="preserve">that </w:t>
      </w:r>
      <w:r w:rsidRPr="00AA7CB8">
        <w:t xml:space="preserve">in </w:t>
      </w:r>
      <w:r w:rsidRPr="00AA7CB8">
        <w:lastRenderedPageBreak/>
        <w:t>the past</w:t>
      </w:r>
      <w:r>
        <w:t xml:space="preserve"> had</w:t>
      </w:r>
      <w:r w:rsidRPr="00AA7CB8">
        <w:t xml:space="preserve"> caused losses</w:t>
      </w:r>
      <w:r>
        <w:t>. As of 2008, Santander had</w:t>
      </w:r>
      <w:r w:rsidRPr="00AA7CB8">
        <w:t xml:space="preserve"> no guarantee that material losses will not be endured </w:t>
      </w:r>
      <w:r>
        <w:t xml:space="preserve">because of poor operation controls </w:t>
      </w:r>
      <w:r w:rsidRPr="00AA7CB8">
        <w:t>in the future.</w:t>
      </w:r>
    </w:p>
    <w:p w:rsidR="007916DA" w:rsidRDefault="007916DA" w:rsidP="00C80D8C">
      <w:pPr>
        <w:spacing w:line="360" w:lineRule="auto"/>
        <w:jc w:val="both"/>
      </w:pPr>
    </w:p>
    <w:p w:rsidR="00BF4E5C" w:rsidRPr="007916DA" w:rsidRDefault="007916DA" w:rsidP="00C80D8C">
      <w:pPr>
        <w:spacing w:line="360" w:lineRule="auto"/>
        <w:jc w:val="both"/>
      </w:pPr>
      <w:r w:rsidRPr="007916DA">
        <w:t>It is secure to say that Santander</w:t>
      </w:r>
      <w:r>
        <w:t>’</w:t>
      </w:r>
      <w:r w:rsidRPr="007916DA">
        <w:t>s competitive strategy is based on offering local business</w:t>
      </w:r>
      <w:r>
        <w:t xml:space="preserve"> executives </w:t>
      </w:r>
      <w:r w:rsidRPr="007916DA">
        <w:t>with complete commercial accountability and control over the plan of</w:t>
      </w:r>
      <w:r>
        <w:t xml:space="preserve"> the</w:t>
      </w:r>
      <w:r w:rsidRPr="007916DA">
        <w:t xml:space="preserve"> company</w:t>
      </w:r>
      <w:r w:rsidR="004E0545" w:rsidRPr="00BF4E5C">
        <w:rPr>
          <w:color w:val="000000" w:themeColor="text1"/>
        </w:rPr>
        <w:t>, who must continuously examine opportunities to develop and build their business</w:t>
      </w:r>
      <w:r>
        <w:rPr>
          <w:color w:val="000000" w:themeColor="text1"/>
        </w:rPr>
        <w:t xml:space="preserve"> (</w:t>
      </w:r>
      <w:proofErr w:type="spellStart"/>
      <w:r>
        <w:rPr>
          <w:color w:val="000000" w:themeColor="text1"/>
        </w:rPr>
        <w:t>Parada</w:t>
      </w:r>
      <w:proofErr w:type="spellEnd"/>
      <w:r>
        <w:rPr>
          <w:color w:val="000000" w:themeColor="text1"/>
        </w:rPr>
        <w:t xml:space="preserve"> et al. 2009)</w:t>
      </w:r>
      <w:r w:rsidR="004E0545" w:rsidRPr="00BF4E5C">
        <w:rPr>
          <w:color w:val="000000" w:themeColor="text1"/>
        </w:rPr>
        <w:t xml:space="preserve">. </w:t>
      </w:r>
      <w:r w:rsidR="004E0545">
        <w:rPr>
          <w:color w:val="000000" w:themeColor="text1"/>
        </w:rPr>
        <w:t>Whereas t</w:t>
      </w:r>
      <w:r w:rsidR="004E0545" w:rsidRPr="00BF4E5C">
        <w:rPr>
          <w:color w:val="000000" w:themeColor="text1"/>
        </w:rPr>
        <w:t xml:space="preserve">op-tier management is available to help local managers, who can and will decide quickly and understand the organization's business context. </w:t>
      </w:r>
      <w:r w:rsidRPr="007916DA">
        <w:rPr>
          <w:color w:val="000000" w:themeColor="text1"/>
        </w:rPr>
        <w:t xml:space="preserve">The majority of senior executives and board members are also significant shareholders and are encouraged by their own sentiments to consider and behave more as </w:t>
      </w:r>
      <w:r>
        <w:rPr>
          <w:color w:val="000000" w:themeColor="text1"/>
        </w:rPr>
        <w:t xml:space="preserve">owners </w:t>
      </w:r>
      <w:r w:rsidRPr="007916DA">
        <w:rPr>
          <w:color w:val="000000" w:themeColor="text1"/>
        </w:rPr>
        <w:t>than as executives.</w:t>
      </w:r>
    </w:p>
    <w:p w:rsidR="00BF4E5C" w:rsidRDefault="00BF4E5C" w:rsidP="00AA7CB8">
      <w:pPr>
        <w:shd w:val="clear" w:color="auto" w:fill="FFFFFF"/>
        <w:spacing w:after="100" w:afterAutospacing="1" w:line="360" w:lineRule="auto"/>
        <w:jc w:val="both"/>
        <w:outlineLvl w:val="1"/>
        <w:rPr>
          <w:color w:val="000000" w:themeColor="text1"/>
        </w:rPr>
      </w:pPr>
    </w:p>
    <w:p w:rsidR="00BF4E5C" w:rsidRDefault="00BF4E5C" w:rsidP="00AA7CB8">
      <w:pPr>
        <w:shd w:val="clear" w:color="auto" w:fill="FFFFFF"/>
        <w:spacing w:after="100" w:afterAutospacing="1" w:line="360" w:lineRule="auto"/>
        <w:jc w:val="both"/>
        <w:outlineLvl w:val="1"/>
        <w:rPr>
          <w:color w:val="000000" w:themeColor="text1"/>
        </w:rPr>
      </w:pPr>
    </w:p>
    <w:p w:rsidR="00BF4E5C" w:rsidRDefault="00BF4E5C" w:rsidP="00AA7CB8">
      <w:pPr>
        <w:shd w:val="clear" w:color="auto" w:fill="FFFFFF"/>
        <w:spacing w:after="100" w:afterAutospacing="1" w:line="360" w:lineRule="auto"/>
        <w:jc w:val="both"/>
        <w:outlineLvl w:val="1"/>
        <w:rPr>
          <w:color w:val="000000" w:themeColor="text1"/>
        </w:rPr>
      </w:pPr>
    </w:p>
    <w:p w:rsidR="00FE6B90" w:rsidRDefault="00FE6B90" w:rsidP="00BF4E5C">
      <w:pPr>
        <w:shd w:val="clear" w:color="auto" w:fill="FFFFFF"/>
        <w:spacing w:after="100" w:afterAutospacing="1" w:line="360" w:lineRule="auto"/>
        <w:jc w:val="both"/>
        <w:outlineLvl w:val="1"/>
        <w:rPr>
          <w:b/>
          <w:color w:val="000000" w:themeColor="text1"/>
        </w:rPr>
      </w:pPr>
    </w:p>
    <w:p w:rsidR="00FE6B90" w:rsidRDefault="00FE6B90" w:rsidP="00BF4E5C">
      <w:pPr>
        <w:shd w:val="clear" w:color="auto" w:fill="FFFFFF"/>
        <w:spacing w:after="100" w:afterAutospacing="1" w:line="360" w:lineRule="auto"/>
        <w:jc w:val="both"/>
        <w:outlineLvl w:val="1"/>
        <w:rPr>
          <w:b/>
          <w:color w:val="000000" w:themeColor="text1"/>
        </w:rPr>
      </w:pPr>
    </w:p>
    <w:p w:rsidR="00FE6B90" w:rsidRDefault="00FE6B90" w:rsidP="00BF4E5C">
      <w:pPr>
        <w:shd w:val="clear" w:color="auto" w:fill="FFFFFF"/>
        <w:spacing w:after="100" w:afterAutospacing="1" w:line="360" w:lineRule="auto"/>
        <w:jc w:val="both"/>
        <w:outlineLvl w:val="1"/>
        <w:rPr>
          <w:b/>
          <w:color w:val="000000" w:themeColor="text1"/>
        </w:rPr>
      </w:pPr>
    </w:p>
    <w:p w:rsidR="00FE6B90" w:rsidRDefault="00FE6B90" w:rsidP="00BF4E5C">
      <w:pPr>
        <w:shd w:val="clear" w:color="auto" w:fill="FFFFFF"/>
        <w:spacing w:after="100" w:afterAutospacing="1" w:line="360" w:lineRule="auto"/>
        <w:jc w:val="both"/>
        <w:outlineLvl w:val="1"/>
        <w:rPr>
          <w:b/>
          <w:color w:val="000000" w:themeColor="text1"/>
        </w:rPr>
      </w:pPr>
    </w:p>
    <w:p w:rsidR="00FE6B90" w:rsidRDefault="00FE6B90" w:rsidP="00BF4E5C">
      <w:pPr>
        <w:shd w:val="clear" w:color="auto" w:fill="FFFFFF"/>
        <w:spacing w:after="100" w:afterAutospacing="1" w:line="360" w:lineRule="auto"/>
        <w:jc w:val="both"/>
        <w:outlineLvl w:val="1"/>
        <w:rPr>
          <w:b/>
          <w:color w:val="000000" w:themeColor="text1"/>
        </w:rPr>
      </w:pPr>
    </w:p>
    <w:p w:rsidR="00347821" w:rsidRDefault="00347821" w:rsidP="00347821">
      <w:pPr>
        <w:pStyle w:val="Heading1"/>
        <w:numPr>
          <w:ilvl w:val="0"/>
          <w:numId w:val="0"/>
        </w:numPr>
        <w:rPr>
          <w:rFonts w:eastAsia="Times New Roman" w:cs="Times New Roman"/>
          <w:szCs w:val="24"/>
        </w:rPr>
      </w:pPr>
    </w:p>
    <w:p w:rsidR="00347821" w:rsidRDefault="00347821" w:rsidP="00347821"/>
    <w:p w:rsidR="00347821" w:rsidRDefault="00347821" w:rsidP="00347821"/>
    <w:p w:rsidR="00420FDB" w:rsidRDefault="00420FDB" w:rsidP="00347821"/>
    <w:p w:rsidR="00420FDB" w:rsidRDefault="00420FDB" w:rsidP="00347821"/>
    <w:p w:rsidR="00420FDB" w:rsidRDefault="00420FDB" w:rsidP="00347821"/>
    <w:p w:rsidR="00420FDB" w:rsidRDefault="00420FDB" w:rsidP="00347821"/>
    <w:p w:rsidR="00420FDB" w:rsidRDefault="00420FDB" w:rsidP="00347821"/>
    <w:p w:rsidR="00420FDB" w:rsidRDefault="00420FDB" w:rsidP="00347821"/>
    <w:p w:rsidR="00420FDB" w:rsidRDefault="00420FDB" w:rsidP="00347821"/>
    <w:p w:rsidR="00420FDB" w:rsidRDefault="00420FDB" w:rsidP="00347821"/>
    <w:p w:rsidR="00420FDB" w:rsidRDefault="00420FDB" w:rsidP="00347821"/>
    <w:p w:rsidR="00420FDB" w:rsidRDefault="00420FDB" w:rsidP="00347821"/>
    <w:p w:rsidR="00420FDB" w:rsidRDefault="00420FDB" w:rsidP="00347821"/>
    <w:p w:rsidR="00420FDB" w:rsidRDefault="00420FDB" w:rsidP="00347821"/>
    <w:p w:rsidR="00420FDB" w:rsidRDefault="00420FDB" w:rsidP="00347821"/>
    <w:p w:rsidR="00420FDB" w:rsidRDefault="00420FDB" w:rsidP="00347821"/>
    <w:p w:rsidR="0092113C" w:rsidRPr="0092113C" w:rsidRDefault="0092113C" w:rsidP="0092113C">
      <w:bookmarkStart w:id="14" w:name="_Toc19822899"/>
    </w:p>
    <w:p w:rsidR="00BF4E5C" w:rsidRPr="00BF4E5C" w:rsidRDefault="004E0545" w:rsidP="00347821">
      <w:pPr>
        <w:pStyle w:val="Heading1"/>
        <w:numPr>
          <w:ilvl w:val="0"/>
          <w:numId w:val="0"/>
        </w:numPr>
        <w:rPr>
          <w:b w:val="0"/>
        </w:rPr>
      </w:pPr>
      <w:r w:rsidRPr="00BF4E5C">
        <w:t>CONCLUSION</w:t>
      </w:r>
      <w:bookmarkEnd w:id="14"/>
    </w:p>
    <w:p w:rsidR="00BF4E5C" w:rsidRDefault="004E0545" w:rsidP="00BF4E5C">
      <w:pPr>
        <w:pStyle w:val="NormalWeb"/>
        <w:spacing w:line="360" w:lineRule="auto"/>
        <w:jc w:val="both"/>
      </w:pPr>
      <w:r w:rsidRPr="00BF4E5C">
        <w:t xml:space="preserve">Internationalisation generates fresh levels of understanding and determination </w:t>
      </w:r>
      <w:r>
        <w:t xml:space="preserve">and Santander's journey proves it to be so. Globalisation is very popular nowadays, however, not everybody understands or knows the strategical choices to use to succeed at it. Banco Santander's internationalisation serves as a roadmap to other businesses especially in the service sector at how to successfully expand to foreign markets. Santander teaches us that the key criteria to successfully expanding abroad is to focus on vicinity and possible dominant positions. In the case of Santander, its main focus has been expanding to cross-border countries such as Europe and Latin America where it has minimal legal, language, cultural and historical proximities that in turn helped them establish dominant positions in the </w:t>
      </w:r>
      <w:r w:rsidRPr="002C690C">
        <w:t xml:space="preserve">market (see </w:t>
      </w:r>
      <w:r w:rsidR="002C690C" w:rsidRPr="002C690C">
        <w:t>A</w:t>
      </w:r>
      <w:r w:rsidRPr="002C690C">
        <w:t>ppendix</w:t>
      </w:r>
      <w:r w:rsidR="002C690C" w:rsidRPr="002C690C">
        <w:t xml:space="preserve"> III</w:t>
      </w:r>
      <w:r>
        <w:t xml:space="preserve"> for a map of its establishments</w:t>
      </w:r>
      <w:r w:rsidR="002C690C">
        <w:t xml:space="preserve"> in Europe and Latin America</w:t>
      </w:r>
      <w:r>
        <w:t>).</w:t>
      </w:r>
    </w:p>
    <w:p w:rsidR="00BF4E5C" w:rsidRPr="00BF4E5C" w:rsidRDefault="004E0545" w:rsidP="00BF4E5C">
      <w:pPr>
        <w:pStyle w:val="NormalWeb"/>
        <w:spacing w:line="360" w:lineRule="auto"/>
        <w:jc w:val="both"/>
      </w:pPr>
      <w:r>
        <w:t xml:space="preserve">Businesses should not be afraid of change because most change (especially planned change) is good for the development of the company. When deciding to expand, companies should not blindly invest in businesses but rather study their new market first before making huge investments in the targeted area. </w:t>
      </w:r>
      <w:r w:rsidR="009C0B5E">
        <w:t xml:space="preserve"> One thing clear in the evaluation of Santander is its</w:t>
      </w:r>
      <w:r w:rsidR="009C0B5E" w:rsidRPr="009C0B5E">
        <w:t xml:space="preserve"> determination </w:t>
      </w:r>
      <w:r w:rsidR="009C0B5E">
        <w:t xml:space="preserve">to expand outside while still </w:t>
      </w:r>
      <w:r w:rsidR="009C0B5E" w:rsidRPr="009C0B5E">
        <w:t xml:space="preserve">focused on </w:t>
      </w:r>
      <w:r w:rsidR="009C0B5E">
        <w:t>its own</w:t>
      </w:r>
      <w:r w:rsidR="009C0B5E" w:rsidRPr="009C0B5E">
        <w:t xml:space="preserve"> </w:t>
      </w:r>
      <w:r w:rsidR="009C0B5E">
        <w:t xml:space="preserve">home market. </w:t>
      </w:r>
    </w:p>
    <w:p w:rsidR="00BF4E5C" w:rsidRDefault="00BF4E5C" w:rsidP="00BF4E5C">
      <w:pPr>
        <w:shd w:val="clear" w:color="auto" w:fill="FFFFFF"/>
        <w:spacing w:after="100" w:afterAutospacing="1" w:line="360" w:lineRule="auto"/>
        <w:jc w:val="center"/>
        <w:outlineLvl w:val="1"/>
        <w:rPr>
          <w:color w:val="000000" w:themeColor="text1"/>
        </w:rPr>
      </w:pPr>
    </w:p>
    <w:p w:rsidR="00327B00" w:rsidRDefault="00327B00" w:rsidP="00BF4E5C">
      <w:pPr>
        <w:shd w:val="clear" w:color="auto" w:fill="FFFFFF"/>
        <w:spacing w:after="100" w:afterAutospacing="1" w:line="360" w:lineRule="auto"/>
        <w:jc w:val="center"/>
        <w:outlineLvl w:val="1"/>
        <w:rPr>
          <w:color w:val="000000" w:themeColor="text1"/>
        </w:rPr>
      </w:pPr>
    </w:p>
    <w:p w:rsidR="00327B00" w:rsidRDefault="00327B00" w:rsidP="00BF4E5C">
      <w:pPr>
        <w:shd w:val="clear" w:color="auto" w:fill="FFFFFF"/>
        <w:spacing w:after="100" w:afterAutospacing="1" w:line="360" w:lineRule="auto"/>
        <w:jc w:val="center"/>
        <w:outlineLvl w:val="1"/>
        <w:rPr>
          <w:color w:val="000000" w:themeColor="text1"/>
        </w:rPr>
      </w:pPr>
    </w:p>
    <w:p w:rsidR="00327B00" w:rsidRDefault="00327B00" w:rsidP="00BF4E5C">
      <w:pPr>
        <w:shd w:val="clear" w:color="auto" w:fill="FFFFFF"/>
        <w:spacing w:after="100" w:afterAutospacing="1" w:line="360" w:lineRule="auto"/>
        <w:jc w:val="center"/>
        <w:outlineLvl w:val="1"/>
        <w:rPr>
          <w:color w:val="000000" w:themeColor="text1"/>
        </w:rPr>
      </w:pPr>
    </w:p>
    <w:p w:rsidR="00327B00" w:rsidRDefault="00327B00" w:rsidP="008C1876">
      <w:pPr>
        <w:shd w:val="clear" w:color="auto" w:fill="FFFFFF"/>
        <w:spacing w:after="100" w:afterAutospacing="1" w:line="360" w:lineRule="auto"/>
        <w:outlineLvl w:val="1"/>
        <w:rPr>
          <w:color w:val="000000" w:themeColor="text1"/>
        </w:rPr>
      </w:pPr>
    </w:p>
    <w:p w:rsidR="008C1876" w:rsidRDefault="008C1876" w:rsidP="008C1876">
      <w:pPr>
        <w:shd w:val="clear" w:color="auto" w:fill="FFFFFF"/>
        <w:spacing w:after="100" w:afterAutospacing="1" w:line="360" w:lineRule="auto"/>
        <w:outlineLvl w:val="1"/>
        <w:rPr>
          <w:color w:val="000000" w:themeColor="text1"/>
        </w:rPr>
      </w:pPr>
    </w:p>
    <w:p w:rsidR="004E0545" w:rsidRDefault="004E0545" w:rsidP="008C1876">
      <w:pPr>
        <w:shd w:val="clear" w:color="auto" w:fill="FFFFFF"/>
        <w:spacing w:after="100" w:afterAutospacing="1" w:line="360" w:lineRule="auto"/>
        <w:outlineLvl w:val="1"/>
        <w:rPr>
          <w:color w:val="000000" w:themeColor="text1"/>
        </w:rPr>
      </w:pPr>
    </w:p>
    <w:p w:rsidR="004E0545" w:rsidRDefault="004E0545" w:rsidP="008C1876">
      <w:pPr>
        <w:shd w:val="clear" w:color="auto" w:fill="FFFFFF"/>
        <w:spacing w:after="100" w:afterAutospacing="1" w:line="360" w:lineRule="auto"/>
        <w:outlineLvl w:val="1"/>
        <w:rPr>
          <w:color w:val="000000" w:themeColor="text1"/>
        </w:rPr>
      </w:pPr>
    </w:p>
    <w:p w:rsidR="0092113C" w:rsidRDefault="0092113C" w:rsidP="0092113C">
      <w:pPr>
        <w:rPr>
          <w:color w:val="000000" w:themeColor="text1"/>
        </w:rPr>
      </w:pPr>
      <w:bookmarkStart w:id="15" w:name="_Toc19822900"/>
    </w:p>
    <w:p w:rsidR="0092113C" w:rsidRDefault="0092113C" w:rsidP="0092113C"/>
    <w:p w:rsidR="0092113C" w:rsidRPr="0092113C" w:rsidRDefault="0092113C" w:rsidP="0092113C"/>
    <w:p w:rsidR="00327B00" w:rsidRPr="001E28B8" w:rsidRDefault="004E0545" w:rsidP="00347821">
      <w:pPr>
        <w:pStyle w:val="Heading1"/>
        <w:numPr>
          <w:ilvl w:val="0"/>
          <w:numId w:val="0"/>
        </w:numPr>
        <w:ind w:left="432" w:hanging="432"/>
        <w:rPr>
          <w:b w:val="0"/>
        </w:rPr>
      </w:pPr>
      <w:r w:rsidRPr="001E28B8">
        <w:lastRenderedPageBreak/>
        <w:t>REFERENCES</w:t>
      </w:r>
      <w:bookmarkEnd w:id="15"/>
    </w:p>
    <w:p w:rsidR="00327B00" w:rsidRPr="00327B00" w:rsidRDefault="00327B00" w:rsidP="00327B00"/>
    <w:p w:rsidR="00327B00" w:rsidRDefault="004E0545" w:rsidP="00327B00">
      <w:pPr>
        <w:spacing w:line="360" w:lineRule="auto"/>
        <w:jc w:val="both"/>
      </w:pPr>
      <w:r w:rsidRPr="00BB2B24">
        <w:t xml:space="preserve">Ashton, D. (2004). </w:t>
      </w:r>
      <w:r>
        <w:t>‘</w:t>
      </w:r>
      <w:r w:rsidRPr="00BB2B24">
        <w:t>The impact of organisational structure and practices on learning in the workplace</w:t>
      </w:r>
      <w:r>
        <w:t>’</w:t>
      </w:r>
      <w:r w:rsidRPr="00BB2B24">
        <w:t>. </w:t>
      </w:r>
      <w:r w:rsidRPr="00BB2B24">
        <w:rPr>
          <w:i/>
          <w:iCs/>
        </w:rPr>
        <w:t>International Journal of Training and Development</w:t>
      </w:r>
      <w:r w:rsidRPr="00BB2B24">
        <w:t>, 8(1), pp.43-53.</w:t>
      </w:r>
      <w:r>
        <w:t xml:space="preserve"> DOI: </w:t>
      </w:r>
      <w:r w:rsidRPr="00BB2B24">
        <w:t>10.1111/j.1360-3736.2004.00195.</w:t>
      </w:r>
      <w:r>
        <w:t>x</w:t>
      </w:r>
    </w:p>
    <w:p w:rsidR="00327B00" w:rsidRDefault="00327B00" w:rsidP="00327B00">
      <w:pPr>
        <w:spacing w:line="360" w:lineRule="auto"/>
        <w:jc w:val="both"/>
      </w:pPr>
    </w:p>
    <w:p w:rsidR="00327B00" w:rsidRDefault="004E0545" w:rsidP="00327B00">
      <w:pPr>
        <w:spacing w:line="360" w:lineRule="auto"/>
        <w:jc w:val="both"/>
      </w:pPr>
      <w:r w:rsidRPr="00C46E07">
        <w:t xml:space="preserve">Bernus, P. and Nemes, L. (1999). </w:t>
      </w:r>
      <w:r>
        <w:t>‘</w:t>
      </w:r>
      <w:r w:rsidRPr="00C46E07">
        <w:t>Organisational design: Dynamically creating and sustaining integrated virtual enterprises</w:t>
      </w:r>
      <w:r>
        <w:t>’</w:t>
      </w:r>
      <w:r w:rsidRPr="00C46E07">
        <w:t>.</w:t>
      </w:r>
      <w:r w:rsidRPr="00C46E07">
        <w:rPr>
          <w:i/>
          <w:iCs/>
        </w:rPr>
        <w:t>IFAC Proceedings Volumes</w:t>
      </w:r>
      <w:r w:rsidRPr="00C46E07">
        <w:t>, 32(2), pp.189-194.</w:t>
      </w:r>
      <w:r>
        <w:t xml:space="preserve"> DOI: </w:t>
      </w:r>
      <w:r w:rsidRPr="00C46E07">
        <w:t>10.1016/s1474-6670(17)56034-6</w:t>
      </w:r>
      <w:r>
        <w:t xml:space="preserve">. </w:t>
      </w:r>
    </w:p>
    <w:p w:rsidR="00327B00" w:rsidRDefault="00327B00" w:rsidP="00327B00">
      <w:pPr>
        <w:spacing w:line="360" w:lineRule="auto"/>
        <w:jc w:val="both"/>
      </w:pPr>
    </w:p>
    <w:p w:rsidR="00327B00" w:rsidRDefault="004E0545" w:rsidP="00327B00">
      <w:pPr>
        <w:spacing w:line="360" w:lineRule="auto"/>
        <w:jc w:val="both"/>
        <w:rPr>
          <w:color w:val="000000"/>
          <w:shd w:val="clear" w:color="auto" w:fill="FFFFFF"/>
        </w:rPr>
      </w:pPr>
      <w:r w:rsidRPr="0037116C">
        <w:rPr>
          <w:color w:val="000000"/>
          <w:shd w:val="clear" w:color="auto" w:fill="FFFFFF"/>
        </w:rPr>
        <w:t xml:space="preserve">Burnes, B. (1996). </w:t>
      </w:r>
      <w:r>
        <w:rPr>
          <w:color w:val="000000"/>
          <w:shd w:val="clear" w:color="auto" w:fill="FFFFFF"/>
        </w:rPr>
        <w:t>‘</w:t>
      </w:r>
      <w:r w:rsidRPr="0037116C">
        <w:rPr>
          <w:color w:val="000000"/>
          <w:shd w:val="clear" w:color="auto" w:fill="FFFFFF"/>
        </w:rPr>
        <w:t>No such thing as … a “one best way” to manage organizational change</w:t>
      </w:r>
      <w:r>
        <w:rPr>
          <w:color w:val="000000"/>
          <w:shd w:val="clear" w:color="auto" w:fill="FFFFFF"/>
        </w:rPr>
        <w:t>;</w:t>
      </w:r>
      <w:r w:rsidRPr="0037116C">
        <w:rPr>
          <w:color w:val="000000"/>
          <w:shd w:val="clear" w:color="auto" w:fill="FFFFFF"/>
        </w:rPr>
        <w:t> </w:t>
      </w:r>
      <w:r w:rsidRPr="0037116C">
        <w:rPr>
          <w:i/>
          <w:iCs/>
          <w:color w:val="000000"/>
        </w:rPr>
        <w:t>Management Decision</w:t>
      </w:r>
      <w:r>
        <w:rPr>
          <w:i/>
          <w:iCs/>
          <w:color w:val="000000"/>
        </w:rPr>
        <w:t>’</w:t>
      </w:r>
      <w:r w:rsidRPr="0037116C">
        <w:rPr>
          <w:color w:val="000000"/>
          <w:shd w:val="clear" w:color="auto" w:fill="FFFFFF"/>
        </w:rPr>
        <w:t>, 34(10), pp.11-18.</w:t>
      </w:r>
      <w:r>
        <w:rPr>
          <w:color w:val="000000"/>
          <w:shd w:val="clear" w:color="auto" w:fill="FFFFFF"/>
        </w:rPr>
        <w:t xml:space="preserve"> DOI: </w:t>
      </w:r>
      <w:r w:rsidRPr="0037116C">
        <w:rPr>
          <w:color w:val="000000"/>
          <w:shd w:val="clear" w:color="auto" w:fill="FFFFFF"/>
        </w:rPr>
        <w:t>10.1108/00251749610150649</w:t>
      </w:r>
      <w:r>
        <w:rPr>
          <w:color w:val="000000"/>
          <w:shd w:val="clear" w:color="auto" w:fill="FFFFFF"/>
        </w:rPr>
        <w:t>.</w:t>
      </w:r>
    </w:p>
    <w:p w:rsidR="00327B00" w:rsidRDefault="00327B00" w:rsidP="00327B00">
      <w:pPr>
        <w:spacing w:line="360" w:lineRule="auto"/>
        <w:jc w:val="both"/>
        <w:rPr>
          <w:color w:val="000000"/>
          <w:shd w:val="clear" w:color="auto" w:fill="FFFFFF"/>
        </w:rPr>
      </w:pPr>
    </w:p>
    <w:p w:rsidR="00327B00" w:rsidRPr="00FE4C0F" w:rsidRDefault="004E0545" w:rsidP="00327B00">
      <w:pPr>
        <w:shd w:val="clear" w:color="auto" w:fill="FFFFFF"/>
        <w:spacing w:after="180" w:line="360" w:lineRule="auto"/>
        <w:ind w:left="448" w:hanging="448"/>
        <w:jc w:val="both"/>
        <w:rPr>
          <w:color w:val="000000"/>
        </w:rPr>
      </w:pPr>
      <w:r w:rsidRPr="00FE4C0F">
        <w:rPr>
          <w:color w:val="000000"/>
        </w:rPr>
        <w:t>Carnall, C. (1997) </w:t>
      </w:r>
      <w:r w:rsidRPr="00FE4C0F">
        <w:rPr>
          <w:i/>
          <w:iCs/>
          <w:color w:val="000000"/>
        </w:rPr>
        <w:t>Strategic Change</w:t>
      </w:r>
      <w:r w:rsidRPr="00FE4C0F">
        <w:rPr>
          <w:color w:val="000000"/>
        </w:rPr>
        <w:t>. Oxford: Butterworth-Heinemann</w:t>
      </w:r>
      <w:r>
        <w:rPr>
          <w:color w:val="000000"/>
        </w:rPr>
        <w:t>.</w:t>
      </w:r>
    </w:p>
    <w:p w:rsidR="00327B00" w:rsidRDefault="004E0545" w:rsidP="00327B00">
      <w:pPr>
        <w:spacing w:line="360" w:lineRule="auto"/>
        <w:jc w:val="both"/>
      </w:pPr>
      <w:r w:rsidRPr="00D21526">
        <w:t>Castro, P. (2008). </w:t>
      </w:r>
      <w:r w:rsidRPr="00D21526">
        <w:rPr>
          <w:i/>
          <w:iCs/>
        </w:rPr>
        <w:t>International Expansion: The Santander Case</w:t>
      </w:r>
      <w:r w:rsidRPr="00D21526">
        <w:t>. Grupo Santander. Available at:http://www.kif.re.kr/KMFileDir/128587586597150000_Santander%EB%B0%9C%ED%91%9C%EC%9E%90%EB%A3%8C.pdf [Accessed 19 Sep. 2019].</w:t>
      </w:r>
    </w:p>
    <w:p w:rsidR="00327B00" w:rsidRPr="00D21526" w:rsidRDefault="00327B00" w:rsidP="00327B00">
      <w:pPr>
        <w:spacing w:line="360" w:lineRule="auto"/>
        <w:jc w:val="both"/>
      </w:pPr>
    </w:p>
    <w:p w:rsidR="00327B00" w:rsidRDefault="004E0545" w:rsidP="00327B00">
      <w:pPr>
        <w:spacing w:line="360" w:lineRule="auto"/>
        <w:jc w:val="both"/>
      </w:pPr>
      <w:r w:rsidRPr="00627B78">
        <w:t xml:space="preserve">Costa e Silva, S., Pacheco, E., Meneses, R. and Brito, C. (2012). </w:t>
      </w:r>
      <w:r>
        <w:t>‘</w:t>
      </w:r>
      <w:r w:rsidRPr="00627B78">
        <w:t>The Importance of Second-Hand Knowledge in the Revised Uppsala Model: Can European Textiles Producers Export to China?</w:t>
      </w:r>
      <w:r>
        <w:t>’</w:t>
      </w:r>
      <w:r w:rsidRPr="00627B78">
        <w:t>. </w:t>
      </w:r>
      <w:r w:rsidRPr="00627B78">
        <w:rPr>
          <w:i/>
          <w:iCs/>
        </w:rPr>
        <w:t>Journal of Global Marketing</w:t>
      </w:r>
      <w:r w:rsidRPr="00627B78">
        <w:t>, 25(3), pp.141-160.</w:t>
      </w:r>
      <w:r>
        <w:t xml:space="preserve">  DOI: 10.1080/08911762.2012.741963. </w:t>
      </w:r>
    </w:p>
    <w:p w:rsidR="00327B00" w:rsidRPr="00627B78" w:rsidRDefault="00327B00" w:rsidP="00327B00">
      <w:pPr>
        <w:spacing w:line="360" w:lineRule="auto"/>
        <w:jc w:val="both"/>
      </w:pPr>
    </w:p>
    <w:p w:rsidR="00327B00" w:rsidRDefault="004E0545" w:rsidP="00327B00">
      <w:pPr>
        <w:spacing w:line="360" w:lineRule="auto"/>
        <w:jc w:val="both"/>
      </w:pPr>
      <w:r w:rsidRPr="0037116C">
        <w:t>D’Ortenzio, C. (2012) </w:t>
      </w:r>
      <w:r>
        <w:t>‘</w:t>
      </w:r>
      <w:r w:rsidRPr="0037116C">
        <w:rPr>
          <w:i/>
          <w:iCs/>
        </w:rPr>
        <w:t>Understanding Change and Change Management Processes: A Case Study</w:t>
      </w:r>
      <w:r>
        <w:rPr>
          <w:i/>
          <w:iCs/>
        </w:rPr>
        <w:t>’</w:t>
      </w:r>
      <w:r w:rsidRPr="0037116C">
        <w:t>. Ph.D. University of Canberra</w:t>
      </w:r>
      <w:r>
        <w:t>.</w:t>
      </w:r>
    </w:p>
    <w:p w:rsidR="00327B00" w:rsidRDefault="00327B00" w:rsidP="00327B00">
      <w:pPr>
        <w:spacing w:line="360" w:lineRule="auto"/>
        <w:jc w:val="both"/>
      </w:pPr>
    </w:p>
    <w:p w:rsidR="00327B00" w:rsidRDefault="004E0545" w:rsidP="00327B00">
      <w:pPr>
        <w:spacing w:line="360" w:lineRule="auto"/>
        <w:jc w:val="both"/>
      </w:pPr>
      <w:r w:rsidRPr="0037116C">
        <w:t>Degnegaard, R. (2010) </w:t>
      </w:r>
      <w:r w:rsidRPr="0037116C">
        <w:rPr>
          <w:i/>
          <w:iCs/>
        </w:rPr>
        <w:t>Strategic Change Management</w:t>
      </w:r>
      <w:r w:rsidRPr="0037116C">
        <w:t>. Frederiksberg</w:t>
      </w:r>
      <w:r>
        <w:t>.</w:t>
      </w:r>
    </w:p>
    <w:p w:rsidR="00327B00" w:rsidRDefault="00327B00" w:rsidP="00327B00">
      <w:pPr>
        <w:spacing w:line="360" w:lineRule="auto"/>
        <w:jc w:val="both"/>
      </w:pPr>
    </w:p>
    <w:p w:rsidR="00327B00" w:rsidRDefault="004E0545" w:rsidP="00327B00">
      <w:pPr>
        <w:spacing w:line="360" w:lineRule="auto"/>
        <w:jc w:val="both"/>
      </w:pPr>
      <w:r w:rsidRPr="0037116C">
        <w:t xml:space="preserve">Edmonstone, J. (1995) </w:t>
      </w:r>
      <w:r>
        <w:t>‘</w:t>
      </w:r>
      <w:r w:rsidRPr="0037116C">
        <w:t>Managing Change: An Emerging New Consensus</w:t>
      </w:r>
      <w:r>
        <w:t>’</w:t>
      </w:r>
      <w:r w:rsidRPr="0037116C">
        <w:t>. </w:t>
      </w:r>
      <w:r w:rsidRPr="0037116C">
        <w:rPr>
          <w:i/>
          <w:iCs/>
        </w:rPr>
        <w:t>Health Manpower Management</w:t>
      </w:r>
      <w:r w:rsidRPr="0037116C">
        <w:t xml:space="preserve"> 21 (1), </w:t>
      </w:r>
      <w:r>
        <w:t xml:space="preserve">pp. </w:t>
      </w:r>
      <w:r w:rsidRPr="0037116C">
        <w:t>16-19</w:t>
      </w:r>
      <w:r>
        <w:t xml:space="preserve">. DOI: </w:t>
      </w:r>
      <w:r w:rsidRPr="006C0DC7">
        <w:t>10.1108/09552069510084015</w:t>
      </w:r>
      <w:r>
        <w:t>.</w:t>
      </w:r>
    </w:p>
    <w:p w:rsidR="00327B00" w:rsidRDefault="00327B00" w:rsidP="00327B00">
      <w:pPr>
        <w:spacing w:line="360" w:lineRule="auto"/>
        <w:jc w:val="both"/>
      </w:pPr>
    </w:p>
    <w:p w:rsidR="00327B00" w:rsidRDefault="004E0545" w:rsidP="00327B00">
      <w:pPr>
        <w:spacing w:line="360" w:lineRule="auto"/>
        <w:jc w:val="both"/>
      </w:pPr>
      <w:r w:rsidRPr="0077210C">
        <w:t xml:space="preserve">Figueira-de-Lemos, F., Johanson, J. and Vahlne, J. (2011). </w:t>
      </w:r>
      <w:r>
        <w:t>‘</w:t>
      </w:r>
      <w:r w:rsidRPr="0077210C">
        <w:t>Risk management in the internationalization process of the firm: A note on the Uppsala model</w:t>
      </w:r>
      <w:r>
        <w:t>’</w:t>
      </w:r>
      <w:r w:rsidRPr="0077210C">
        <w:t>. </w:t>
      </w:r>
      <w:r w:rsidRPr="0077210C">
        <w:rPr>
          <w:i/>
          <w:iCs/>
        </w:rPr>
        <w:t>Journal of World Business</w:t>
      </w:r>
      <w:r w:rsidRPr="0077210C">
        <w:t>, 46(2), pp.143-153.</w:t>
      </w:r>
      <w:r>
        <w:t xml:space="preserve"> DOI:</w:t>
      </w:r>
      <w:r w:rsidRPr="0077210C">
        <w:t xml:space="preserve"> 10.1016/j.jwb.2010.05.008</w:t>
      </w:r>
      <w:r>
        <w:t>.</w:t>
      </w:r>
    </w:p>
    <w:p w:rsidR="0092113C" w:rsidRDefault="004E0545" w:rsidP="0092113C">
      <w:pPr>
        <w:spacing w:line="360" w:lineRule="auto"/>
        <w:jc w:val="both"/>
      </w:pPr>
      <w:r w:rsidRPr="00222F66">
        <w:lastRenderedPageBreak/>
        <w:t xml:space="preserve">Filardi, F., Barros, F. and Fischmann, A. (2018). </w:t>
      </w:r>
      <w:r>
        <w:t>‘</w:t>
      </w:r>
      <w:r w:rsidRPr="00222F66">
        <w:t>Business strategies for the bottom of the pyramid: multiple case studies of large companies in the pacified communities of Rio de Janeiro</w:t>
      </w:r>
      <w:r>
        <w:t>’</w:t>
      </w:r>
      <w:r w:rsidRPr="00222F66">
        <w:t>. </w:t>
      </w:r>
      <w:r w:rsidRPr="00222F66">
        <w:rPr>
          <w:i/>
          <w:iCs/>
        </w:rPr>
        <w:t>RAUSP Management Journal</w:t>
      </w:r>
      <w:r w:rsidRPr="00222F66">
        <w:t>, 53(1), pp.63-73.</w:t>
      </w:r>
      <w:r>
        <w:t xml:space="preserve"> DOI: </w:t>
      </w:r>
      <w:r w:rsidRPr="00222F66">
        <w:t>10.1016/j.rauspm.2017.12.003</w:t>
      </w:r>
      <w:r>
        <w:t>.</w:t>
      </w:r>
    </w:p>
    <w:p w:rsidR="0092113C" w:rsidRPr="0092113C" w:rsidRDefault="0092113C" w:rsidP="0092113C">
      <w:pPr>
        <w:spacing w:line="360" w:lineRule="auto"/>
        <w:jc w:val="both"/>
      </w:pPr>
    </w:p>
    <w:p w:rsidR="0092113C" w:rsidRDefault="0092113C" w:rsidP="00327B00">
      <w:pPr>
        <w:spacing w:line="360" w:lineRule="auto"/>
        <w:jc w:val="both"/>
      </w:pPr>
      <w:r w:rsidRPr="00222F66">
        <w:t>Horwood, C. (2005). </w:t>
      </w:r>
      <w:r w:rsidRPr="00222F66">
        <w:rPr>
          <w:i/>
          <w:iCs/>
        </w:rPr>
        <w:t>Santander: The masters of retail banking</w:t>
      </w:r>
      <w:r w:rsidRPr="00222F66">
        <w:t>. [online] Euromoney. Available at: https://www.euromoney.com/article/b1320vqbjx6xq6/santander-the-masters-of-retail-banking [Accessed 12 Sep. 2019].</w:t>
      </w:r>
    </w:p>
    <w:p w:rsidR="0092113C" w:rsidRDefault="0092113C" w:rsidP="00327B00">
      <w:pPr>
        <w:spacing w:line="360" w:lineRule="auto"/>
        <w:jc w:val="both"/>
      </w:pPr>
    </w:p>
    <w:p w:rsidR="0092113C" w:rsidRDefault="0092113C" w:rsidP="00327B00">
      <w:pPr>
        <w:spacing w:line="360" w:lineRule="auto"/>
        <w:jc w:val="both"/>
      </w:pPr>
      <w:proofErr w:type="spellStart"/>
      <w:r w:rsidRPr="00627B78">
        <w:t>Johanson</w:t>
      </w:r>
      <w:proofErr w:type="spellEnd"/>
      <w:r w:rsidRPr="00627B78">
        <w:t xml:space="preserve">, J. and Vahlne, J. (1977). </w:t>
      </w:r>
      <w:r>
        <w:t>‘</w:t>
      </w:r>
      <w:r w:rsidRPr="00627B78">
        <w:t>The Internationalization Process of the Firm—A Model of Knowledge Development and Increasing Foreign Market Commitments</w:t>
      </w:r>
      <w:r>
        <w:t>’</w:t>
      </w:r>
      <w:r w:rsidRPr="00627B78">
        <w:t>. </w:t>
      </w:r>
      <w:r w:rsidRPr="00627B78">
        <w:rPr>
          <w:i/>
          <w:iCs/>
        </w:rPr>
        <w:t>Journal of International Business Studies</w:t>
      </w:r>
      <w:r w:rsidRPr="00627B78">
        <w:t>, 8(1), pp.23-32.</w:t>
      </w:r>
      <w:r>
        <w:t xml:space="preserve"> DOI: </w:t>
      </w:r>
      <w:r w:rsidRPr="00627B78">
        <w:t>10.1057/palgrave.jibs.8490676</w:t>
      </w:r>
      <w:r>
        <w:t>.</w:t>
      </w:r>
    </w:p>
    <w:p w:rsidR="0092113C" w:rsidRDefault="0092113C" w:rsidP="00327B00">
      <w:pPr>
        <w:spacing w:line="360" w:lineRule="auto"/>
        <w:jc w:val="both"/>
      </w:pPr>
    </w:p>
    <w:p w:rsidR="0092113C" w:rsidRDefault="0092113C" w:rsidP="00327B00">
      <w:pPr>
        <w:spacing w:line="360" w:lineRule="auto"/>
        <w:jc w:val="both"/>
      </w:pPr>
      <w:r w:rsidRPr="0037116C">
        <w:t xml:space="preserve">Moran, J. and Brightman, B. (2000) </w:t>
      </w:r>
      <w:r>
        <w:t>‘</w:t>
      </w:r>
      <w:r w:rsidRPr="0037116C">
        <w:t>Leading Organizational Change</w:t>
      </w:r>
      <w:r>
        <w:t>’</w:t>
      </w:r>
      <w:r w:rsidRPr="0037116C">
        <w:t>. </w:t>
      </w:r>
      <w:r w:rsidRPr="0037116C">
        <w:rPr>
          <w:i/>
          <w:iCs/>
        </w:rPr>
        <w:t>Journal of Workplace Learning</w:t>
      </w:r>
      <w:r w:rsidRPr="0037116C">
        <w:t xml:space="preserve"> 12 (2), </w:t>
      </w:r>
      <w:r>
        <w:t xml:space="preserve">pp. </w:t>
      </w:r>
      <w:r w:rsidRPr="0037116C">
        <w:t>66-74</w:t>
      </w:r>
      <w:r>
        <w:t xml:space="preserve">. DOI: </w:t>
      </w:r>
      <w:r w:rsidRPr="006C0DC7">
        <w:t>10.1108/13665620010316226</w:t>
      </w:r>
      <w:r>
        <w:t>.</w:t>
      </w:r>
    </w:p>
    <w:p w:rsidR="0092113C" w:rsidRDefault="0092113C" w:rsidP="00327B00">
      <w:pPr>
        <w:spacing w:line="360" w:lineRule="auto"/>
        <w:jc w:val="both"/>
      </w:pPr>
    </w:p>
    <w:p w:rsidR="0092113C" w:rsidRDefault="0092113C" w:rsidP="00327B00">
      <w:pPr>
        <w:spacing w:line="360" w:lineRule="auto"/>
        <w:jc w:val="both"/>
      </w:pPr>
      <w:proofErr w:type="spellStart"/>
      <w:r w:rsidRPr="00222F66">
        <w:t>Nohria</w:t>
      </w:r>
      <w:proofErr w:type="spellEnd"/>
      <w:r w:rsidRPr="00222F66">
        <w:t xml:space="preserve">, N. and Ghoshal, S. (1994). </w:t>
      </w:r>
      <w:r>
        <w:t>‘</w:t>
      </w:r>
      <w:r w:rsidRPr="00222F66">
        <w:t>Differentiated fit and shared values: Alternatives for managing headquarters-subsidiary relations.</w:t>
      </w:r>
      <w:r>
        <w:t>’</w:t>
      </w:r>
      <w:r w:rsidRPr="00222F66">
        <w:t> </w:t>
      </w:r>
      <w:r w:rsidRPr="00222F66">
        <w:rPr>
          <w:i/>
          <w:iCs/>
        </w:rPr>
        <w:t>Strategic Management Journal</w:t>
      </w:r>
      <w:r w:rsidRPr="00222F66">
        <w:t>, 15(6), pp.491-502.</w:t>
      </w:r>
      <w:r>
        <w:t xml:space="preserve"> DOI: </w:t>
      </w:r>
      <w:r w:rsidRPr="00222F66">
        <w:t>10.1002/smj.4250150606</w:t>
      </w:r>
      <w:r>
        <w:t>.</w:t>
      </w:r>
    </w:p>
    <w:p w:rsidR="0092113C" w:rsidRDefault="0092113C" w:rsidP="00327B00">
      <w:pPr>
        <w:spacing w:line="360" w:lineRule="auto"/>
        <w:jc w:val="both"/>
      </w:pPr>
    </w:p>
    <w:p w:rsidR="0092113C" w:rsidRDefault="0092113C" w:rsidP="00327B00">
      <w:pPr>
        <w:spacing w:line="360" w:lineRule="auto"/>
        <w:jc w:val="both"/>
      </w:pPr>
      <w:r w:rsidRPr="004105CE">
        <w:t>Pandian, R. &amp; Sim, A. (2002). Internationalisation Process: Revisiting the Uppsala Model in the Asian Context. In T. Chan &amp; G. Lui</w:t>
      </w:r>
      <w:r>
        <w:t xml:space="preserve"> </w:t>
      </w:r>
      <w:r w:rsidRPr="004105CE">
        <w:t xml:space="preserve">(Eds.), WTO and Global Competition: A new Era for International Business Hong Kong: </w:t>
      </w:r>
      <w:proofErr w:type="spellStart"/>
      <w:r w:rsidRPr="004105CE">
        <w:t>Lingnan</w:t>
      </w:r>
      <w:proofErr w:type="spellEnd"/>
      <w:r w:rsidRPr="004105CE">
        <w:t xml:space="preserve"> University.</w:t>
      </w:r>
    </w:p>
    <w:p w:rsidR="0092113C" w:rsidRDefault="0092113C" w:rsidP="00327B00">
      <w:pPr>
        <w:spacing w:line="360" w:lineRule="auto"/>
        <w:jc w:val="both"/>
      </w:pPr>
    </w:p>
    <w:p w:rsidR="0092113C" w:rsidRDefault="0092113C" w:rsidP="00327B00">
      <w:pPr>
        <w:spacing w:line="360" w:lineRule="auto"/>
        <w:jc w:val="both"/>
      </w:pPr>
      <w:proofErr w:type="spellStart"/>
      <w:r w:rsidRPr="00627B78">
        <w:t>Parada</w:t>
      </w:r>
      <w:proofErr w:type="spellEnd"/>
      <w:r w:rsidRPr="00627B78">
        <w:t xml:space="preserve">, P., Alemany, L. and Planellas, M. (2007). </w:t>
      </w:r>
      <w:r>
        <w:t>‘</w:t>
      </w:r>
      <w:r w:rsidRPr="00627B78">
        <w:t>Lessons from the Strategy of Banco Santander: The Three-Step Process of Internationalisation in Retail Banking</w:t>
      </w:r>
      <w:r>
        <w:t>’</w:t>
      </w:r>
      <w:r w:rsidRPr="00627B78">
        <w:t>. </w:t>
      </w:r>
      <w:r w:rsidRPr="00627B78">
        <w:rPr>
          <w:i/>
          <w:iCs/>
        </w:rPr>
        <w:t>SSRN Electronic Journal</w:t>
      </w:r>
      <w:r w:rsidRPr="00627B78">
        <w:t>.</w:t>
      </w:r>
      <w:r>
        <w:t xml:space="preserve"> DOI: </w:t>
      </w:r>
      <w:r w:rsidRPr="00627B78">
        <w:t>10.2139/ssrn.1089108</w:t>
      </w:r>
      <w:r>
        <w:t>.</w:t>
      </w:r>
    </w:p>
    <w:p w:rsidR="0092113C" w:rsidRDefault="0092113C" w:rsidP="00327B00">
      <w:pPr>
        <w:spacing w:line="360" w:lineRule="auto"/>
        <w:jc w:val="both"/>
      </w:pPr>
    </w:p>
    <w:p w:rsidR="0092113C" w:rsidRDefault="0092113C" w:rsidP="00327B00">
      <w:pPr>
        <w:spacing w:line="360" w:lineRule="auto"/>
        <w:jc w:val="both"/>
      </w:pPr>
      <w:proofErr w:type="spellStart"/>
      <w:r w:rsidRPr="0037116C">
        <w:t>Parada</w:t>
      </w:r>
      <w:proofErr w:type="spellEnd"/>
      <w:r w:rsidRPr="0037116C">
        <w:t xml:space="preserve">, P., Alemany, L. and Planellas, M. (2009) </w:t>
      </w:r>
      <w:r>
        <w:t>‘</w:t>
      </w:r>
      <w:r w:rsidRPr="0037116C">
        <w:t>The Internationalisation of Retail Banking: Banco Santander's Journey Towards Globalisation</w:t>
      </w:r>
      <w:r>
        <w:t>’</w:t>
      </w:r>
      <w:r w:rsidRPr="0037116C">
        <w:t>. </w:t>
      </w:r>
      <w:r w:rsidRPr="0037116C">
        <w:rPr>
          <w:i/>
          <w:iCs/>
        </w:rPr>
        <w:t>Long Range Planning</w:t>
      </w:r>
      <w:r w:rsidRPr="0037116C">
        <w:t xml:space="preserve"> 42 (5-6), </w:t>
      </w:r>
      <w:r>
        <w:t xml:space="preserve">pp. </w:t>
      </w:r>
      <w:r w:rsidRPr="0037116C">
        <w:t>654-677</w:t>
      </w:r>
      <w:r>
        <w:t xml:space="preserve">. DOI: </w:t>
      </w:r>
      <w:r w:rsidRPr="006C0DC7">
        <w:t>10.1016/j.lrp.2009.09.006</w:t>
      </w:r>
      <w:r>
        <w:t>.</w:t>
      </w:r>
    </w:p>
    <w:p w:rsidR="0092113C" w:rsidRDefault="0092113C" w:rsidP="00327B00">
      <w:pPr>
        <w:spacing w:line="360" w:lineRule="auto"/>
        <w:jc w:val="both"/>
      </w:pPr>
    </w:p>
    <w:p w:rsidR="0092113C" w:rsidRDefault="0092113C" w:rsidP="00327B00">
      <w:pPr>
        <w:spacing w:line="360" w:lineRule="auto"/>
        <w:jc w:val="both"/>
      </w:pPr>
      <w:r w:rsidRPr="00222F66">
        <w:t xml:space="preserve">Quijano-Sanchez, L. and Liberatore, F. (2017). </w:t>
      </w:r>
      <w:r>
        <w:t>‘</w:t>
      </w:r>
      <w:r w:rsidRPr="00222F66">
        <w:t>The B</w:t>
      </w:r>
      <w:r>
        <w:t>ig Chase</w:t>
      </w:r>
      <w:r w:rsidRPr="00222F66">
        <w:t>: A decision support system for client acquisition applied to financial networks.</w:t>
      </w:r>
      <w:r>
        <w:t>’</w:t>
      </w:r>
      <w:r w:rsidRPr="00222F66">
        <w:t> </w:t>
      </w:r>
      <w:r w:rsidRPr="00222F66">
        <w:rPr>
          <w:i/>
          <w:iCs/>
        </w:rPr>
        <w:t>Decision Support Systems</w:t>
      </w:r>
      <w:r w:rsidRPr="00222F66">
        <w:t>, 98, pp.49-58.</w:t>
      </w:r>
      <w:r>
        <w:t xml:space="preserve"> DOI: </w:t>
      </w:r>
      <w:r w:rsidRPr="00222F66">
        <w:t>10.1016/j.dss.2017.04.007</w:t>
      </w:r>
      <w:r>
        <w:t>.</w:t>
      </w:r>
    </w:p>
    <w:p w:rsidR="0092113C" w:rsidRDefault="0092113C" w:rsidP="00327B00">
      <w:pPr>
        <w:spacing w:line="360" w:lineRule="auto"/>
        <w:jc w:val="both"/>
      </w:pPr>
      <w:r>
        <w:lastRenderedPageBreak/>
        <w:t xml:space="preserve">Santander Group </w:t>
      </w:r>
      <w:r w:rsidRPr="00DB7D23">
        <w:t>(20</w:t>
      </w:r>
      <w:r>
        <w:t>04</w:t>
      </w:r>
      <w:r w:rsidRPr="00DB7D23">
        <w:t xml:space="preserve">) </w:t>
      </w:r>
      <w:r w:rsidRPr="00DB7D23">
        <w:rPr>
          <w:i/>
          <w:iCs/>
        </w:rPr>
        <w:t>Annual Report 2</w:t>
      </w:r>
      <w:r>
        <w:rPr>
          <w:i/>
          <w:iCs/>
        </w:rPr>
        <w:t>004</w:t>
      </w:r>
      <w:r w:rsidRPr="00DB7D23">
        <w:rPr>
          <w:i/>
          <w:iCs/>
        </w:rPr>
        <w:t xml:space="preserve">. </w:t>
      </w:r>
      <w:r w:rsidRPr="00DB7D23">
        <w:t>Available at:</w:t>
      </w:r>
      <w:r>
        <w:t xml:space="preserve"> </w:t>
      </w:r>
      <w:r w:rsidRPr="00327B00">
        <w:t>http://www.annualreports.com/HostedData/AnnualReportArchive/b/NYSE_STD_2004.pdf</w:t>
      </w:r>
      <w:r>
        <w:t xml:space="preserve">. </w:t>
      </w:r>
      <w:r w:rsidRPr="00DB7D23">
        <w:t xml:space="preserve">(Accessed: </w:t>
      </w:r>
      <w:r>
        <w:t>15</w:t>
      </w:r>
      <w:r w:rsidRPr="00DB7D23">
        <w:t xml:space="preserve"> </w:t>
      </w:r>
      <w:r>
        <w:t>August</w:t>
      </w:r>
      <w:r w:rsidRPr="00DB7D23">
        <w:t xml:space="preserve"> 20</w:t>
      </w:r>
      <w:r>
        <w:t>19</w:t>
      </w:r>
      <w:r w:rsidRPr="00DB7D23">
        <w:t>).</w:t>
      </w:r>
    </w:p>
    <w:p w:rsidR="0092113C" w:rsidRDefault="0092113C" w:rsidP="00327B00">
      <w:pPr>
        <w:spacing w:line="360" w:lineRule="auto"/>
        <w:jc w:val="both"/>
      </w:pPr>
    </w:p>
    <w:p w:rsidR="0092113C" w:rsidRDefault="0092113C" w:rsidP="00327B00">
      <w:pPr>
        <w:spacing w:line="360" w:lineRule="auto"/>
        <w:jc w:val="both"/>
      </w:pPr>
      <w:r>
        <w:t xml:space="preserve">Santander Group (2005). </w:t>
      </w:r>
      <w:r w:rsidRPr="00DB7D23">
        <w:rPr>
          <w:i/>
          <w:iCs/>
        </w:rPr>
        <w:t>Annual Report 2</w:t>
      </w:r>
      <w:r>
        <w:rPr>
          <w:i/>
          <w:iCs/>
        </w:rPr>
        <w:t xml:space="preserve">005. </w:t>
      </w:r>
      <w:r w:rsidRPr="00DB7D23">
        <w:t>Available at</w:t>
      </w:r>
      <w:r>
        <w:t xml:space="preserve">: </w:t>
      </w:r>
      <w:r w:rsidRPr="00327B00">
        <w:t>http://www.annualreports.com/HostedData/AnnualReportArchive/b/NYSE_STD_2005.pdf</w:t>
      </w:r>
      <w:r>
        <w:t xml:space="preserve">. </w:t>
      </w:r>
      <w:r w:rsidRPr="00DB7D23">
        <w:t xml:space="preserve">(Accessed: </w:t>
      </w:r>
      <w:r>
        <w:t>25</w:t>
      </w:r>
      <w:r w:rsidRPr="00DB7D23">
        <w:t xml:space="preserve"> </w:t>
      </w:r>
      <w:r>
        <w:t>August</w:t>
      </w:r>
      <w:r w:rsidRPr="00DB7D23">
        <w:t xml:space="preserve"> 20</w:t>
      </w:r>
      <w:r>
        <w:t>19</w:t>
      </w:r>
      <w:r w:rsidRPr="00DB7D23">
        <w:t>).</w:t>
      </w:r>
    </w:p>
    <w:p w:rsidR="0092113C" w:rsidRDefault="0092113C" w:rsidP="00327B00">
      <w:pPr>
        <w:spacing w:line="360" w:lineRule="auto"/>
        <w:jc w:val="both"/>
      </w:pPr>
    </w:p>
    <w:p w:rsidR="0092113C" w:rsidRDefault="0092113C" w:rsidP="00327B00">
      <w:pPr>
        <w:spacing w:line="360" w:lineRule="auto"/>
        <w:jc w:val="both"/>
      </w:pPr>
      <w:r>
        <w:t xml:space="preserve">Santander Group (2006). </w:t>
      </w:r>
      <w:r w:rsidRPr="00DB7D23">
        <w:rPr>
          <w:i/>
          <w:iCs/>
        </w:rPr>
        <w:t>Annual Report 2</w:t>
      </w:r>
      <w:r>
        <w:rPr>
          <w:i/>
          <w:iCs/>
        </w:rPr>
        <w:t xml:space="preserve">006. </w:t>
      </w:r>
      <w:r w:rsidRPr="00D21526">
        <w:rPr>
          <w:iCs/>
        </w:rPr>
        <w:t>Available at</w:t>
      </w:r>
      <w:r>
        <w:rPr>
          <w:iCs/>
        </w:rPr>
        <w:t xml:space="preserve">: http://www.annualreports.com/HostedData/AnnualReportArchive/b/NYSE_STD_2006.pdf. </w:t>
      </w:r>
      <w:r w:rsidRPr="00DB7D23">
        <w:t xml:space="preserve">(Accessed: </w:t>
      </w:r>
      <w:r>
        <w:t>28</w:t>
      </w:r>
      <w:r w:rsidRPr="00DB7D23">
        <w:t xml:space="preserve"> </w:t>
      </w:r>
      <w:r>
        <w:t>August</w:t>
      </w:r>
      <w:r w:rsidRPr="00DB7D23">
        <w:t xml:space="preserve"> 20</w:t>
      </w:r>
      <w:r>
        <w:t>19</w:t>
      </w:r>
      <w:r w:rsidRPr="00DB7D23">
        <w:t>).</w:t>
      </w:r>
    </w:p>
    <w:p w:rsidR="0092113C" w:rsidRDefault="0092113C" w:rsidP="00327B00">
      <w:pPr>
        <w:spacing w:line="360" w:lineRule="auto"/>
        <w:jc w:val="both"/>
      </w:pPr>
    </w:p>
    <w:p w:rsidR="0092113C" w:rsidRDefault="0092113C" w:rsidP="00327B00">
      <w:pPr>
        <w:spacing w:line="360" w:lineRule="auto"/>
        <w:jc w:val="both"/>
      </w:pPr>
      <w:r>
        <w:t xml:space="preserve">Santander Group (2008). </w:t>
      </w:r>
      <w:r w:rsidRPr="00DB7D23">
        <w:rPr>
          <w:i/>
          <w:iCs/>
        </w:rPr>
        <w:t>Annual Report 2</w:t>
      </w:r>
      <w:r>
        <w:rPr>
          <w:i/>
          <w:iCs/>
        </w:rPr>
        <w:t xml:space="preserve">008. </w:t>
      </w:r>
      <w:r>
        <w:rPr>
          <w:iCs/>
        </w:rPr>
        <w:t xml:space="preserve">Available at: </w:t>
      </w:r>
      <w:r w:rsidRPr="00327B00">
        <w:rPr>
          <w:iCs/>
        </w:rPr>
        <w:t>http://www.annualreports.com/HostedData/AnnualReportArchive/b/NYSE_STD_2008.pdf</w:t>
      </w:r>
      <w:r>
        <w:rPr>
          <w:iCs/>
        </w:rPr>
        <w:t xml:space="preserve">. </w:t>
      </w:r>
      <w:r w:rsidRPr="00DB7D23">
        <w:t xml:space="preserve">(Accessed: </w:t>
      </w:r>
      <w:r>
        <w:t>28</w:t>
      </w:r>
      <w:r w:rsidRPr="00DB7D23">
        <w:t xml:space="preserve"> </w:t>
      </w:r>
      <w:r>
        <w:t>August</w:t>
      </w:r>
      <w:r w:rsidRPr="00DB7D23">
        <w:t xml:space="preserve"> 20</w:t>
      </w:r>
      <w:r>
        <w:t>19</w:t>
      </w:r>
      <w:r w:rsidRPr="00DB7D23">
        <w:t>).</w:t>
      </w:r>
    </w:p>
    <w:p w:rsidR="0092113C" w:rsidRPr="0092113C" w:rsidRDefault="0092113C" w:rsidP="00327B00">
      <w:pPr>
        <w:spacing w:line="360" w:lineRule="auto"/>
        <w:jc w:val="both"/>
        <w:rPr>
          <w:i/>
          <w:iCs/>
        </w:rPr>
      </w:pPr>
    </w:p>
    <w:p w:rsidR="0092113C" w:rsidRDefault="0092113C" w:rsidP="00327B00">
      <w:pPr>
        <w:spacing w:line="360" w:lineRule="auto"/>
        <w:jc w:val="both"/>
      </w:pPr>
      <w:r w:rsidRPr="0037116C">
        <w:t xml:space="preserve">Stewart, J. and Kringas, P. (2003) </w:t>
      </w:r>
      <w:r>
        <w:t>‘</w:t>
      </w:r>
      <w:r w:rsidRPr="0037116C">
        <w:t xml:space="preserve">Change Management-Strategy and Values </w:t>
      </w:r>
      <w:r>
        <w:t>i</w:t>
      </w:r>
      <w:r w:rsidRPr="0037116C">
        <w:t xml:space="preserve">n Six Agencies </w:t>
      </w:r>
      <w:r>
        <w:t>f</w:t>
      </w:r>
      <w:r w:rsidRPr="0037116C">
        <w:t>rom The Australian Public Service</w:t>
      </w:r>
      <w:r>
        <w:t>’</w:t>
      </w:r>
      <w:r w:rsidRPr="0037116C">
        <w:t>. </w:t>
      </w:r>
      <w:r w:rsidRPr="0037116C">
        <w:rPr>
          <w:i/>
          <w:iCs/>
        </w:rPr>
        <w:t>Public Administration Review</w:t>
      </w:r>
      <w:r w:rsidRPr="0037116C">
        <w:t xml:space="preserve"> 63 (6), </w:t>
      </w:r>
      <w:r>
        <w:t xml:space="preserve">pp. </w:t>
      </w:r>
      <w:r w:rsidRPr="0037116C">
        <w:t>675-688</w:t>
      </w:r>
      <w:r>
        <w:t xml:space="preserve">. DOI: </w:t>
      </w:r>
      <w:r w:rsidRPr="006C0DC7">
        <w:t>10.1111/1540-6210.00331</w:t>
      </w:r>
      <w:r>
        <w:t>.</w:t>
      </w:r>
    </w:p>
    <w:p w:rsidR="0092113C" w:rsidRDefault="0092113C" w:rsidP="00327B00">
      <w:pPr>
        <w:spacing w:line="360" w:lineRule="auto"/>
        <w:jc w:val="both"/>
      </w:pPr>
    </w:p>
    <w:p w:rsidR="0092113C" w:rsidRDefault="0092113C" w:rsidP="00327B00">
      <w:pPr>
        <w:spacing w:line="360" w:lineRule="auto"/>
        <w:jc w:val="both"/>
      </w:pPr>
      <w:r w:rsidRPr="00222F66">
        <w:t>The Economist. (2018). </w:t>
      </w:r>
      <w:r w:rsidRPr="00222F66">
        <w:rPr>
          <w:i/>
          <w:iCs/>
        </w:rPr>
        <w:t>The Santander experiment</w:t>
      </w:r>
      <w:r w:rsidRPr="00222F66">
        <w:t>. [online] Available at: https://www.economist.com/business/2018/02/22/the-santander-experiment [Accessed 19 Aug. 2019].</w:t>
      </w:r>
    </w:p>
    <w:p w:rsidR="0092113C" w:rsidRDefault="0092113C" w:rsidP="00327B00">
      <w:pPr>
        <w:spacing w:line="360" w:lineRule="auto"/>
        <w:jc w:val="both"/>
      </w:pPr>
    </w:p>
    <w:p w:rsidR="0092113C" w:rsidRDefault="0092113C" w:rsidP="00327B00">
      <w:pPr>
        <w:spacing w:line="360" w:lineRule="auto"/>
        <w:jc w:val="both"/>
      </w:pPr>
      <w:proofErr w:type="spellStart"/>
      <w:r w:rsidRPr="0037116C">
        <w:t>Todnem</w:t>
      </w:r>
      <w:proofErr w:type="spellEnd"/>
      <w:r w:rsidRPr="0037116C">
        <w:t xml:space="preserve"> By, R. (2005) </w:t>
      </w:r>
      <w:r>
        <w:t>‘</w:t>
      </w:r>
      <w:r w:rsidRPr="0037116C">
        <w:t>Organisational Change Management: A Critical Review</w:t>
      </w:r>
      <w:r>
        <w:t>’</w:t>
      </w:r>
      <w:r w:rsidRPr="0037116C">
        <w:t>. </w:t>
      </w:r>
      <w:r w:rsidRPr="0037116C">
        <w:rPr>
          <w:i/>
          <w:iCs/>
        </w:rPr>
        <w:t>Journal of Change Management</w:t>
      </w:r>
      <w:r w:rsidRPr="0037116C">
        <w:t xml:space="preserve"> 5 (4), </w:t>
      </w:r>
      <w:r>
        <w:t xml:space="preserve">pp. </w:t>
      </w:r>
      <w:r w:rsidRPr="0037116C">
        <w:t>369-380</w:t>
      </w:r>
      <w:r>
        <w:t xml:space="preserve">. DOI: </w:t>
      </w:r>
      <w:r w:rsidRPr="006C0DC7">
        <w:t>10.1080/14697010500359250</w:t>
      </w:r>
      <w:r>
        <w:t>.</w:t>
      </w:r>
    </w:p>
    <w:p w:rsidR="0092113C" w:rsidRDefault="0092113C" w:rsidP="00327B00">
      <w:pPr>
        <w:spacing w:line="360" w:lineRule="auto"/>
        <w:jc w:val="both"/>
      </w:pPr>
    </w:p>
    <w:p w:rsidR="0092113C" w:rsidRDefault="0092113C" w:rsidP="00327B00">
      <w:pPr>
        <w:spacing w:line="360" w:lineRule="auto"/>
        <w:jc w:val="both"/>
      </w:pPr>
      <w:proofErr w:type="spellStart"/>
      <w:r w:rsidRPr="00222F66">
        <w:t>Tremlett</w:t>
      </w:r>
      <w:proofErr w:type="spellEnd"/>
      <w:r w:rsidRPr="00222F66">
        <w:t>, G. and Treanor, J. (2013). </w:t>
      </w:r>
      <w:r w:rsidRPr="00222F66">
        <w:rPr>
          <w:i/>
          <w:iCs/>
        </w:rPr>
        <w:t>Santander chief Alfredo Sáenz resigns</w:t>
      </w:r>
      <w:r w:rsidRPr="00222F66">
        <w:t>. [online] the Guardian. Available at: https://www.theguardian.com/business/2013/apr/29/santander-chief-alfredo-saenz-resigns [Accessed 25 Aug. 2019].</w:t>
      </w:r>
    </w:p>
    <w:p w:rsidR="0092113C" w:rsidRDefault="0092113C" w:rsidP="00327B00">
      <w:pPr>
        <w:spacing w:line="360" w:lineRule="auto"/>
        <w:jc w:val="both"/>
      </w:pPr>
    </w:p>
    <w:p w:rsidR="0092113C" w:rsidRDefault="0092113C" w:rsidP="00327B00">
      <w:pPr>
        <w:spacing w:line="360" w:lineRule="auto"/>
        <w:jc w:val="both"/>
      </w:pPr>
      <w:proofErr w:type="spellStart"/>
      <w:r w:rsidRPr="00735CF6">
        <w:t>Vahlne</w:t>
      </w:r>
      <w:proofErr w:type="spellEnd"/>
      <w:r w:rsidRPr="00735CF6">
        <w:t>, J. and Johanson, J. (2013). The Uppsala model on evolution of the multinational business enterprise – from internalization to coordination of networks. </w:t>
      </w:r>
      <w:r w:rsidRPr="00735CF6">
        <w:rPr>
          <w:i/>
          <w:iCs/>
        </w:rPr>
        <w:t>International Marketing Review</w:t>
      </w:r>
      <w:r w:rsidRPr="00735CF6">
        <w:t>, 30(3), pp.189-210.</w:t>
      </w:r>
      <w:r>
        <w:t xml:space="preserve"> DOI: </w:t>
      </w:r>
      <w:r w:rsidRPr="00735CF6">
        <w:t>10.1108/02651331311321963</w:t>
      </w:r>
      <w:r>
        <w:t>.</w:t>
      </w:r>
    </w:p>
    <w:p w:rsidR="0092113C" w:rsidRPr="00222F66" w:rsidRDefault="0092113C" w:rsidP="00327B00">
      <w:pPr>
        <w:spacing w:line="360" w:lineRule="auto"/>
        <w:jc w:val="both"/>
      </w:pPr>
      <w:proofErr w:type="spellStart"/>
      <w:r w:rsidRPr="00222F66">
        <w:lastRenderedPageBreak/>
        <w:t>Xifra</w:t>
      </w:r>
      <w:proofErr w:type="spellEnd"/>
      <w:r w:rsidRPr="00222F66">
        <w:t xml:space="preserve">, J. and Ordeix, E. (2009). </w:t>
      </w:r>
      <w:r>
        <w:t>‘</w:t>
      </w:r>
      <w:r w:rsidRPr="00222F66">
        <w:t>Managing reputational risk in an economic downturn: The case of Banco Santander.</w:t>
      </w:r>
      <w:r>
        <w:t>’</w:t>
      </w:r>
      <w:r w:rsidRPr="00222F66">
        <w:t> </w:t>
      </w:r>
      <w:r w:rsidRPr="00222F66">
        <w:rPr>
          <w:i/>
          <w:iCs/>
        </w:rPr>
        <w:t>Public Relations Review</w:t>
      </w:r>
      <w:r w:rsidRPr="00222F66">
        <w:t>, 35(4), pp.353-360.</w:t>
      </w:r>
      <w:r>
        <w:t xml:space="preserve"> DOI:</w:t>
      </w:r>
      <w:r w:rsidRPr="00222F66">
        <w:t xml:space="preserve"> 10.1016/j.pubrev.2009.08.004</w:t>
      </w:r>
    </w:p>
    <w:p w:rsidR="0092113C" w:rsidRDefault="0092113C" w:rsidP="0092113C">
      <w:pPr>
        <w:pStyle w:val="Heading1"/>
        <w:numPr>
          <w:ilvl w:val="0"/>
          <w:numId w:val="0"/>
        </w:numPr>
      </w:pPr>
      <w:bookmarkStart w:id="16" w:name="_Toc19822901"/>
    </w:p>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Default="0092113C" w:rsidP="0092113C"/>
    <w:p w:rsidR="0092113C" w:rsidRPr="0092113C" w:rsidRDefault="0092113C" w:rsidP="0092113C"/>
    <w:p w:rsidR="00714CCB" w:rsidRDefault="004E0545" w:rsidP="00347821">
      <w:pPr>
        <w:pStyle w:val="Heading1"/>
        <w:numPr>
          <w:ilvl w:val="0"/>
          <w:numId w:val="0"/>
        </w:numPr>
        <w:ind w:left="432" w:hanging="432"/>
      </w:pPr>
      <w:r w:rsidRPr="00327B00">
        <w:lastRenderedPageBreak/>
        <w:t>APPENDIX I</w:t>
      </w:r>
      <w:bookmarkEnd w:id="16"/>
      <w:r w:rsidR="001E28B8">
        <w:t xml:space="preserve"> </w:t>
      </w:r>
    </w:p>
    <w:p w:rsidR="00327B00" w:rsidRDefault="001E28B8" w:rsidP="00347821">
      <w:pPr>
        <w:pStyle w:val="Heading1"/>
        <w:numPr>
          <w:ilvl w:val="0"/>
          <w:numId w:val="0"/>
        </w:numPr>
        <w:ind w:left="432" w:hanging="432"/>
      </w:pPr>
      <w:r>
        <w:t xml:space="preserve"> </w:t>
      </w:r>
    </w:p>
    <w:p w:rsidR="001E28B8" w:rsidRPr="00420FDB" w:rsidRDefault="00420FDB" w:rsidP="00420FDB">
      <w:pPr>
        <w:pStyle w:val="Caption"/>
        <w:rPr>
          <w:b/>
          <w:i w:val="0"/>
          <w:color w:val="000000" w:themeColor="text1"/>
          <w:sz w:val="24"/>
          <w:szCs w:val="24"/>
        </w:rPr>
      </w:pPr>
      <w:bookmarkStart w:id="17" w:name="_Toc19823341"/>
      <w:r w:rsidRPr="00420FDB">
        <w:rPr>
          <w:b/>
          <w:i w:val="0"/>
          <w:color w:val="000000" w:themeColor="text1"/>
          <w:sz w:val="24"/>
          <w:szCs w:val="24"/>
        </w:rPr>
        <w:t xml:space="preserve">Table </w:t>
      </w:r>
      <w:r w:rsidRPr="00420FDB">
        <w:rPr>
          <w:b/>
          <w:i w:val="0"/>
          <w:color w:val="000000" w:themeColor="text1"/>
          <w:sz w:val="24"/>
          <w:szCs w:val="24"/>
        </w:rPr>
        <w:fldChar w:fldCharType="begin"/>
      </w:r>
      <w:r w:rsidRPr="00420FDB">
        <w:rPr>
          <w:b/>
          <w:i w:val="0"/>
          <w:color w:val="000000" w:themeColor="text1"/>
          <w:sz w:val="24"/>
          <w:szCs w:val="24"/>
        </w:rPr>
        <w:instrText xml:space="preserve"> SEQ Table \* ARABIC </w:instrText>
      </w:r>
      <w:r w:rsidRPr="00420FDB">
        <w:rPr>
          <w:b/>
          <w:i w:val="0"/>
          <w:color w:val="000000" w:themeColor="text1"/>
          <w:sz w:val="24"/>
          <w:szCs w:val="24"/>
        </w:rPr>
        <w:fldChar w:fldCharType="separate"/>
      </w:r>
      <w:r w:rsidRPr="00420FDB">
        <w:rPr>
          <w:b/>
          <w:i w:val="0"/>
          <w:noProof/>
          <w:color w:val="000000" w:themeColor="text1"/>
          <w:sz w:val="24"/>
          <w:szCs w:val="24"/>
        </w:rPr>
        <w:t>4</w:t>
      </w:r>
      <w:r w:rsidRPr="00420FDB">
        <w:rPr>
          <w:b/>
          <w:i w:val="0"/>
          <w:color w:val="000000" w:themeColor="text1"/>
          <w:sz w:val="24"/>
          <w:szCs w:val="24"/>
        </w:rPr>
        <w:fldChar w:fldCharType="end"/>
      </w:r>
      <w:r w:rsidR="004E0545" w:rsidRPr="00420FDB">
        <w:rPr>
          <w:b/>
          <w:i w:val="0"/>
          <w:color w:val="000000" w:themeColor="text1"/>
          <w:sz w:val="24"/>
          <w:szCs w:val="24"/>
        </w:rPr>
        <w:t>The lesson to be learnt from Banco Santander Internationalisation Strategy by other Businesses</w:t>
      </w:r>
      <w:r w:rsidR="008C1876" w:rsidRPr="00420FDB">
        <w:rPr>
          <w:b/>
          <w:i w:val="0"/>
          <w:color w:val="000000" w:themeColor="text1"/>
          <w:sz w:val="24"/>
          <w:szCs w:val="24"/>
        </w:rPr>
        <w:t xml:space="preserve"> in Retail Banking</w:t>
      </w:r>
      <w:r w:rsidR="004E0545" w:rsidRPr="00420FDB">
        <w:rPr>
          <w:b/>
          <w:i w:val="0"/>
          <w:color w:val="000000" w:themeColor="text1"/>
          <w:sz w:val="24"/>
          <w:szCs w:val="24"/>
        </w:rPr>
        <w:t>.</w:t>
      </w:r>
      <w:bookmarkEnd w:id="17"/>
    </w:p>
    <w:tbl>
      <w:tblPr>
        <w:tblStyle w:val="TableGrid"/>
        <w:tblW w:w="9918" w:type="dxa"/>
        <w:tblLook w:val="04A0" w:firstRow="1" w:lastRow="0" w:firstColumn="1" w:lastColumn="0" w:noHBand="0" w:noVBand="1"/>
      </w:tblPr>
      <w:tblGrid>
        <w:gridCol w:w="1980"/>
        <w:gridCol w:w="3402"/>
        <w:gridCol w:w="4536"/>
      </w:tblGrid>
      <w:tr w:rsidR="00BA37FD" w:rsidTr="008C1876">
        <w:tc>
          <w:tcPr>
            <w:tcW w:w="1980" w:type="dxa"/>
          </w:tcPr>
          <w:p w:rsidR="001E28B8" w:rsidRDefault="004E0545" w:rsidP="00F472F8">
            <w:pPr>
              <w:spacing w:line="360" w:lineRule="auto"/>
              <w:jc w:val="both"/>
            </w:pPr>
            <w:r>
              <w:t>Steps</w:t>
            </w:r>
          </w:p>
        </w:tc>
        <w:tc>
          <w:tcPr>
            <w:tcW w:w="3402" w:type="dxa"/>
          </w:tcPr>
          <w:p w:rsidR="001E28B8" w:rsidRDefault="004E0545" w:rsidP="00F472F8">
            <w:pPr>
              <w:spacing w:line="360" w:lineRule="auto"/>
              <w:jc w:val="both"/>
            </w:pPr>
            <w:r>
              <w:t>Strategy</w:t>
            </w:r>
          </w:p>
        </w:tc>
        <w:tc>
          <w:tcPr>
            <w:tcW w:w="4536" w:type="dxa"/>
          </w:tcPr>
          <w:p w:rsidR="001E28B8" w:rsidRDefault="004E0545" w:rsidP="00F472F8">
            <w:pPr>
              <w:spacing w:line="360" w:lineRule="auto"/>
              <w:jc w:val="both"/>
            </w:pPr>
            <w:r>
              <w:t>Procedure</w:t>
            </w:r>
          </w:p>
        </w:tc>
      </w:tr>
      <w:tr w:rsidR="00BA37FD" w:rsidTr="008C1876">
        <w:trPr>
          <w:trHeight w:val="658"/>
        </w:trPr>
        <w:tc>
          <w:tcPr>
            <w:tcW w:w="1980" w:type="dxa"/>
          </w:tcPr>
          <w:p w:rsidR="001E28B8" w:rsidRDefault="004E0545" w:rsidP="00F472F8">
            <w:pPr>
              <w:spacing w:line="360" w:lineRule="auto"/>
              <w:jc w:val="both"/>
            </w:pPr>
            <w:r>
              <w:t>Step:1 Capa</w:t>
            </w:r>
            <w:r w:rsidR="0006002E">
              <w:t>city Development</w:t>
            </w:r>
          </w:p>
        </w:tc>
        <w:tc>
          <w:tcPr>
            <w:tcW w:w="3402" w:type="dxa"/>
          </w:tcPr>
          <w:p w:rsidR="001E28B8" w:rsidRDefault="004E0545" w:rsidP="00F472F8">
            <w:pPr>
              <w:spacing w:line="360" w:lineRule="auto"/>
              <w:jc w:val="both"/>
            </w:pPr>
            <w:r w:rsidRPr="008C1876">
              <w:t>Constructing a solid position in own market</w:t>
            </w:r>
          </w:p>
          <w:p w:rsidR="008C1876" w:rsidRDefault="008C1876" w:rsidP="00F472F8">
            <w:pPr>
              <w:spacing w:line="360" w:lineRule="auto"/>
              <w:jc w:val="both"/>
            </w:pPr>
          </w:p>
          <w:p w:rsidR="008C1876" w:rsidRDefault="004E0545" w:rsidP="00F472F8">
            <w:pPr>
              <w:spacing w:line="360" w:lineRule="auto"/>
              <w:jc w:val="both"/>
            </w:pPr>
            <w:r>
              <w:t>Build a strong Business model and master it.</w:t>
            </w:r>
          </w:p>
          <w:p w:rsidR="008C1876" w:rsidRPr="008C1876" w:rsidRDefault="008C1876" w:rsidP="00F472F8">
            <w:pPr>
              <w:spacing w:line="360" w:lineRule="auto"/>
              <w:jc w:val="both"/>
            </w:pPr>
          </w:p>
          <w:p w:rsidR="008C1876" w:rsidRDefault="008C1876" w:rsidP="00F472F8">
            <w:pPr>
              <w:spacing w:line="360" w:lineRule="auto"/>
              <w:jc w:val="both"/>
            </w:pPr>
          </w:p>
          <w:p w:rsidR="008C1876" w:rsidRPr="008C1876" w:rsidRDefault="004E0545" w:rsidP="00F472F8">
            <w:pPr>
              <w:spacing w:line="360" w:lineRule="auto"/>
              <w:jc w:val="both"/>
            </w:pPr>
            <w:r>
              <w:t>Choose foreign markets based on vicinity of physical distances and dominance position</w:t>
            </w:r>
          </w:p>
        </w:tc>
        <w:tc>
          <w:tcPr>
            <w:tcW w:w="4536" w:type="dxa"/>
          </w:tcPr>
          <w:p w:rsidR="001E28B8" w:rsidRDefault="004E0545" w:rsidP="00F472F8">
            <w:pPr>
              <w:spacing w:line="360" w:lineRule="auto"/>
              <w:jc w:val="both"/>
            </w:pPr>
            <w:r w:rsidRPr="008C1876">
              <w:t>Increase market share by creating attractive and unique products. Create strong IT and HR policies. Upturn profit and capital.</w:t>
            </w:r>
          </w:p>
          <w:p w:rsidR="008C1876" w:rsidRDefault="008C1876" w:rsidP="00F472F8">
            <w:pPr>
              <w:spacing w:line="360" w:lineRule="auto"/>
              <w:jc w:val="both"/>
            </w:pPr>
          </w:p>
          <w:p w:rsidR="008C1876" w:rsidRDefault="004E0545" w:rsidP="00F472F8">
            <w:pPr>
              <w:spacing w:line="360" w:lineRule="auto"/>
              <w:jc w:val="both"/>
            </w:pPr>
            <w:r>
              <w:t>The model should focus on effectiveness, customers and risk management that has to be updated regularly.</w:t>
            </w:r>
          </w:p>
          <w:p w:rsidR="008C1876" w:rsidRPr="008C1876" w:rsidRDefault="008C1876" w:rsidP="00F472F8">
            <w:pPr>
              <w:spacing w:line="360" w:lineRule="auto"/>
              <w:jc w:val="both"/>
            </w:pPr>
          </w:p>
          <w:p w:rsidR="008C1876" w:rsidRPr="008C1876" w:rsidRDefault="004E0545" w:rsidP="00F472F8">
            <w:pPr>
              <w:spacing w:line="360" w:lineRule="auto"/>
              <w:jc w:val="both"/>
            </w:pPr>
            <w:r>
              <w:t>Establishing a stronghold in own market with a strong revenue base. Choose markets with proximity to conditions in the home country.</w:t>
            </w:r>
          </w:p>
          <w:p w:rsidR="008C1876" w:rsidRPr="008C1876" w:rsidRDefault="008C1876" w:rsidP="00F472F8">
            <w:pPr>
              <w:spacing w:line="360" w:lineRule="auto"/>
              <w:jc w:val="both"/>
            </w:pPr>
          </w:p>
        </w:tc>
      </w:tr>
      <w:tr w:rsidR="00BA37FD" w:rsidTr="008C1876">
        <w:tc>
          <w:tcPr>
            <w:tcW w:w="1980" w:type="dxa"/>
          </w:tcPr>
          <w:p w:rsidR="001E28B8" w:rsidRDefault="004E0545" w:rsidP="00F472F8">
            <w:pPr>
              <w:spacing w:line="360" w:lineRule="auto"/>
              <w:jc w:val="both"/>
            </w:pPr>
            <w:r>
              <w:t>STEP:2 Generating options</w:t>
            </w:r>
          </w:p>
        </w:tc>
        <w:tc>
          <w:tcPr>
            <w:tcW w:w="3402" w:type="dxa"/>
          </w:tcPr>
          <w:p w:rsidR="001E28B8" w:rsidRDefault="004E0545" w:rsidP="00F472F8">
            <w:pPr>
              <w:spacing w:line="360" w:lineRule="auto"/>
              <w:jc w:val="both"/>
            </w:pPr>
            <w:r>
              <w:t>Start with Small scale operations</w:t>
            </w:r>
          </w:p>
          <w:p w:rsidR="008C1876" w:rsidRDefault="008C1876" w:rsidP="00F472F8">
            <w:pPr>
              <w:spacing w:line="360" w:lineRule="auto"/>
              <w:jc w:val="both"/>
            </w:pPr>
          </w:p>
          <w:p w:rsidR="008C1876" w:rsidRDefault="004E0545" w:rsidP="00F472F8">
            <w:pPr>
              <w:spacing w:line="360" w:lineRule="auto"/>
              <w:jc w:val="both"/>
            </w:pPr>
            <w:r>
              <w:t>Study the foreign market and identify opportunities</w:t>
            </w:r>
          </w:p>
          <w:p w:rsidR="008C1876" w:rsidRPr="008C1876" w:rsidRDefault="008C1876" w:rsidP="00F472F8">
            <w:pPr>
              <w:spacing w:line="360" w:lineRule="auto"/>
              <w:jc w:val="both"/>
            </w:pPr>
          </w:p>
          <w:p w:rsidR="008C1876" w:rsidRDefault="008C1876" w:rsidP="00F472F8">
            <w:pPr>
              <w:spacing w:line="360" w:lineRule="auto"/>
              <w:jc w:val="both"/>
            </w:pPr>
          </w:p>
          <w:p w:rsidR="008C1876" w:rsidRDefault="004E0545" w:rsidP="00F472F8">
            <w:pPr>
              <w:spacing w:line="360" w:lineRule="auto"/>
              <w:jc w:val="both"/>
            </w:pPr>
            <w:r>
              <w:t>Patience is key</w:t>
            </w:r>
          </w:p>
          <w:p w:rsidR="008C1876" w:rsidRDefault="008C1876" w:rsidP="00F472F8">
            <w:pPr>
              <w:spacing w:line="360" w:lineRule="auto"/>
              <w:jc w:val="both"/>
            </w:pPr>
          </w:p>
          <w:p w:rsidR="008C1876" w:rsidRPr="008C1876" w:rsidRDefault="004E0545" w:rsidP="00F472F8">
            <w:pPr>
              <w:spacing w:line="360" w:lineRule="auto"/>
              <w:jc w:val="both"/>
            </w:pPr>
            <w:r>
              <w:t>Organise a team of experienced personnel at the home market</w:t>
            </w:r>
          </w:p>
        </w:tc>
        <w:tc>
          <w:tcPr>
            <w:tcW w:w="4536" w:type="dxa"/>
          </w:tcPr>
          <w:p w:rsidR="001E28B8" w:rsidRPr="008C1876" w:rsidRDefault="004E0545" w:rsidP="00F472F8">
            <w:pPr>
              <w:spacing w:line="360" w:lineRule="auto"/>
              <w:jc w:val="both"/>
            </w:pPr>
            <w:r w:rsidRPr="008C1876">
              <w:t xml:space="preserve">Early entry </w:t>
            </w:r>
            <w:r>
              <w:t xml:space="preserve">to foreign market </w:t>
            </w:r>
            <w:r w:rsidRPr="008C1876">
              <w:t>should be done with small scale business operations</w:t>
            </w:r>
            <w:r>
              <w:t xml:space="preserve"> through small acquisitions and alliances</w:t>
            </w:r>
          </w:p>
          <w:p w:rsidR="008C1876" w:rsidRPr="008C1876" w:rsidRDefault="008C1876" w:rsidP="00F472F8">
            <w:pPr>
              <w:spacing w:line="360" w:lineRule="auto"/>
              <w:jc w:val="both"/>
            </w:pPr>
          </w:p>
          <w:p w:rsidR="008C1876" w:rsidRDefault="004E0545" w:rsidP="00F472F8">
            <w:pPr>
              <w:spacing w:line="360" w:lineRule="auto"/>
              <w:jc w:val="both"/>
            </w:pPr>
            <w:r w:rsidRPr="008C1876">
              <w:t xml:space="preserve">Understand </w:t>
            </w:r>
            <w:r>
              <w:t>the risk factors of the market and identify opportunities you can exploit</w:t>
            </w:r>
          </w:p>
          <w:p w:rsidR="008C1876" w:rsidRPr="008C1876" w:rsidRDefault="008C1876" w:rsidP="00F472F8">
            <w:pPr>
              <w:spacing w:line="360" w:lineRule="auto"/>
              <w:jc w:val="both"/>
            </w:pPr>
          </w:p>
          <w:p w:rsidR="008C1876" w:rsidRDefault="004E0545" w:rsidP="00F472F8">
            <w:pPr>
              <w:spacing w:line="360" w:lineRule="auto"/>
              <w:jc w:val="both"/>
            </w:pPr>
            <w:r>
              <w:t>Foreign markets are complex and take years to understand the structures so practice patience.</w:t>
            </w:r>
          </w:p>
          <w:p w:rsidR="008C1876" w:rsidRPr="008C1876" w:rsidRDefault="008C1876" w:rsidP="00F472F8">
            <w:pPr>
              <w:spacing w:line="360" w:lineRule="auto"/>
              <w:jc w:val="both"/>
            </w:pPr>
          </w:p>
          <w:p w:rsidR="008C1876" w:rsidRPr="008C1876" w:rsidRDefault="004E0545" w:rsidP="00F472F8">
            <w:pPr>
              <w:spacing w:line="360" w:lineRule="auto"/>
              <w:jc w:val="both"/>
            </w:pPr>
            <w:r>
              <w:t>Establish an equipped team back at the home market to look after the local market while exploring opportunities in the foreign market</w:t>
            </w:r>
          </w:p>
        </w:tc>
      </w:tr>
    </w:tbl>
    <w:p w:rsidR="001E28B8" w:rsidRDefault="001E28B8" w:rsidP="00F472F8">
      <w:pPr>
        <w:spacing w:line="360" w:lineRule="auto"/>
        <w:jc w:val="both"/>
      </w:pPr>
    </w:p>
    <w:p w:rsidR="008C1876" w:rsidRPr="008C1876" w:rsidRDefault="004E0545" w:rsidP="00F472F8">
      <w:pPr>
        <w:spacing w:line="360" w:lineRule="auto"/>
        <w:jc w:val="both"/>
      </w:pPr>
      <w:r w:rsidRPr="008C1876">
        <w:t>Source: (Parada et al. 2009)</w:t>
      </w:r>
    </w:p>
    <w:p w:rsidR="008C1876" w:rsidRDefault="008C1876" w:rsidP="00F472F8">
      <w:pPr>
        <w:spacing w:line="360" w:lineRule="auto"/>
        <w:jc w:val="both"/>
      </w:pPr>
    </w:p>
    <w:p w:rsidR="008C1876" w:rsidRDefault="008C1876" w:rsidP="00F472F8">
      <w:pPr>
        <w:spacing w:line="360" w:lineRule="auto"/>
        <w:jc w:val="both"/>
      </w:pPr>
    </w:p>
    <w:p w:rsidR="008C1876" w:rsidRDefault="004E0545" w:rsidP="00CC4E23">
      <w:pPr>
        <w:pStyle w:val="Heading1"/>
        <w:numPr>
          <w:ilvl w:val="0"/>
          <w:numId w:val="0"/>
        </w:numPr>
        <w:ind w:left="432" w:hanging="432"/>
      </w:pPr>
      <w:bookmarkStart w:id="18" w:name="_Toc19822902"/>
      <w:r w:rsidRPr="00CC4E23">
        <w:lastRenderedPageBreak/>
        <w:t>APPENDIX: II</w:t>
      </w:r>
      <w:bookmarkEnd w:id="18"/>
      <w:r w:rsidRPr="00CC4E23">
        <w:t xml:space="preserve">  </w:t>
      </w:r>
    </w:p>
    <w:p w:rsidR="00CC4E23" w:rsidRPr="00CC4E23" w:rsidRDefault="00CC4E23" w:rsidP="00CC4E23"/>
    <w:p w:rsidR="008C1876" w:rsidRDefault="004E0545" w:rsidP="00F472F8">
      <w:pPr>
        <w:spacing w:line="360" w:lineRule="auto"/>
        <w:jc w:val="both"/>
      </w:pPr>
      <w:r>
        <w:t>Additional Predicted Risk Factors for Santander Bank Internationalisation in Retail Banking</w:t>
      </w:r>
      <w:r w:rsidR="00B22C92">
        <w:t xml:space="preserve"> (1985-2008)</w:t>
      </w:r>
    </w:p>
    <w:p w:rsidR="008C1876" w:rsidRPr="008C1876" w:rsidRDefault="004E0545" w:rsidP="00F472F8">
      <w:pPr>
        <w:spacing w:line="360" w:lineRule="auto"/>
        <w:jc w:val="both"/>
      </w:pPr>
      <w:r w:rsidRPr="008C1876">
        <w:t xml:space="preserve">Since Continental Europe, the United Kingdom and Latin America are Santander’s main credit base, the bank and its subsidiaries may face bad economic conditions </w:t>
      </w:r>
      <w:r>
        <w:t>due to changes in the debt market.</w:t>
      </w:r>
    </w:p>
    <w:p w:rsidR="008C1876" w:rsidRPr="008C1876" w:rsidRDefault="008C1876" w:rsidP="00F472F8">
      <w:pPr>
        <w:spacing w:line="360" w:lineRule="auto"/>
        <w:jc w:val="both"/>
      </w:pPr>
    </w:p>
    <w:p w:rsidR="008C1876" w:rsidRDefault="004E0545" w:rsidP="00F472F8">
      <w:pPr>
        <w:spacing w:line="360" w:lineRule="auto"/>
        <w:jc w:val="both"/>
      </w:pPr>
      <w:r w:rsidRPr="008C1876">
        <w:t xml:space="preserve">In the areas in which the </w:t>
      </w:r>
      <w:r>
        <w:t>Santander</w:t>
      </w:r>
      <w:r w:rsidRPr="008C1876">
        <w:t xml:space="preserve"> </w:t>
      </w:r>
      <w:r>
        <w:t>operates</w:t>
      </w:r>
      <w:r w:rsidRPr="008C1876">
        <w:t xml:space="preserve"> certain market trends prevails in these areas, the amount of revenue obtained from specific </w:t>
      </w:r>
      <w:r>
        <w:t xml:space="preserve">banks </w:t>
      </w:r>
      <w:r w:rsidRPr="008C1876">
        <w:t>products and services relies on the strength of the markets. Negative cycles can, therefore, have a</w:t>
      </w:r>
      <w:r>
        <w:t>n</w:t>
      </w:r>
      <w:r w:rsidRPr="008C1876">
        <w:t xml:space="preserve"> adverse impact </w:t>
      </w:r>
      <w:r>
        <w:t xml:space="preserve">in the </w:t>
      </w:r>
      <w:r w:rsidRPr="008C1876">
        <w:t xml:space="preserve">future </w:t>
      </w:r>
      <w:r>
        <w:t>of</w:t>
      </w:r>
      <w:r w:rsidRPr="008C1876">
        <w:t xml:space="preserve"> </w:t>
      </w:r>
      <w:r>
        <w:t xml:space="preserve">the bank's </w:t>
      </w:r>
      <w:r w:rsidRPr="008C1876">
        <w:t>revenues.</w:t>
      </w:r>
    </w:p>
    <w:p w:rsidR="008C1876" w:rsidRPr="008C1876" w:rsidRDefault="008C1876" w:rsidP="00F472F8">
      <w:pPr>
        <w:spacing w:line="360" w:lineRule="auto"/>
        <w:jc w:val="both"/>
      </w:pPr>
    </w:p>
    <w:p w:rsidR="008C1876" w:rsidRDefault="004E0545" w:rsidP="00F472F8">
      <w:pPr>
        <w:spacing w:line="360" w:lineRule="auto"/>
        <w:jc w:val="both"/>
      </w:pPr>
      <w:r w:rsidRPr="008C1876">
        <w:t>Interest rate instability</w:t>
      </w:r>
      <w:r>
        <w:t xml:space="preserve"> could</w:t>
      </w:r>
      <w:r w:rsidRPr="008C1876">
        <w:t xml:space="preserve"> adversely impact th</w:t>
      </w:r>
      <w:r>
        <w:t xml:space="preserve">e bank’s </w:t>
      </w:r>
      <w:r w:rsidRPr="008C1876">
        <w:t>net interest income and improve its credit portfolio.</w:t>
      </w:r>
    </w:p>
    <w:p w:rsidR="008C1876" w:rsidRPr="008C1876" w:rsidRDefault="008C1876" w:rsidP="00F472F8">
      <w:pPr>
        <w:spacing w:line="360" w:lineRule="auto"/>
        <w:jc w:val="both"/>
      </w:pPr>
    </w:p>
    <w:p w:rsidR="008C1876" w:rsidRDefault="004E0545" w:rsidP="00F472F8">
      <w:pPr>
        <w:spacing w:line="360" w:lineRule="auto"/>
        <w:jc w:val="both"/>
      </w:pPr>
      <w:r w:rsidRPr="008C1876">
        <w:t xml:space="preserve">Current </w:t>
      </w:r>
      <w:r>
        <w:t xml:space="preserve">acquisitions </w:t>
      </w:r>
      <w:r w:rsidRPr="008C1876">
        <w:t xml:space="preserve">and potential takeovers of </w:t>
      </w:r>
      <w:r>
        <w:t>Santander</w:t>
      </w:r>
      <w:r w:rsidRPr="008C1876">
        <w:t xml:space="preserve"> might not be successful and could damage the </w:t>
      </w:r>
      <w:r>
        <w:t xml:space="preserve">business </w:t>
      </w:r>
      <w:r w:rsidRPr="008C1876">
        <w:t xml:space="preserve">of the </w:t>
      </w:r>
      <w:r>
        <w:t>bank and its subsidiaries</w:t>
      </w:r>
      <w:r w:rsidRPr="008C1876">
        <w:t>.</w:t>
      </w:r>
    </w:p>
    <w:p w:rsidR="008C1876" w:rsidRPr="008C1876" w:rsidRDefault="008C1876" w:rsidP="00F472F8">
      <w:pPr>
        <w:spacing w:line="360" w:lineRule="auto"/>
        <w:jc w:val="both"/>
      </w:pPr>
    </w:p>
    <w:p w:rsidR="008C1876" w:rsidRPr="008C1876" w:rsidRDefault="004E0545" w:rsidP="00F472F8">
      <w:pPr>
        <w:spacing w:line="360" w:lineRule="auto"/>
        <w:jc w:val="both"/>
      </w:pPr>
      <w:r>
        <w:t xml:space="preserve">Any unpredicted risks could result in the slow growth of Santander’s foreign markets </w:t>
      </w:r>
    </w:p>
    <w:p w:rsidR="008C1876" w:rsidRPr="008C1876" w:rsidRDefault="008C1876" w:rsidP="00F472F8">
      <w:pPr>
        <w:spacing w:line="360" w:lineRule="auto"/>
        <w:jc w:val="both"/>
      </w:pPr>
    </w:p>
    <w:p w:rsidR="008C1876" w:rsidRDefault="008C1876" w:rsidP="00F472F8">
      <w:pPr>
        <w:spacing w:line="360" w:lineRule="auto"/>
        <w:jc w:val="both"/>
      </w:pPr>
    </w:p>
    <w:p w:rsidR="008C1876" w:rsidRDefault="008C1876" w:rsidP="00F472F8">
      <w:pPr>
        <w:spacing w:line="360" w:lineRule="auto"/>
        <w:jc w:val="both"/>
      </w:pPr>
    </w:p>
    <w:p w:rsidR="008C1876" w:rsidRDefault="008C1876" w:rsidP="00F472F8">
      <w:pPr>
        <w:spacing w:line="360" w:lineRule="auto"/>
        <w:jc w:val="both"/>
      </w:pPr>
    </w:p>
    <w:p w:rsidR="008C1876" w:rsidRDefault="008C1876" w:rsidP="00F472F8">
      <w:pPr>
        <w:spacing w:line="360" w:lineRule="auto"/>
        <w:jc w:val="both"/>
      </w:pPr>
    </w:p>
    <w:p w:rsidR="008C1876" w:rsidRDefault="008C1876" w:rsidP="00F472F8">
      <w:pPr>
        <w:spacing w:line="360" w:lineRule="auto"/>
        <w:jc w:val="both"/>
      </w:pPr>
    </w:p>
    <w:p w:rsidR="008C1876" w:rsidRDefault="008C1876" w:rsidP="00F472F8">
      <w:pPr>
        <w:spacing w:line="360" w:lineRule="auto"/>
        <w:jc w:val="both"/>
      </w:pPr>
    </w:p>
    <w:p w:rsidR="00541563" w:rsidRDefault="00541563" w:rsidP="00F472F8">
      <w:pPr>
        <w:spacing w:line="360" w:lineRule="auto"/>
        <w:jc w:val="both"/>
      </w:pPr>
    </w:p>
    <w:p w:rsidR="00347821" w:rsidRDefault="00347821" w:rsidP="00F472F8">
      <w:pPr>
        <w:spacing w:line="360" w:lineRule="auto"/>
        <w:jc w:val="both"/>
      </w:pPr>
    </w:p>
    <w:p w:rsidR="00F472F8" w:rsidRDefault="00F472F8" w:rsidP="00F472F8">
      <w:pPr>
        <w:spacing w:line="360" w:lineRule="auto"/>
        <w:jc w:val="both"/>
      </w:pPr>
    </w:p>
    <w:p w:rsidR="00F472F8" w:rsidRDefault="00F472F8" w:rsidP="00F472F8">
      <w:pPr>
        <w:spacing w:line="360" w:lineRule="auto"/>
        <w:jc w:val="both"/>
      </w:pPr>
    </w:p>
    <w:p w:rsidR="00F472F8" w:rsidRDefault="00F472F8" w:rsidP="00F472F8">
      <w:pPr>
        <w:spacing w:line="360" w:lineRule="auto"/>
        <w:jc w:val="both"/>
      </w:pPr>
    </w:p>
    <w:p w:rsidR="00F472F8" w:rsidRDefault="00F472F8" w:rsidP="00F472F8">
      <w:pPr>
        <w:spacing w:line="360" w:lineRule="auto"/>
        <w:jc w:val="both"/>
      </w:pPr>
    </w:p>
    <w:p w:rsidR="00347821" w:rsidRDefault="00347821" w:rsidP="00F472F8">
      <w:pPr>
        <w:spacing w:line="360" w:lineRule="auto"/>
        <w:jc w:val="both"/>
      </w:pPr>
    </w:p>
    <w:p w:rsidR="008C1876" w:rsidRPr="00CC4E23" w:rsidRDefault="004E0545" w:rsidP="00CC4E23">
      <w:pPr>
        <w:pStyle w:val="Heading1"/>
        <w:numPr>
          <w:ilvl w:val="0"/>
          <w:numId w:val="0"/>
        </w:numPr>
        <w:ind w:left="432" w:hanging="432"/>
      </w:pPr>
      <w:bookmarkStart w:id="19" w:name="_Toc19822903"/>
      <w:r w:rsidRPr="00CC4E23">
        <w:lastRenderedPageBreak/>
        <w:t>APPENDIX: III</w:t>
      </w:r>
      <w:bookmarkEnd w:id="19"/>
    </w:p>
    <w:p w:rsidR="000077AD" w:rsidRPr="000077AD" w:rsidRDefault="000077AD" w:rsidP="00F472F8">
      <w:pPr>
        <w:spacing w:line="360" w:lineRule="auto"/>
        <w:jc w:val="both"/>
      </w:pPr>
    </w:p>
    <w:p w:rsidR="00541563" w:rsidRPr="00420FDB" w:rsidRDefault="00420FDB" w:rsidP="00420FDB">
      <w:pPr>
        <w:pStyle w:val="Caption"/>
        <w:rPr>
          <w:b/>
          <w:i w:val="0"/>
          <w:color w:val="000000" w:themeColor="text1"/>
          <w:sz w:val="24"/>
          <w:szCs w:val="24"/>
        </w:rPr>
      </w:pPr>
      <w:bookmarkStart w:id="20" w:name="_Toc19823393"/>
      <w:r w:rsidRPr="00420FDB">
        <w:rPr>
          <w:b/>
          <w:i w:val="0"/>
          <w:color w:val="000000" w:themeColor="text1"/>
          <w:sz w:val="24"/>
          <w:szCs w:val="24"/>
        </w:rPr>
        <w:t xml:space="preserve">Figure </w:t>
      </w:r>
      <w:r w:rsidRPr="00420FDB">
        <w:rPr>
          <w:b/>
          <w:i w:val="0"/>
          <w:color w:val="000000" w:themeColor="text1"/>
          <w:sz w:val="24"/>
          <w:szCs w:val="24"/>
        </w:rPr>
        <w:fldChar w:fldCharType="begin"/>
      </w:r>
      <w:r w:rsidRPr="00420FDB">
        <w:rPr>
          <w:b/>
          <w:i w:val="0"/>
          <w:color w:val="000000" w:themeColor="text1"/>
          <w:sz w:val="24"/>
          <w:szCs w:val="24"/>
        </w:rPr>
        <w:instrText xml:space="preserve"> SEQ Figure \* ARABIC </w:instrText>
      </w:r>
      <w:r w:rsidRPr="00420FDB">
        <w:rPr>
          <w:b/>
          <w:i w:val="0"/>
          <w:color w:val="000000" w:themeColor="text1"/>
          <w:sz w:val="24"/>
          <w:szCs w:val="24"/>
        </w:rPr>
        <w:fldChar w:fldCharType="separate"/>
      </w:r>
      <w:r w:rsidRPr="00420FDB">
        <w:rPr>
          <w:b/>
          <w:i w:val="0"/>
          <w:noProof/>
          <w:color w:val="000000" w:themeColor="text1"/>
          <w:sz w:val="24"/>
          <w:szCs w:val="24"/>
        </w:rPr>
        <w:t>4</w:t>
      </w:r>
      <w:r w:rsidRPr="00420FDB">
        <w:rPr>
          <w:b/>
          <w:i w:val="0"/>
          <w:color w:val="000000" w:themeColor="text1"/>
          <w:sz w:val="24"/>
          <w:szCs w:val="24"/>
        </w:rPr>
        <w:fldChar w:fldCharType="end"/>
      </w:r>
      <w:r w:rsidRPr="00420FDB">
        <w:rPr>
          <w:b/>
          <w:i w:val="0"/>
          <w:color w:val="000000" w:themeColor="text1"/>
          <w:sz w:val="24"/>
          <w:szCs w:val="24"/>
        </w:rPr>
        <w:t xml:space="preserve">  </w:t>
      </w:r>
      <w:r w:rsidR="004E0545" w:rsidRPr="00420FDB">
        <w:rPr>
          <w:b/>
          <w:i w:val="0"/>
          <w:color w:val="000000" w:themeColor="text1"/>
          <w:sz w:val="24"/>
          <w:szCs w:val="24"/>
        </w:rPr>
        <w:t xml:space="preserve">A map showing </w:t>
      </w:r>
      <w:r w:rsidR="00CF6195" w:rsidRPr="00420FDB">
        <w:rPr>
          <w:b/>
          <w:i w:val="0"/>
          <w:color w:val="000000" w:themeColor="text1"/>
          <w:sz w:val="24"/>
          <w:szCs w:val="24"/>
        </w:rPr>
        <w:t>Santander’s</w:t>
      </w:r>
      <w:r w:rsidR="004E0545" w:rsidRPr="00420FDB">
        <w:rPr>
          <w:b/>
          <w:i w:val="0"/>
          <w:color w:val="000000" w:themeColor="text1"/>
          <w:sz w:val="24"/>
          <w:szCs w:val="24"/>
        </w:rPr>
        <w:t xml:space="preserve"> Retail Banking Establishments in Europe and Latin America.</w:t>
      </w:r>
      <w:bookmarkEnd w:id="20"/>
    </w:p>
    <w:p w:rsidR="00541563" w:rsidRDefault="004E0545" w:rsidP="00F472F8">
      <w:pPr>
        <w:spacing w:line="360" w:lineRule="auto"/>
        <w:jc w:val="both"/>
        <w:rPr>
          <w:noProof/>
        </w:rPr>
      </w:pPr>
      <w:r>
        <w:rPr>
          <w:noProof/>
        </w:rPr>
        <w:drawing>
          <wp:inline distT="0" distB="0" distL="0" distR="0">
            <wp:extent cx="5727700" cy="35502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605024" name="Screenshot 2019-09-19 at 21.19.15.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3550285"/>
                    </a:xfrm>
                    <a:prstGeom prst="rect">
                      <a:avLst/>
                    </a:prstGeom>
                  </pic:spPr>
                </pic:pic>
              </a:graphicData>
            </a:graphic>
          </wp:inline>
        </w:drawing>
      </w:r>
    </w:p>
    <w:p w:rsidR="00541563" w:rsidRPr="00541563" w:rsidRDefault="00541563" w:rsidP="00F472F8">
      <w:pPr>
        <w:spacing w:line="360" w:lineRule="auto"/>
        <w:jc w:val="both"/>
      </w:pPr>
    </w:p>
    <w:p w:rsidR="00541563" w:rsidRDefault="00541563" w:rsidP="00F472F8">
      <w:pPr>
        <w:spacing w:line="360" w:lineRule="auto"/>
        <w:jc w:val="both"/>
        <w:rPr>
          <w:noProof/>
        </w:rPr>
      </w:pPr>
    </w:p>
    <w:p w:rsidR="00541563" w:rsidRDefault="004E0545" w:rsidP="00F472F8">
      <w:pPr>
        <w:spacing w:line="360" w:lineRule="auto"/>
        <w:jc w:val="both"/>
      </w:pPr>
      <w:r>
        <w:tab/>
      </w:r>
    </w:p>
    <w:p w:rsidR="00541563" w:rsidRPr="00541563" w:rsidRDefault="004E0545" w:rsidP="00F472F8">
      <w:pPr>
        <w:spacing w:line="360" w:lineRule="auto"/>
        <w:jc w:val="both"/>
      </w:pPr>
      <w:r>
        <w:t>Source: (</w:t>
      </w:r>
      <w:r w:rsidR="0092113C">
        <w:t xml:space="preserve">Santander </w:t>
      </w:r>
      <w:r>
        <w:t>Gro</w:t>
      </w:r>
      <w:r w:rsidR="0092113C">
        <w:t>up</w:t>
      </w:r>
      <w:r>
        <w:t>, 2004)</w:t>
      </w:r>
    </w:p>
    <w:sectPr w:rsidR="00541563" w:rsidRPr="00541563" w:rsidSect="00872569">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25B3" w:rsidRDefault="00E325B3" w:rsidP="00A77FD4">
      <w:r>
        <w:separator/>
      </w:r>
    </w:p>
  </w:endnote>
  <w:endnote w:type="continuationSeparator" w:id="0">
    <w:p w:rsidR="00E325B3" w:rsidRDefault="00E325B3" w:rsidP="00A77F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85600382"/>
      <w:docPartObj>
        <w:docPartGallery w:val="Page Numbers (Bottom of Page)"/>
        <w:docPartUnique/>
      </w:docPartObj>
    </w:sdtPr>
    <w:sdtEndPr>
      <w:rPr>
        <w:rStyle w:val="PageNumber"/>
      </w:rPr>
    </w:sdtEndPr>
    <w:sdtContent>
      <w:p w:rsidR="00A77FD4" w:rsidRDefault="00A77FD4" w:rsidP="00B9304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77FD4" w:rsidRDefault="00A77FD4" w:rsidP="00A77F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5658548"/>
      <w:docPartObj>
        <w:docPartGallery w:val="Page Numbers (Bottom of Page)"/>
        <w:docPartUnique/>
      </w:docPartObj>
    </w:sdtPr>
    <w:sdtEndPr>
      <w:rPr>
        <w:rStyle w:val="PageNumber"/>
      </w:rPr>
    </w:sdtEndPr>
    <w:sdtContent>
      <w:p w:rsidR="00A77FD4" w:rsidRDefault="00A77FD4" w:rsidP="00B9304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77FD4" w:rsidRDefault="00A77FD4" w:rsidP="00A77F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25B3" w:rsidRDefault="00E325B3" w:rsidP="00A77FD4">
      <w:r>
        <w:separator/>
      </w:r>
    </w:p>
  </w:footnote>
  <w:footnote w:type="continuationSeparator" w:id="0">
    <w:p w:rsidR="00E325B3" w:rsidRDefault="00E325B3" w:rsidP="00A77F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61C18"/>
    <w:multiLevelType w:val="hybridMultilevel"/>
    <w:tmpl w:val="FE94274A"/>
    <w:lvl w:ilvl="0" w:tplc="8AE27C32">
      <w:start w:val="1"/>
      <w:numFmt w:val="lowerRoman"/>
      <w:lvlText w:val="%1."/>
      <w:lvlJc w:val="right"/>
      <w:pPr>
        <w:ind w:left="360" w:hanging="360"/>
      </w:pPr>
    </w:lvl>
    <w:lvl w:ilvl="1" w:tplc="F5FA0AF0" w:tentative="1">
      <w:start w:val="1"/>
      <w:numFmt w:val="lowerLetter"/>
      <w:lvlText w:val="%2."/>
      <w:lvlJc w:val="left"/>
      <w:pPr>
        <w:ind w:left="1080" w:hanging="360"/>
      </w:pPr>
    </w:lvl>
    <w:lvl w:ilvl="2" w:tplc="16729B00" w:tentative="1">
      <w:start w:val="1"/>
      <w:numFmt w:val="lowerRoman"/>
      <w:lvlText w:val="%3."/>
      <w:lvlJc w:val="right"/>
      <w:pPr>
        <w:ind w:left="1800" w:hanging="180"/>
      </w:pPr>
    </w:lvl>
    <w:lvl w:ilvl="3" w:tplc="B8121D7A" w:tentative="1">
      <w:start w:val="1"/>
      <w:numFmt w:val="decimal"/>
      <w:lvlText w:val="%4."/>
      <w:lvlJc w:val="left"/>
      <w:pPr>
        <w:ind w:left="2520" w:hanging="360"/>
      </w:pPr>
    </w:lvl>
    <w:lvl w:ilvl="4" w:tplc="1178AC22" w:tentative="1">
      <w:start w:val="1"/>
      <w:numFmt w:val="lowerLetter"/>
      <w:lvlText w:val="%5."/>
      <w:lvlJc w:val="left"/>
      <w:pPr>
        <w:ind w:left="3240" w:hanging="360"/>
      </w:pPr>
    </w:lvl>
    <w:lvl w:ilvl="5" w:tplc="16783FFA" w:tentative="1">
      <w:start w:val="1"/>
      <w:numFmt w:val="lowerRoman"/>
      <w:lvlText w:val="%6."/>
      <w:lvlJc w:val="right"/>
      <w:pPr>
        <w:ind w:left="3960" w:hanging="180"/>
      </w:pPr>
    </w:lvl>
    <w:lvl w:ilvl="6" w:tplc="CE38D8F0" w:tentative="1">
      <w:start w:val="1"/>
      <w:numFmt w:val="decimal"/>
      <w:lvlText w:val="%7."/>
      <w:lvlJc w:val="left"/>
      <w:pPr>
        <w:ind w:left="4680" w:hanging="360"/>
      </w:pPr>
    </w:lvl>
    <w:lvl w:ilvl="7" w:tplc="12A6E0DE" w:tentative="1">
      <w:start w:val="1"/>
      <w:numFmt w:val="lowerLetter"/>
      <w:lvlText w:val="%8."/>
      <w:lvlJc w:val="left"/>
      <w:pPr>
        <w:ind w:left="5400" w:hanging="360"/>
      </w:pPr>
    </w:lvl>
    <w:lvl w:ilvl="8" w:tplc="5BAC5A3E" w:tentative="1">
      <w:start w:val="1"/>
      <w:numFmt w:val="lowerRoman"/>
      <w:lvlText w:val="%9."/>
      <w:lvlJc w:val="right"/>
      <w:pPr>
        <w:ind w:left="6120" w:hanging="180"/>
      </w:pPr>
    </w:lvl>
  </w:abstractNum>
  <w:abstractNum w:abstractNumId="1" w15:restartNumberingAfterBreak="0">
    <w:nsid w:val="0BD10AFA"/>
    <w:multiLevelType w:val="hybridMultilevel"/>
    <w:tmpl w:val="8A3CA95E"/>
    <w:lvl w:ilvl="0" w:tplc="A02EA506">
      <w:start w:val="1"/>
      <w:numFmt w:val="lowerLetter"/>
      <w:lvlText w:val="%1."/>
      <w:lvlJc w:val="left"/>
      <w:pPr>
        <w:ind w:left="720" w:hanging="360"/>
      </w:pPr>
    </w:lvl>
    <w:lvl w:ilvl="1" w:tplc="5DE0AEAA" w:tentative="1">
      <w:start w:val="1"/>
      <w:numFmt w:val="lowerLetter"/>
      <w:lvlText w:val="%2."/>
      <w:lvlJc w:val="left"/>
      <w:pPr>
        <w:ind w:left="1440" w:hanging="360"/>
      </w:pPr>
    </w:lvl>
    <w:lvl w:ilvl="2" w:tplc="1AE05A06" w:tentative="1">
      <w:start w:val="1"/>
      <w:numFmt w:val="lowerRoman"/>
      <w:lvlText w:val="%3."/>
      <w:lvlJc w:val="right"/>
      <w:pPr>
        <w:ind w:left="2160" w:hanging="180"/>
      </w:pPr>
    </w:lvl>
    <w:lvl w:ilvl="3" w:tplc="269CBB68" w:tentative="1">
      <w:start w:val="1"/>
      <w:numFmt w:val="decimal"/>
      <w:lvlText w:val="%4."/>
      <w:lvlJc w:val="left"/>
      <w:pPr>
        <w:ind w:left="2880" w:hanging="360"/>
      </w:pPr>
    </w:lvl>
    <w:lvl w:ilvl="4" w:tplc="15DC08E2" w:tentative="1">
      <w:start w:val="1"/>
      <w:numFmt w:val="lowerLetter"/>
      <w:lvlText w:val="%5."/>
      <w:lvlJc w:val="left"/>
      <w:pPr>
        <w:ind w:left="3600" w:hanging="360"/>
      </w:pPr>
    </w:lvl>
    <w:lvl w:ilvl="5" w:tplc="20524C50" w:tentative="1">
      <w:start w:val="1"/>
      <w:numFmt w:val="lowerRoman"/>
      <w:lvlText w:val="%6."/>
      <w:lvlJc w:val="right"/>
      <w:pPr>
        <w:ind w:left="4320" w:hanging="180"/>
      </w:pPr>
    </w:lvl>
    <w:lvl w:ilvl="6" w:tplc="F29E1E80" w:tentative="1">
      <w:start w:val="1"/>
      <w:numFmt w:val="decimal"/>
      <w:lvlText w:val="%7."/>
      <w:lvlJc w:val="left"/>
      <w:pPr>
        <w:ind w:left="5040" w:hanging="360"/>
      </w:pPr>
    </w:lvl>
    <w:lvl w:ilvl="7" w:tplc="9EE68E32" w:tentative="1">
      <w:start w:val="1"/>
      <w:numFmt w:val="lowerLetter"/>
      <w:lvlText w:val="%8."/>
      <w:lvlJc w:val="left"/>
      <w:pPr>
        <w:ind w:left="5760" w:hanging="360"/>
      </w:pPr>
    </w:lvl>
    <w:lvl w:ilvl="8" w:tplc="8CC271B6" w:tentative="1">
      <w:start w:val="1"/>
      <w:numFmt w:val="lowerRoman"/>
      <w:lvlText w:val="%9."/>
      <w:lvlJc w:val="right"/>
      <w:pPr>
        <w:ind w:left="6480" w:hanging="180"/>
      </w:pPr>
    </w:lvl>
  </w:abstractNum>
  <w:abstractNum w:abstractNumId="2" w15:restartNumberingAfterBreak="0">
    <w:nsid w:val="11BC1CAE"/>
    <w:multiLevelType w:val="hybridMultilevel"/>
    <w:tmpl w:val="31D408A2"/>
    <w:lvl w:ilvl="0" w:tplc="B6380C02">
      <w:start w:val="1"/>
      <w:numFmt w:val="decimal"/>
      <w:lvlText w:val="%1."/>
      <w:lvlJc w:val="left"/>
      <w:pPr>
        <w:ind w:left="720" w:hanging="360"/>
      </w:pPr>
      <w:rPr>
        <w:b w:val="0"/>
      </w:rPr>
    </w:lvl>
    <w:lvl w:ilvl="1" w:tplc="E8D24E02" w:tentative="1">
      <w:start w:val="1"/>
      <w:numFmt w:val="lowerLetter"/>
      <w:lvlText w:val="%2."/>
      <w:lvlJc w:val="left"/>
      <w:pPr>
        <w:ind w:left="1440" w:hanging="360"/>
      </w:pPr>
    </w:lvl>
    <w:lvl w:ilvl="2" w:tplc="0FFA2672" w:tentative="1">
      <w:start w:val="1"/>
      <w:numFmt w:val="lowerRoman"/>
      <w:lvlText w:val="%3."/>
      <w:lvlJc w:val="right"/>
      <w:pPr>
        <w:ind w:left="2160" w:hanging="180"/>
      </w:pPr>
    </w:lvl>
    <w:lvl w:ilvl="3" w:tplc="5FB881D6" w:tentative="1">
      <w:start w:val="1"/>
      <w:numFmt w:val="decimal"/>
      <w:lvlText w:val="%4."/>
      <w:lvlJc w:val="left"/>
      <w:pPr>
        <w:ind w:left="2880" w:hanging="360"/>
      </w:pPr>
    </w:lvl>
    <w:lvl w:ilvl="4" w:tplc="536021D2" w:tentative="1">
      <w:start w:val="1"/>
      <w:numFmt w:val="lowerLetter"/>
      <w:lvlText w:val="%5."/>
      <w:lvlJc w:val="left"/>
      <w:pPr>
        <w:ind w:left="3600" w:hanging="360"/>
      </w:pPr>
    </w:lvl>
    <w:lvl w:ilvl="5" w:tplc="B5A4F574" w:tentative="1">
      <w:start w:val="1"/>
      <w:numFmt w:val="lowerRoman"/>
      <w:lvlText w:val="%6."/>
      <w:lvlJc w:val="right"/>
      <w:pPr>
        <w:ind w:left="4320" w:hanging="180"/>
      </w:pPr>
    </w:lvl>
    <w:lvl w:ilvl="6" w:tplc="F5AEBBE0" w:tentative="1">
      <w:start w:val="1"/>
      <w:numFmt w:val="decimal"/>
      <w:lvlText w:val="%7."/>
      <w:lvlJc w:val="left"/>
      <w:pPr>
        <w:ind w:left="5040" w:hanging="360"/>
      </w:pPr>
    </w:lvl>
    <w:lvl w:ilvl="7" w:tplc="1CA68EE0" w:tentative="1">
      <w:start w:val="1"/>
      <w:numFmt w:val="lowerLetter"/>
      <w:lvlText w:val="%8."/>
      <w:lvlJc w:val="left"/>
      <w:pPr>
        <w:ind w:left="5760" w:hanging="360"/>
      </w:pPr>
    </w:lvl>
    <w:lvl w:ilvl="8" w:tplc="89A64ACC" w:tentative="1">
      <w:start w:val="1"/>
      <w:numFmt w:val="lowerRoman"/>
      <w:lvlText w:val="%9."/>
      <w:lvlJc w:val="right"/>
      <w:pPr>
        <w:ind w:left="6480" w:hanging="180"/>
      </w:pPr>
    </w:lvl>
  </w:abstractNum>
  <w:abstractNum w:abstractNumId="3" w15:restartNumberingAfterBreak="0">
    <w:nsid w:val="15C5528A"/>
    <w:multiLevelType w:val="multilevel"/>
    <w:tmpl w:val="5F665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7503B1"/>
    <w:multiLevelType w:val="hybridMultilevel"/>
    <w:tmpl w:val="362ED0FC"/>
    <w:lvl w:ilvl="0" w:tplc="E2C66AC6">
      <w:start w:val="1"/>
      <w:numFmt w:val="decimal"/>
      <w:lvlText w:val="%1."/>
      <w:lvlJc w:val="left"/>
      <w:pPr>
        <w:ind w:left="720" w:hanging="360"/>
      </w:pPr>
      <w:rPr>
        <w:rFonts w:hint="default"/>
      </w:rPr>
    </w:lvl>
    <w:lvl w:ilvl="1" w:tplc="96747F56" w:tentative="1">
      <w:start w:val="1"/>
      <w:numFmt w:val="lowerLetter"/>
      <w:lvlText w:val="%2."/>
      <w:lvlJc w:val="left"/>
      <w:pPr>
        <w:ind w:left="1440" w:hanging="360"/>
      </w:pPr>
    </w:lvl>
    <w:lvl w:ilvl="2" w:tplc="701EB07E" w:tentative="1">
      <w:start w:val="1"/>
      <w:numFmt w:val="lowerRoman"/>
      <w:lvlText w:val="%3."/>
      <w:lvlJc w:val="right"/>
      <w:pPr>
        <w:ind w:left="2160" w:hanging="180"/>
      </w:pPr>
    </w:lvl>
    <w:lvl w:ilvl="3" w:tplc="7A743FFA" w:tentative="1">
      <w:start w:val="1"/>
      <w:numFmt w:val="decimal"/>
      <w:lvlText w:val="%4."/>
      <w:lvlJc w:val="left"/>
      <w:pPr>
        <w:ind w:left="2880" w:hanging="360"/>
      </w:pPr>
    </w:lvl>
    <w:lvl w:ilvl="4" w:tplc="C8725E6E" w:tentative="1">
      <w:start w:val="1"/>
      <w:numFmt w:val="lowerLetter"/>
      <w:lvlText w:val="%5."/>
      <w:lvlJc w:val="left"/>
      <w:pPr>
        <w:ind w:left="3600" w:hanging="360"/>
      </w:pPr>
    </w:lvl>
    <w:lvl w:ilvl="5" w:tplc="1BB2E908" w:tentative="1">
      <w:start w:val="1"/>
      <w:numFmt w:val="lowerRoman"/>
      <w:lvlText w:val="%6."/>
      <w:lvlJc w:val="right"/>
      <w:pPr>
        <w:ind w:left="4320" w:hanging="180"/>
      </w:pPr>
    </w:lvl>
    <w:lvl w:ilvl="6" w:tplc="7B90CC74" w:tentative="1">
      <w:start w:val="1"/>
      <w:numFmt w:val="decimal"/>
      <w:lvlText w:val="%7."/>
      <w:lvlJc w:val="left"/>
      <w:pPr>
        <w:ind w:left="5040" w:hanging="360"/>
      </w:pPr>
    </w:lvl>
    <w:lvl w:ilvl="7" w:tplc="F66C4B1C" w:tentative="1">
      <w:start w:val="1"/>
      <w:numFmt w:val="lowerLetter"/>
      <w:lvlText w:val="%8."/>
      <w:lvlJc w:val="left"/>
      <w:pPr>
        <w:ind w:left="5760" w:hanging="360"/>
      </w:pPr>
    </w:lvl>
    <w:lvl w:ilvl="8" w:tplc="CFB62C54" w:tentative="1">
      <w:start w:val="1"/>
      <w:numFmt w:val="lowerRoman"/>
      <w:lvlText w:val="%9."/>
      <w:lvlJc w:val="right"/>
      <w:pPr>
        <w:ind w:left="6480" w:hanging="180"/>
      </w:pPr>
    </w:lvl>
  </w:abstractNum>
  <w:abstractNum w:abstractNumId="5" w15:restartNumberingAfterBreak="0">
    <w:nsid w:val="327B5F25"/>
    <w:multiLevelType w:val="hybridMultilevel"/>
    <w:tmpl w:val="BB7E4BFC"/>
    <w:lvl w:ilvl="0" w:tplc="447EFDCE">
      <w:start w:val="1"/>
      <w:numFmt w:val="lowerLetter"/>
      <w:lvlText w:val="%1."/>
      <w:lvlJc w:val="left"/>
      <w:pPr>
        <w:ind w:left="720" w:hanging="360"/>
      </w:pPr>
    </w:lvl>
    <w:lvl w:ilvl="1" w:tplc="808E6DF4" w:tentative="1">
      <w:start w:val="1"/>
      <w:numFmt w:val="lowerLetter"/>
      <w:lvlText w:val="%2."/>
      <w:lvlJc w:val="left"/>
      <w:pPr>
        <w:ind w:left="1440" w:hanging="360"/>
      </w:pPr>
    </w:lvl>
    <w:lvl w:ilvl="2" w:tplc="A678B6DC" w:tentative="1">
      <w:start w:val="1"/>
      <w:numFmt w:val="lowerRoman"/>
      <w:lvlText w:val="%3."/>
      <w:lvlJc w:val="right"/>
      <w:pPr>
        <w:ind w:left="2160" w:hanging="180"/>
      </w:pPr>
    </w:lvl>
    <w:lvl w:ilvl="3" w:tplc="8A4285B6" w:tentative="1">
      <w:start w:val="1"/>
      <w:numFmt w:val="decimal"/>
      <w:lvlText w:val="%4."/>
      <w:lvlJc w:val="left"/>
      <w:pPr>
        <w:ind w:left="2880" w:hanging="360"/>
      </w:pPr>
    </w:lvl>
    <w:lvl w:ilvl="4" w:tplc="31283056" w:tentative="1">
      <w:start w:val="1"/>
      <w:numFmt w:val="lowerLetter"/>
      <w:lvlText w:val="%5."/>
      <w:lvlJc w:val="left"/>
      <w:pPr>
        <w:ind w:left="3600" w:hanging="360"/>
      </w:pPr>
    </w:lvl>
    <w:lvl w:ilvl="5" w:tplc="D6727342" w:tentative="1">
      <w:start w:val="1"/>
      <w:numFmt w:val="lowerRoman"/>
      <w:lvlText w:val="%6."/>
      <w:lvlJc w:val="right"/>
      <w:pPr>
        <w:ind w:left="4320" w:hanging="180"/>
      </w:pPr>
    </w:lvl>
    <w:lvl w:ilvl="6" w:tplc="084EFF14" w:tentative="1">
      <w:start w:val="1"/>
      <w:numFmt w:val="decimal"/>
      <w:lvlText w:val="%7."/>
      <w:lvlJc w:val="left"/>
      <w:pPr>
        <w:ind w:left="5040" w:hanging="360"/>
      </w:pPr>
    </w:lvl>
    <w:lvl w:ilvl="7" w:tplc="289EC29E" w:tentative="1">
      <w:start w:val="1"/>
      <w:numFmt w:val="lowerLetter"/>
      <w:lvlText w:val="%8."/>
      <w:lvlJc w:val="left"/>
      <w:pPr>
        <w:ind w:left="5760" w:hanging="360"/>
      </w:pPr>
    </w:lvl>
    <w:lvl w:ilvl="8" w:tplc="E22C38FC" w:tentative="1">
      <w:start w:val="1"/>
      <w:numFmt w:val="lowerRoman"/>
      <w:lvlText w:val="%9."/>
      <w:lvlJc w:val="right"/>
      <w:pPr>
        <w:ind w:left="6480" w:hanging="180"/>
      </w:pPr>
    </w:lvl>
  </w:abstractNum>
  <w:abstractNum w:abstractNumId="6" w15:restartNumberingAfterBreak="0">
    <w:nsid w:val="39D0291D"/>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3AA3483F"/>
    <w:multiLevelType w:val="hybridMultilevel"/>
    <w:tmpl w:val="4C4EBB04"/>
    <w:lvl w:ilvl="0" w:tplc="DEB422C6">
      <w:start w:val="1"/>
      <w:numFmt w:val="decimal"/>
      <w:lvlText w:val="%1)"/>
      <w:lvlJc w:val="left"/>
      <w:pPr>
        <w:ind w:left="360" w:hanging="360"/>
      </w:pPr>
    </w:lvl>
    <w:lvl w:ilvl="1" w:tplc="7C68375C" w:tentative="1">
      <w:start w:val="1"/>
      <w:numFmt w:val="lowerLetter"/>
      <w:lvlText w:val="%2."/>
      <w:lvlJc w:val="left"/>
      <w:pPr>
        <w:ind w:left="1080" w:hanging="360"/>
      </w:pPr>
    </w:lvl>
    <w:lvl w:ilvl="2" w:tplc="351AABA8" w:tentative="1">
      <w:start w:val="1"/>
      <w:numFmt w:val="lowerRoman"/>
      <w:lvlText w:val="%3."/>
      <w:lvlJc w:val="right"/>
      <w:pPr>
        <w:ind w:left="1800" w:hanging="180"/>
      </w:pPr>
    </w:lvl>
    <w:lvl w:ilvl="3" w:tplc="FA9836D6" w:tentative="1">
      <w:start w:val="1"/>
      <w:numFmt w:val="decimal"/>
      <w:lvlText w:val="%4."/>
      <w:lvlJc w:val="left"/>
      <w:pPr>
        <w:ind w:left="2520" w:hanging="360"/>
      </w:pPr>
    </w:lvl>
    <w:lvl w:ilvl="4" w:tplc="3F04EF80" w:tentative="1">
      <w:start w:val="1"/>
      <w:numFmt w:val="lowerLetter"/>
      <w:lvlText w:val="%5."/>
      <w:lvlJc w:val="left"/>
      <w:pPr>
        <w:ind w:left="3240" w:hanging="360"/>
      </w:pPr>
    </w:lvl>
    <w:lvl w:ilvl="5" w:tplc="960E2362" w:tentative="1">
      <w:start w:val="1"/>
      <w:numFmt w:val="lowerRoman"/>
      <w:lvlText w:val="%6."/>
      <w:lvlJc w:val="right"/>
      <w:pPr>
        <w:ind w:left="3960" w:hanging="180"/>
      </w:pPr>
    </w:lvl>
    <w:lvl w:ilvl="6" w:tplc="CDDAC1EC" w:tentative="1">
      <w:start w:val="1"/>
      <w:numFmt w:val="decimal"/>
      <w:lvlText w:val="%7."/>
      <w:lvlJc w:val="left"/>
      <w:pPr>
        <w:ind w:left="4680" w:hanging="360"/>
      </w:pPr>
    </w:lvl>
    <w:lvl w:ilvl="7" w:tplc="1DC80916" w:tentative="1">
      <w:start w:val="1"/>
      <w:numFmt w:val="lowerLetter"/>
      <w:lvlText w:val="%8."/>
      <w:lvlJc w:val="left"/>
      <w:pPr>
        <w:ind w:left="5400" w:hanging="360"/>
      </w:pPr>
    </w:lvl>
    <w:lvl w:ilvl="8" w:tplc="0C6AA9B4" w:tentative="1">
      <w:start w:val="1"/>
      <w:numFmt w:val="lowerRoman"/>
      <w:lvlText w:val="%9."/>
      <w:lvlJc w:val="right"/>
      <w:pPr>
        <w:ind w:left="6120" w:hanging="180"/>
      </w:pPr>
    </w:lvl>
  </w:abstractNum>
  <w:abstractNum w:abstractNumId="8" w15:restartNumberingAfterBreak="0">
    <w:nsid w:val="3AA765D4"/>
    <w:multiLevelType w:val="multilevel"/>
    <w:tmpl w:val="A5148D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0F5349E"/>
    <w:multiLevelType w:val="hybridMultilevel"/>
    <w:tmpl w:val="9432B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4C738AB"/>
    <w:multiLevelType w:val="hybridMultilevel"/>
    <w:tmpl w:val="899242C2"/>
    <w:lvl w:ilvl="0" w:tplc="1D1C060E">
      <w:start w:val="1"/>
      <w:numFmt w:val="lowerLetter"/>
      <w:lvlText w:val="%1."/>
      <w:lvlJc w:val="left"/>
      <w:pPr>
        <w:ind w:left="720" w:hanging="360"/>
      </w:pPr>
    </w:lvl>
    <w:lvl w:ilvl="1" w:tplc="B5B8E580" w:tentative="1">
      <w:start w:val="1"/>
      <w:numFmt w:val="lowerLetter"/>
      <w:lvlText w:val="%2."/>
      <w:lvlJc w:val="left"/>
      <w:pPr>
        <w:ind w:left="1440" w:hanging="360"/>
      </w:pPr>
    </w:lvl>
    <w:lvl w:ilvl="2" w:tplc="25881DAC" w:tentative="1">
      <w:start w:val="1"/>
      <w:numFmt w:val="lowerRoman"/>
      <w:lvlText w:val="%3."/>
      <w:lvlJc w:val="right"/>
      <w:pPr>
        <w:ind w:left="2160" w:hanging="180"/>
      </w:pPr>
    </w:lvl>
    <w:lvl w:ilvl="3" w:tplc="8F32016E" w:tentative="1">
      <w:start w:val="1"/>
      <w:numFmt w:val="decimal"/>
      <w:lvlText w:val="%4."/>
      <w:lvlJc w:val="left"/>
      <w:pPr>
        <w:ind w:left="2880" w:hanging="360"/>
      </w:pPr>
    </w:lvl>
    <w:lvl w:ilvl="4" w:tplc="4778405C" w:tentative="1">
      <w:start w:val="1"/>
      <w:numFmt w:val="lowerLetter"/>
      <w:lvlText w:val="%5."/>
      <w:lvlJc w:val="left"/>
      <w:pPr>
        <w:ind w:left="3600" w:hanging="360"/>
      </w:pPr>
    </w:lvl>
    <w:lvl w:ilvl="5" w:tplc="54F6FD80" w:tentative="1">
      <w:start w:val="1"/>
      <w:numFmt w:val="lowerRoman"/>
      <w:lvlText w:val="%6."/>
      <w:lvlJc w:val="right"/>
      <w:pPr>
        <w:ind w:left="4320" w:hanging="180"/>
      </w:pPr>
    </w:lvl>
    <w:lvl w:ilvl="6" w:tplc="A3D2311A" w:tentative="1">
      <w:start w:val="1"/>
      <w:numFmt w:val="decimal"/>
      <w:lvlText w:val="%7."/>
      <w:lvlJc w:val="left"/>
      <w:pPr>
        <w:ind w:left="5040" w:hanging="360"/>
      </w:pPr>
    </w:lvl>
    <w:lvl w:ilvl="7" w:tplc="3642F128" w:tentative="1">
      <w:start w:val="1"/>
      <w:numFmt w:val="lowerLetter"/>
      <w:lvlText w:val="%8."/>
      <w:lvlJc w:val="left"/>
      <w:pPr>
        <w:ind w:left="5760" w:hanging="360"/>
      </w:pPr>
    </w:lvl>
    <w:lvl w:ilvl="8" w:tplc="0CB242CA" w:tentative="1">
      <w:start w:val="1"/>
      <w:numFmt w:val="lowerRoman"/>
      <w:lvlText w:val="%9."/>
      <w:lvlJc w:val="right"/>
      <w:pPr>
        <w:ind w:left="6480" w:hanging="180"/>
      </w:pPr>
    </w:lvl>
  </w:abstractNum>
  <w:abstractNum w:abstractNumId="11" w15:restartNumberingAfterBreak="0">
    <w:nsid w:val="451C1071"/>
    <w:multiLevelType w:val="hybridMultilevel"/>
    <w:tmpl w:val="E5407A24"/>
    <w:lvl w:ilvl="0" w:tplc="7444C9BE">
      <w:start w:val="1"/>
      <w:numFmt w:val="decimal"/>
      <w:lvlText w:val="%1."/>
      <w:lvlJc w:val="left"/>
      <w:pPr>
        <w:ind w:left="927" w:hanging="360"/>
      </w:pPr>
    </w:lvl>
    <w:lvl w:ilvl="1" w:tplc="1F6CFB40" w:tentative="1">
      <w:start w:val="1"/>
      <w:numFmt w:val="lowerLetter"/>
      <w:lvlText w:val="%2."/>
      <w:lvlJc w:val="left"/>
      <w:pPr>
        <w:ind w:left="1647" w:hanging="360"/>
      </w:pPr>
    </w:lvl>
    <w:lvl w:ilvl="2" w:tplc="4D204BDA" w:tentative="1">
      <w:start w:val="1"/>
      <w:numFmt w:val="lowerRoman"/>
      <w:lvlText w:val="%3."/>
      <w:lvlJc w:val="right"/>
      <w:pPr>
        <w:ind w:left="2367" w:hanging="180"/>
      </w:pPr>
    </w:lvl>
    <w:lvl w:ilvl="3" w:tplc="4E1E4BF4" w:tentative="1">
      <w:start w:val="1"/>
      <w:numFmt w:val="decimal"/>
      <w:lvlText w:val="%4."/>
      <w:lvlJc w:val="left"/>
      <w:pPr>
        <w:ind w:left="3087" w:hanging="360"/>
      </w:pPr>
    </w:lvl>
    <w:lvl w:ilvl="4" w:tplc="4432B77E" w:tentative="1">
      <w:start w:val="1"/>
      <w:numFmt w:val="lowerLetter"/>
      <w:lvlText w:val="%5."/>
      <w:lvlJc w:val="left"/>
      <w:pPr>
        <w:ind w:left="3807" w:hanging="360"/>
      </w:pPr>
    </w:lvl>
    <w:lvl w:ilvl="5" w:tplc="0D8AECA0" w:tentative="1">
      <w:start w:val="1"/>
      <w:numFmt w:val="lowerRoman"/>
      <w:lvlText w:val="%6."/>
      <w:lvlJc w:val="right"/>
      <w:pPr>
        <w:ind w:left="4527" w:hanging="180"/>
      </w:pPr>
    </w:lvl>
    <w:lvl w:ilvl="6" w:tplc="409275E8" w:tentative="1">
      <w:start w:val="1"/>
      <w:numFmt w:val="decimal"/>
      <w:lvlText w:val="%7."/>
      <w:lvlJc w:val="left"/>
      <w:pPr>
        <w:ind w:left="5247" w:hanging="360"/>
      </w:pPr>
    </w:lvl>
    <w:lvl w:ilvl="7" w:tplc="C448813A" w:tentative="1">
      <w:start w:val="1"/>
      <w:numFmt w:val="lowerLetter"/>
      <w:lvlText w:val="%8."/>
      <w:lvlJc w:val="left"/>
      <w:pPr>
        <w:ind w:left="5967" w:hanging="360"/>
      </w:pPr>
    </w:lvl>
    <w:lvl w:ilvl="8" w:tplc="239C843E" w:tentative="1">
      <w:start w:val="1"/>
      <w:numFmt w:val="lowerRoman"/>
      <w:lvlText w:val="%9."/>
      <w:lvlJc w:val="right"/>
      <w:pPr>
        <w:ind w:left="6687" w:hanging="180"/>
      </w:pPr>
    </w:lvl>
  </w:abstractNum>
  <w:abstractNum w:abstractNumId="12" w15:restartNumberingAfterBreak="0">
    <w:nsid w:val="4A236F91"/>
    <w:multiLevelType w:val="multilevel"/>
    <w:tmpl w:val="B36A6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2FF3BE6"/>
    <w:multiLevelType w:val="hybridMultilevel"/>
    <w:tmpl w:val="6CF679C8"/>
    <w:lvl w:ilvl="0" w:tplc="A79E068E">
      <w:start w:val="1"/>
      <w:numFmt w:val="lowerRoman"/>
      <w:lvlText w:val="%1."/>
      <w:lvlJc w:val="right"/>
      <w:pPr>
        <w:ind w:left="720" w:hanging="360"/>
      </w:pPr>
    </w:lvl>
    <w:lvl w:ilvl="1" w:tplc="CDB406AA" w:tentative="1">
      <w:start w:val="1"/>
      <w:numFmt w:val="lowerLetter"/>
      <w:lvlText w:val="%2."/>
      <w:lvlJc w:val="left"/>
      <w:pPr>
        <w:ind w:left="1440" w:hanging="360"/>
      </w:pPr>
    </w:lvl>
    <w:lvl w:ilvl="2" w:tplc="21D0870E" w:tentative="1">
      <w:start w:val="1"/>
      <w:numFmt w:val="lowerRoman"/>
      <w:lvlText w:val="%3."/>
      <w:lvlJc w:val="right"/>
      <w:pPr>
        <w:ind w:left="2160" w:hanging="180"/>
      </w:pPr>
    </w:lvl>
    <w:lvl w:ilvl="3" w:tplc="937C961C" w:tentative="1">
      <w:start w:val="1"/>
      <w:numFmt w:val="decimal"/>
      <w:lvlText w:val="%4."/>
      <w:lvlJc w:val="left"/>
      <w:pPr>
        <w:ind w:left="2880" w:hanging="360"/>
      </w:pPr>
    </w:lvl>
    <w:lvl w:ilvl="4" w:tplc="52C853CE" w:tentative="1">
      <w:start w:val="1"/>
      <w:numFmt w:val="lowerLetter"/>
      <w:lvlText w:val="%5."/>
      <w:lvlJc w:val="left"/>
      <w:pPr>
        <w:ind w:left="3600" w:hanging="360"/>
      </w:pPr>
    </w:lvl>
    <w:lvl w:ilvl="5" w:tplc="5FAA7A90" w:tentative="1">
      <w:start w:val="1"/>
      <w:numFmt w:val="lowerRoman"/>
      <w:lvlText w:val="%6."/>
      <w:lvlJc w:val="right"/>
      <w:pPr>
        <w:ind w:left="4320" w:hanging="180"/>
      </w:pPr>
    </w:lvl>
    <w:lvl w:ilvl="6" w:tplc="6AE8DF1E" w:tentative="1">
      <w:start w:val="1"/>
      <w:numFmt w:val="decimal"/>
      <w:lvlText w:val="%7."/>
      <w:lvlJc w:val="left"/>
      <w:pPr>
        <w:ind w:left="5040" w:hanging="360"/>
      </w:pPr>
    </w:lvl>
    <w:lvl w:ilvl="7" w:tplc="09D6DAF0" w:tentative="1">
      <w:start w:val="1"/>
      <w:numFmt w:val="lowerLetter"/>
      <w:lvlText w:val="%8."/>
      <w:lvlJc w:val="left"/>
      <w:pPr>
        <w:ind w:left="5760" w:hanging="360"/>
      </w:pPr>
    </w:lvl>
    <w:lvl w:ilvl="8" w:tplc="D69C983C" w:tentative="1">
      <w:start w:val="1"/>
      <w:numFmt w:val="lowerRoman"/>
      <w:lvlText w:val="%9."/>
      <w:lvlJc w:val="right"/>
      <w:pPr>
        <w:ind w:left="6480" w:hanging="180"/>
      </w:pPr>
    </w:lvl>
  </w:abstractNum>
  <w:abstractNum w:abstractNumId="14" w15:restartNumberingAfterBreak="0">
    <w:nsid w:val="55ED2084"/>
    <w:multiLevelType w:val="hybridMultilevel"/>
    <w:tmpl w:val="2EE214D8"/>
    <w:lvl w:ilvl="0" w:tplc="77044C3A">
      <w:start w:val="1"/>
      <w:numFmt w:val="decimal"/>
      <w:lvlText w:val="%1."/>
      <w:lvlJc w:val="left"/>
      <w:pPr>
        <w:ind w:left="720" w:hanging="360"/>
      </w:pPr>
      <w:rPr>
        <w:b w:val="0"/>
      </w:rPr>
    </w:lvl>
    <w:lvl w:ilvl="1" w:tplc="CF9C240A" w:tentative="1">
      <w:start w:val="1"/>
      <w:numFmt w:val="lowerLetter"/>
      <w:lvlText w:val="%2."/>
      <w:lvlJc w:val="left"/>
      <w:pPr>
        <w:ind w:left="1440" w:hanging="360"/>
      </w:pPr>
    </w:lvl>
    <w:lvl w:ilvl="2" w:tplc="1BC0E712" w:tentative="1">
      <w:start w:val="1"/>
      <w:numFmt w:val="lowerRoman"/>
      <w:lvlText w:val="%3."/>
      <w:lvlJc w:val="right"/>
      <w:pPr>
        <w:ind w:left="2160" w:hanging="180"/>
      </w:pPr>
    </w:lvl>
    <w:lvl w:ilvl="3" w:tplc="61E2809A" w:tentative="1">
      <w:start w:val="1"/>
      <w:numFmt w:val="decimal"/>
      <w:lvlText w:val="%4."/>
      <w:lvlJc w:val="left"/>
      <w:pPr>
        <w:ind w:left="2880" w:hanging="360"/>
      </w:pPr>
    </w:lvl>
    <w:lvl w:ilvl="4" w:tplc="3B3CC5A6" w:tentative="1">
      <w:start w:val="1"/>
      <w:numFmt w:val="lowerLetter"/>
      <w:lvlText w:val="%5."/>
      <w:lvlJc w:val="left"/>
      <w:pPr>
        <w:ind w:left="3600" w:hanging="360"/>
      </w:pPr>
    </w:lvl>
    <w:lvl w:ilvl="5" w:tplc="06381560" w:tentative="1">
      <w:start w:val="1"/>
      <w:numFmt w:val="lowerRoman"/>
      <w:lvlText w:val="%6."/>
      <w:lvlJc w:val="right"/>
      <w:pPr>
        <w:ind w:left="4320" w:hanging="180"/>
      </w:pPr>
    </w:lvl>
    <w:lvl w:ilvl="6" w:tplc="6652ECF8" w:tentative="1">
      <w:start w:val="1"/>
      <w:numFmt w:val="decimal"/>
      <w:lvlText w:val="%7."/>
      <w:lvlJc w:val="left"/>
      <w:pPr>
        <w:ind w:left="5040" w:hanging="360"/>
      </w:pPr>
    </w:lvl>
    <w:lvl w:ilvl="7" w:tplc="6442C5DE" w:tentative="1">
      <w:start w:val="1"/>
      <w:numFmt w:val="lowerLetter"/>
      <w:lvlText w:val="%8."/>
      <w:lvlJc w:val="left"/>
      <w:pPr>
        <w:ind w:left="5760" w:hanging="360"/>
      </w:pPr>
    </w:lvl>
    <w:lvl w:ilvl="8" w:tplc="5810EB1E" w:tentative="1">
      <w:start w:val="1"/>
      <w:numFmt w:val="lowerRoman"/>
      <w:lvlText w:val="%9."/>
      <w:lvlJc w:val="right"/>
      <w:pPr>
        <w:ind w:left="6480" w:hanging="180"/>
      </w:pPr>
    </w:lvl>
  </w:abstractNum>
  <w:abstractNum w:abstractNumId="15" w15:restartNumberingAfterBreak="0">
    <w:nsid w:val="609D3347"/>
    <w:multiLevelType w:val="multilevel"/>
    <w:tmpl w:val="BD96CF1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6D4F3601"/>
    <w:multiLevelType w:val="hybridMultilevel"/>
    <w:tmpl w:val="4B462D78"/>
    <w:lvl w:ilvl="0" w:tplc="DEA643E6">
      <w:start w:val="1"/>
      <w:numFmt w:val="decimal"/>
      <w:lvlText w:val="%1."/>
      <w:lvlJc w:val="left"/>
      <w:pPr>
        <w:ind w:left="720" w:hanging="360"/>
      </w:pPr>
      <w:rPr>
        <w:rFonts w:hint="default"/>
      </w:rPr>
    </w:lvl>
    <w:lvl w:ilvl="1" w:tplc="2272F2B4" w:tentative="1">
      <w:start w:val="1"/>
      <w:numFmt w:val="lowerLetter"/>
      <w:lvlText w:val="%2."/>
      <w:lvlJc w:val="left"/>
      <w:pPr>
        <w:ind w:left="1440" w:hanging="360"/>
      </w:pPr>
    </w:lvl>
    <w:lvl w:ilvl="2" w:tplc="723263F8" w:tentative="1">
      <w:start w:val="1"/>
      <w:numFmt w:val="lowerRoman"/>
      <w:lvlText w:val="%3."/>
      <w:lvlJc w:val="right"/>
      <w:pPr>
        <w:ind w:left="2160" w:hanging="180"/>
      </w:pPr>
    </w:lvl>
    <w:lvl w:ilvl="3" w:tplc="BE50BC90" w:tentative="1">
      <w:start w:val="1"/>
      <w:numFmt w:val="decimal"/>
      <w:lvlText w:val="%4."/>
      <w:lvlJc w:val="left"/>
      <w:pPr>
        <w:ind w:left="2880" w:hanging="360"/>
      </w:pPr>
    </w:lvl>
    <w:lvl w:ilvl="4" w:tplc="92AC4424" w:tentative="1">
      <w:start w:val="1"/>
      <w:numFmt w:val="lowerLetter"/>
      <w:lvlText w:val="%5."/>
      <w:lvlJc w:val="left"/>
      <w:pPr>
        <w:ind w:left="3600" w:hanging="360"/>
      </w:pPr>
    </w:lvl>
    <w:lvl w:ilvl="5" w:tplc="6DAE339A" w:tentative="1">
      <w:start w:val="1"/>
      <w:numFmt w:val="lowerRoman"/>
      <w:lvlText w:val="%6."/>
      <w:lvlJc w:val="right"/>
      <w:pPr>
        <w:ind w:left="4320" w:hanging="180"/>
      </w:pPr>
    </w:lvl>
    <w:lvl w:ilvl="6" w:tplc="EDB2477E" w:tentative="1">
      <w:start w:val="1"/>
      <w:numFmt w:val="decimal"/>
      <w:lvlText w:val="%7."/>
      <w:lvlJc w:val="left"/>
      <w:pPr>
        <w:ind w:left="5040" w:hanging="360"/>
      </w:pPr>
    </w:lvl>
    <w:lvl w:ilvl="7" w:tplc="FA9CEF86" w:tentative="1">
      <w:start w:val="1"/>
      <w:numFmt w:val="lowerLetter"/>
      <w:lvlText w:val="%8."/>
      <w:lvlJc w:val="left"/>
      <w:pPr>
        <w:ind w:left="5760" w:hanging="360"/>
      </w:pPr>
    </w:lvl>
    <w:lvl w:ilvl="8" w:tplc="7E449460" w:tentative="1">
      <w:start w:val="1"/>
      <w:numFmt w:val="lowerRoman"/>
      <w:lvlText w:val="%9."/>
      <w:lvlJc w:val="right"/>
      <w:pPr>
        <w:ind w:left="6480" w:hanging="180"/>
      </w:pPr>
    </w:lvl>
  </w:abstractNum>
  <w:abstractNum w:abstractNumId="17" w15:restartNumberingAfterBreak="0">
    <w:nsid w:val="6FFA2008"/>
    <w:multiLevelType w:val="hybridMultilevel"/>
    <w:tmpl w:val="F3F6E08C"/>
    <w:lvl w:ilvl="0" w:tplc="B96AAEA0">
      <w:start w:val="1"/>
      <w:numFmt w:val="lowerLetter"/>
      <w:lvlText w:val="%1."/>
      <w:lvlJc w:val="left"/>
      <w:pPr>
        <w:ind w:left="360" w:hanging="360"/>
      </w:pPr>
    </w:lvl>
    <w:lvl w:ilvl="1" w:tplc="D8EA3B9E" w:tentative="1">
      <w:start w:val="1"/>
      <w:numFmt w:val="lowerLetter"/>
      <w:lvlText w:val="%2."/>
      <w:lvlJc w:val="left"/>
      <w:pPr>
        <w:ind w:left="1080" w:hanging="360"/>
      </w:pPr>
    </w:lvl>
    <w:lvl w:ilvl="2" w:tplc="91D87B2A" w:tentative="1">
      <w:start w:val="1"/>
      <w:numFmt w:val="lowerRoman"/>
      <w:lvlText w:val="%3."/>
      <w:lvlJc w:val="right"/>
      <w:pPr>
        <w:ind w:left="1800" w:hanging="180"/>
      </w:pPr>
    </w:lvl>
    <w:lvl w:ilvl="3" w:tplc="8C32FA78" w:tentative="1">
      <w:start w:val="1"/>
      <w:numFmt w:val="decimal"/>
      <w:lvlText w:val="%4."/>
      <w:lvlJc w:val="left"/>
      <w:pPr>
        <w:ind w:left="2520" w:hanging="360"/>
      </w:pPr>
    </w:lvl>
    <w:lvl w:ilvl="4" w:tplc="5BD20FDE" w:tentative="1">
      <w:start w:val="1"/>
      <w:numFmt w:val="lowerLetter"/>
      <w:lvlText w:val="%5."/>
      <w:lvlJc w:val="left"/>
      <w:pPr>
        <w:ind w:left="3240" w:hanging="360"/>
      </w:pPr>
    </w:lvl>
    <w:lvl w:ilvl="5" w:tplc="03481AC8" w:tentative="1">
      <w:start w:val="1"/>
      <w:numFmt w:val="lowerRoman"/>
      <w:lvlText w:val="%6."/>
      <w:lvlJc w:val="right"/>
      <w:pPr>
        <w:ind w:left="3960" w:hanging="180"/>
      </w:pPr>
    </w:lvl>
    <w:lvl w:ilvl="6" w:tplc="CC22C784" w:tentative="1">
      <w:start w:val="1"/>
      <w:numFmt w:val="decimal"/>
      <w:lvlText w:val="%7."/>
      <w:lvlJc w:val="left"/>
      <w:pPr>
        <w:ind w:left="4680" w:hanging="360"/>
      </w:pPr>
    </w:lvl>
    <w:lvl w:ilvl="7" w:tplc="B94E6F60" w:tentative="1">
      <w:start w:val="1"/>
      <w:numFmt w:val="lowerLetter"/>
      <w:lvlText w:val="%8."/>
      <w:lvlJc w:val="left"/>
      <w:pPr>
        <w:ind w:left="5400" w:hanging="360"/>
      </w:pPr>
    </w:lvl>
    <w:lvl w:ilvl="8" w:tplc="124089D6" w:tentative="1">
      <w:start w:val="1"/>
      <w:numFmt w:val="lowerRoman"/>
      <w:lvlText w:val="%9."/>
      <w:lvlJc w:val="right"/>
      <w:pPr>
        <w:ind w:left="6120" w:hanging="180"/>
      </w:pPr>
    </w:lvl>
  </w:abstractNum>
  <w:abstractNum w:abstractNumId="18" w15:restartNumberingAfterBreak="0">
    <w:nsid w:val="7FA40F0E"/>
    <w:multiLevelType w:val="multilevel"/>
    <w:tmpl w:val="702E1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13"/>
  </w:num>
  <w:num w:numId="3">
    <w:abstractNumId w:val="10"/>
  </w:num>
  <w:num w:numId="4">
    <w:abstractNumId w:val="1"/>
  </w:num>
  <w:num w:numId="5">
    <w:abstractNumId w:val="0"/>
  </w:num>
  <w:num w:numId="6">
    <w:abstractNumId w:val="7"/>
  </w:num>
  <w:num w:numId="7">
    <w:abstractNumId w:val="17"/>
  </w:num>
  <w:num w:numId="8">
    <w:abstractNumId w:val="3"/>
  </w:num>
  <w:num w:numId="9">
    <w:abstractNumId w:val="18"/>
  </w:num>
  <w:num w:numId="10">
    <w:abstractNumId w:val="8"/>
  </w:num>
  <w:num w:numId="11">
    <w:abstractNumId w:val="12"/>
  </w:num>
  <w:num w:numId="12">
    <w:abstractNumId w:val="15"/>
  </w:num>
  <w:num w:numId="13">
    <w:abstractNumId w:val="16"/>
  </w:num>
  <w:num w:numId="14">
    <w:abstractNumId w:val="4"/>
  </w:num>
  <w:num w:numId="15">
    <w:abstractNumId w:val="2"/>
  </w:num>
  <w:num w:numId="16">
    <w:abstractNumId w:val="14"/>
  </w:num>
  <w:num w:numId="17">
    <w:abstractNumId w:val="5"/>
  </w:num>
  <w:num w:numId="18">
    <w:abstractNumId w:val="6"/>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5C6"/>
    <w:rsid w:val="000077AD"/>
    <w:rsid w:val="00020568"/>
    <w:rsid w:val="00046682"/>
    <w:rsid w:val="0006002E"/>
    <w:rsid w:val="0007025C"/>
    <w:rsid w:val="0008718A"/>
    <w:rsid w:val="0009618D"/>
    <w:rsid w:val="000A4CCC"/>
    <w:rsid w:val="000D536D"/>
    <w:rsid w:val="000E0F65"/>
    <w:rsid w:val="000F67F0"/>
    <w:rsid w:val="0010239D"/>
    <w:rsid w:val="001106D7"/>
    <w:rsid w:val="00145F06"/>
    <w:rsid w:val="001E28B8"/>
    <w:rsid w:val="00203B1D"/>
    <w:rsid w:val="00222F66"/>
    <w:rsid w:val="002362BD"/>
    <w:rsid w:val="002C690C"/>
    <w:rsid w:val="002D2A82"/>
    <w:rsid w:val="00327B00"/>
    <w:rsid w:val="0033259E"/>
    <w:rsid w:val="00347821"/>
    <w:rsid w:val="0037116C"/>
    <w:rsid w:val="00377221"/>
    <w:rsid w:val="00391555"/>
    <w:rsid w:val="003A3A98"/>
    <w:rsid w:val="003B7C3C"/>
    <w:rsid w:val="003C00AC"/>
    <w:rsid w:val="003D1DC8"/>
    <w:rsid w:val="003F116C"/>
    <w:rsid w:val="004105CE"/>
    <w:rsid w:val="00420FDB"/>
    <w:rsid w:val="00437CD7"/>
    <w:rsid w:val="00483AFC"/>
    <w:rsid w:val="004C0B0A"/>
    <w:rsid w:val="004E0545"/>
    <w:rsid w:val="005013CE"/>
    <w:rsid w:val="00541563"/>
    <w:rsid w:val="00546E3E"/>
    <w:rsid w:val="00572F26"/>
    <w:rsid w:val="005A2276"/>
    <w:rsid w:val="005A5DA3"/>
    <w:rsid w:val="005A639F"/>
    <w:rsid w:val="005E1B37"/>
    <w:rsid w:val="005F03E7"/>
    <w:rsid w:val="00611C08"/>
    <w:rsid w:val="00627B78"/>
    <w:rsid w:val="006511A0"/>
    <w:rsid w:val="006C0DC7"/>
    <w:rsid w:val="00714CCB"/>
    <w:rsid w:val="0071558E"/>
    <w:rsid w:val="007176FA"/>
    <w:rsid w:val="00734C83"/>
    <w:rsid w:val="00735CF6"/>
    <w:rsid w:val="0077210C"/>
    <w:rsid w:val="007916DA"/>
    <w:rsid w:val="007A4229"/>
    <w:rsid w:val="007C4711"/>
    <w:rsid w:val="00820CE3"/>
    <w:rsid w:val="00865A74"/>
    <w:rsid w:val="00867000"/>
    <w:rsid w:val="00867A92"/>
    <w:rsid w:val="00872569"/>
    <w:rsid w:val="008C1876"/>
    <w:rsid w:val="008C5417"/>
    <w:rsid w:val="0092113C"/>
    <w:rsid w:val="009242B3"/>
    <w:rsid w:val="00927242"/>
    <w:rsid w:val="0093361C"/>
    <w:rsid w:val="00946086"/>
    <w:rsid w:val="009461CA"/>
    <w:rsid w:val="009A5876"/>
    <w:rsid w:val="009C0B5E"/>
    <w:rsid w:val="009C35B4"/>
    <w:rsid w:val="009E0018"/>
    <w:rsid w:val="009F510A"/>
    <w:rsid w:val="00A30DA3"/>
    <w:rsid w:val="00A77FD4"/>
    <w:rsid w:val="00AA7CB8"/>
    <w:rsid w:val="00AB5987"/>
    <w:rsid w:val="00AC151E"/>
    <w:rsid w:val="00AE331F"/>
    <w:rsid w:val="00B045CD"/>
    <w:rsid w:val="00B22C92"/>
    <w:rsid w:val="00B358E1"/>
    <w:rsid w:val="00B85770"/>
    <w:rsid w:val="00B86FAF"/>
    <w:rsid w:val="00B914C3"/>
    <w:rsid w:val="00B93043"/>
    <w:rsid w:val="00BA37FD"/>
    <w:rsid w:val="00BB2B24"/>
    <w:rsid w:val="00BF058A"/>
    <w:rsid w:val="00BF4E5C"/>
    <w:rsid w:val="00C1462C"/>
    <w:rsid w:val="00C20C10"/>
    <w:rsid w:val="00C2506A"/>
    <w:rsid w:val="00C46E07"/>
    <w:rsid w:val="00C63CB7"/>
    <w:rsid w:val="00C80D8C"/>
    <w:rsid w:val="00CB5197"/>
    <w:rsid w:val="00CC4E23"/>
    <w:rsid w:val="00CD0822"/>
    <w:rsid w:val="00CD4144"/>
    <w:rsid w:val="00CF6195"/>
    <w:rsid w:val="00D14DCA"/>
    <w:rsid w:val="00D21526"/>
    <w:rsid w:val="00D7648F"/>
    <w:rsid w:val="00DB7D23"/>
    <w:rsid w:val="00DD259A"/>
    <w:rsid w:val="00DF727D"/>
    <w:rsid w:val="00E171BA"/>
    <w:rsid w:val="00E325B3"/>
    <w:rsid w:val="00E32BE1"/>
    <w:rsid w:val="00E3321E"/>
    <w:rsid w:val="00E5541A"/>
    <w:rsid w:val="00E66617"/>
    <w:rsid w:val="00E707E8"/>
    <w:rsid w:val="00E92032"/>
    <w:rsid w:val="00E92C72"/>
    <w:rsid w:val="00F472F8"/>
    <w:rsid w:val="00F66428"/>
    <w:rsid w:val="00F66C8F"/>
    <w:rsid w:val="00F755C6"/>
    <w:rsid w:val="00F877EF"/>
    <w:rsid w:val="00FA3556"/>
    <w:rsid w:val="00FA5A6F"/>
    <w:rsid w:val="00FC15D2"/>
    <w:rsid w:val="00FE4C0F"/>
    <w:rsid w:val="00FE6B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6C7C45"/>
  <w15:chartTrackingRefBased/>
  <w15:docId w15:val="{59F086A5-20FC-F84D-A6CA-229C7D80B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6682"/>
    <w:rPr>
      <w:rFonts w:ascii="Times New Roman" w:eastAsia="Times New Roman" w:hAnsi="Times New Roman" w:cs="Times New Roman"/>
    </w:rPr>
  </w:style>
  <w:style w:type="paragraph" w:styleId="Heading1">
    <w:name w:val="heading 1"/>
    <w:basedOn w:val="Normal"/>
    <w:next w:val="Normal"/>
    <w:link w:val="Heading1Char"/>
    <w:uiPriority w:val="9"/>
    <w:qFormat/>
    <w:rsid w:val="00347821"/>
    <w:pPr>
      <w:keepNext/>
      <w:keepLines/>
      <w:numPr>
        <w:numId w:val="18"/>
      </w:numPr>
      <w:spacing w:before="240"/>
      <w:outlineLvl w:val="0"/>
    </w:pPr>
    <w:rPr>
      <w:rFonts w:eastAsiaTheme="majorEastAsia" w:cstheme="majorBidi"/>
      <w:b/>
      <w:color w:val="000000" w:themeColor="text1"/>
      <w:szCs w:val="32"/>
    </w:rPr>
  </w:style>
  <w:style w:type="paragraph" w:styleId="Heading2">
    <w:name w:val="heading 2"/>
    <w:basedOn w:val="Normal"/>
    <w:link w:val="Heading2Char"/>
    <w:uiPriority w:val="9"/>
    <w:qFormat/>
    <w:rsid w:val="00347821"/>
    <w:pPr>
      <w:numPr>
        <w:ilvl w:val="1"/>
        <w:numId w:val="18"/>
      </w:numPr>
      <w:spacing w:before="100" w:beforeAutospacing="1" w:after="100" w:afterAutospacing="1"/>
      <w:outlineLvl w:val="1"/>
    </w:pPr>
    <w:rPr>
      <w:b/>
      <w:bCs/>
      <w:color w:val="000000" w:themeColor="text1"/>
      <w:szCs w:val="36"/>
    </w:rPr>
  </w:style>
  <w:style w:type="paragraph" w:styleId="Heading3">
    <w:name w:val="heading 3"/>
    <w:basedOn w:val="Normal"/>
    <w:next w:val="Normal"/>
    <w:link w:val="Heading3Char"/>
    <w:uiPriority w:val="9"/>
    <w:semiHidden/>
    <w:unhideWhenUsed/>
    <w:qFormat/>
    <w:rsid w:val="00347821"/>
    <w:pPr>
      <w:keepNext/>
      <w:keepLines/>
      <w:numPr>
        <w:ilvl w:val="2"/>
        <w:numId w:val="18"/>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47821"/>
    <w:pPr>
      <w:keepNext/>
      <w:keepLines/>
      <w:numPr>
        <w:ilvl w:val="3"/>
        <w:numId w:val="18"/>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47821"/>
    <w:pPr>
      <w:keepNext/>
      <w:keepLines/>
      <w:numPr>
        <w:ilvl w:val="4"/>
        <w:numId w:val="18"/>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47821"/>
    <w:pPr>
      <w:keepNext/>
      <w:keepLines/>
      <w:numPr>
        <w:ilvl w:val="5"/>
        <w:numId w:val="18"/>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47821"/>
    <w:pPr>
      <w:keepNext/>
      <w:keepLines/>
      <w:numPr>
        <w:ilvl w:val="6"/>
        <w:numId w:val="18"/>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47821"/>
    <w:pPr>
      <w:keepNext/>
      <w:keepLines/>
      <w:numPr>
        <w:ilvl w:val="7"/>
        <w:numId w:val="18"/>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47821"/>
    <w:pPr>
      <w:keepNext/>
      <w:keepLines/>
      <w:numPr>
        <w:ilvl w:val="8"/>
        <w:numId w:val="18"/>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045CD"/>
    <w:pPr>
      <w:spacing w:before="100" w:beforeAutospacing="1" w:after="100" w:afterAutospacing="1"/>
    </w:pPr>
  </w:style>
  <w:style w:type="character" w:customStyle="1" w:styleId="Heading2Char">
    <w:name w:val="Heading 2 Char"/>
    <w:basedOn w:val="DefaultParagraphFont"/>
    <w:link w:val="Heading2"/>
    <w:uiPriority w:val="9"/>
    <w:rsid w:val="00347821"/>
    <w:rPr>
      <w:rFonts w:ascii="Times New Roman" w:eastAsia="Times New Roman" w:hAnsi="Times New Roman" w:cs="Times New Roman"/>
      <w:b/>
      <w:bCs/>
      <w:color w:val="000000" w:themeColor="text1"/>
      <w:szCs w:val="36"/>
    </w:rPr>
  </w:style>
  <w:style w:type="character" w:customStyle="1" w:styleId="apple-converted-space">
    <w:name w:val="apple-converted-space"/>
    <w:basedOn w:val="DefaultParagraphFont"/>
    <w:rsid w:val="00FE4C0F"/>
  </w:style>
  <w:style w:type="character" w:customStyle="1" w:styleId="Heading1Char">
    <w:name w:val="Heading 1 Char"/>
    <w:basedOn w:val="DefaultParagraphFont"/>
    <w:link w:val="Heading1"/>
    <w:uiPriority w:val="9"/>
    <w:rsid w:val="00347821"/>
    <w:rPr>
      <w:rFonts w:ascii="Times New Roman" w:eastAsiaTheme="majorEastAsia" w:hAnsi="Times New Roman" w:cstheme="majorBidi"/>
      <w:b/>
      <w:color w:val="000000" w:themeColor="text1"/>
      <w:szCs w:val="32"/>
    </w:rPr>
  </w:style>
  <w:style w:type="character" w:customStyle="1" w:styleId="frontelement">
    <w:name w:val="frontelement"/>
    <w:basedOn w:val="DefaultParagraphFont"/>
    <w:rsid w:val="00F877EF"/>
  </w:style>
  <w:style w:type="paragraph" w:styleId="ListParagraph">
    <w:name w:val="List Paragraph"/>
    <w:basedOn w:val="Normal"/>
    <w:uiPriority w:val="34"/>
    <w:qFormat/>
    <w:rsid w:val="00AE331F"/>
    <w:pPr>
      <w:ind w:left="720"/>
      <w:contextualSpacing/>
    </w:pPr>
  </w:style>
  <w:style w:type="table" w:styleId="TableGrid">
    <w:name w:val="Table Grid"/>
    <w:basedOn w:val="TableNormal"/>
    <w:uiPriority w:val="39"/>
    <w:rsid w:val="000466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27B00"/>
    <w:rPr>
      <w:color w:val="0563C1" w:themeColor="hyperlink"/>
      <w:u w:val="single"/>
    </w:rPr>
  </w:style>
  <w:style w:type="paragraph" w:styleId="Header">
    <w:name w:val="header"/>
    <w:basedOn w:val="Normal"/>
    <w:link w:val="HeaderChar"/>
    <w:uiPriority w:val="99"/>
    <w:unhideWhenUsed/>
    <w:rsid w:val="00327B00"/>
    <w:pPr>
      <w:tabs>
        <w:tab w:val="center" w:pos="4680"/>
        <w:tab w:val="right" w:pos="9360"/>
      </w:tabs>
    </w:pPr>
  </w:style>
  <w:style w:type="character" w:customStyle="1" w:styleId="HeaderChar">
    <w:name w:val="Header Char"/>
    <w:basedOn w:val="DefaultParagraphFont"/>
    <w:link w:val="Header"/>
    <w:uiPriority w:val="99"/>
    <w:rsid w:val="00327B00"/>
    <w:rPr>
      <w:rFonts w:ascii="Times New Roman" w:eastAsia="Times New Roman" w:hAnsi="Times New Roman" w:cs="Times New Roman"/>
    </w:rPr>
  </w:style>
  <w:style w:type="paragraph" w:styleId="Footer">
    <w:name w:val="footer"/>
    <w:basedOn w:val="Normal"/>
    <w:link w:val="FooterChar"/>
    <w:uiPriority w:val="99"/>
    <w:unhideWhenUsed/>
    <w:rsid w:val="00327B00"/>
    <w:pPr>
      <w:tabs>
        <w:tab w:val="center" w:pos="4680"/>
        <w:tab w:val="right" w:pos="9360"/>
      </w:tabs>
    </w:pPr>
  </w:style>
  <w:style w:type="character" w:customStyle="1" w:styleId="FooterChar">
    <w:name w:val="Footer Char"/>
    <w:basedOn w:val="DefaultParagraphFont"/>
    <w:link w:val="Footer"/>
    <w:uiPriority w:val="99"/>
    <w:rsid w:val="00327B00"/>
    <w:rPr>
      <w:rFonts w:ascii="Times New Roman" w:eastAsia="Times New Roman" w:hAnsi="Times New Roman" w:cs="Times New Roman"/>
    </w:rPr>
  </w:style>
  <w:style w:type="character" w:customStyle="1" w:styleId="Heading3Char">
    <w:name w:val="Heading 3 Char"/>
    <w:basedOn w:val="DefaultParagraphFont"/>
    <w:link w:val="Heading3"/>
    <w:uiPriority w:val="9"/>
    <w:semiHidden/>
    <w:rsid w:val="00347821"/>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34782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4782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4782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4782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4782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47821"/>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0077AD"/>
    <w:pPr>
      <w:numPr>
        <w:numId w:val="0"/>
      </w:num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0077AD"/>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077AD"/>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077AD"/>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077A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077A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077A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077A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077A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077AD"/>
    <w:pPr>
      <w:ind w:left="1920"/>
    </w:pPr>
    <w:rPr>
      <w:rFonts w:asciiTheme="minorHAnsi" w:hAnsiTheme="minorHAnsi" w:cstheme="minorHAnsi"/>
      <w:sz w:val="20"/>
      <w:szCs w:val="20"/>
    </w:rPr>
  </w:style>
  <w:style w:type="paragraph" w:styleId="Caption">
    <w:name w:val="caption"/>
    <w:basedOn w:val="Normal"/>
    <w:next w:val="Normal"/>
    <w:uiPriority w:val="35"/>
    <w:unhideWhenUsed/>
    <w:qFormat/>
    <w:rsid w:val="00611C08"/>
    <w:pPr>
      <w:spacing w:after="200"/>
    </w:pPr>
    <w:rPr>
      <w:i/>
      <w:iCs/>
      <w:color w:val="44546A" w:themeColor="text2"/>
      <w:sz w:val="18"/>
      <w:szCs w:val="18"/>
    </w:rPr>
  </w:style>
  <w:style w:type="character" w:styleId="PageNumber">
    <w:name w:val="page number"/>
    <w:basedOn w:val="DefaultParagraphFont"/>
    <w:uiPriority w:val="99"/>
    <w:semiHidden/>
    <w:unhideWhenUsed/>
    <w:rsid w:val="00A77FD4"/>
  </w:style>
  <w:style w:type="paragraph" w:styleId="TableofFigures">
    <w:name w:val="table of figures"/>
    <w:basedOn w:val="Normal"/>
    <w:next w:val="Normal"/>
    <w:uiPriority w:val="99"/>
    <w:unhideWhenUsed/>
    <w:rsid w:val="00A77F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56BC17-AE0E-8F46-9070-71F05BC20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944</TotalTime>
  <Pages>28</Pages>
  <Words>6364</Words>
  <Characters>36278</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Jenifer Nkwabi (1814553)</dc:creator>
  <cp:lastModifiedBy>Jenifer Nkwabi (1814553)</cp:lastModifiedBy>
  <cp:revision>111</cp:revision>
  <dcterms:created xsi:type="dcterms:W3CDTF">2019-08-19T16:36:00Z</dcterms:created>
  <dcterms:modified xsi:type="dcterms:W3CDTF">2019-09-20T13:26:00Z</dcterms:modified>
</cp:coreProperties>
</file>