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BABE1" w14:textId="6879FC13" w:rsidR="00346495" w:rsidRDefault="00346495" w:rsidP="00346495">
      <w:pPr>
        <w:pStyle w:val="EndNoteBibliography"/>
        <w:rPr>
          <w:noProof/>
        </w:rPr>
      </w:pPr>
    </w:p>
    <w:p w14:paraId="1AEDC3D6" w14:textId="1DA38121" w:rsidR="00346495" w:rsidRDefault="00346495" w:rsidP="00346495">
      <w:pPr>
        <w:pStyle w:val="EndNoteBibliography"/>
        <w:rPr>
          <w:noProof/>
        </w:rPr>
      </w:pPr>
    </w:p>
    <w:p w14:paraId="65055C93" w14:textId="77777777" w:rsidR="00B37FAB" w:rsidRPr="00B37FAB" w:rsidRDefault="00B37FAB" w:rsidP="00B37FAB">
      <w:pPr>
        <w:jc w:val="center"/>
        <w:rPr>
          <w:sz w:val="36"/>
          <w:szCs w:val="36"/>
        </w:rPr>
      </w:pPr>
      <w:r w:rsidRPr="00B37FAB">
        <w:rPr>
          <w:sz w:val="36"/>
          <w:szCs w:val="36"/>
        </w:rPr>
        <w:t>Assignment: Discuss how a ‘rights-based approach’ is embedded within education contexts in Wales through legislation and policy.</w:t>
      </w:r>
    </w:p>
    <w:p w14:paraId="19BD5051" w14:textId="77777777" w:rsidR="00B37FAB" w:rsidRPr="00B37FAB" w:rsidRDefault="00B37FAB" w:rsidP="00B37FAB">
      <w:pPr>
        <w:jc w:val="center"/>
        <w:rPr>
          <w:sz w:val="36"/>
          <w:szCs w:val="36"/>
        </w:rPr>
      </w:pPr>
      <w:r w:rsidRPr="00B37FAB">
        <w:rPr>
          <w:sz w:val="36"/>
          <w:szCs w:val="36"/>
        </w:rPr>
        <w:t xml:space="preserve">Student Name: </w:t>
      </w:r>
      <w:r w:rsidRPr="00B37FAB">
        <w:rPr>
          <w:rFonts w:cs="Times New Roman"/>
          <w:sz w:val="36"/>
          <w:szCs w:val="36"/>
        </w:rPr>
        <w:t>Gundo Susso</w:t>
      </w:r>
    </w:p>
    <w:p w14:paraId="0EBEEFE5" w14:textId="73D33735" w:rsidR="00B37FAB" w:rsidRPr="00B37FAB" w:rsidRDefault="00B37FAB" w:rsidP="00B37FAB">
      <w:pPr>
        <w:jc w:val="center"/>
        <w:rPr>
          <w:bCs/>
          <w:sz w:val="36"/>
          <w:szCs w:val="36"/>
        </w:rPr>
      </w:pPr>
      <w:r w:rsidRPr="00B37FAB">
        <w:rPr>
          <w:sz w:val="36"/>
          <w:szCs w:val="36"/>
        </w:rPr>
        <w:t>Module:</w:t>
      </w:r>
      <w:r w:rsidRPr="00B37FAB">
        <w:rPr>
          <w:bCs/>
          <w:sz w:val="36"/>
          <w:szCs w:val="36"/>
        </w:rPr>
        <w:t xml:space="preserve"> Respecting Children and Young People’s Rights in Wales </w:t>
      </w:r>
      <w:r w:rsidRPr="00B37FAB">
        <w:rPr>
          <w:bCs/>
          <w:sz w:val="36"/>
          <w:szCs w:val="36"/>
        </w:rPr>
        <w:t xml:space="preserve">- </w:t>
      </w:r>
      <w:r w:rsidRPr="00B37FAB">
        <w:rPr>
          <w:sz w:val="36"/>
          <w:szCs w:val="36"/>
        </w:rPr>
        <w:t>ECES</w:t>
      </w:r>
      <w:r w:rsidRPr="00B37FAB">
        <w:rPr>
          <w:bCs/>
          <w:sz w:val="36"/>
          <w:szCs w:val="36"/>
        </w:rPr>
        <w:t>4014</w:t>
      </w:r>
    </w:p>
    <w:p w14:paraId="4E05EE12" w14:textId="77777777" w:rsidR="00B37FAB" w:rsidRPr="00B37FAB" w:rsidRDefault="00B37FAB" w:rsidP="00B37FAB">
      <w:pPr>
        <w:jc w:val="center"/>
        <w:rPr>
          <w:bCs/>
          <w:sz w:val="36"/>
          <w:szCs w:val="36"/>
        </w:rPr>
      </w:pPr>
      <w:r w:rsidRPr="00B37FAB">
        <w:rPr>
          <w:bCs/>
          <w:sz w:val="36"/>
          <w:szCs w:val="36"/>
        </w:rPr>
        <w:t>Lecturer: Heike Griffiths</w:t>
      </w:r>
    </w:p>
    <w:p w14:paraId="2E7EAE34" w14:textId="548B0620" w:rsidR="00346495" w:rsidRDefault="00B37FAB" w:rsidP="00B37FAB">
      <w:pPr>
        <w:pStyle w:val="EndNoteBibliography"/>
        <w:rPr>
          <w:noProof/>
        </w:rPr>
      </w:pPr>
      <w:r w:rsidRPr="00B37FAB">
        <w:rPr>
          <w:bCs/>
          <w:sz w:val="36"/>
          <w:szCs w:val="36"/>
        </w:rPr>
        <w:br w:type="page"/>
      </w:r>
    </w:p>
    <w:p w14:paraId="4CEDC2FA" w14:textId="701DAC8C" w:rsidR="00346495" w:rsidRDefault="00346495" w:rsidP="00346495">
      <w:pPr>
        <w:pStyle w:val="EndNoteBibliography"/>
        <w:rPr>
          <w:noProof/>
        </w:rPr>
      </w:pPr>
    </w:p>
    <w:p w14:paraId="01CE0CD2" w14:textId="77777777" w:rsidR="00BC4340" w:rsidRDefault="00BC4340" w:rsidP="00346495">
      <w:pPr>
        <w:pStyle w:val="EndNoteBibliography"/>
        <w:rPr>
          <w:noProof/>
        </w:rPr>
      </w:pPr>
    </w:p>
    <w:p w14:paraId="08E80DDB" w14:textId="4C18E714" w:rsidR="00BC4340" w:rsidRDefault="00346495" w:rsidP="00346495">
      <w:pPr>
        <w:pStyle w:val="Header"/>
        <w:tabs>
          <w:tab w:val="clear" w:pos="4153"/>
          <w:tab w:val="clear" w:pos="8306"/>
        </w:tabs>
        <w:jc w:val="right"/>
        <w:rPr>
          <w:rFonts w:ascii="Arial" w:hAnsi="Arial" w:cs="Arial"/>
        </w:rPr>
      </w:pPr>
      <w:r>
        <w:rPr>
          <w:rFonts w:ascii="Arial" w:hAnsi="Arial" w:cs="Arial"/>
        </w:rPr>
        <w:t xml:space="preserve"> </w:t>
      </w:r>
    </w:p>
    <w:p w14:paraId="66D3C3C2" w14:textId="77777777" w:rsidR="00BC4340" w:rsidRDefault="00BC4340" w:rsidP="00BC4340">
      <w:pPr>
        <w:pStyle w:val="Header"/>
        <w:tabs>
          <w:tab w:val="clear" w:pos="4153"/>
          <w:tab w:val="clear" w:pos="8306"/>
        </w:tabs>
        <w:jc w:val="right"/>
        <w:rPr>
          <w:rFonts w:ascii="Arial" w:hAnsi="Arial" w:cs="Arial"/>
        </w:rPr>
      </w:pPr>
    </w:p>
    <w:p w14:paraId="46C41BFD" w14:textId="77777777" w:rsidR="00BC4340" w:rsidRDefault="00BC4340" w:rsidP="00BC4340">
      <w:pPr>
        <w:pStyle w:val="Header"/>
        <w:tabs>
          <w:tab w:val="clear" w:pos="4153"/>
          <w:tab w:val="clear" w:pos="8306"/>
        </w:tabs>
        <w:jc w:val="right"/>
        <w:rPr>
          <w:rFonts w:ascii="Arial" w:hAnsi="Arial" w:cs="Arial"/>
        </w:rPr>
      </w:pPr>
    </w:p>
    <w:p w14:paraId="029CDF9E" w14:textId="77777777" w:rsidR="00BC4340" w:rsidRDefault="00BC4340" w:rsidP="00BC4340">
      <w:pPr>
        <w:pStyle w:val="Header"/>
        <w:tabs>
          <w:tab w:val="clear" w:pos="4153"/>
          <w:tab w:val="clear" w:pos="8306"/>
        </w:tabs>
        <w:jc w:val="right"/>
        <w:rPr>
          <w:rFonts w:ascii="Arial" w:hAnsi="Arial" w:cs="Arial"/>
        </w:rPr>
      </w:pPr>
    </w:p>
    <w:p w14:paraId="197C7C32" w14:textId="7A5AD8D8" w:rsidR="00BC4340" w:rsidRDefault="00BC4340" w:rsidP="00BC4340">
      <w:pPr>
        <w:pStyle w:val="Header"/>
        <w:tabs>
          <w:tab w:val="clear" w:pos="4153"/>
          <w:tab w:val="clear" w:pos="8306"/>
        </w:tabs>
        <w:jc w:val="right"/>
        <w:rPr>
          <w:rFonts w:ascii="Arial" w:hAnsi="Arial" w:cs="Arial"/>
        </w:rPr>
      </w:pPr>
    </w:p>
    <w:p w14:paraId="0A3DC07F" w14:textId="77777777" w:rsidR="00BC4340" w:rsidRDefault="00BC4340" w:rsidP="00BC4340">
      <w:pPr>
        <w:pStyle w:val="Header"/>
        <w:tabs>
          <w:tab w:val="clear" w:pos="4153"/>
          <w:tab w:val="clear" w:pos="8306"/>
        </w:tabs>
        <w:jc w:val="right"/>
        <w:rPr>
          <w:rFonts w:ascii="Arial" w:hAnsi="Arial" w:cs="Arial"/>
        </w:rPr>
      </w:pPr>
    </w:p>
    <w:p w14:paraId="585DD29A" w14:textId="498095F3" w:rsidR="00346495" w:rsidRPr="00BC4340" w:rsidRDefault="00346495" w:rsidP="00BC4340">
      <w:pPr>
        <w:spacing w:line="259" w:lineRule="auto"/>
        <w:jc w:val="left"/>
        <w:rPr>
          <w:bCs/>
          <w:sz w:val="28"/>
          <w:szCs w:val="28"/>
        </w:rPr>
      </w:pPr>
      <w:r>
        <w:br w:type="textWrapping" w:clear="all"/>
      </w:r>
    </w:p>
    <w:p w14:paraId="559F3F29" w14:textId="77777777" w:rsidR="00346495" w:rsidRDefault="00346495" w:rsidP="00346495"/>
    <w:p w14:paraId="5946F417" w14:textId="77777777" w:rsidR="00346495" w:rsidRDefault="00346495" w:rsidP="00346495"/>
    <w:sdt>
      <w:sdtPr>
        <w:rPr>
          <w:rFonts w:eastAsiaTheme="minorEastAsia" w:cstheme="minorBidi"/>
          <w:b w:val="0"/>
          <w:bCs w:val="0"/>
          <w:smallCaps w:val="0"/>
          <w:color w:val="auto"/>
          <w:sz w:val="24"/>
          <w:szCs w:val="22"/>
        </w:rPr>
        <w:id w:val="-505667184"/>
        <w:docPartObj>
          <w:docPartGallery w:val="Table of Contents"/>
          <w:docPartUnique/>
        </w:docPartObj>
      </w:sdtPr>
      <w:sdtEndPr>
        <w:rPr>
          <w:noProof/>
        </w:rPr>
      </w:sdtEndPr>
      <w:sdtContent>
        <w:p w14:paraId="120EFB49" w14:textId="77777777" w:rsidR="00346495" w:rsidRDefault="00346495" w:rsidP="00346495">
          <w:pPr>
            <w:pStyle w:val="TOCHeading"/>
            <w:numPr>
              <w:ilvl w:val="0"/>
              <w:numId w:val="0"/>
            </w:numPr>
            <w:ind w:left="431" w:hanging="431"/>
          </w:pPr>
          <w:r>
            <w:t>Table of Contents</w:t>
          </w:r>
        </w:p>
        <w:p w14:paraId="63CAECB2" w14:textId="77777777" w:rsidR="00346495" w:rsidRDefault="00346495" w:rsidP="00346495">
          <w:pPr>
            <w:pStyle w:val="TOC1"/>
            <w:tabs>
              <w:tab w:val="left" w:pos="480"/>
              <w:tab w:val="right" w:leader="dot" w:pos="9350"/>
            </w:tabs>
            <w:rPr>
              <w:rFonts w:asciiTheme="minorHAnsi" w:hAnsiTheme="minorHAnsi"/>
              <w:noProof/>
              <w:kern w:val="2"/>
              <w:szCs w:val="24"/>
              <w:lang w:eastAsia="en-AU"/>
              <w14:ligatures w14:val="standardContextual"/>
            </w:rPr>
          </w:pPr>
          <w:r>
            <w:fldChar w:fldCharType="begin"/>
          </w:r>
          <w:r>
            <w:instrText xml:space="preserve"> TOC \o "1-3" \h \z \u </w:instrText>
          </w:r>
          <w:r>
            <w:fldChar w:fldCharType="separate"/>
          </w:r>
          <w:hyperlink w:anchor="_Toc225466860" w:history="1">
            <w:r w:rsidRPr="00DB372F">
              <w:rPr>
                <w:rStyle w:val="Hyperlink"/>
                <w:noProof/>
              </w:rPr>
              <w:t>1</w:t>
            </w:r>
            <w:r>
              <w:rPr>
                <w:rFonts w:asciiTheme="minorHAnsi" w:hAnsiTheme="minorHAnsi"/>
                <w:noProof/>
                <w:kern w:val="2"/>
                <w:szCs w:val="24"/>
                <w:lang w:eastAsia="en-AU"/>
                <w14:ligatures w14:val="standardContextual"/>
              </w:rPr>
              <w:tab/>
            </w:r>
            <w:r w:rsidRPr="00DB372F">
              <w:rPr>
                <w:rStyle w:val="Hyperlink"/>
                <w:noProof/>
              </w:rPr>
              <w:t>Introduction</w:t>
            </w:r>
            <w:r>
              <w:rPr>
                <w:noProof/>
                <w:webHidden/>
              </w:rPr>
              <w:tab/>
            </w:r>
            <w:r>
              <w:rPr>
                <w:noProof/>
                <w:webHidden/>
              </w:rPr>
              <w:fldChar w:fldCharType="begin"/>
            </w:r>
            <w:r>
              <w:rPr>
                <w:noProof/>
                <w:webHidden/>
              </w:rPr>
              <w:instrText xml:space="preserve"> PAGEREF _Toc225466860 \h </w:instrText>
            </w:r>
            <w:r>
              <w:rPr>
                <w:noProof/>
                <w:webHidden/>
              </w:rPr>
            </w:r>
            <w:r>
              <w:rPr>
                <w:noProof/>
                <w:webHidden/>
              </w:rPr>
              <w:fldChar w:fldCharType="separate"/>
            </w:r>
            <w:r>
              <w:rPr>
                <w:noProof/>
                <w:webHidden/>
              </w:rPr>
              <w:t>3</w:t>
            </w:r>
            <w:r>
              <w:rPr>
                <w:noProof/>
                <w:webHidden/>
              </w:rPr>
              <w:fldChar w:fldCharType="end"/>
            </w:r>
          </w:hyperlink>
        </w:p>
        <w:p w14:paraId="7AE745F2" w14:textId="77777777" w:rsidR="00346495" w:rsidRDefault="00346495" w:rsidP="00346495">
          <w:pPr>
            <w:pStyle w:val="TOC1"/>
            <w:tabs>
              <w:tab w:val="left" w:pos="480"/>
              <w:tab w:val="right" w:leader="dot" w:pos="9350"/>
            </w:tabs>
            <w:rPr>
              <w:rFonts w:asciiTheme="minorHAnsi" w:hAnsiTheme="minorHAnsi"/>
              <w:noProof/>
              <w:kern w:val="2"/>
              <w:szCs w:val="24"/>
              <w:lang w:eastAsia="en-AU"/>
              <w14:ligatures w14:val="standardContextual"/>
            </w:rPr>
          </w:pPr>
          <w:hyperlink w:anchor="_Toc225466861" w:history="1">
            <w:r w:rsidRPr="00DB372F">
              <w:rPr>
                <w:rStyle w:val="Hyperlink"/>
                <w:noProof/>
              </w:rPr>
              <w:t>2</w:t>
            </w:r>
            <w:r>
              <w:rPr>
                <w:rFonts w:asciiTheme="minorHAnsi" w:hAnsiTheme="minorHAnsi"/>
                <w:noProof/>
                <w:kern w:val="2"/>
                <w:szCs w:val="24"/>
                <w:lang w:eastAsia="en-AU"/>
                <w14:ligatures w14:val="standardContextual"/>
              </w:rPr>
              <w:tab/>
            </w:r>
            <w:r w:rsidRPr="00DB372F">
              <w:rPr>
                <w:rStyle w:val="Hyperlink"/>
                <w:noProof/>
              </w:rPr>
              <w:t>Discussion</w:t>
            </w:r>
            <w:r>
              <w:rPr>
                <w:noProof/>
                <w:webHidden/>
              </w:rPr>
              <w:tab/>
            </w:r>
            <w:r>
              <w:rPr>
                <w:noProof/>
                <w:webHidden/>
              </w:rPr>
              <w:fldChar w:fldCharType="begin"/>
            </w:r>
            <w:r>
              <w:rPr>
                <w:noProof/>
                <w:webHidden/>
              </w:rPr>
              <w:instrText xml:space="preserve"> PAGEREF _Toc225466861 \h </w:instrText>
            </w:r>
            <w:r>
              <w:rPr>
                <w:noProof/>
                <w:webHidden/>
              </w:rPr>
            </w:r>
            <w:r>
              <w:rPr>
                <w:noProof/>
                <w:webHidden/>
              </w:rPr>
              <w:fldChar w:fldCharType="separate"/>
            </w:r>
            <w:r>
              <w:rPr>
                <w:noProof/>
                <w:webHidden/>
              </w:rPr>
              <w:t>3</w:t>
            </w:r>
            <w:r>
              <w:rPr>
                <w:noProof/>
                <w:webHidden/>
              </w:rPr>
              <w:fldChar w:fldCharType="end"/>
            </w:r>
          </w:hyperlink>
        </w:p>
        <w:p w14:paraId="15735A97" w14:textId="77777777" w:rsidR="00346495" w:rsidRDefault="00346495" w:rsidP="00346495">
          <w:pPr>
            <w:pStyle w:val="TOC1"/>
            <w:tabs>
              <w:tab w:val="left" w:pos="480"/>
              <w:tab w:val="right" w:leader="dot" w:pos="9350"/>
            </w:tabs>
            <w:rPr>
              <w:rFonts w:asciiTheme="minorHAnsi" w:hAnsiTheme="minorHAnsi"/>
              <w:noProof/>
              <w:kern w:val="2"/>
              <w:szCs w:val="24"/>
              <w:lang w:eastAsia="en-AU"/>
              <w14:ligatures w14:val="standardContextual"/>
            </w:rPr>
          </w:pPr>
          <w:hyperlink w:anchor="_Toc225466862" w:history="1">
            <w:r w:rsidRPr="00DB372F">
              <w:rPr>
                <w:rStyle w:val="Hyperlink"/>
                <w:noProof/>
              </w:rPr>
              <w:t>3</w:t>
            </w:r>
            <w:r>
              <w:rPr>
                <w:rFonts w:asciiTheme="minorHAnsi" w:hAnsiTheme="minorHAnsi"/>
                <w:noProof/>
                <w:kern w:val="2"/>
                <w:szCs w:val="24"/>
                <w:lang w:eastAsia="en-AU"/>
                <w14:ligatures w14:val="standardContextual"/>
              </w:rPr>
              <w:tab/>
            </w:r>
            <w:r w:rsidRPr="00DB372F">
              <w:rPr>
                <w:rStyle w:val="Hyperlink"/>
                <w:noProof/>
              </w:rPr>
              <w:t>Conclusion</w:t>
            </w:r>
            <w:r>
              <w:rPr>
                <w:noProof/>
                <w:webHidden/>
              </w:rPr>
              <w:tab/>
            </w:r>
            <w:r>
              <w:rPr>
                <w:noProof/>
                <w:webHidden/>
              </w:rPr>
              <w:fldChar w:fldCharType="begin"/>
            </w:r>
            <w:r>
              <w:rPr>
                <w:noProof/>
                <w:webHidden/>
              </w:rPr>
              <w:instrText xml:space="preserve"> PAGEREF _Toc225466862 \h </w:instrText>
            </w:r>
            <w:r>
              <w:rPr>
                <w:noProof/>
                <w:webHidden/>
              </w:rPr>
            </w:r>
            <w:r>
              <w:rPr>
                <w:noProof/>
                <w:webHidden/>
              </w:rPr>
              <w:fldChar w:fldCharType="separate"/>
            </w:r>
            <w:r>
              <w:rPr>
                <w:noProof/>
                <w:webHidden/>
              </w:rPr>
              <w:t>9</w:t>
            </w:r>
            <w:r>
              <w:rPr>
                <w:noProof/>
                <w:webHidden/>
              </w:rPr>
              <w:fldChar w:fldCharType="end"/>
            </w:r>
          </w:hyperlink>
        </w:p>
        <w:p w14:paraId="05670822" w14:textId="77777777" w:rsidR="00346495" w:rsidRDefault="00346495" w:rsidP="00346495">
          <w:pPr>
            <w:pStyle w:val="TOC1"/>
            <w:tabs>
              <w:tab w:val="left" w:pos="480"/>
              <w:tab w:val="right" w:leader="dot" w:pos="9350"/>
            </w:tabs>
            <w:rPr>
              <w:rFonts w:asciiTheme="minorHAnsi" w:hAnsiTheme="minorHAnsi"/>
              <w:noProof/>
              <w:kern w:val="2"/>
              <w:szCs w:val="24"/>
              <w:lang w:eastAsia="en-AU"/>
              <w14:ligatures w14:val="standardContextual"/>
            </w:rPr>
          </w:pPr>
          <w:hyperlink w:anchor="_Toc225466863" w:history="1">
            <w:r w:rsidRPr="00DB372F">
              <w:rPr>
                <w:rStyle w:val="Hyperlink"/>
                <w:noProof/>
              </w:rPr>
              <w:t>4</w:t>
            </w:r>
            <w:r>
              <w:rPr>
                <w:rFonts w:asciiTheme="minorHAnsi" w:hAnsiTheme="minorHAnsi"/>
                <w:noProof/>
                <w:kern w:val="2"/>
                <w:szCs w:val="24"/>
                <w:lang w:eastAsia="en-AU"/>
                <w14:ligatures w14:val="standardContextual"/>
              </w:rPr>
              <w:tab/>
            </w:r>
            <w:r w:rsidRPr="00DB372F">
              <w:rPr>
                <w:rStyle w:val="Hyperlink"/>
                <w:noProof/>
              </w:rPr>
              <w:t>References</w:t>
            </w:r>
            <w:r>
              <w:rPr>
                <w:noProof/>
                <w:webHidden/>
              </w:rPr>
              <w:tab/>
            </w:r>
            <w:r>
              <w:rPr>
                <w:noProof/>
                <w:webHidden/>
              </w:rPr>
              <w:fldChar w:fldCharType="begin"/>
            </w:r>
            <w:r>
              <w:rPr>
                <w:noProof/>
                <w:webHidden/>
              </w:rPr>
              <w:instrText xml:space="preserve"> PAGEREF _Toc225466863 \h </w:instrText>
            </w:r>
            <w:r>
              <w:rPr>
                <w:noProof/>
                <w:webHidden/>
              </w:rPr>
            </w:r>
            <w:r>
              <w:rPr>
                <w:noProof/>
                <w:webHidden/>
              </w:rPr>
              <w:fldChar w:fldCharType="separate"/>
            </w:r>
            <w:r>
              <w:rPr>
                <w:noProof/>
                <w:webHidden/>
              </w:rPr>
              <w:t>11</w:t>
            </w:r>
            <w:r>
              <w:rPr>
                <w:noProof/>
                <w:webHidden/>
              </w:rPr>
              <w:fldChar w:fldCharType="end"/>
            </w:r>
          </w:hyperlink>
        </w:p>
        <w:p w14:paraId="5CAFB972" w14:textId="77777777" w:rsidR="00346495" w:rsidRDefault="00346495" w:rsidP="00346495">
          <w:r>
            <w:rPr>
              <w:b/>
              <w:bCs/>
              <w:noProof/>
            </w:rPr>
            <w:fldChar w:fldCharType="end"/>
          </w:r>
        </w:p>
      </w:sdtContent>
    </w:sdt>
    <w:p w14:paraId="5C6A33FD" w14:textId="77777777" w:rsidR="00346495" w:rsidRDefault="00346495" w:rsidP="00346495">
      <w:pPr>
        <w:spacing w:line="259" w:lineRule="auto"/>
        <w:jc w:val="left"/>
      </w:pPr>
      <w:r>
        <w:br w:type="page"/>
      </w:r>
    </w:p>
    <w:p w14:paraId="71594820" w14:textId="77777777" w:rsidR="00346495" w:rsidRDefault="00346495" w:rsidP="00346495">
      <w:pPr>
        <w:pStyle w:val="Heading1"/>
        <w:numPr>
          <w:ilvl w:val="0"/>
          <w:numId w:val="11"/>
        </w:numPr>
      </w:pPr>
      <w:bookmarkStart w:id="0" w:name="_Toc225466860"/>
      <w:r>
        <w:lastRenderedPageBreak/>
        <w:t>Introduction</w:t>
      </w:r>
      <w:bookmarkEnd w:id="0"/>
      <w:r>
        <w:t xml:space="preserve"> </w:t>
      </w:r>
    </w:p>
    <w:p w14:paraId="0930DDF4" w14:textId="7513EBB7" w:rsidR="00346495" w:rsidRPr="0039703C" w:rsidRDefault="00346495" w:rsidP="00346495">
      <w:r w:rsidRPr="0039703C">
        <w:t xml:space="preserve">A rights-based approach in education means that children and young people are treated as people with rights, not as passive recipients of adult decisions. In simple terms, schools and colleges should not see rights as an extra topic for assemblies or display boards. Rights should shape curriculum, teaching, assessment, discipline, wellbeing support and access to help. In this essay, a rights-based approach means an approach built on dignity, participation, non-discrimination, inclusion, protection and accountability. Embedded means that rights are built into law, policy and everyday practice, rather than being optional. Education contexts </w:t>
      </w:r>
      <w:r w:rsidR="00B37FAB" w:rsidRPr="0039703C">
        <w:t>include</w:t>
      </w:r>
      <w:r w:rsidRPr="0039703C">
        <w:t xml:space="preserve"> early years settings, primary and secondary schools, and further education provision. Wales is important because it has developed one of the strongest child-rights policy frameworks in the UK. However, a critical reading is still needed. Rights can be named in law and policy but remain weak in practice if learners are heard without influence, or if inclusion depends more on local capacity than on clear entitlement. This essay argues that Welsh legislation and policy have created a strong public framework for children’s rights in education, but the quality of implementation remains uneven across different settings (</w:t>
      </w:r>
      <w:proofErr w:type="spellStart"/>
      <w:r w:rsidRPr="0039703C">
        <w:t>Quennerstedt</w:t>
      </w:r>
      <w:proofErr w:type="spellEnd"/>
      <w:r w:rsidRPr="0039703C">
        <w:t xml:space="preserve"> and Moody, 2020; Gillett-Swan et al., 2025; Moody et al., 2025).</w:t>
      </w:r>
    </w:p>
    <w:p w14:paraId="32BF8387" w14:textId="77777777" w:rsidR="00346495" w:rsidRDefault="00346495" w:rsidP="00346495">
      <w:pPr>
        <w:pStyle w:val="Heading1"/>
        <w:numPr>
          <w:ilvl w:val="0"/>
          <w:numId w:val="1"/>
        </w:numPr>
        <w:ind w:left="431" w:hanging="431"/>
      </w:pPr>
      <w:bookmarkStart w:id="1" w:name="_Toc225466861"/>
      <w:r>
        <w:t>Discussion</w:t>
      </w:r>
      <w:bookmarkEnd w:id="1"/>
    </w:p>
    <w:p w14:paraId="78259A1F" w14:textId="77777777" w:rsidR="00346495" w:rsidRPr="0039703C" w:rsidRDefault="00346495" w:rsidP="00346495">
      <w:r w:rsidRPr="0039703C">
        <w:t xml:space="preserve">The main theory behind a rights-based approach comes from human rights thinking and from modern work on childhood. Human rights theory starts from the idea that </w:t>
      </w:r>
      <w:proofErr w:type="spellStart"/>
      <w:r w:rsidRPr="0039703C">
        <w:t>r</w:t>
      </w:r>
      <w:r w:rsidRPr="000A10DE">
        <w:t>adultism</w:t>
      </w:r>
      <w:r w:rsidRPr="0039703C">
        <w:t>ights</w:t>
      </w:r>
      <w:proofErr w:type="spellEnd"/>
      <w:r w:rsidRPr="0039703C">
        <w:t xml:space="preserve"> are universal and should not depend on adult goodwill. Child-rights scholarship then adds an important point</w:t>
      </w:r>
      <w:r>
        <w:t xml:space="preserve"> as</w:t>
      </w:r>
      <w:r w:rsidRPr="0039703C">
        <w:t xml:space="preserve"> children are not only future citizens; they are citizens now. This challenges older educational ideas that place children mainly in the role of obedient learners who must wait for adulthood before their views matter. Participation is therefore central, but participation must mean more than giving children a chance to speak. A learner may be asked for a view and still have no real influence. For that reason, rights education is often understood as education about rights, through rights and for rights. Learners need to know what rights are, experience rights-respecting relationships, and develop the agency to use rights in their lives. Recent research also shows that participation should not be reduced to adult-led consultation alone; it can also include collective action and forms of activism when young people challenge unfair systems (McMellon and Tisdall, </w:t>
      </w:r>
      <w:r w:rsidRPr="0039703C">
        <w:lastRenderedPageBreak/>
        <w:t xml:space="preserve">2020; Jerome and Starkey, 2022; </w:t>
      </w:r>
      <w:proofErr w:type="spellStart"/>
      <w:r w:rsidRPr="0039703C">
        <w:t>Quennerstedt</w:t>
      </w:r>
      <w:proofErr w:type="spellEnd"/>
      <w:r w:rsidRPr="0039703C">
        <w:t>, 2022a; Moody et al., 2024; Tisdall and Cuevas-Parra, 2022).</w:t>
      </w:r>
    </w:p>
    <w:p w14:paraId="55968D6C" w14:textId="77777777" w:rsidR="00346495" w:rsidRPr="0039703C" w:rsidRDefault="00346495" w:rsidP="00346495">
      <w:r w:rsidRPr="0039703C">
        <w:t xml:space="preserve">Child development theory also matters when discussing rights in education. Recent work argues that children’s understanding and use of rights are shaped by age, communication style, relationships, routine and classroom context. Young children may show preference, disagreement, curiosity or refusal long before they use formal rights language. This means a rights-based approach should not wait until adolescence. At the same time, development should not be used as an excuse to silence learners. Research shows that adults often decide what counts as a reasonable child view and when children are seen as capable of influence. In practice, the adult remains the gatekeeper. </w:t>
      </w:r>
      <w:r>
        <w:t>P</w:t>
      </w:r>
      <w:r w:rsidRPr="0039703C">
        <w:t>edagogy can either widen participation or quietly close it down through fixed routines, narrow behaviour expectations and tightly controlled talk. A critical understanding of development therefore supports rights, but only when development is used to adapt participation, not postpone it (Correia</w:t>
      </w:r>
      <w:r>
        <w:t xml:space="preserve"> et al.</w:t>
      </w:r>
      <w:r w:rsidRPr="0039703C">
        <w:t xml:space="preserve">, 2023; Waters-Davies et al., 2024; </w:t>
      </w:r>
      <w:proofErr w:type="spellStart"/>
      <w:r w:rsidRPr="0039703C">
        <w:t>Huić</w:t>
      </w:r>
      <w:proofErr w:type="spellEnd"/>
      <w:r w:rsidRPr="0039703C">
        <w:t>, 2022; Martinez Sainz et al., 2024).</w:t>
      </w:r>
    </w:p>
    <w:p w14:paraId="0BBC534F" w14:textId="77777777" w:rsidR="00346495" w:rsidRPr="0039703C" w:rsidRDefault="00346495" w:rsidP="00346495">
      <w:r w:rsidRPr="0039703C">
        <w:t xml:space="preserve">These ideas help explain why Wales matters. The Rights of Children and Young Persons (Wales) Measure 2011 requires Welsh Ministers to give due regard to the UNCRC and its Optional Protocols when making or reviewing policy, and the Children’s Rights Scheme 2021 explains how </w:t>
      </w:r>
      <w:r>
        <w:t>that duty should be carried out</w:t>
      </w:r>
      <w:r w:rsidRPr="0039703C">
        <w:t xml:space="preserve">. This is a major constitutional signal. It also fits a wider Welsh policy tradition that connects children’s rights to long-term public decision-making and sustainable development, rather than treating children’s interests as separate from mainstream governance (Croke et al., 2021). However, the Measure is strongest at ministerial level, not at the level of daily classroom practice. It influences reform, guidance and public policy, but it does not automatically guarantee that every child will experience rights-respecting teaching or have a quick remedy when rights are not realised. The law gives Wales a strong framework, but schools and colleges still </w:t>
      </w:r>
      <w:proofErr w:type="gramStart"/>
      <w:r w:rsidRPr="0039703C">
        <w:t>have to</w:t>
      </w:r>
      <w:proofErr w:type="gramEnd"/>
      <w:r w:rsidRPr="0039703C">
        <w:t xml:space="preserve"> translate that framework into practice.</w:t>
      </w:r>
    </w:p>
    <w:p w14:paraId="52D4C6D4" w14:textId="77777777" w:rsidR="00346495" w:rsidRPr="0039703C" w:rsidRDefault="00346495" w:rsidP="00346495">
      <w:r w:rsidRPr="0039703C">
        <w:t xml:space="preserve">That translation can be seen in recent Welsh education reform. The Curriculum and Assessment (Wales) Act 2021 and Curriculum for Wales place strong emphasis on learner progression, health and wellbeing, ethical citizenship and participation. Welsh curriculum guidance also links learning to knowledge of human and children’s rights. The Additional Learning Needs and Education Tribunal (Wales) Act 2018 extends a rights-based inclusion agenda into support systems for </w:t>
      </w:r>
      <w:r w:rsidRPr="0039703C">
        <w:lastRenderedPageBreak/>
        <w:t xml:space="preserve">children and young people, including post-16 learners in relevant contexts. In addition, the whole-school approach to emotional and mental wellbeing framework, anti-bullying guidance </w:t>
      </w:r>
      <w:r w:rsidRPr="009C7A5E">
        <w:t>such as Rights, Respect, Equality, and wider</w:t>
      </w:r>
      <w:r w:rsidRPr="0039703C">
        <w:t xml:space="preserve"> equality policy including the Anti-racist Wales Action Plan broaden the meaning of rights in education beyond simple access to schooling. This is a strength because it shows that rights in Wales are not limited to one policy document. But there is a weakness too. When rights are spread across many frameworks, staff may support the principle while still feeling unsure about what must change in teaching, assessment, behaviour systems or support services. In this sense, Wales has a rich policy landscape, but richness can sometimes create uncertainty in implementation (Murphy et al., 2024b; </w:t>
      </w:r>
      <w:proofErr w:type="spellStart"/>
      <w:r w:rsidRPr="0039703C">
        <w:t>Embling</w:t>
      </w:r>
      <w:proofErr w:type="spellEnd"/>
      <w:r w:rsidRPr="0039703C">
        <w:t xml:space="preserve"> et al., 2025; Nisar et al., 2024).</w:t>
      </w:r>
    </w:p>
    <w:p w14:paraId="47DC97A5" w14:textId="77777777" w:rsidR="00346495" w:rsidRPr="007B1A95" w:rsidRDefault="00346495" w:rsidP="00346495">
      <w:pPr>
        <w:spacing w:after="0"/>
        <w:rPr>
          <w:lang w:val="en-US"/>
        </w:rPr>
      </w:pPr>
      <w:r w:rsidRPr="007B1A95">
        <w:rPr>
          <w:lang w:val="en-US"/>
        </w:rPr>
        <w:t>One of the Welsh case studies is clear, as Murphy et al. (2024b) investigated participative rights in Welsh primary schools. Their work is significant as it does not merely restate the argument that Wale</w:t>
      </w:r>
      <w:r>
        <w:rPr>
          <w:lang w:val="en-US"/>
        </w:rPr>
        <w:t xml:space="preserve">s is in </w:t>
      </w:r>
      <w:proofErr w:type="spellStart"/>
      <w:r>
        <w:rPr>
          <w:lang w:val="en-US"/>
        </w:rPr>
        <w:t>favour</w:t>
      </w:r>
      <w:proofErr w:type="spellEnd"/>
      <w:r>
        <w:rPr>
          <w:lang w:val="en-US"/>
        </w:rPr>
        <w:t xml:space="preserve"> of children’s</w:t>
      </w:r>
      <w:r w:rsidRPr="007B1A95">
        <w:rPr>
          <w:lang w:val="en-US"/>
        </w:rPr>
        <w:t xml:space="preserve"> rights. Rather, it poses the question of whether this support can be observed in legislation, policy and, indirectly, in the day-to-day pedagogy. The authors discovered </w:t>
      </w:r>
      <w:r w:rsidRPr="00BC4340">
        <w:t xml:space="preserve">that rights language has gained prominence over the years and </w:t>
      </w:r>
      <w:proofErr w:type="gramStart"/>
      <w:r w:rsidRPr="00BC4340">
        <w:t>in particular in</w:t>
      </w:r>
      <w:proofErr w:type="gramEnd"/>
      <w:r w:rsidRPr="00BC4340">
        <w:t xml:space="preserve"> recent reform, yet the shift between policy rhetoric and classroom reality is yet to be fully achieved. Participation is frequently pictured in the form of visible organisations like school councils, pupil questionnaires or class discussions. Anderson et al. (2022) assist in understanding why this is important, as participation is associated with wellbeing in the strongest way possible, when it is genuine and when learners are valued, rather than simply given an</w:t>
      </w:r>
      <w:r w:rsidRPr="007B1A95">
        <w:rPr>
          <w:lang w:val="en-US"/>
        </w:rPr>
        <w:t xml:space="preserve"> opportunity to speak. Welsh policy, there</w:t>
      </w:r>
      <w:r>
        <w:rPr>
          <w:lang w:val="en-US"/>
        </w:rPr>
        <w:t>fore, is like opening the door,</w:t>
      </w:r>
      <w:r w:rsidRPr="007B1A95">
        <w:rPr>
          <w:lang w:val="en-US"/>
        </w:rPr>
        <w:t xml:space="preserve"> but what decides the extent to which rights enter the classroom is teacher practice.</w:t>
      </w:r>
    </w:p>
    <w:p w14:paraId="74B26C9B" w14:textId="6F03AA1D" w:rsidR="00346495" w:rsidRPr="007B1A95" w:rsidRDefault="00346495" w:rsidP="00BC4340">
      <w:pPr>
        <w:rPr>
          <w:lang w:val="en-US"/>
        </w:rPr>
      </w:pPr>
      <w:r w:rsidRPr="007B1A95">
        <w:rPr>
          <w:lang w:val="en-US"/>
        </w:rPr>
        <w:t xml:space="preserve">The second Welsh example is from early years classrooms. Waters-Davies et al. (2024) demonstrate that child participation is created with the help of classroom space, routine and adult judgement. It was not just a case of asking the children what they wanted. It relied on whether the </w:t>
      </w:r>
      <w:proofErr w:type="gramStart"/>
      <w:r w:rsidRPr="007B1A95">
        <w:rPr>
          <w:lang w:val="en-US"/>
        </w:rPr>
        <w:t>teachers</w:t>
      </w:r>
      <w:proofErr w:type="gramEnd"/>
      <w:r w:rsidRPr="007B1A95">
        <w:rPr>
          <w:lang w:val="en-US"/>
        </w:rPr>
        <w:t xml:space="preserve"> treated children as competent partners in the process of making meaning. This is consistent with more general work in early childhood education, which suggests that participation should be viewed relationally and developmentally, as opposed to a vote or formal meeting (Correia et al., 2023). Akyol (2024) also demonstrates that practical tools, including picture books, may be used to discuss the concept of fairness, choice, and voice with young children in age-related ways. The main concern here is that early </w:t>
      </w:r>
      <w:proofErr w:type="gramStart"/>
      <w:r w:rsidRPr="007B1A95">
        <w:rPr>
          <w:lang w:val="en-US"/>
        </w:rPr>
        <w:t>years</w:t>
      </w:r>
      <w:proofErr w:type="gramEnd"/>
      <w:r w:rsidRPr="007B1A95">
        <w:rPr>
          <w:lang w:val="en-US"/>
        </w:rPr>
        <w:t xml:space="preserve"> settings may appear to be child-</w:t>
      </w:r>
      <w:proofErr w:type="spellStart"/>
      <w:r w:rsidRPr="007B1A95">
        <w:rPr>
          <w:lang w:val="en-US"/>
        </w:rPr>
        <w:t>centred</w:t>
      </w:r>
      <w:proofErr w:type="spellEnd"/>
      <w:r w:rsidRPr="007B1A95">
        <w:rPr>
          <w:lang w:val="en-US"/>
        </w:rPr>
        <w:t xml:space="preserve"> </w:t>
      </w:r>
      <w:r w:rsidRPr="007B1A95">
        <w:rPr>
          <w:lang w:val="en-US"/>
        </w:rPr>
        <w:lastRenderedPageBreak/>
        <w:t xml:space="preserve">and still leave </w:t>
      </w:r>
      <w:proofErr w:type="gramStart"/>
      <w:r w:rsidRPr="007B1A95">
        <w:rPr>
          <w:lang w:val="en-US"/>
        </w:rPr>
        <w:t>the majority of</w:t>
      </w:r>
      <w:proofErr w:type="gramEnd"/>
      <w:r w:rsidRPr="007B1A95">
        <w:rPr>
          <w:lang w:val="en-US"/>
        </w:rPr>
        <w:t xml:space="preserve"> power with adults. A rights-based approach thus needs more than cordial relationships and fun schools. It compels adults to wonder how the decisions are arrived at, whose interpretations are the most important, and whether the opinions of children have any influence on </w:t>
      </w:r>
      <w:r w:rsidR="00B37FAB" w:rsidRPr="007B1A95">
        <w:rPr>
          <w:lang w:val="en-US"/>
        </w:rPr>
        <w:t>further</w:t>
      </w:r>
      <w:r w:rsidRPr="007B1A95">
        <w:rPr>
          <w:lang w:val="en-US"/>
        </w:rPr>
        <w:t xml:space="preserve"> actions. In this respect, rights are not enshrined in slogans but in the small, day-to-day pedagogic decisions.</w:t>
      </w:r>
    </w:p>
    <w:p w14:paraId="7BFD6413" w14:textId="6AB78F9F" w:rsidR="00346495" w:rsidRPr="007B1A95" w:rsidRDefault="00346495" w:rsidP="00BC4340">
      <w:pPr>
        <w:rPr>
          <w:lang w:val="en-US"/>
        </w:rPr>
      </w:pPr>
      <w:r w:rsidRPr="007B1A95">
        <w:rPr>
          <w:lang w:val="en-US"/>
        </w:rPr>
        <w:t xml:space="preserve">Rights are also put to the test by evaluation. In an opinion piece, </w:t>
      </w:r>
      <w:proofErr w:type="spellStart"/>
      <w:r w:rsidRPr="007B1A95">
        <w:rPr>
          <w:lang w:val="en-US"/>
        </w:rPr>
        <w:t>Barrance</w:t>
      </w:r>
      <w:proofErr w:type="spellEnd"/>
      <w:r w:rsidRPr="007B1A95">
        <w:rPr>
          <w:lang w:val="en-US"/>
        </w:rPr>
        <w:t xml:space="preserve"> (20</w:t>
      </w:r>
      <w:r>
        <w:rPr>
          <w:lang w:val="en-US"/>
        </w:rPr>
        <w:t>21), based on the children’s</w:t>
      </w:r>
      <w:r w:rsidRPr="007B1A95">
        <w:rPr>
          <w:lang w:val="en-US"/>
        </w:rPr>
        <w:t xml:space="preserve"> rights approach to GCSE tiering in Wales and Northern Ireland, concluded that tiering choices may have an impact on self-esteem, peer relationships and future expectations, particularly </w:t>
      </w:r>
      <w:r w:rsidR="00B37FAB" w:rsidRPr="007B1A95">
        <w:rPr>
          <w:lang w:val="en-US"/>
        </w:rPr>
        <w:t>regarding</w:t>
      </w:r>
      <w:r w:rsidRPr="007B1A95">
        <w:rPr>
          <w:lang w:val="en-US"/>
        </w:rPr>
        <w:t xml:space="preserve"> learners who are placed in foundation tiers. The understanding of the way in which tiering was done and the lack of control over the process were also common among many students. This is important since the rights-based approach is not just about voice and care. </w:t>
      </w:r>
      <w:proofErr w:type="gramStart"/>
      <w:r w:rsidRPr="007B1A95">
        <w:rPr>
          <w:lang w:val="en-US"/>
        </w:rPr>
        <w:t>It is</w:t>
      </w:r>
      <w:proofErr w:type="gramEnd"/>
      <w:r w:rsidRPr="007B1A95">
        <w:rPr>
          <w:lang w:val="en-US"/>
        </w:rPr>
        <w:t xml:space="preserve"> also </w:t>
      </w:r>
      <w:r w:rsidR="00B37FAB" w:rsidRPr="007B1A95">
        <w:rPr>
          <w:lang w:val="en-US"/>
        </w:rPr>
        <w:t>concerns</w:t>
      </w:r>
      <w:r w:rsidRPr="007B1A95">
        <w:rPr>
          <w:lang w:val="en-US"/>
        </w:rPr>
        <w:t xml:space="preserve"> equal access to challenging learning, equal treatment in decision making, as well as safeguards against practices that </w:t>
      </w:r>
      <w:r w:rsidR="00B37FAB" w:rsidRPr="007B1A95">
        <w:rPr>
          <w:lang w:val="en-US"/>
        </w:rPr>
        <w:t>could</w:t>
      </w:r>
      <w:r w:rsidRPr="007B1A95">
        <w:rPr>
          <w:lang w:val="en-US"/>
        </w:rPr>
        <w:t xml:space="preserve"> recreate low expectations. Wales has shifted to a more learner-</w:t>
      </w:r>
      <w:proofErr w:type="spellStart"/>
      <w:r w:rsidRPr="007B1A95">
        <w:rPr>
          <w:lang w:val="en-US"/>
        </w:rPr>
        <w:t>centred</w:t>
      </w:r>
      <w:proofErr w:type="spellEnd"/>
      <w:r w:rsidRPr="007B1A95">
        <w:rPr>
          <w:lang w:val="en-US"/>
        </w:rPr>
        <w:t xml:space="preserve"> curriculum, yet rights may still be limited in the case of assessment systems which are either opaque, stratified or restrictive.</w:t>
      </w:r>
    </w:p>
    <w:p w14:paraId="42F53127" w14:textId="77777777" w:rsidR="00346495" w:rsidRPr="0039703C" w:rsidRDefault="00346495" w:rsidP="00BC4340">
      <w:r w:rsidRPr="0039703C">
        <w:t xml:space="preserve"> This example shows that rights-based education must include curriculum and assessment, not only behaviour and wellbeing. It also supports </w:t>
      </w:r>
      <w:proofErr w:type="spellStart"/>
      <w:r w:rsidRPr="0039703C">
        <w:t>Quennerstedt’s</w:t>
      </w:r>
      <w:proofErr w:type="spellEnd"/>
      <w:r w:rsidRPr="0039703C">
        <w:t xml:space="preserve"> (2022a) point that schools face real difficulty when trying to turn broad human rights ideas into clear educational content and practice.</w:t>
      </w:r>
    </w:p>
    <w:p w14:paraId="536B6F92" w14:textId="77777777" w:rsidR="00346495" w:rsidRPr="0039703C" w:rsidRDefault="00346495" w:rsidP="00346495">
      <w:r w:rsidRPr="0039703C">
        <w:t>School exclusion gives an even sharper test of whether rights are truly embedded. Power and Taylor (2024) show that Welsh exclusion policy is shaped by a strong rights-based discourse. Exclusion is framed through children’s rights, social context and structural disadvantage, rather than only through blame placed on the individual child. Tseliou</w:t>
      </w:r>
      <w:r>
        <w:t xml:space="preserve"> et al.</w:t>
      </w:r>
      <w:r w:rsidRPr="0039703C">
        <w:t xml:space="preserve"> (2024) also show that exclusion patterns in Wales are more complex than simple headline comparisons suggest. McCluskey et al. (2024) place this in a UK context and show that Wales differs from England in the language and logic used around exclusion. Yet rights discourse does not remove contradiction. Power and Taylor (2024) argue that policy does not fully explain how competing rights should be balanced, and Bridgeman (2025) shows that parents can still feel powerless in exclusion processes. This is where the gap between policy and lived experience becomes very clear. A system may talk the language of rights while still leaving children and families with weak influence, unclear </w:t>
      </w:r>
      <w:r w:rsidRPr="0039703C">
        <w:lastRenderedPageBreak/>
        <w:t>remedies and uneven alternatives to exclusion. In that sense, exclusion policy in Wales is both a success and a warning</w:t>
      </w:r>
      <w:r>
        <w:t xml:space="preserve"> that is due to</w:t>
      </w:r>
      <w:r w:rsidRPr="0039703C">
        <w:t xml:space="preserve"> rights language matters, but it is not enough on its own.</w:t>
      </w:r>
    </w:p>
    <w:p w14:paraId="5BA41C0A" w14:textId="77777777" w:rsidR="00346495" w:rsidRPr="0039703C" w:rsidRDefault="00346495" w:rsidP="00346495">
      <w:r w:rsidRPr="0039703C">
        <w:t>Inclusion policy reveals similar tensions. The ALN reform in Wales aims to build a more joined-up and child-centred system, and that clearly aligns with a rights-based approach. However, Murphy</w:t>
      </w:r>
      <w:r>
        <w:t xml:space="preserve"> et al.</w:t>
      </w:r>
      <w:r w:rsidRPr="0039703C">
        <w:t xml:space="preserve"> (2024a) show that ALNCos experience this reform through pressure, accountability and uncertainty as well as through inclusive ideals. Their findings highlight compliance demands, local inconsistency and the difficult middle role of the ALNCo, who must interpret policy while responding to practical constraints. Norwich (2025) is useful here because he argues for a rights-informed approach to inclusion that respects the child’s voice but also recognises that schools must balance rights and interests in real settings. This is important because it avoids the false idea that simply using the language of rights automatically solves inclusion problems. Inclusion requires time, specialist knowledge, accessible planning, communication with families and consistent local systems. Without these conditions, rights language can become aspirational rather than protective. In this area, Welsh policy is clearly rights-oriented, but implementation still depends heavily on staffing, training and local coordination.</w:t>
      </w:r>
    </w:p>
    <w:p w14:paraId="41D489F8" w14:textId="77777777" w:rsidR="00346495" w:rsidRPr="0039703C" w:rsidRDefault="00346495" w:rsidP="00346495">
      <w:r w:rsidRPr="007B1A95">
        <w:t>The further education setting demonstrates the importance of rights beyond compulsory education. In a Welsh study of care-experienced children and young people in the transition from leaving secondary school to further education colleges, MacDonald et al. (2025) reported that wellbeing support was generally weaker at transition points. The youths treasured a sense of belonging, had faith in relationships and staff who</w:t>
      </w:r>
      <w:r>
        <w:t xml:space="preserve"> knew about care experience,</w:t>
      </w:r>
      <w:r w:rsidRPr="007B1A95">
        <w:t xml:space="preserve"> yet they had obstacles associated with independence, stigma and disjointed services. This runs more as a rights issue than a welfare issue. The continuity of support, involvement in planning, and access to education that does not collapse in the case of transfer to a different institution should be preserved by a rights-based </w:t>
      </w:r>
      <w:proofErr w:type="spellStart"/>
      <w:r w:rsidRPr="007B1A95">
        <w:t>approach.</w:t>
      </w:r>
      <w:r w:rsidRPr="0039703C">
        <w:t>The</w:t>
      </w:r>
      <w:proofErr w:type="spellEnd"/>
      <w:r w:rsidRPr="0039703C">
        <w:t xml:space="preserve"> Welsh framework gives some support for this through post-16 ALN duties and wider wellbeing policy, but the case study shows that transitions remain fragile. Rights are often easiest to lose when responsibility moves from one service to another.</w:t>
      </w:r>
    </w:p>
    <w:p w14:paraId="11BDBCDF" w14:textId="4653659F" w:rsidR="00346495" w:rsidRPr="0039703C" w:rsidRDefault="00346495" w:rsidP="00346495">
      <w:r w:rsidRPr="0039703C">
        <w:t>Several barriers explain why rights-based policy does not always become rights-based practice. One is adultism</w:t>
      </w:r>
      <w:r>
        <w:t xml:space="preserve"> as</w:t>
      </w:r>
      <w:r w:rsidRPr="0039703C">
        <w:t xml:space="preserve"> the assumption that adults know best and children should mainly comply. </w:t>
      </w:r>
      <w:proofErr w:type="spellStart"/>
      <w:r w:rsidRPr="0039703C">
        <w:t>Huić</w:t>
      </w:r>
      <w:proofErr w:type="spellEnd"/>
      <w:r w:rsidRPr="0039703C">
        <w:t xml:space="preserve"> (2022) shows that teachers may support participation in principle while limiting it in practice. McMellon and Tisdall (2020) likewise argue that participation rights continue to face familiar </w:t>
      </w:r>
      <w:r w:rsidRPr="0039703C">
        <w:lastRenderedPageBreak/>
        <w:t>problems, especially tokenism, weak accountability and uneven follow-through. Tisdall and Cuevas-Parra (2022) add that participation should include collective action and activism, not just adult-managed consultation. These studies are useful in the Welsh context because they show that the main barrier is not usually open rejection of rights. It is the softer problem of controlled participation</w:t>
      </w:r>
      <w:r>
        <w:t xml:space="preserve"> such as</w:t>
      </w:r>
      <w:r w:rsidRPr="0039703C">
        <w:t xml:space="preserve"> children are asked for views, but adults decide what counts, when it counts, and whether anything changes. Anderson et al. (2022) show why </w:t>
      </w:r>
      <w:r w:rsidR="00B37FAB" w:rsidRPr="0039703C">
        <w:t>these matters</w:t>
      </w:r>
      <w:r>
        <w:t xml:space="preserve"> as</w:t>
      </w:r>
      <w:r w:rsidRPr="0039703C">
        <w:t xml:space="preserve"> voice without recognition does little for wellbeing. So, a school can appear rights-friendly while keeping power largely untouched.</w:t>
      </w:r>
    </w:p>
    <w:p w14:paraId="37037F52" w14:textId="0C94D29B" w:rsidR="00346495" w:rsidRPr="0039703C" w:rsidRDefault="00346495" w:rsidP="00346495">
      <w:r w:rsidRPr="0039703C">
        <w:t xml:space="preserve">A second barrier is the pressure on schools to solve many social problems quickly. Wellbeing provides a good example. Welsh policy strongly supports a whole-school approach to emotional and mental wellbeing, but evidence on programmes is mixed. Nisar et al. (2024) show that schools use a wide range of wellbeing programmes, often with variable evidence and uneven implementation. Clarke and Hoskin (2022) suggest that teaching mental wellbeing can be useful when it is carefully planned and </w:t>
      </w:r>
      <w:r w:rsidR="00B37FAB" w:rsidRPr="0039703C">
        <w:t>age appropriate</w:t>
      </w:r>
      <w:r w:rsidRPr="0039703C">
        <w:t>. However, Foulkes</w:t>
      </w:r>
      <w:r>
        <w:t xml:space="preserve"> et al.</w:t>
      </w:r>
      <w:r w:rsidRPr="0039703C">
        <w:t xml:space="preserve"> (202</w:t>
      </w:r>
      <w:r>
        <w:t>5</w:t>
      </w:r>
      <w:r w:rsidRPr="0039703C">
        <w:t>) warn that some universal school-based mental health interventions may unintentionally cause harm. A rights-based approach therefore requires caution</w:t>
      </w:r>
      <w:r>
        <w:t xml:space="preserve"> as</w:t>
      </w:r>
      <w:r w:rsidRPr="0039703C">
        <w:t xml:space="preserve"> good intentions are not enough. Nottingham</w:t>
      </w:r>
      <w:r>
        <w:t xml:space="preserve"> et al.</w:t>
      </w:r>
      <w:r w:rsidRPr="0039703C">
        <w:t xml:space="preserve"> (2022) raise another modern issue by showing how digital schooling can place children’s privacy and data rights under pressure. In Wales, where digital competence forms part of curriculum thinking, this means schools must think not only about access to technology but also about surveillance, consent and data use. Rights-based practice must therefore be evidence-based and privacy-aware, not only caring in tone.</w:t>
      </w:r>
    </w:p>
    <w:p w14:paraId="1C382B22" w14:textId="391279A9" w:rsidR="00346495" w:rsidRDefault="00346495" w:rsidP="00346495">
      <w:r w:rsidRPr="00755693">
        <w:t>Another important issue is accountability</w:t>
      </w:r>
      <w:r>
        <w:t xml:space="preserve"> as a</w:t>
      </w:r>
      <w:r w:rsidRPr="00755693">
        <w:t xml:space="preserve"> rights-based approach is only meaningful when children and young people can see that their views have consequences for policy and classroom practice. In Wales, legislation gives a strong public commitment to rights, but everyday accountability in schools is less clear. </w:t>
      </w:r>
      <w:r w:rsidRPr="007B1A95">
        <w:t>The learners can be consulted in councils, surveys or classroom discussions, but consultation is not a sure way to have influence. This poses a danger of rights being symbolic and not transformative.</w:t>
      </w:r>
      <w:r>
        <w:t xml:space="preserve"> </w:t>
      </w:r>
      <w:r w:rsidRPr="00755693">
        <w:t xml:space="preserve">Research shows that voice is most effective when it is linked to recognition, feedback and visible change, not when it is used only to show that schools have listened (Anderson et al., 2022; McMellon and Tisdall, 2020). In the same way, children’s human rights education is weakened when staff use rights language without changing </w:t>
      </w:r>
      <w:r w:rsidRPr="00755693">
        <w:lastRenderedPageBreak/>
        <w:t>power relations, curriculum decisions or inclusion practices (</w:t>
      </w:r>
      <w:proofErr w:type="spellStart"/>
      <w:r w:rsidRPr="00755693">
        <w:t>Quennerstedt</w:t>
      </w:r>
      <w:proofErr w:type="spellEnd"/>
      <w:r w:rsidRPr="00755693">
        <w:t xml:space="preserve">, 2022a; Moody et al., 2025). For Welsh education, this means that leadership matters as much as legislation. School leaders and practitioners need to make rights part of improvement planning, staff development and daily decision-making. Without these practical systems, the strong Welsh policy framework may encourage awareness of rights, but not always their consistent realisation in </w:t>
      </w:r>
      <w:r w:rsidR="00B37FAB" w:rsidRPr="00755693">
        <w:t>learners</w:t>
      </w:r>
      <w:r w:rsidRPr="00755693">
        <w:t xml:space="preserve"> lived experiences (Murphy et al., 2024b).</w:t>
      </w:r>
    </w:p>
    <w:p w14:paraId="31DB6FA0" w14:textId="2E8C628F" w:rsidR="00346495" w:rsidRDefault="00346495" w:rsidP="00346495">
      <w:r w:rsidRPr="0039703C">
        <w:t xml:space="preserve">Despite these barriers, there are effective ways to strengthen rights-based practice. One is to treat rights education as a whole-school culture rather than a poster campaign. </w:t>
      </w:r>
      <w:proofErr w:type="spellStart"/>
      <w:r w:rsidRPr="0039703C">
        <w:t>Quennerstedt</w:t>
      </w:r>
      <w:proofErr w:type="spellEnd"/>
      <w:r w:rsidRPr="0039703C">
        <w:t xml:space="preserve"> (2022b) argues that UNICEF’s Rights Respecting Schools Award can support schools by giving structure to children’s human rights education, but it works best when rights shape relationships, learning and school organisation rather than being added as a badge. Moody</w:t>
      </w:r>
      <w:r>
        <w:t xml:space="preserve"> et al.</w:t>
      </w:r>
      <w:r w:rsidRPr="0039703C">
        <w:t xml:space="preserve"> (2024) and Moody et al. (2025) make a similar point</w:t>
      </w:r>
      <w:r>
        <w:t xml:space="preserve"> as</w:t>
      </w:r>
      <w:r w:rsidRPr="0039703C">
        <w:t xml:space="preserve"> children’s human rights education needs clear aims, appropriate content and teaching approaches that respect children as learners. </w:t>
      </w:r>
      <w:r>
        <w:t xml:space="preserve">Gillett-Swan et al. (2025) also demonstrate that even the simplest definitions of rights education are likely to be confused, which is why staff training is an issue. This, in Wales, indicates that </w:t>
      </w:r>
      <w:r w:rsidR="00B37FAB">
        <w:t>policymakin</w:t>
      </w:r>
      <w:r>
        <w:t xml:space="preserve">should still encourage professional learning on rights instead of expecting legislation to generate shared knowledge. </w:t>
      </w:r>
      <w:proofErr w:type="spellStart"/>
      <w:r>
        <w:t>Embling</w:t>
      </w:r>
      <w:proofErr w:type="spellEnd"/>
      <w:r>
        <w:t xml:space="preserve"> et al. (2025) also posit that implementation is enhanced when schools get system-level support and structures of partnership, rather than reform messages on top.</w:t>
      </w:r>
    </w:p>
    <w:p w14:paraId="4A561069" w14:textId="77777777" w:rsidR="00346495" w:rsidRDefault="00346495" w:rsidP="00346495">
      <w:r>
        <w:t xml:space="preserve">Good strategy also entails the transformation of daily pedagogy. </w:t>
      </w:r>
      <w:r w:rsidRPr="0039703C">
        <w:t>In early years and primary settings, participation can be built through dialogue, choice, storytelling, reflective routines and classroom talk that treats children’s views as useful for teaching decisions (Akyol, 2024; Waters-Davies et al., 2024). In inclusion work, a rights-based approach needs accessible planning, strong relationships with families, and genuine learner involvement in decisions about support (Murphy</w:t>
      </w:r>
      <w:r>
        <w:t xml:space="preserve"> et al.</w:t>
      </w:r>
      <w:r w:rsidRPr="0039703C">
        <w:t>, 2024a; Norwich, 2025). For older learners and FE students, MacDonald et al. (2025) show the importance of designated staff, relational continuity and coordinated support across agencies. At a wider level, Croke et al. (2021) suggest that Welsh public policy is strongest when children’s rights are connected to broader goals of fair and sustainable development. This matters for education because rights-based practice should not sit at the edges of schooling. It should be part of how schools and colleges plan change, distribute resources, interpret inclusion and judge success.</w:t>
      </w:r>
    </w:p>
    <w:p w14:paraId="62C06A54" w14:textId="77777777" w:rsidR="00346495" w:rsidRPr="0039703C" w:rsidRDefault="00346495" w:rsidP="00346495">
      <w:pPr>
        <w:pStyle w:val="Heading1"/>
        <w:numPr>
          <w:ilvl w:val="0"/>
          <w:numId w:val="1"/>
        </w:numPr>
        <w:ind w:left="431" w:hanging="431"/>
      </w:pPr>
      <w:bookmarkStart w:id="2" w:name="_Toc225466862"/>
      <w:r>
        <w:lastRenderedPageBreak/>
        <w:t>Conclusion</w:t>
      </w:r>
      <w:bookmarkEnd w:id="2"/>
    </w:p>
    <w:p w14:paraId="0ABBFEB9" w14:textId="69280127" w:rsidR="00BC4340" w:rsidRDefault="00346495" w:rsidP="00346495">
      <w:r w:rsidRPr="0039703C">
        <w:t>Overall, a rights-based approach is deeply embedded in Welsh education at the level of legislation and policy. The UNCRC duty, the Children’s Rights Scheme, Curriculum for Wales, ALN reform and wellbeing and equality guidance all show a clear national commitment. Wales has therefore moved further than most UK systems in making children’s rights part of education policy. Even so, the evidence from schools and colleges is mixed. The strongest practice appears where rights are lived through pedagogy, inclusion, recognition and participation in everyday decisions. The weakest practice appears where rights remain mostly rhetorical, where exclusion and assessment systems reproduce inequality, or where support depends too heavily on local capacity. The central lesson is that rights are not embedded simply because a policy says they matter. They are embedded only when learners can feel them in the classroom, in support systems, in transitions and in the decisions that shape their futures</w:t>
      </w:r>
      <w:r>
        <w:t>.</w:t>
      </w:r>
    </w:p>
    <w:p w14:paraId="58C3C34B" w14:textId="772D07C8" w:rsidR="00346495" w:rsidRPr="0039703C" w:rsidRDefault="00BC4340" w:rsidP="00BC4340">
      <w:pPr>
        <w:spacing w:line="259" w:lineRule="auto"/>
        <w:jc w:val="left"/>
      </w:pPr>
      <w:r>
        <w:br w:type="page"/>
      </w:r>
    </w:p>
    <w:p w14:paraId="6927A964" w14:textId="77777777" w:rsidR="00346495" w:rsidRPr="0039703C" w:rsidRDefault="00346495" w:rsidP="00346495">
      <w:pPr>
        <w:pStyle w:val="Heading1"/>
        <w:numPr>
          <w:ilvl w:val="0"/>
          <w:numId w:val="1"/>
        </w:numPr>
        <w:ind w:left="431" w:hanging="431"/>
      </w:pPr>
      <w:bookmarkStart w:id="3" w:name="_Toc225466863"/>
      <w:r w:rsidRPr="0039703C">
        <w:lastRenderedPageBreak/>
        <w:t>References</w:t>
      </w:r>
      <w:bookmarkEnd w:id="3"/>
    </w:p>
    <w:p w14:paraId="319A4549" w14:textId="72B8DFF1" w:rsidR="00346495" w:rsidRDefault="00BC4340" w:rsidP="00346495">
      <w:pPr>
        <w:spacing w:line="259" w:lineRule="auto"/>
      </w:pPr>
      <w:r>
        <w:t>Akyol, T. (</w:t>
      </w:r>
      <w:r w:rsidR="00346495" w:rsidRPr="002606C3">
        <w:t>2024</w:t>
      </w:r>
      <w:r>
        <w:t>)</w:t>
      </w:r>
      <w:r w:rsidR="00346495" w:rsidRPr="002606C3">
        <w:t>. Promoting young children’s right to participate in the classroom through picture books. </w:t>
      </w:r>
      <w:r w:rsidR="00346495" w:rsidRPr="00525009">
        <w:rPr>
          <w:i/>
          <w:iCs/>
        </w:rPr>
        <w:t>Child Indicators Research</w:t>
      </w:r>
      <w:r w:rsidR="00346495" w:rsidRPr="002606C3">
        <w:t>, </w:t>
      </w:r>
      <w:r w:rsidR="00346495" w:rsidRPr="00525009">
        <w:rPr>
          <w:i/>
          <w:iCs/>
        </w:rPr>
        <w:t>17</w:t>
      </w:r>
      <w:r w:rsidR="00346495" w:rsidRPr="002606C3">
        <w:t>(3), pp.1217-1237.</w:t>
      </w:r>
    </w:p>
    <w:p w14:paraId="0660C0D6" w14:textId="5759EB4E" w:rsidR="00346495" w:rsidRDefault="00346495" w:rsidP="00346495">
      <w:pPr>
        <w:spacing w:line="259" w:lineRule="auto"/>
      </w:pPr>
      <w:r w:rsidRPr="005C0AC1">
        <w:t>Anderson, D.L., Graham, A.P.</w:t>
      </w:r>
      <w:r w:rsidR="00BC4340">
        <w:t>, Simmons, C. and Thomas, N.P. (</w:t>
      </w:r>
      <w:r w:rsidRPr="005C0AC1">
        <w:t>2022</w:t>
      </w:r>
      <w:r w:rsidR="00BC4340">
        <w:t>)</w:t>
      </w:r>
      <w:r w:rsidRPr="005C0AC1">
        <w:t>. Positive links between student participation, recognition and wellbeing at school. </w:t>
      </w:r>
      <w:r w:rsidRPr="00525009">
        <w:rPr>
          <w:i/>
          <w:iCs/>
        </w:rPr>
        <w:t>International Journal of Educational Research</w:t>
      </w:r>
      <w:r w:rsidRPr="005C0AC1">
        <w:t>, </w:t>
      </w:r>
      <w:r w:rsidRPr="00525009">
        <w:rPr>
          <w:i/>
          <w:iCs/>
        </w:rPr>
        <w:t>111</w:t>
      </w:r>
      <w:r w:rsidRPr="005C0AC1">
        <w:t>, p.101896.</w:t>
      </w:r>
    </w:p>
    <w:p w14:paraId="48D297E0" w14:textId="5AAA29EC" w:rsidR="00346495" w:rsidRDefault="00BC4340" w:rsidP="00346495">
      <w:pPr>
        <w:spacing w:line="259" w:lineRule="auto"/>
      </w:pPr>
      <w:proofErr w:type="spellStart"/>
      <w:r>
        <w:t>Barrance</w:t>
      </w:r>
      <w:proofErr w:type="spellEnd"/>
      <w:r>
        <w:t>, R. (</w:t>
      </w:r>
      <w:r w:rsidR="00346495" w:rsidRPr="004C265E">
        <w:t>2020</w:t>
      </w:r>
      <w:r>
        <w:t>)</w:t>
      </w:r>
      <w:r w:rsidR="00346495" w:rsidRPr="004C265E">
        <w:t>. Tiering in the GCSE: A children’s rights perspective. </w:t>
      </w:r>
      <w:r w:rsidR="00346495" w:rsidRPr="00525009">
        <w:rPr>
          <w:i/>
          <w:iCs/>
        </w:rPr>
        <w:t>British Educational Research Journal</w:t>
      </w:r>
      <w:r w:rsidR="00346495" w:rsidRPr="004C265E">
        <w:t>, </w:t>
      </w:r>
      <w:r w:rsidR="00346495" w:rsidRPr="00525009">
        <w:rPr>
          <w:i/>
          <w:iCs/>
        </w:rPr>
        <w:t>46</w:t>
      </w:r>
      <w:r w:rsidR="00346495" w:rsidRPr="004C265E">
        <w:t>(6), pp.1210-1231.</w:t>
      </w:r>
    </w:p>
    <w:p w14:paraId="521946D0" w14:textId="0A1B8046" w:rsidR="00346495" w:rsidRDefault="00346495" w:rsidP="00346495">
      <w:pPr>
        <w:spacing w:line="259" w:lineRule="auto"/>
      </w:pPr>
      <w:r w:rsidRPr="00BB7273">
        <w:t>Bridgeman</w:t>
      </w:r>
      <w:r w:rsidR="00BC4340">
        <w:t>, J. (</w:t>
      </w:r>
      <w:r w:rsidRPr="00BB7273">
        <w:t>2025</w:t>
      </w:r>
      <w:r w:rsidR="00BC4340">
        <w:t>)</w:t>
      </w:r>
      <w:r w:rsidRPr="00BB7273">
        <w:t>. Parents’ perceptions of power in the school exclusion process examined through Arnstein's ladder of participation. </w:t>
      </w:r>
      <w:r w:rsidRPr="00525009">
        <w:rPr>
          <w:i/>
          <w:iCs/>
        </w:rPr>
        <w:t>Educational Review</w:t>
      </w:r>
      <w:r w:rsidRPr="00BB7273">
        <w:t>, </w:t>
      </w:r>
      <w:r w:rsidRPr="00525009">
        <w:rPr>
          <w:i/>
          <w:iCs/>
        </w:rPr>
        <w:t>77</w:t>
      </w:r>
      <w:r w:rsidRPr="00BB7273">
        <w:t>(7), pp.2282-2301.</w:t>
      </w:r>
    </w:p>
    <w:p w14:paraId="2EBE7C9E" w14:textId="0BDFE702" w:rsidR="00346495" w:rsidRDefault="00BC4340" w:rsidP="00346495">
      <w:pPr>
        <w:spacing w:line="259" w:lineRule="auto"/>
      </w:pPr>
      <w:r>
        <w:t>Clarke, T. and Hoskin, S. (</w:t>
      </w:r>
      <w:r w:rsidR="00346495" w:rsidRPr="00053F14">
        <w:t>2022</w:t>
      </w:r>
      <w:r>
        <w:t>)</w:t>
      </w:r>
      <w:r w:rsidR="00346495" w:rsidRPr="00053F14">
        <w:t>. Teaching children and adolescents about mental wellbeing: An exploratory multi-site case study in England. </w:t>
      </w:r>
      <w:r w:rsidR="00346495" w:rsidRPr="00525009">
        <w:rPr>
          <w:i/>
          <w:iCs/>
        </w:rPr>
        <w:t>Educational Psychology in Practice</w:t>
      </w:r>
      <w:r w:rsidR="00346495" w:rsidRPr="00053F14">
        <w:t>, </w:t>
      </w:r>
      <w:r w:rsidR="00346495" w:rsidRPr="00525009">
        <w:rPr>
          <w:i/>
          <w:iCs/>
        </w:rPr>
        <w:t>38</w:t>
      </w:r>
      <w:r w:rsidR="00346495" w:rsidRPr="00053F14">
        <w:t>(3), pp.317-340.</w:t>
      </w:r>
    </w:p>
    <w:p w14:paraId="5CBF982E" w14:textId="497D315B" w:rsidR="00346495" w:rsidRDefault="00346495" w:rsidP="00346495">
      <w:pPr>
        <w:spacing w:line="259" w:lineRule="auto"/>
      </w:pPr>
      <w:r w:rsidRPr="00F54B7E">
        <w:t>Correia</w:t>
      </w:r>
      <w:r w:rsidR="00BC4340">
        <w:t>, N., Aguiar, C. and Amaro, F. (</w:t>
      </w:r>
      <w:r w:rsidRPr="00F54B7E">
        <w:t>2023</w:t>
      </w:r>
      <w:r w:rsidR="00BC4340">
        <w:t>)</w:t>
      </w:r>
      <w:r w:rsidRPr="00F54B7E">
        <w:t>. Children’s participation in early childhood education: A theoretical overview. </w:t>
      </w:r>
      <w:r w:rsidRPr="00525009">
        <w:rPr>
          <w:i/>
          <w:iCs/>
        </w:rPr>
        <w:t>Contemporary Issues in Early Childhood</w:t>
      </w:r>
      <w:r w:rsidRPr="00F54B7E">
        <w:t>, </w:t>
      </w:r>
      <w:r w:rsidRPr="00525009">
        <w:rPr>
          <w:i/>
          <w:iCs/>
        </w:rPr>
        <w:t>24</w:t>
      </w:r>
      <w:r w:rsidRPr="00F54B7E">
        <w:t>(3), pp.313-332.</w:t>
      </w:r>
    </w:p>
    <w:p w14:paraId="3D3E144C" w14:textId="56F00CA0" w:rsidR="00346495" w:rsidRDefault="00346495" w:rsidP="00346495">
      <w:pPr>
        <w:spacing w:line="259" w:lineRule="auto"/>
      </w:pPr>
      <w:r w:rsidRPr="00F54B7E">
        <w:t>Croke, R., Dale, H., Dunhill, A., Roberts, A.,</w:t>
      </w:r>
      <w:r w:rsidR="00BC4340">
        <w:t xml:space="preserve"> Unnithan, M. and Williams, J. (</w:t>
      </w:r>
      <w:r w:rsidRPr="00F54B7E">
        <w:t>2021</w:t>
      </w:r>
      <w:r w:rsidR="00BC4340">
        <w:t>)</w:t>
      </w:r>
      <w:r w:rsidRPr="00F54B7E">
        <w:t>. Integrating sustainable development and children’s rights: A case study on Wales. </w:t>
      </w:r>
      <w:r w:rsidRPr="00525009">
        <w:rPr>
          <w:i/>
          <w:iCs/>
        </w:rPr>
        <w:t>Social Sciences</w:t>
      </w:r>
      <w:r w:rsidRPr="00F54B7E">
        <w:t>, </w:t>
      </w:r>
      <w:r w:rsidRPr="00525009">
        <w:rPr>
          <w:i/>
          <w:iCs/>
        </w:rPr>
        <w:t>10</w:t>
      </w:r>
      <w:r w:rsidRPr="00F54B7E">
        <w:t>(3), p.100.</w:t>
      </w:r>
    </w:p>
    <w:p w14:paraId="119D7D8E" w14:textId="40ADB4C5" w:rsidR="00346495" w:rsidRDefault="00346495" w:rsidP="00346495">
      <w:pPr>
        <w:spacing w:line="259" w:lineRule="auto"/>
      </w:pPr>
      <w:proofErr w:type="spellStart"/>
      <w:r w:rsidRPr="00CA08E9">
        <w:t>Embling</w:t>
      </w:r>
      <w:proofErr w:type="spellEnd"/>
      <w:r w:rsidRPr="00CA08E9">
        <w:t>, R., O'Donnell, C</w:t>
      </w:r>
      <w:r w:rsidR="00BC4340">
        <w:t>., Moore, G. and Long, S.J. (</w:t>
      </w:r>
      <w:r w:rsidRPr="00CA08E9">
        <w:t>2025</w:t>
      </w:r>
      <w:r w:rsidR="00BC4340">
        <w:t>)</w:t>
      </w:r>
      <w:r w:rsidRPr="00CA08E9">
        <w:t>. Secondary schools' preparation for roll‐out of Curriculum for Wales: Case studies of approaches to health and well‐being in the context of national education system reform. </w:t>
      </w:r>
      <w:r w:rsidRPr="00525009">
        <w:rPr>
          <w:i/>
          <w:iCs/>
        </w:rPr>
        <w:t>The Curriculum Journal</w:t>
      </w:r>
      <w:r w:rsidRPr="00CA08E9">
        <w:t>.</w:t>
      </w:r>
    </w:p>
    <w:p w14:paraId="61E6712C" w14:textId="6FC753D6" w:rsidR="00346495" w:rsidRDefault="00346495" w:rsidP="00346495">
      <w:pPr>
        <w:spacing w:line="259" w:lineRule="auto"/>
      </w:pPr>
      <w:r w:rsidRPr="00F22185">
        <w:t>Foulkes, L., Holst, C.G.</w:t>
      </w:r>
      <w:r w:rsidR="00BC4340">
        <w:t xml:space="preserve"> and Andrews, J.L. (</w:t>
      </w:r>
      <w:r w:rsidRPr="00F22185">
        <w:t>2025</w:t>
      </w:r>
      <w:r w:rsidR="00BC4340">
        <w:t>)</w:t>
      </w:r>
      <w:r w:rsidRPr="00F22185">
        <w:t>. Potential harm from universal school-based mental health interventions: Candidate mechanisms and future directions. </w:t>
      </w:r>
      <w:r w:rsidRPr="00525009">
        <w:rPr>
          <w:i/>
          <w:iCs/>
        </w:rPr>
        <w:t>Current Opinion in Psychology</w:t>
      </w:r>
      <w:r w:rsidRPr="00F22185">
        <w:t>, p.102196.</w:t>
      </w:r>
    </w:p>
    <w:p w14:paraId="609094DA" w14:textId="05D8A4AB" w:rsidR="00346495" w:rsidRDefault="00346495" w:rsidP="00346495">
      <w:pPr>
        <w:spacing w:line="259" w:lineRule="auto"/>
      </w:pPr>
      <w:r w:rsidRPr="00DF3EB5">
        <w:t xml:space="preserve">Gillett‐Swan, </w:t>
      </w:r>
      <w:r w:rsidR="00BC4340">
        <w:t>J., Monta, C.C. and Shanks, R. (</w:t>
      </w:r>
      <w:r w:rsidRPr="00DF3EB5">
        <w:t>2025</w:t>
      </w:r>
      <w:r w:rsidR="00BC4340">
        <w:t>)</w:t>
      </w:r>
      <w:r w:rsidRPr="00DF3EB5">
        <w:t>. A systematic review of definitions of rights education for children: Children's rights education (CRE), children's human rights education (CHRE), and other rights education subtypes. </w:t>
      </w:r>
      <w:r w:rsidRPr="00525009">
        <w:rPr>
          <w:i/>
          <w:iCs/>
        </w:rPr>
        <w:t>Review of Education</w:t>
      </w:r>
      <w:r w:rsidRPr="00DF3EB5">
        <w:t>, </w:t>
      </w:r>
      <w:r w:rsidRPr="00525009">
        <w:rPr>
          <w:i/>
          <w:iCs/>
        </w:rPr>
        <w:t>13</w:t>
      </w:r>
      <w:r w:rsidRPr="00DF3EB5">
        <w:t>(3), p.e70104.</w:t>
      </w:r>
    </w:p>
    <w:p w14:paraId="25AB504E" w14:textId="655FFC86" w:rsidR="00346495" w:rsidRDefault="00BC4340" w:rsidP="00346495">
      <w:pPr>
        <w:spacing w:line="259" w:lineRule="auto"/>
      </w:pPr>
      <w:r>
        <w:t>Huić, A. (</w:t>
      </w:r>
      <w:r w:rsidR="00346495" w:rsidRPr="00846706">
        <w:t>2022</w:t>
      </w:r>
      <w:r>
        <w:t>)</w:t>
      </w:r>
      <w:r w:rsidR="00346495" w:rsidRPr="00846706">
        <w:t>. Children’s participation rights in schools—Teachers’ beliefs and practices. </w:t>
      </w:r>
      <w:proofErr w:type="spellStart"/>
      <w:r w:rsidR="00346495" w:rsidRPr="00525009">
        <w:rPr>
          <w:i/>
          <w:iCs/>
        </w:rPr>
        <w:t>Kriminologija</w:t>
      </w:r>
      <w:proofErr w:type="spellEnd"/>
      <w:r w:rsidR="00346495" w:rsidRPr="00525009">
        <w:rPr>
          <w:i/>
          <w:iCs/>
        </w:rPr>
        <w:t xml:space="preserve"> &amp; </w:t>
      </w:r>
      <w:proofErr w:type="spellStart"/>
      <w:r w:rsidR="00346495" w:rsidRPr="00525009">
        <w:rPr>
          <w:i/>
          <w:iCs/>
        </w:rPr>
        <w:t>socijalna</w:t>
      </w:r>
      <w:proofErr w:type="spellEnd"/>
      <w:r w:rsidR="00346495" w:rsidRPr="00525009">
        <w:rPr>
          <w:i/>
          <w:iCs/>
        </w:rPr>
        <w:t xml:space="preserve"> </w:t>
      </w:r>
      <w:proofErr w:type="spellStart"/>
      <w:r w:rsidR="00346495" w:rsidRPr="00525009">
        <w:rPr>
          <w:i/>
          <w:iCs/>
        </w:rPr>
        <w:t>integracija</w:t>
      </w:r>
      <w:proofErr w:type="spellEnd"/>
      <w:r w:rsidR="00346495" w:rsidRPr="00525009">
        <w:rPr>
          <w:i/>
          <w:iCs/>
        </w:rPr>
        <w:t xml:space="preserve">: </w:t>
      </w:r>
      <w:proofErr w:type="spellStart"/>
      <w:r w:rsidR="00346495" w:rsidRPr="00525009">
        <w:rPr>
          <w:i/>
          <w:iCs/>
        </w:rPr>
        <w:t>časopis</w:t>
      </w:r>
      <w:proofErr w:type="spellEnd"/>
      <w:r w:rsidR="00346495" w:rsidRPr="00525009">
        <w:rPr>
          <w:i/>
          <w:iCs/>
        </w:rPr>
        <w:t xml:space="preserve"> za </w:t>
      </w:r>
      <w:proofErr w:type="spellStart"/>
      <w:r w:rsidR="00346495" w:rsidRPr="00525009">
        <w:rPr>
          <w:i/>
          <w:iCs/>
        </w:rPr>
        <w:t>kriminologiju</w:t>
      </w:r>
      <w:proofErr w:type="spellEnd"/>
      <w:r w:rsidR="00346495" w:rsidRPr="00525009">
        <w:rPr>
          <w:i/>
          <w:iCs/>
        </w:rPr>
        <w:t xml:space="preserve">, </w:t>
      </w:r>
      <w:proofErr w:type="spellStart"/>
      <w:r w:rsidR="00346495" w:rsidRPr="00525009">
        <w:rPr>
          <w:i/>
          <w:iCs/>
        </w:rPr>
        <w:t>penologiju</w:t>
      </w:r>
      <w:proofErr w:type="spellEnd"/>
      <w:r w:rsidR="00346495" w:rsidRPr="00525009">
        <w:rPr>
          <w:i/>
          <w:iCs/>
        </w:rPr>
        <w:t xml:space="preserve"> </w:t>
      </w:r>
      <w:proofErr w:type="spellStart"/>
      <w:r w:rsidR="00346495" w:rsidRPr="00525009">
        <w:rPr>
          <w:i/>
          <w:iCs/>
        </w:rPr>
        <w:t>i</w:t>
      </w:r>
      <w:proofErr w:type="spellEnd"/>
      <w:r w:rsidR="00346495" w:rsidRPr="00525009">
        <w:rPr>
          <w:i/>
          <w:iCs/>
        </w:rPr>
        <w:t xml:space="preserve"> </w:t>
      </w:r>
      <w:proofErr w:type="spellStart"/>
      <w:r w:rsidR="00346495" w:rsidRPr="00525009">
        <w:rPr>
          <w:i/>
          <w:iCs/>
        </w:rPr>
        <w:t>poremećaje</w:t>
      </w:r>
      <w:proofErr w:type="spellEnd"/>
      <w:r w:rsidR="00346495" w:rsidRPr="00525009">
        <w:rPr>
          <w:i/>
          <w:iCs/>
        </w:rPr>
        <w:t xml:space="preserve"> u </w:t>
      </w:r>
      <w:proofErr w:type="spellStart"/>
      <w:r w:rsidR="00346495" w:rsidRPr="00525009">
        <w:rPr>
          <w:i/>
          <w:iCs/>
        </w:rPr>
        <w:t>ponašanju</w:t>
      </w:r>
      <w:proofErr w:type="spellEnd"/>
      <w:r w:rsidR="00346495" w:rsidRPr="00846706">
        <w:t>, </w:t>
      </w:r>
      <w:r w:rsidR="00346495" w:rsidRPr="00525009">
        <w:rPr>
          <w:i/>
          <w:iCs/>
        </w:rPr>
        <w:t>30</w:t>
      </w:r>
      <w:r w:rsidR="00346495" w:rsidRPr="00846706">
        <w:t>(2), pp.145-166.</w:t>
      </w:r>
    </w:p>
    <w:p w14:paraId="38348366" w14:textId="46E5D9E9" w:rsidR="00346495" w:rsidRDefault="00BC4340" w:rsidP="00346495">
      <w:pPr>
        <w:spacing w:line="259" w:lineRule="auto"/>
      </w:pPr>
      <w:r>
        <w:t>Jerome, L. and Starkey, H. (</w:t>
      </w:r>
      <w:r w:rsidR="00346495" w:rsidRPr="00E052A0">
        <w:t>2022</w:t>
      </w:r>
      <w:r>
        <w:t>)</w:t>
      </w:r>
      <w:r w:rsidR="00346495" w:rsidRPr="00E052A0">
        <w:t>. Developing children's agency within a children's rights education framework: 10 propositions. </w:t>
      </w:r>
      <w:r w:rsidR="00346495" w:rsidRPr="00525009">
        <w:rPr>
          <w:i/>
          <w:iCs/>
        </w:rPr>
        <w:t>Education 3-13</w:t>
      </w:r>
      <w:r w:rsidR="00346495" w:rsidRPr="00E052A0">
        <w:t>, </w:t>
      </w:r>
      <w:r w:rsidR="00346495" w:rsidRPr="00525009">
        <w:rPr>
          <w:i/>
          <w:iCs/>
        </w:rPr>
        <w:t>50</w:t>
      </w:r>
      <w:r w:rsidR="00346495" w:rsidRPr="00E052A0">
        <w:t>(4), pp.439-451.</w:t>
      </w:r>
    </w:p>
    <w:p w14:paraId="51A1A955" w14:textId="7D0AD70D" w:rsidR="00346495" w:rsidRDefault="00346495" w:rsidP="00346495">
      <w:pPr>
        <w:spacing w:line="259" w:lineRule="auto"/>
      </w:pPr>
      <w:r w:rsidRPr="00524093">
        <w:t>MacDonald, S., Hewitt, G., Jones, S., Rees, A., Brown,</w:t>
      </w:r>
      <w:r w:rsidR="00BC4340">
        <w:t xml:space="preserve"> R., Anthony, R. and Evans, R. (</w:t>
      </w:r>
      <w:r w:rsidRPr="00524093">
        <w:t>2025</w:t>
      </w:r>
      <w:r w:rsidR="00BC4340">
        <w:t>)</w:t>
      </w:r>
      <w:r w:rsidRPr="00524093">
        <w:t xml:space="preserve">. Mental Wellbeing Needs and Support for Care‐Experienced Children and Young People in </w:t>
      </w:r>
      <w:r w:rsidRPr="00524093">
        <w:lastRenderedPageBreak/>
        <w:t>Secondary School and During the Transition to Further Education College. </w:t>
      </w:r>
      <w:r w:rsidRPr="00525009">
        <w:rPr>
          <w:i/>
          <w:iCs/>
        </w:rPr>
        <w:t>Children &amp; Society</w:t>
      </w:r>
      <w:r w:rsidRPr="00524093">
        <w:t>, </w:t>
      </w:r>
      <w:r w:rsidRPr="00525009">
        <w:rPr>
          <w:i/>
          <w:iCs/>
        </w:rPr>
        <w:t>39</w:t>
      </w:r>
      <w:r w:rsidRPr="00524093">
        <w:t>(4), pp.807-824.</w:t>
      </w:r>
    </w:p>
    <w:p w14:paraId="41EA1472" w14:textId="6F25F093" w:rsidR="00346495" w:rsidRDefault="00346495" w:rsidP="00346495">
      <w:pPr>
        <w:spacing w:line="259" w:lineRule="auto"/>
      </w:pPr>
      <w:r w:rsidRPr="009D7380">
        <w:t>Martinez Sainz, G., Devine, D., Sloan, S., Symonds, J., Moore, B., Barrow, N., Crean, M., Donegan, A., Greaves, M.,</w:t>
      </w:r>
      <w:r w:rsidR="00BC4340">
        <w:t xml:space="preserve"> Samonova, E. and </w:t>
      </w:r>
      <w:proofErr w:type="spellStart"/>
      <w:r w:rsidR="00BC4340">
        <w:t>Gleasure</w:t>
      </w:r>
      <w:proofErr w:type="spellEnd"/>
      <w:r w:rsidR="00BC4340">
        <w:t>, S. (</w:t>
      </w:r>
      <w:r w:rsidRPr="009D7380">
        <w:t>2024</w:t>
      </w:r>
      <w:r w:rsidR="00BC4340">
        <w:t>)</w:t>
      </w:r>
      <w:r w:rsidRPr="009D7380">
        <w:t>. A rights-based exploration of children’s pedagogic voice in the classroom. </w:t>
      </w:r>
      <w:r w:rsidRPr="00525009">
        <w:rPr>
          <w:i/>
          <w:iCs/>
        </w:rPr>
        <w:t>Education 3-13</w:t>
      </w:r>
      <w:r w:rsidRPr="009D7380">
        <w:t>, </w:t>
      </w:r>
      <w:r w:rsidRPr="00525009">
        <w:rPr>
          <w:i/>
          <w:iCs/>
        </w:rPr>
        <w:t>52</w:t>
      </w:r>
      <w:r w:rsidRPr="009D7380">
        <w:t>(6), pp.874-890.</w:t>
      </w:r>
    </w:p>
    <w:p w14:paraId="4C1F28D6" w14:textId="7058EE41" w:rsidR="00346495" w:rsidRDefault="00346495" w:rsidP="00346495">
      <w:pPr>
        <w:spacing w:line="259" w:lineRule="auto"/>
      </w:pPr>
      <w:r w:rsidRPr="00D54FAE">
        <w:t xml:space="preserve">McCluskey, G., Duffy, G., Power, S., Robinson, G., </w:t>
      </w:r>
      <w:proofErr w:type="spellStart"/>
      <w:r w:rsidRPr="00D54FAE">
        <w:t>Tawell</w:t>
      </w:r>
      <w:proofErr w:type="spellEnd"/>
      <w:r w:rsidRPr="00D54FAE">
        <w:t xml:space="preserve">, A., Taylor, A., </w:t>
      </w:r>
      <w:r w:rsidR="00BC4340">
        <w:t>Templeton, M. and Thompson, I. (</w:t>
      </w:r>
      <w:r w:rsidRPr="00D54FAE">
        <w:t>2024</w:t>
      </w:r>
      <w:r w:rsidR="00BC4340">
        <w:t>)</w:t>
      </w:r>
      <w:r w:rsidRPr="00D54FAE">
        <w:t>. School exclusion policies across the UK: convergence and divergence. </w:t>
      </w:r>
      <w:r w:rsidRPr="00525009">
        <w:rPr>
          <w:i/>
          <w:iCs/>
        </w:rPr>
        <w:t>Oxford Review of Education</w:t>
      </w:r>
      <w:r w:rsidRPr="00D54FAE">
        <w:t>, </w:t>
      </w:r>
      <w:r w:rsidRPr="00525009">
        <w:rPr>
          <w:i/>
          <w:iCs/>
        </w:rPr>
        <w:t>50</w:t>
      </w:r>
      <w:r w:rsidRPr="00D54FAE">
        <w:t>(6), pp.760-776.</w:t>
      </w:r>
    </w:p>
    <w:p w14:paraId="626E8842" w14:textId="6F7F673C" w:rsidR="00346495" w:rsidRDefault="00346495" w:rsidP="00346495">
      <w:pPr>
        <w:spacing w:line="259" w:lineRule="auto"/>
      </w:pPr>
      <w:r w:rsidRPr="00D54FAE">
        <w:t>Mc</w:t>
      </w:r>
      <w:r w:rsidR="00BC4340">
        <w:t>Mellon, C. and Tisdall, E.K.M. (</w:t>
      </w:r>
      <w:r w:rsidRPr="00D54FAE">
        <w:t>2020</w:t>
      </w:r>
      <w:r w:rsidR="00BC4340">
        <w:t>)</w:t>
      </w:r>
      <w:r w:rsidRPr="00D54FAE">
        <w:t>. Children and young people’s participation rights: Looking backwards and moving forwards. </w:t>
      </w:r>
      <w:r w:rsidRPr="00525009">
        <w:rPr>
          <w:i/>
          <w:iCs/>
        </w:rPr>
        <w:t>The International Journal of Children's Rights</w:t>
      </w:r>
      <w:r w:rsidRPr="00D54FAE">
        <w:t>, </w:t>
      </w:r>
      <w:r w:rsidRPr="00525009">
        <w:rPr>
          <w:i/>
          <w:iCs/>
        </w:rPr>
        <w:t>28</w:t>
      </w:r>
      <w:r w:rsidRPr="00D54FAE">
        <w:t>(1), pp.157-182.</w:t>
      </w:r>
    </w:p>
    <w:p w14:paraId="456E491B" w14:textId="050BF99B" w:rsidR="00346495" w:rsidRDefault="00346495" w:rsidP="00346495">
      <w:pPr>
        <w:spacing w:line="259" w:lineRule="auto"/>
      </w:pPr>
      <w:r w:rsidRPr="00862CE9">
        <w:t>Moody, Z., Per</w:t>
      </w:r>
      <w:r w:rsidR="00BC4340">
        <w:t xml:space="preserve">ry-Hazan, L. and </w:t>
      </w:r>
      <w:proofErr w:type="spellStart"/>
      <w:r w:rsidR="00BC4340">
        <w:t>Darbellay</w:t>
      </w:r>
      <w:proofErr w:type="spellEnd"/>
      <w:r w:rsidR="00BC4340">
        <w:t>, F. (</w:t>
      </w:r>
      <w:r w:rsidRPr="00862CE9">
        <w:t>2024</w:t>
      </w:r>
      <w:r w:rsidR="00BC4340">
        <w:t>)</w:t>
      </w:r>
      <w:r w:rsidRPr="00862CE9">
        <w:t>. Children’s human rights education: conceptual foundations of school students’ learning processes. </w:t>
      </w:r>
      <w:r w:rsidRPr="00525009">
        <w:rPr>
          <w:i/>
          <w:iCs/>
        </w:rPr>
        <w:t>Cambridge Journal of Education</w:t>
      </w:r>
      <w:r w:rsidRPr="00862CE9">
        <w:t>, </w:t>
      </w:r>
      <w:r w:rsidRPr="00525009">
        <w:rPr>
          <w:i/>
          <w:iCs/>
        </w:rPr>
        <w:t>54</w:t>
      </w:r>
      <w:r w:rsidRPr="00862CE9">
        <w:t>(6), pp.681-699.</w:t>
      </w:r>
    </w:p>
    <w:p w14:paraId="32F777B0" w14:textId="21EC9124" w:rsidR="00346495" w:rsidRDefault="00346495" w:rsidP="00346495">
      <w:pPr>
        <w:spacing w:line="259" w:lineRule="auto"/>
      </w:pPr>
      <w:r w:rsidRPr="00DF7487">
        <w:t>Moody, Z., Gawlicz, K., Gillett-Swan, J., Perry-</w:t>
      </w:r>
      <w:r w:rsidR="00BC4340">
        <w:t xml:space="preserve">Hazan, L. and </w:t>
      </w:r>
      <w:proofErr w:type="spellStart"/>
      <w:r w:rsidR="00BC4340">
        <w:t>Quennerstedt</w:t>
      </w:r>
      <w:proofErr w:type="spellEnd"/>
      <w:r w:rsidR="00BC4340">
        <w:t>, A. (</w:t>
      </w:r>
      <w:r w:rsidRPr="00DF7487">
        <w:t>2025</w:t>
      </w:r>
      <w:r w:rsidR="00BC4340">
        <w:t>)</w:t>
      </w:r>
      <w:r w:rsidRPr="00DF7487">
        <w:t>. A theory of children’s human rights education. </w:t>
      </w:r>
      <w:r w:rsidRPr="00525009">
        <w:rPr>
          <w:i/>
          <w:iCs/>
        </w:rPr>
        <w:t>European Educational Research Journal</w:t>
      </w:r>
      <w:r w:rsidRPr="00DF7487">
        <w:t>, p.14749041251378172.</w:t>
      </w:r>
    </w:p>
    <w:p w14:paraId="5AB75D79" w14:textId="7C8438FE" w:rsidR="00346495" w:rsidRDefault="00346495" w:rsidP="00346495">
      <w:pPr>
        <w:spacing w:line="259" w:lineRule="auto"/>
      </w:pPr>
      <w:r w:rsidRPr="00D66409">
        <w:t>Murphy,</w:t>
      </w:r>
      <w:r w:rsidR="00BC4340">
        <w:t xml:space="preserve"> A., Greenway, C. and Conn, C. (</w:t>
      </w:r>
      <w:r w:rsidRPr="00D66409">
        <w:t>2025</w:t>
      </w:r>
      <w:r>
        <w:t>a</w:t>
      </w:r>
      <w:r w:rsidR="00BC4340">
        <w:t>)</w:t>
      </w:r>
      <w:r w:rsidRPr="00D66409">
        <w:t>. Negotiating additional learning needs reform in Wales: The voice of the ALNCo. </w:t>
      </w:r>
      <w:r w:rsidRPr="00525009">
        <w:rPr>
          <w:i/>
          <w:iCs/>
        </w:rPr>
        <w:t>British Journal of Special Education</w:t>
      </w:r>
      <w:r w:rsidRPr="00D66409">
        <w:t>, </w:t>
      </w:r>
      <w:r w:rsidRPr="00525009">
        <w:rPr>
          <w:i/>
          <w:iCs/>
        </w:rPr>
        <w:t>52</w:t>
      </w:r>
      <w:r w:rsidRPr="00D66409">
        <w:t>(1), pp.18-26.</w:t>
      </w:r>
    </w:p>
    <w:p w14:paraId="4789D02F" w14:textId="3932C346" w:rsidR="00346495" w:rsidRDefault="00346495" w:rsidP="00346495">
      <w:pPr>
        <w:spacing w:line="259" w:lineRule="auto"/>
      </w:pPr>
      <w:r w:rsidRPr="00CE6A69">
        <w:t>Murphy, A., Roberts, L., Williams, J., Chicken, S., Clement, J., W</w:t>
      </w:r>
      <w:r w:rsidR="00BC4340">
        <w:t>aters-Davies, J. and Tyrie, J. (</w:t>
      </w:r>
      <w:r w:rsidRPr="00CE6A69">
        <w:t>2025</w:t>
      </w:r>
      <w:r>
        <w:t>b</w:t>
      </w:r>
      <w:r w:rsidR="00BC4340">
        <w:t>)</w:t>
      </w:r>
      <w:r w:rsidRPr="00CE6A69">
        <w:t>. Participative rights in Welsh primary schools: Unpicking the policy rhetoric. </w:t>
      </w:r>
      <w:r w:rsidRPr="00525009">
        <w:rPr>
          <w:i/>
          <w:iCs/>
        </w:rPr>
        <w:t>Policy Futures in Education</w:t>
      </w:r>
      <w:r w:rsidRPr="00CE6A69">
        <w:t>, </w:t>
      </w:r>
      <w:r w:rsidRPr="00525009">
        <w:rPr>
          <w:i/>
          <w:iCs/>
        </w:rPr>
        <w:t>23</w:t>
      </w:r>
      <w:r w:rsidRPr="00CE6A69">
        <w:t>(2), pp.295-315.</w:t>
      </w:r>
    </w:p>
    <w:p w14:paraId="0D048421" w14:textId="26A90B3F" w:rsidR="00346495" w:rsidRDefault="00346495" w:rsidP="00346495">
      <w:pPr>
        <w:spacing w:line="259" w:lineRule="auto"/>
      </w:pPr>
      <w:r w:rsidRPr="00CE6A69">
        <w:t xml:space="preserve">Nisar, A., Hastings, R.P., </w:t>
      </w:r>
      <w:r w:rsidR="00BC4340">
        <w:t>Watkins, R.C. and Williams, S. (</w:t>
      </w:r>
      <w:r w:rsidRPr="00CE6A69">
        <w:t>2024</w:t>
      </w:r>
      <w:r w:rsidR="00BC4340">
        <w:t>)</w:t>
      </w:r>
      <w:r w:rsidRPr="00CE6A69">
        <w:t>. Mainstream and special schools’ use of well‐being programmes: A regional survey. </w:t>
      </w:r>
      <w:r w:rsidRPr="00525009">
        <w:rPr>
          <w:i/>
          <w:iCs/>
        </w:rPr>
        <w:t>British Educational Research Journal</w:t>
      </w:r>
      <w:r w:rsidRPr="00CE6A69">
        <w:t>, </w:t>
      </w:r>
      <w:r w:rsidRPr="00525009">
        <w:rPr>
          <w:i/>
          <w:iCs/>
        </w:rPr>
        <w:t>50</w:t>
      </w:r>
      <w:r w:rsidRPr="00CE6A69">
        <w:t>(1), pp.6-31.</w:t>
      </w:r>
    </w:p>
    <w:p w14:paraId="014D8C6E" w14:textId="3164C8DA" w:rsidR="00346495" w:rsidRDefault="00BC4340" w:rsidP="00346495">
      <w:pPr>
        <w:spacing w:line="259" w:lineRule="auto"/>
      </w:pPr>
      <w:r>
        <w:t>Norwich, B. (</w:t>
      </w:r>
      <w:r w:rsidR="00346495" w:rsidRPr="00C00F31">
        <w:t>2025</w:t>
      </w:r>
      <w:r>
        <w:t>)</w:t>
      </w:r>
      <w:r w:rsidR="00346495" w:rsidRPr="00C00F31">
        <w:t>. A rights‐informed and respecting approach to more inclusive schools: Based on a Citizens' Panel pilot project. </w:t>
      </w:r>
      <w:r w:rsidR="00346495" w:rsidRPr="00525009">
        <w:rPr>
          <w:i/>
          <w:iCs/>
        </w:rPr>
        <w:t>British Educational Research Journal</w:t>
      </w:r>
      <w:r w:rsidR="00346495" w:rsidRPr="00C00F31">
        <w:t>, </w:t>
      </w:r>
      <w:r w:rsidR="00346495" w:rsidRPr="00525009">
        <w:rPr>
          <w:i/>
          <w:iCs/>
        </w:rPr>
        <w:t>51</w:t>
      </w:r>
      <w:r w:rsidR="00346495" w:rsidRPr="00C00F31">
        <w:t>(5), pp.2075-2098.</w:t>
      </w:r>
    </w:p>
    <w:p w14:paraId="17111268" w14:textId="318B423E" w:rsidR="00346495" w:rsidRDefault="00346495" w:rsidP="00346495">
      <w:pPr>
        <w:spacing w:line="259" w:lineRule="auto"/>
      </w:pPr>
      <w:r w:rsidRPr="00C00F31">
        <w:t xml:space="preserve">Nottingham, </w:t>
      </w:r>
      <w:r w:rsidR="00BC4340">
        <w:t>E., Stockman, C. and Burke, M. (</w:t>
      </w:r>
      <w:r w:rsidRPr="00C00F31">
        <w:t>2022</w:t>
      </w:r>
      <w:r w:rsidR="00BC4340">
        <w:t>)</w:t>
      </w:r>
      <w:r w:rsidRPr="00C00F31">
        <w:t xml:space="preserve">. Education in a </w:t>
      </w:r>
      <w:proofErr w:type="spellStart"/>
      <w:r w:rsidRPr="00C00F31">
        <w:t>datafied</w:t>
      </w:r>
      <w:proofErr w:type="spellEnd"/>
      <w:r w:rsidRPr="00C00F31">
        <w:t xml:space="preserve"> world: Balancing children's rights and school's responsibilities in the age of Covid 19. </w:t>
      </w:r>
      <w:r w:rsidRPr="00525009">
        <w:rPr>
          <w:i/>
          <w:iCs/>
        </w:rPr>
        <w:t>Computer Law &amp; Security Review</w:t>
      </w:r>
      <w:r w:rsidRPr="00C00F31">
        <w:t>, </w:t>
      </w:r>
      <w:r w:rsidRPr="00525009">
        <w:rPr>
          <w:i/>
          <w:iCs/>
        </w:rPr>
        <w:t>45</w:t>
      </w:r>
      <w:r w:rsidRPr="00C00F31">
        <w:t>, p.105664.</w:t>
      </w:r>
    </w:p>
    <w:p w14:paraId="04FBED56" w14:textId="64E6C897" w:rsidR="00346495" w:rsidRDefault="00BC4340" w:rsidP="00346495">
      <w:pPr>
        <w:spacing w:line="259" w:lineRule="auto"/>
      </w:pPr>
      <w:r>
        <w:t>Power, S. and Taylor, C. (</w:t>
      </w:r>
      <w:r w:rsidR="00346495" w:rsidRPr="000B3AEB">
        <w:t>2024</w:t>
      </w:r>
      <w:r>
        <w:t>)</w:t>
      </w:r>
      <w:r w:rsidR="00346495" w:rsidRPr="000B3AEB">
        <w:t>. Rights, rules and remedies: Interrogating the policy discourse of school exclusion in Wales. </w:t>
      </w:r>
      <w:r w:rsidR="00346495" w:rsidRPr="00525009">
        <w:rPr>
          <w:i/>
          <w:iCs/>
        </w:rPr>
        <w:t>Discourse: Studies in the Cultural Politics of Education</w:t>
      </w:r>
      <w:r w:rsidR="00346495" w:rsidRPr="000B3AEB">
        <w:t>, </w:t>
      </w:r>
      <w:r w:rsidR="00346495" w:rsidRPr="00525009">
        <w:rPr>
          <w:i/>
          <w:iCs/>
        </w:rPr>
        <w:t>45</w:t>
      </w:r>
      <w:r w:rsidR="00346495" w:rsidRPr="000B3AEB">
        <w:t>(1), pp.88-100.</w:t>
      </w:r>
    </w:p>
    <w:p w14:paraId="4FCCBB25" w14:textId="342BF4A8" w:rsidR="00346495" w:rsidRDefault="00BC4340" w:rsidP="00346495">
      <w:pPr>
        <w:spacing w:line="259" w:lineRule="auto"/>
      </w:pPr>
      <w:proofErr w:type="spellStart"/>
      <w:r>
        <w:t>Quennerstedt</w:t>
      </w:r>
      <w:proofErr w:type="spellEnd"/>
      <w:r>
        <w:t>, A. (</w:t>
      </w:r>
      <w:r w:rsidR="00346495" w:rsidRPr="000B3AEB">
        <w:t>2022</w:t>
      </w:r>
      <w:r w:rsidR="00346495">
        <w:t>a</w:t>
      </w:r>
      <w:r>
        <w:t>)</w:t>
      </w:r>
      <w:r w:rsidR="00346495" w:rsidRPr="000B3AEB">
        <w:t>. Children’s and young people’s human rights education in school: Cardinal complications and a middle ground. </w:t>
      </w:r>
      <w:r w:rsidR="00346495" w:rsidRPr="00525009">
        <w:rPr>
          <w:i/>
          <w:iCs/>
        </w:rPr>
        <w:t>Journal of Human Rights</w:t>
      </w:r>
      <w:r w:rsidR="00346495" w:rsidRPr="000B3AEB">
        <w:t>, </w:t>
      </w:r>
      <w:r w:rsidR="00346495" w:rsidRPr="00525009">
        <w:rPr>
          <w:i/>
          <w:iCs/>
        </w:rPr>
        <w:t>21</w:t>
      </w:r>
      <w:r w:rsidR="00346495" w:rsidRPr="000B3AEB">
        <w:t>(4), pp.383-398.</w:t>
      </w:r>
    </w:p>
    <w:p w14:paraId="7C3453CA" w14:textId="5492934F" w:rsidR="00346495" w:rsidRDefault="00BC4340" w:rsidP="00346495">
      <w:pPr>
        <w:spacing w:line="259" w:lineRule="auto"/>
      </w:pPr>
      <w:proofErr w:type="spellStart"/>
      <w:r>
        <w:lastRenderedPageBreak/>
        <w:t>Quennerstedt</w:t>
      </w:r>
      <w:proofErr w:type="spellEnd"/>
      <w:r>
        <w:t>, A. (</w:t>
      </w:r>
      <w:r w:rsidR="00346495" w:rsidRPr="008E2902">
        <w:t>2022</w:t>
      </w:r>
      <w:r w:rsidR="00346495">
        <w:t>b</w:t>
      </w:r>
      <w:r>
        <w:t>)</w:t>
      </w:r>
      <w:r w:rsidR="00346495" w:rsidRPr="008E2902">
        <w:t>. UNICEF’s Rights Respecting Schools Award as children’s human rights education. </w:t>
      </w:r>
      <w:r w:rsidR="00346495" w:rsidRPr="00525009">
        <w:rPr>
          <w:i/>
          <w:iCs/>
        </w:rPr>
        <w:t>Human Rights Education Review</w:t>
      </w:r>
      <w:r w:rsidR="00346495" w:rsidRPr="008E2902">
        <w:t>, </w:t>
      </w:r>
      <w:r w:rsidR="00346495" w:rsidRPr="00525009">
        <w:rPr>
          <w:i/>
          <w:iCs/>
        </w:rPr>
        <w:t>5</w:t>
      </w:r>
      <w:r w:rsidR="00346495" w:rsidRPr="008E2902">
        <w:t>(3), pp.68-90.</w:t>
      </w:r>
    </w:p>
    <w:p w14:paraId="7E7F70B4" w14:textId="6A3AFEF6" w:rsidR="00346495" w:rsidRDefault="00BC4340" w:rsidP="00346495">
      <w:pPr>
        <w:spacing w:line="259" w:lineRule="auto"/>
      </w:pPr>
      <w:proofErr w:type="spellStart"/>
      <w:r>
        <w:t>Quennerstedt</w:t>
      </w:r>
      <w:proofErr w:type="spellEnd"/>
      <w:r>
        <w:t>, A. and Moody, Z. (</w:t>
      </w:r>
      <w:r w:rsidR="00346495" w:rsidRPr="008E2902">
        <w:t>2020</w:t>
      </w:r>
      <w:r>
        <w:t>)</w:t>
      </w:r>
      <w:r w:rsidR="00346495" w:rsidRPr="008E2902">
        <w:t xml:space="preserve">. Educational children’s rights research 1989–2019: Achievements, gaps and </w:t>
      </w:r>
      <w:proofErr w:type="gramStart"/>
      <w:r w:rsidR="00346495" w:rsidRPr="008E2902">
        <w:t>future prospects</w:t>
      </w:r>
      <w:proofErr w:type="gramEnd"/>
      <w:r w:rsidR="00346495" w:rsidRPr="008E2902">
        <w:t>. </w:t>
      </w:r>
      <w:r w:rsidR="00346495" w:rsidRPr="00525009">
        <w:rPr>
          <w:i/>
          <w:iCs/>
        </w:rPr>
        <w:t>The International Journal of Children's Rights</w:t>
      </w:r>
      <w:r w:rsidR="00346495" w:rsidRPr="008E2902">
        <w:t>, </w:t>
      </w:r>
      <w:r w:rsidR="00346495" w:rsidRPr="00525009">
        <w:rPr>
          <w:i/>
          <w:iCs/>
        </w:rPr>
        <w:t>28</w:t>
      </w:r>
      <w:r w:rsidR="00346495" w:rsidRPr="008E2902">
        <w:t>(1), pp.183-208.</w:t>
      </w:r>
    </w:p>
    <w:p w14:paraId="7A13A133" w14:textId="5C639CA0" w:rsidR="00346495" w:rsidRDefault="00346495" w:rsidP="00346495">
      <w:pPr>
        <w:spacing w:line="259" w:lineRule="auto"/>
      </w:pPr>
      <w:r w:rsidRPr="00A25CD8">
        <w:t>Tisdal</w:t>
      </w:r>
      <w:r w:rsidR="00BC4340">
        <w:t>l, E.K.M. and Cuevas-Parra, P. (</w:t>
      </w:r>
      <w:r w:rsidRPr="00A25CD8">
        <w:t>2022</w:t>
      </w:r>
      <w:r w:rsidR="00BC4340">
        <w:t>)</w:t>
      </w:r>
      <w:r w:rsidRPr="00A25CD8">
        <w:t>. Beyond the familiar challenges for children and young people’s participation rights: The potential of activism. </w:t>
      </w:r>
      <w:r w:rsidRPr="00525009">
        <w:rPr>
          <w:i/>
          <w:iCs/>
        </w:rPr>
        <w:t>The International Journal of Human Rights</w:t>
      </w:r>
      <w:r w:rsidRPr="00A25CD8">
        <w:t>, </w:t>
      </w:r>
      <w:r w:rsidRPr="00525009">
        <w:rPr>
          <w:i/>
          <w:iCs/>
        </w:rPr>
        <w:t>26</w:t>
      </w:r>
      <w:r w:rsidRPr="00A25CD8">
        <w:t>(5), pp.792-810.</w:t>
      </w:r>
    </w:p>
    <w:p w14:paraId="5E1C0C73" w14:textId="06F7AF0A" w:rsidR="00346495" w:rsidRDefault="00346495" w:rsidP="00346495">
      <w:pPr>
        <w:spacing w:line="259" w:lineRule="auto"/>
      </w:pPr>
      <w:r w:rsidRPr="00A25CD8">
        <w:t>Tseliou</w:t>
      </w:r>
      <w:r w:rsidR="00BC4340">
        <w:t>, F., Taylor, C. and Power, S. (</w:t>
      </w:r>
      <w:r w:rsidRPr="00A25CD8">
        <w:t>2024</w:t>
      </w:r>
      <w:r w:rsidR="00BC4340">
        <w:t>)</w:t>
      </w:r>
      <w:r w:rsidRPr="00A25CD8">
        <w:t>. Recent trends in formal school exclusions in Wales. </w:t>
      </w:r>
      <w:r w:rsidRPr="00525009">
        <w:rPr>
          <w:i/>
          <w:iCs/>
        </w:rPr>
        <w:t>British Journal of Educational Studies</w:t>
      </w:r>
      <w:r w:rsidRPr="00A25CD8">
        <w:t>, </w:t>
      </w:r>
      <w:r w:rsidRPr="00525009">
        <w:rPr>
          <w:i/>
          <w:iCs/>
        </w:rPr>
        <w:t>72</w:t>
      </w:r>
      <w:r w:rsidRPr="00A25CD8">
        <w:t>(3), pp.269-293.</w:t>
      </w:r>
    </w:p>
    <w:p w14:paraId="75167968" w14:textId="5849CD03" w:rsidR="00346495" w:rsidRDefault="00346495" w:rsidP="00346495">
      <w:pPr>
        <w:spacing w:line="259" w:lineRule="auto"/>
      </w:pPr>
      <w:r w:rsidRPr="004D6FB6">
        <w:t>Waters‐Davies, J., Murphy, A., Chicken,</w:t>
      </w:r>
      <w:r w:rsidR="00BC4340">
        <w:t xml:space="preserve"> S., Tyrie, J. and Clement, J. (</w:t>
      </w:r>
      <w:r w:rsidRPr="004D6FB6">
        <w:t>2024</w:t>
      </w:r>
      <w:r w:rsidR="00BC4340">
        <w:t>)</w:t>
      </w:r>
      <w:r w:rsidRPr="004D6FB6">
        <w:t>. Constructing child participation in early years classrooms: An exploration from Wales. </w:t>
      </w:r>
      <w:r w:rsidRPr="00525009">
        <w:rPr>
          <w:i/>
          <w:iCs/>
        </w:rPr>
        <w:t>Children &amp; Society</w:t>
      </w:r>
      <w:r w:rsidRPr="004D6FB6">
        <w:t>, </w:t>
      </w:r>
      <w:r w:rsidRPr="00525009">
        <w:rPr>
          <w:i/>
          <w:iCs/>
        </w:rPr>
        <w:t>38</w:t>
      </w:r>
      <w:r w:rsidRPr="004D6FB6">
        <w:t>(5), pp.1824-1841.</w:t>
      </w:r>
    </w:p>
    <w:p w14:paraId="3AEEDF5D" w14:textId="77777777" w:rsidR="00B445D1" w:rsidRPr="00346495" w:rsidRDefault="00B445D1" w:rsidP="00346495"/>
    <w:sectPr w:rsidR="00B445D1" w:rsidRPr="00346495" w:rsidSect="00826E2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C6384" w14:textId="77777777" w:rsidR="002A527D" w:rsidRDefault="002A527D" w:rsidP="00BC4340">
      <w:pPr>
        <w:spacing w:after="0" w:line="240" w:lineRule="auto"/>
      </w:pPr>
      <w:r>
        <w:separator/>
      </w:r>
    </w:p>
  </w:endnote>
  <w:endnote w:type="continuationSeparator" w:id="0">
    <w:p w14:paraId="6231871E" w14:textId="77777777" w:rsidR="002A527D" w:rsidRDefault="002A527D" w:rsidP="00BC4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881613"/>
      <w:docPartObj>
        <w:docPartGallery w:val="Page Numbers (Bottom of Page)"/>
        <w:docPartUnique/>
      </w:docPartObj>
    </w:sdtPr>
    <w:sdtEndPr>
      <w:rPr>
        <w:noProof/>
      </w:rPr>
    </w:sdtEndPr>
    <w:sdtContent>
      <w:p w14:paraId="575F583F" w14:textId="2C52BE36" w:rsidR="00BC4340" w:rsidRDefault="00BC434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12D84E5" w14:textId="77777777" w:rsidR="00BC4340" w:rsidRDefault="00BC4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8219C" w14:textId="77777777" w:rsidR="002A527D" w:rsidRDefault="002A527D" w:rsidP="00BC4340">
      <w:pPr>
        <w:spacing w:after="0" w:line="240" w:lineRule="auto"/>
      </w:pPr>
      <w:r>
        <w:separator/>
      </w:r>
    </w:p>
  </w:footnote>
  <w:footnote w:type="continuationSeparator" w:id="0">
    <w:p w14:paraId="5FDA1D73" w14:textId="77777777" w:rsidR="002A527D" w:rsidRDefault="002A527D" w:rsidP="00BC4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E98765D"/>
    <w:multiLevelType w:val="hybridMultilevel"/>
    <w:tmpl w:val="4782D01E"/>
    <w:lvl w:ilvl="0" w:tplc="04090011">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 w15:restartNumberingAfterBreak="0">
    <w:nsid w:val="41145AF8"/>
    <w:multiLevelType w:val="hybridMultilevel"/>
    <w:tmpl w:val="29109E2C"/>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2022048115">
    <w:abstractNumId w:val="0"/>
  </w:num>
  <w:num w:numId="2" w16cid:durableId="26150849">
    <w:abstractNumId w:val="0"/>
  </w:num>
  <w:num w:numId="3" w16cid:durableId="1035740464">
    <w:abstractNumId w:val="0"/>
  </w:num>
  <w:num w:numId="4" w16cid:durableId="909657858">
    <w:abstractNumId w:val="0"/>
  </w:num>
  <w:num w:numId="5" w16cid:durableId="2070692809">
    <w:abstractNumId w:val="0"/>
  </w:num>
  <w:num w:numId="6" w16cid:durableId="974411272">
    <w:abstractNumId w:val="0"/>
  </w:num>
  <w:num w:numId="7" w16cid:durableId="1036000603">
    <w:abstractNumId w:val="0"/>
  </w:num>
  <w:num w:numId="8" w16cid:durableId="514152958">
    <w:abstractNumId w:val="0"/>
  </w:num>
  <w:num w:numId="9" w16cid:durableId="2013558058">
    <w:abstractNumId w:val="0"/>
  </w:num>
  <w:num w:numId="10" w16cid:durableId="1138642883">
    <w:abstractNumId w:val="0"/>
  </w:num>
  <w:num w:numId="11" w16cid:durableId="1202979818">
    <w:abstractNumId w:val="0"/>
    <w:lvlOverride w:ilvl="0">
      <w:startOverride w:val="1"/>
    </w:lvlOverride>
  </w:num>
  <w:num w:numId="12" w16cid:durableId="225802858">
    <w:abstractNumId w:val="2"/>
  </w:num>
  <w:num w:numId="13" w16cid:durableId="880825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E6A"/>
    <w:rsid w:val="00000965"/>
    <w:rsid w:val="00011077"/>
    <w:rsid w:val="000461D1"/>
    <w:rsid w:val="00052A8C"/>
    <w:rsid w:val="00065316"/>
    <w:rsid w:val="000A10DE"/>
    <w:rsid w:val="000E3550"/>
    <w:rsid w:val="000F2481"/>
    <w:rsid w:val="000F2551"/>
    <w:rsid w:val="001063C8"/>
    <w:rsid w:val="00153AC5"/>
    <w:rsid w:val="001D1E98"/>
    <w:rsid w:val="001E006E"/>
    <w:rsid w:val="002008A8"/>
    <w:rsid w:val="00287C65"/>
    <w:rsid w:val="002A39CA"/>
    <w:rsid w:val="002A527D"/>
    <w:rsid w:val="002D79DB"/>
    <w:rsid w:val="002E1524"/>
    <w:rsid w:val="002E51C1"/>
    <w:rsid w:val="00307081"/>
    <w:rsid w:val="00336165"/>
    <w:rsid w:val="00346495"/>
    <w:rsid w:val="00367912"/>
    <w:rsid w:val="003865A2"/>
    <w:rsid w:val="0039572D"/>
    <w:rsid w:val="0039703C"/>
    <w:rsid w:val="003A40C4"/>
    <w:rsid w:val="003C7A2E"/>
    <w:rsid w:val="003E6504"/>
    <w:rsid w:val="00436644"/>
    <w:rsid w:val="00480E53"/>
    <w:rsid w:val="004C558F"/>
    <w:rsid w:val="004D7765"/>
    <w:rsid w:val="00525009"/>
    <w:rsid w:val="00533CB0"/>
    <w:rsid w:val="00537DA6"/>
    <w:rsid w:val="00552979"/>
    <w:rsid w:val="00576FE0"/>
    <w:rsid w:val="005A3F52"/>
    <w:rsid w:val="005B7FEC"/>
    <w:rsid w:val="00623AA4"/>
    <w:rsid w:val="0067546C"/>
    <w:rsid w:val="00690F78"/>
    <w:rsid w:val="00707C29"/>
    <w:rsid w:val="007421D5"/>
    <w:rsid w:val="00755693"/>
    <w:rsid w:val="00777E93"/>
    <w:rsid w:val="007B362F"/>
    <w:rsid w:val="007C5A80"/>
    <w:rsid w:val="007F00CC"/>
    <w:rsid w:val="00820936"/>
    <w:rsid w:val="00826E21"/>
    <w:rsid w:val="008414FE"/>
    <w:rsid w:val="00881170"/>
    <w:rsid w:val="008951E3"/>
    <w:rsid w:val="008E5194"/>
    <w:rsid w:val="008E66DA"/>
    <w:rsid w:val="00964964"/>
    <w:rsid w:val="009C7A5E"/>
    <w:rsid w:val="009D46A3"/>
    <w:rsid w:val="00A05ABF"/>
    <w:rsid w:val="00A26535"/>
    <w:rsid w:val="00A63E6A"/>
    <w:rsid w:val="00A72618"/>
    <w:rsid w:val="00AF6D62"/>
    <w:rsid w:val="00B37FAB"/>
    <w:rsid w:val="00B445D1"/>
    <w:rsid w:val="00B60678"/>
    <w:rsid w:val="00BC4340"/>
    <w:rsid w:val="00BD11A4"/>
    <w:rsid w:val="00BE609B"/>
    <w:rsid w:val="00BF16ED"/>
    <w:rsid w:val="00BF65E0"/>
    <w:rsid w:val="00C17286"/>
    <w:rsid w:val="00C37225"/>
    <w:rsid w:val="00C84782"/>
    <w:rsid w:val="00D46C97"/>
    <w:rsid w:val="00D66409"/>
    <w:rsid w:val="00D67459"/>
    <w:rsid w:val="00D72503"/>
    <w:rsid w:val="00D7322E"/>
    <w:rsid w:val="00D86D73"/>
    <w:rsid w:val="00E04EBA"/>
    <w:rsid w:val="00E90346"/>
    <w:rsid w:val="00F96063"/>
    <w:rsid w:val="00FA6626"/>
    <w:rsid w:val="00FC6B1B"/>
    <w:rsid w:val="00FE5C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9EA2"/>
  <w15:docId w15:val="{79405B52-DA7C-48A0-95E2-7C4B98166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6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16ED"/>
    <w:pPr>
      <w:keepNext/>
      <w:keepLines/>
      <w:numPr>
        <w:numId w:val="10"/>
      </w:numPr>
      <w:pBdr>
        <w:bottom w:val="single" w:sz="4" w:space="1" w:color="595959" w:themeColor="text1" w:themeTint="A6"/>
      </w:pBdr>
      <w:spacing w:before="360"/>
      <w:ind w:left="431" w:hanging="431"/>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BF16ED"/>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F16ED"/>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BF16ED"/>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F16ED"/>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BF16ED"/>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BF16ED"/>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F16ED"/>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F16ED"/>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6ED"/>
    <w:rPr>
      <w:rFonts w:ascii="Times New Roman" w:eastAsiaTheme="majorEastAsia" w:hAnsi="Times New Roman" w:cstheme="majorBidi"/>
      <w:b/>
      <w:bCs/>
      <w:smallCaps/>
      <w:color w:val="000000" w:themeColor="text1"/>
      <w:sz w:val="32"/>
      <w:szCs w:val="36"/>
    </w:rPr>
  </w:style>
  <w:style w:type="character" w:customStyle="1" w:styleId="Heading2Char">
    <w:name w:val="Heading 2 Char"/>
    <w:basedOn w:val="DefaultParagraphFont"/>
    <w:link w:val="Heading2"/>
    <w:uiPriority w:val="9"/>
    <w:rsid w:val="00BF16ED"/>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F16ED"/>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BF16E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F16ED"/>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BF16ED"/>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BF16E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F16E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F16ED"/>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F16E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F16E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F16E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F16ED"/>
    <w:rPr>
      <w:color w:val="5A5A5A" w:themeColor="text1" w:themeTint="A5"/>
      <w:spacing w:val="10"/>
    </w:rPr>
  </w:style>
  <w:style w:type="paragraph" w:styleId="Quote">
    <w:name w:val="Quote"/>
    <w:basedOn w:val="Normal"/>
    <w:next w:val="Normal"/>
    <w:link w:val="QuoteChar"/>
    <w:uiPriority w:val="29"/>
    <w:qFormat/>
    <w:rsid w:val="00BF16ED"/>
    <w:pPr>
      <w:spacing w:before="160"/>
      <w:ind w:left="720" w:right="720"/>
    </w:pPr>
    <w:rPr>
      <w:i/>
      <w:iCs/>
      <w:color w:val="000000" w:themeColor="text1"/>
    </w:rPr>
  </w:style>
  <w:style w:type="character" w:customStyle="1" w:styleId="QuoteChar">
    <w:name w:val="Quote Char"/>
    <w:basedOn w:val="DefaultParagraphFont"/>
    <w:link w:val="Quote"/>
    <w:uiPriority w:val="29"/>
    <w:rsid w:val="00BF16ED"/>
    <w:rPr>
      <w:i/>
      <w:iCs/>
      <w:color w:val="000000" w:themeColor="text1"/>
    </w:rPr>
  </w:style>
  <w:style w:type="paragraph" w:styleId="ListParagraph">
    <w:name w:val="List Paragraph"/>
    <w:basedOn w:val="Normal"/>
    <w:uiPriority w:val="34"/>
    <w:qFormat/>
    <w:rsid w:val="00A63E6A"/>
    <w:pPr>
      <w:ind w:left="720"/>
      <w:contextualSpacing/>
    </w:pPr>
  </w:style>
  <w:style w:type="character" w:styleId="IntenseEmphasis">
    <w:name w:val="Intense Emphasis"/>
    <w:basedOn w:val="DefaultParagraphFont"/>
    <w:uiPriority w:val="21"/>
    <w:qFormat/>
    <w:rsid w:val="00BF16ED"/>
    <w:rPr>
      <w:b/>
      <w:bCs/>
      <w:i/>
      <w:iCs/>
      <w:caps/>
    </w:rPr>
  </w:style>
  <w:style w:type="paragraph" w:styleId="IntenseQuote">
    <w:name w:val="Intense Quote"/>
    <w:basedOn w:val="Normal"/>
    <w:next w:val="Normal"/>
    <w:link w:val="IntenseQuoteChar"/>
    <w:uiPriority w:val="30"/>
    <w:qFormat/>
    <w:rsid w:val="00BF16E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F16ED"/>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BF16ED"/>
    <w:rPr>
      <w:b/>
      <w:bCs/>
      <w:smallCaps/>
      <w:u w:val="single"/>
    </w:rPr>
  </w:style>
  <w:style w:type="paragraph" w:styleId="Header">
    <w:name w:val="header"/>
    <w:basedOn w:val="Normal"/>
    <w:link w:val="HeaderChar"/>
    <w:rsid w:val="001D1E98"/>
    <w:pPr>
      <w:tabs>
        <w:tab w:val="center" w:pos="4153"/>
        <w:tab w:val="right" w:pos="8306"/>
      </w:tabs>
      <w:spacing w:after="0" w:line="240" w:lineRule="auto"/>
    </w:pPr>
    <w:rPr>
      <w:rFonts w:eastAsia="Times New Roman" w:cs="Times New Roman"/>
      <w:sz w:val="20"/>
      <w:szCs w:val="20"/>
      <w:lang w:eastAsia="en-GB"/>
    </w:rPr>
  </w:style>
  <w:style w:type="character" w:customStyle="1" w:styleId="HeaderChar">
    <w:name w:val="Header Char"/>
    <w:basedOn w:val="DefaultParagraphFont"/>
    <w:link w:val="Header"/>
    <w:rsid w:val="001D1E98"/>
    <w:rPr>
      <w:rFonts w:ascii="Times New Roman" w:eastAsia="Times New Roman" w:hAnsi="Times New Roman" w:cs="Times New Roman"/>
      <w:sz w:val="20"/>
      <w:szCs w:val="20"/>
      <w:lang w:val="en-GB" w:eastAsia="en-GB"/>
      <w14:ligatures w14:val="none"/>
    </w:rPr>
  </w:style>
  <w:style w:type="paragraph" w:styleId="Caption">
    <w:name w:val="caption"/>
    <w:basedOn w:val="Normal"/>
    <w:next w:val="Normal"/>
    <w:uiPriority w:val="35"/>
    <w:semiHidden/>
    <w:unhideWhenUsed/>
    <w:qFormat/>
    <w:rsid w:val="00BF16ED"/>
    <w:pPr>
      <w:spacing w:after="200" w:line="240" w:lineRule="auto"/>
    </w:pPr>
    <w:rPr>
      <w:i/>
      <w:iCs/>
      <w:color w:val="0E2841" w:themeColor="text2"/>
      <w:sz w:val="18"/>
      <w:szCs w:val="18"/>
    </w:rPr>
  </w:style>
  <w:style w:type="character" w:styleId="Strong">
    <w:name w:val="Strong"/>
    <w:basedOn w:val="DefaultParagraphFont"/>
    <w:uiPriority w:val="22"/>
    <w:qFormat/>
    <w:rsid w:val="00BF16ED"/>
    <w:rPr>
      <w:b/>
      <w:bCs/>
      <w:color w:val="000000" w:themeColor="text1"/>
    </w:rPr>
  </w:style>
  <w:style w:type="character" w:styleId="Emphasis">
    <w:name w:val="Emphasis"/>
    <w:basedOn w:val="DefaultParagraphFont"/>
    <w:uiPriority w:val="20"/>
    <w:qFormat/>
    <w:rsid w:val="00BF16ED"/>
    <w:rPr>
      <w:i/>
      <w:iCs/>
      <w:color w:val="auto"/>
    </w:rPr>
  </w:style>
  <w:style w:type="paragraph" w:styleId="NoSpacing">
    <w:name w:val="No Spacing"/>
    <w:uiPriority w:val="1"/>
    <w:qFormat/>
    <w:rsid w:val="00BF16ED"/>
    <w:pPr>
      <w:spacing w:after="0" w:line="240" w:lineRule="auto"/>
    </w:pPr>
  </w:style>
  <w:style w:type="character" w:styleId="SubtleEmphasis">
    <w:name w:val="Subtle Emphasis"/>
    <w:basedOn w:val="DefaultParagraphFont"/>
    <w:uiPriority w:val="19"/>
    <w:qFormat/>
    <w:rsid w:val="00BF16ED"/>
    <w:rPr>
      <w:i/>
      <w:iCs/>
      <w:color w:val="404040" w:themeColor="text1" w:themeTint="BF"/>
    </w:rPr>
  </w:style>
  <w:style w:type="character" w:styleId="SubtleReference">
    <w:name w:val="Subtle Reference"/>
    <w:basedOn w:val="DefaultParagraphFont"/>
    <w:uiPriority w:val="31"/>
    <w:qFormat/>
    <w:rsid w:val="00BF16ED"/>
    <w:rPr>
      <w:smallCaps/>
      <w:color w:val="404040" w:themeColor="text1" w:themeTint="BF"/>
      <w:u w:val="single" w:color="7F7F7F" w:themeColor="text1" w:themeTint="80"/>
    </w:rPr>
  </w:style>
  <w:style w:type="character" w:styleId="BookTitle">
    <w:name w:val="Book Title"/>
    <w:basedOn w:val="DefaultParagraphFont"/>
    <w:uiPriority w:val="33"/>
    <w:qFormat/>
    <w:rsid w:val="00BF16ED"/>
    <w:rPr>
      <w:b w:val="0"/>
      <w:bCs w:val="0"/>
      <w:smallCaps/>
      <w:spacing w:val="5"/>
    </w:rPr>
  </w:style>
  <w:style w:type="paragraph" w:styleId="TOCHeading">
    <w:name w:val="TOC Heading"/>
    <w:basedOn w:val="Heading1"/>
    <w:next w:val="Normal"/>
    <w:uiPriority w:val="39"/>
    <w:unhideWhenUsed/>
    <w:qFormat/>
    <w:rsid w:val="00BF16ED"/>
    <w:pPr>
      <w:outlineLvl w:val="9"/>
    </w:pPr>
  </w:style>
  <w:style w:type="paragraph" w:styleId="TOC2">
    <w:name w:val="toc 2"/>
    <w:basedOn w:val="Normal"/>
    <w:next w:val="Normal"/>
    <w:autoRedefine/>
    <w:uiPriority w:val="39"/>
    <w:unhideWhenUsed/>
    <w:rsid w:val="00287C65"/>
    <w:pPr>
      <w:spacing w:after="100"/>
      <w:ind w:left="240"/>
    </w:pPr>
  </w:style>
  <w:style w:type="paragraph" w:styleId="TOC1">
    <w:name w:val="toc 1"/>
    <w:basedOn w:val="Normal"/>
    <w:next w:val="Normal"/>
    <w:autoRedefine/>
    <w:uiPriority w:val="39"/>
    <w:unhideWhenUsed/>
    <w:rsid w:val="00287C65"/>
    <w:pPr>
      <w:spacing w:after="100"/>
    </w:pPr>
  </w:style>
  <w:style w:type="character" w:styleId="Hyperlink">
    <w:name w:val="Hyperlink"/>
    <w:basedOn w:val="DefaultParagraphFont"/>
    <w:uiPriority w:val="99"/>
    <w:unhideWhenUsed/>
    <w:rsid w:val="00287C65"/>
    <w:rPr>
      <w:color w:val="467886" w:themeColor="hyperlink"/>
      <w:u w:val="single"/>
    </w:rPr>
  </w:style>
  <w:style w:type="paragraph" w:styleId="BalloonText">
    <w:name w:val="Balloon Text"/>
    <w:basedOn w:val="Normal"/>
    <w:link w:val="BalloonTextChar"/>
    <w:uiPriority w:val="99"/>
    <w:semiHidden/>
    <w:unhideWhenUsed/>
    <w:rsid w:val="001063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3C8"/>
    <w:rPr>
      <w:rFonts w:ascii="Tahoma" w:hAnsi="Tahoma" w:cs="Tahoma"/>
      <w:sz w:val="16"/>
      <w:szCs w:val="16"/>
    </w:rPr>
  </w:style>
  <w:style w:type="paragraph" w:customStyle="1" w:styleId="EndNoteBibliography">
    <w:name w:val="EndNote Bibliography"/>
    <w:basedOn w:val="Normal"/>
    <w:link w:val="EndNoteBibliographyChar"/>
    <w:rsid w:val="00346495"/>
    <w:pPr>
      <w:spacing w:after="0" w:line="240" w:lineRule="auto"/>
    </w:pPr>
    <w:rPr>
      <w:rFonts w:ascii="Calibri" w:eastAsiaTheme="minorHAnsi" w:hAnsi="Calibri" w:cs="Calibri"/>
      <w:sz w:val="22"/>
      <w:lang w:val="en-US"/>
    </w:rPr>
  </w:style>
  <w:style w:type="character" w:customStyle="1" w:styleId="EndNoteBibliographyChar">
    <w:name w:val="EndNote Bibliography Char"/>
    <w:basedOn w:val="DefaultParagraphFont"/>
    <w:link w:val="EndNoteBibliography"/>
    <w:rsid w:val="00346495"/>
    <w:rPr>
      <w:rFonts w:ascii="Calibri" w:eastAsiaTheme="minorHAnsi" w:hAnsi="Calibri" w:cs="Calibri"/>
      <w:lang w:val="en-US"/>
    </w:rPr>
  </w:style>
  <w:style w:type="paragraph" w:styleId="Footer">
    <w:name w:val="footer"/>
    <w:basedOn w:val="Normal"/>
    <w:link w:val="FooterChar"/>
    <w:uiPriority w:val="99"/>
    <w:unhideWhenUsed/>
    <w:rsid w:val="00BC43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34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544BE-329F-407F-A669-05DD3F7F1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3978</Words>
  <Characters>22679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Gundo</dc:creator>
  <cp:lastModifiedBy>Gundo Susso (2325852)</cp:lastModifiedBy>
  <cp:revision>2</cp:revision>
  <dcterms:created xsi:type="dcterms:W3CDTF">2026-03-29T16:09:00Z</dcterms:created>
  <dcterms:modified xsi:type="dcterms:W3CDTF">2026-03-29T16:09:00Z</dcterms:modified>
</cp:coreProperties>
</file>