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39E01" w14:textId="77777777" w:rsidR="00815A50" w:rsidRPr="00815A50" w:rsidRDefault="00815A50" w:rsidP="00815A50">
      <w:pPr>
        <w:rPr>
          <w:rFonts w:ascii="Arial" w:hAnsi="Arial" w:cs="Arial"/>
        </w:rPr>
      </w:pPr>
      <w:bookmarkStart w:id="0" w:name="_Hlk200843713"/>
    </w:p>
    <w:p w14:paraId="24513DBE" w14:textId="77777777" w:rsidR="00815A50" w:rsidRPr="00815A50" w:rsidRDefault="00815A50" w:rsidP="00815A50">
      <w:pPr>
        <w:rPr>
          <w:rFonts w:ascii="Arial" w:hAnsi="Arial" w:cs="Arial"/>
        </w:rPr>
      </w:pPr>
    </w:p>
    <w:p w14:paraId="5BBA7066" w14:textId="77777777" w:rsidR="00815A50" w:rsidRPr="00815A50" w:rsidRDefault="00815A50" w:rsidP="00815A50">
      <w:pPr>
        <w:rPr>
          <w:rFonts w:ascii="Arial" w:hAnsi="Arial" w:cs="Arial"/>
        </w:rPr>
      </w:pPr>
    </w:p>
    <w:p w14:paraId="1A76D2BF" w14:textId="77777777" w:rsidR="00815A50" w:rsidRPr="00815A50" w:rsidRDefault="00815A50" w:rsidP="00815A50">
      <w:pPr>
        <w:jc w:val="center"/>
        <w:rPr>
          <w:rFonts w:ascii="Arial" w:hAnsi="Arial" w:cs="Arial"/>
          <w:b/>
          <w:bCs/>
          <w:sz w:val="40"/>
          <w:szCs w:val="40"/>
        </w:rPr>
      </w:pPr>
      <w:r w:rsidRPr="00815A50">
        <w:rPr>
          <w:rFonts w:ascii="Arial" w:hAnsi="Arial" w:cs="Arial"/>
          <w:b/>
          <w:bCs/>
          <w:sz w:val="40"/>
          <w:szCs w:val="40"/>
        </w:rPr>
        <w:t xml:space="preserve">Reflective Learning Log – Hilton </w:t>
      </w:r>
      <w:proofErr w:type="spellStart"/>
      <w:r w:rsidRPr="00815A50">
        <w:rPr>
          <w:rFonts w:ascii="Arial" w:hAnsi="Arial" w:cs="Arial"/>
          <w:b/>
          <w:bCs/>
          <w:sz w:val="40"/>
          <w:szCs w:val="40"/>
        </w:rPr>
        <w:t>Puckrup</w:t>
      </w:r>
      <w:proofErr w:type="spellEnd"/>
      <w:r w:rsidRPr="00815A50">
        <w:rPr>
          <w:rFonts w:ascii="Arial" w:hAnsi="Arial" w:cs="Arial"/>
          <w:b/>
          <w:bCs/>
          <w:sz w:val="40"/>
          <w:szCs w:val="40"/>
        </w:rPr>
        <w:t xml:space="preserve"> Hall, Tewksbury</w:t>
      </w:r>
    </w:p>
    <w:p w14:paraId="5B7FAD1F" w14:textId="77777777" w:rsidR="00815A50" w:rsidRPr="00815A50" w:rsidRDefault="00815A50" w:rsidP="00815A50">
      <w:pPr>
        <w:jc w:val="center"/>
        <w:rPr>
          <w:rFonts w:ascii="Arial" w:hAnsi="Arial" w:cs="Arial"/>
          <w:b/>
          <w:bCs/>
          <w:sz w:val="40"/>
          <w:szCs w:val="40"/>
        </w:rPr>
      </w:pPr>
      <w:r w:rsidRPr="00815A50">
        <w:rPr>
          <w:rFonts w:ascii="Arial" w:hAnsi="Arial" w:cs="Arial"/>
          <w:b/>
          <w:bCs/>
          <w:sz w:val="40"/>
          <w:szCs w:val="40"/>
        </w:rPr>
        <w:t>Food &amp; Beverage Department</w:t>
      </w:r>
    </w:p>
    <w:p w14:paraId="4C215FE5" w14:textId="77777777" w:rsidR="00815A50" w:rsidRPr="00815A50" w:rsidRDefault="00815A50" w:rsidP="00815A50">
      <w:pPr>
        <w:rPr>
          <w:rFonts w:ascii="Arial" w:hAnsi="Arial" w:cs="Arial"/>
        </w:rPr>
      </w:pPr>
    </w:p>
    <w:p w14:paraId="3768A1AB" w14:textId="77777777" w:rsidR="00815A50" w:rsidRDefault="00815A50" w:rsidP="00815A50">
      <w:pPr>
        <w:rPr>
          <w:rFonts w:ascii="Arial" w:hAnsi="Arial" w:cs="Arial"/>
        </w:rPr>
      </w:pPr>
    </w:p>
    <w:p w14:paraId="4DC754EC" w14:textId="77777777" w:rsidR="00815A50" w:rsidRDefault="00815A50" w:rsidP="00815A50">
      <w:pPr>
        <w:rPr>
          <w:rFonts w:ascii="Arial" w:hAnsi="Arial" w:cs="Arial"/>
        </w:rPr>
      </w:pPr>
    </w:p>
    <w:p w14:paraId="098111A6" w14:textId="77777777" w:rsidR="00815A50" w:rsidRDefault="00815A50" w:rsidP="00815A50">
      <w:pPr>
        <w:rPr>
          <w:rFonts w:ascii="Arial" w:hAnsi="Arial" w:cs="Arial"/>
        </w:rPr>
      </w:pPr>
    </w:p>
    <w:p w14:paraId="7A2A8E77" w14:textId="77777777" w:rsidR="00815A50" w:rsidRDefault="00815A50" w:rsidP="00815A50">
      <w:pPr>
        <w:rPr>
          <w:rFonts w:ascii="Arial" w:hAnsi="Arial" w:cs="Arial"/>
        </w:rPr>
      </w:pPr>
    </w:p>
    <w:p w14:paraId="4DE13918" w14:textId="77777777" w:rsidR="00815A50" w:rsidRPr="00815A50" w:rsidRDefault="00815A50" w:rsidP="00815A50">
      <w:pPr>
        <w:rPr>
          <w:rFonts w:ascii="Arial" w:hAnsi="Arial" w:cs="Arial"/>
        </w:rPr>
      </w:pPr>
    </w:p>
    <w:p w14:paraId="440EEFEB" w14:textId="77777777" w:rsidR="00815A50" w:rsidRDefault="00815A50" w:rsidP="00815A50">
      <w:pPr>
        <w:rPr>
          <w:rFonts w:ascii="Arial" w:hAnsi="Arial" w:cs="Arial"/>
        </w:rPr>
      </w:pPr>
    </w:p>
    <w:p w14:paraId="53855B0B" w14:textId="77777777" w:rsidR="00815A50" w:rsidRDefault="00815A50" w:rsidP="00815A50">
      <w:pPr>
        <w:rPr>
          <w:rFonts w:ascii="Arial" w:hAnsi="Arial" w:cs="Arial"/>
        </w:rPr>
      </w:pPr>
    </w:p>
    <w:p w14:paraId="06CEEFA5" w14:textId="77777777" w:rsidR="00815A50" w:rsidRDefault="00815A50" w:rsidP="00815A50">
      <w:pPr>
        <w:rPr>
          <w:rFonts w:ascii="Arial" w:hAnsi="Arial" w:cs="Arial"/>
        </w:rPr>
      </w:pPr>
    </w:p>
    <w:p w14:paraId="777C6745" w14:textId="77777777" w:rsidR="00815A50" w:rsidRPr="00815A50" w:rsidRDefault="00815A50" w:rsidP="00815A50">
      <w:pPr>
        <w:rPr>
          <w:rFonts w:ascii="Arial" w:hAnsi="Arial" w:cs="Arial"/>
        </w:rPr>
      </w:pPr>
    </w:p>
    <w:p w14:paraId="0C16D933" w14:textId="563CDF80" w:rsidR="00815A50" w:rsidRPr="00815A50" w:rsidRDefault="00815A50" w:rsidP="00815A50">
      <w:pPr>
        <w:spacing w:line="276" w:lineRule="auto"/>
        <w:rPr>
          <w:rFonts w:ascii="Arial" w:hAnsi="Arial" w:cs="Arial"/>
          <w:b/>
          <w:bCs/>
          <w:sz w:val="28"/>
          <w:szCs w:val="28"/>
        </w:rPr>
      </w:pPr>
      <w:r w:rsidRPr="00815A50">
        <w:rPr>
          <w:rFonts w:ascii="Arial" w:hAnsi="Arial" w:cs="Arial"/>
          <w:b/>
          <w:bCs/>
          <w:sz w:val="28"/>
          <w:szCs w:val="28"/>
        </w:rPr>
        <w:t>Student: Ciprian Anghel (2223637)</w:t>
      </w:r>
    </w:p>
    <w:p w14:paraId="6397304C" w14:textId="0D6514F3" w:rsidR="00815A50" w:rsidRPr="00815A50" w:rsidRDefault="00815A50" w:rsidP="00815A50">
      <w:pPr>
        <w:spacing w:line="276" w:lineRule="auto"/>
        <w:rPr>
          <w:rFonts w:ascii="Arial" w:hAnsi="Arial" w:cs="Arial"/>
          <w:b/>
          <w:bCs/>
          <w:sz w:val="28"/>
          <w:szCs w:val="28"/>
        </w:rPr>
      </w:pPr>
      <w:r w:rsidRPr="00815A50">
        <w:rPr>
          <w:rFonts w:ascii="Arial" w:hAnsi="Arial" w:cs="Arial"/>
          <w:b/>
          <w:bCs/>
          <w:sz w:val="28"/>
          <w:szCs w:val="28"/>
        </w:rPr>
        <w:t>Lecturer: Ka Po Chong</w:t>
      </w:r>
    </w:p>
    <w:p w14:paraId="3A24CB58" w14:textId="49EF11E6" w:rsidR="00815A50" w:rsidRPr="00815A50" w:rsidRDefault="00815A50" w:rsidP="00815A50">
      <w:pPr>
        <w:spacing w:line="276" w:lineRule="auto"/>
        <w:rPr>
          <w:rFonts w:ascii="Arial" w:hAnsi="Arial" w:cs="Arial"/>
          <w:b/>
          <w:bCs/>
          <w:sz w:val="28"/>
          <w:szCs w:val="28"/>
        </w:rPr>
      </w:pPr>
      <w:r w:rsidRPr="00815A50">
        <w:rPr>
          <w:rFonts w:ascii="Arial" w:hAnsi="Arial" w:cs="Arial"/>
          <w:b/>
          <w:bCs/>
          <w:sz w:val="28"/>
          <w:szCs w:val="28"/>
        </w:rPr>
        <w:t>Module: BMIH6002</w:t>
      </w:r>
    </w:p>
    <w:p w14:paraId="3099D2D9" w14:textId="2FA2118D" w:rsidR="00815A50" w:rsidRPr="00815A50" w:rsidRDefault="00815A50" w:rsidP="00815A50">
      <w:pPr>
        <w:spacing w:line="276" w:lineRule="auto"/>
        <w:rPr>
          <w:rFonts w:ascii="Arial" w:hAnsi="Arial" w:cs="Arial"/>
          <w:b/>
          <w:bCs/>
          <w:sz w:val="28"/>
          <w:szCs w:val="28"/>
        </w:rPr>
      </w:pPr>
      <w:r w:rsidRPr="00815A50">
        <w:rPr>
          <w:rFonts w:ascii="Arial" w:hAnsi="Arial" w:cs="Arial"/>
          <w:b/>
          <w:bCs/>
          <w:sz w:val="28"/>
          <w:szCs w:val="28"/>
        </w:rPr>
        <w:t>Word count: 1177 words</w:t>
      </w:r>
    </w:p>
    <w:p w14:paraId="1E2077C1" w14:textId="77777777" w:rsidR="00815A50" w:rsidRPr="00815A50" w:rsidRDefault="00815A50" w:rsidP="00815A50">
      <w:pPr>
        <w:rPr>
          <w:rFonts w:ascii="Arial" w:hAnsi="Arial" w:cs="Arial"/>
        </w:rPr>
      </w:pPr>
    </w:p>
    <w:p w14:paraId="5E9EDAD0" w14:textId="77777777" w:rsidR="00815A50" w:rsidRPr="00815A50" w:rsidRDefault="00815A50" w:rsidP="00815A50">
      <w:pPr>
        <w:rPr>
          <w:rFonts w:ascii="Arial" w:hAnsi="Arial" w:cs="Arial"/>
        </w:rPr>
      </w:pPr>
    </w:p>
    <w:p w14:paraId="0F3D4425" w14:textId="77777777" w:rsidR="00815A50" w:rsidRPr="00815A50" w:rsidRDefault="00815A50" w:rsidP="00815A50">
      <w:pPr>
        <w:rPr>
          <w:rFonts w:ascii="Arial" w:hAnsi="Arial" w:cs="Arial"/>
        </w:rPr>
      </w:pPr>
    </w:p>
    <w:p w14:paraId="3C6BE61B" w14:textId="77777777" w:rsidR="00815A50" w:rsidRPr="00815A50" w:rsidRDefault="00815A50" w:rsidP="00815A50">
      <w:pPr>
        <w:rPr>
          <w:rFonts w:ascii="Arial" w:hAnsi="Arial" w:cs="Arial"/>
        </w:rPr>
      </w:pPr>
    </w:p>
    <w:p w14:paraId="08F756C9" w14:textId="77777777" w:rsidR="00815A50" w:rsidRPr="00815A50" w:rsidRDefault="00815A50" w:rsidP="00815A50">
      <w:pPr>
        <w:rPr>
          <w:rFonts w:ascii="Arial" w:hAnsi="Arial" w:cs="Arial"/>
        </w:rPr>
      </w:pPr>
    </w:p>
    <w:p w14:paraId="25901288" w14:textId="77777777" w:rsidR="00815A50" w:rsidRPr="00815A50" w:rsidRDefault="00815A50" w:rsidP="00815A50">
      <w:pPr>
        <w:rPr>
          <w:rFonts w:ascii="Arial" w:hAnsi="Arial" w:cs="Arial"/>
        </w:rPr>
      </w:pPr>
    </w:p>
    <w:p w14:paraId="2323B7E9" w14:textId="77777777" w:rsidR="00815A50" w:rsidRPr="00815A50" w:rsidRDefault="00815A50" w:rsidP="00815A50">
      <w:pPr>
        <w:spacing w:line="360" w:lineRule="auto"/>
        <w:rPr>
          <w:rFonts w:ascii="Arial" w:hAnsi="Arial" w:cs="Arial"/>
          <w:b/>
          <w:bCs/>
          <w:sz w:val="24"/>
          <w:szCs w:val="24"/>
        </w:rPr>
      </w:pPr>
      <w:r w:rsidRPr="00815A50">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C532A95" w14:textId="77777777" w:rsidR="00815A50" w:rsidRPr="00815A50" w:rsidRDefault="00815A50" w:rsidP="00815A50">
      <w:pPr>
        <w:rPr>
          <w:rFonts w:ascii="Arial" w:hAnsi="Arial" w:cs="Arial"/>
        </w:rPr>
      </w:pPr>
    </w:p>
    <w:p w14:paraId="0D954DCE" w14:textId="77777777" w:rsidR="00815A50" w:rsidRPr="00815A50" w:rsidRDefault="00815A50" w:rsidP="00815A50">
      <w:pPr>
        <w:rPr>
          <w:rFonts w:ascii="Arial" w:hAnsi="Arial" w:cs="Arial"/>
          <w:sz w:val="40"/>
          <w:szCs w:val="40"/>
        </w:rPr>
      </w:pPr>
      <w:r w:rsidRPr="00815A50">
        <w:rPr>
          <w:rFonts w:ascii="Arial" w:hAnsi="Arial" w:cs="Arial"/>
          <w:sz w:val="40"/>
          <w:szCs w:val="40"/>
        </w:rPr>
        <w:t>Introduction</w:t>
      </w:r>
    </w:p>
    <w:p w14:paraId="33D689BD" w14:textId="77777777" w:rsidR="00815A50" w:rsidRPr="00815A50" w:rsidRDefault="00815A50" w:rsidP="00815A50">
      <w:pPr>
        <w:spacing w:line="360" w:lineRule="auto"/>
        <w:rPr>
          <w:rFonts w:ascii="Arial" w:hAnsi="Arial" w:cs="Arial"/>
          <w:sz w:val="24"/>
          <w:szCs w:val="24"/>
        </w:rPr>
      </w:pPr>
      <w:r w:rsidRPr="00815A50">
        <w:rPr>
          <w:rFonts w:ascii="Arial" w:hAnsi="Arial" w:cs="Arial"/>
        </w:rPr>
        <w:tab/>
      </w:r>
      <w:r w:rsidRPr="00815A50">
        <w:rPr>
          <w:rFonts w:ascii="Arial" w:hAnsi="Arial" w:cs="Arial"/>
          <w:sz w:val="24"/>
          <w:szCs w:val="24"/>
        </w:rPr>
        <w:t xml:space="preserve">My Level 6 placement was at Hilton </w:t>
      </w:r>
      <w:proofErr w:type="spellStart"/>
      <w:r w:rsidRPr="00815A50">
        <w:rPr>
          <w:rFonts w:ascii="Arial" w:hAnsi="Arial" w:cs="Arial"/>
          <w:sz w:val="24"/>
          <w:szCs w:val="24"/>
        </w:rPr>
        <w:t>Puckrup</w:t>
      </w:r>
      <w:proofErr w:type="spellEnd"/>
      <w:r w:rsidRPr="00815A50">
        <w:rPr>
          <w:rFonts w:ascii="Arial" w:hAnsi="Arial" w:cs="Arial"/>
          <w:sz w:val="24"/>
          <w:szCs w:val="24"/>
        </w:rPr>
        <w:t xml:space="preserve"> Hall in Tewkesbury, where I worked in the Food and Beverage (F&amp;B) Department. The hotel offers a comprehensive F&amp;B operation, including a self-serve breakfast buffet with hot and cold options, a bar and lounge menu for lunch, and an à la carte dinner service. The F&amp;B team also supports conference and event catering. While the department consistently strives to deliver high-quality guest experiences, it faces challenges due to staff shortages, particularly during peak times.</w:t>
      </w:r>
    </w:p>
    <w:p w14:paraId="486EF073"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My learning objectives at the start of this placement were:</w:t>
      </w:r>
    </w:p>
    <w:p w14:paraId="630B4EFB" w14:textId="77777777" w:rsidR="00815A50" w:rsidRPr="00815A50" w:rsidRDefault="00815A50" w:rsidP="00815A50">
      <w:pPr>
        <w:numPr>
          <w:ilvl w:val="0"/>
          <w:numId w:val="1"/>
        </w:numPr>
        <w:spacing w:line="360" w:lineRule="auto"/>
        <w:rPr>
          <w:rFonts w:ascii="Arial" w:hAnsi="Arial" w:cs="Arial"/>
          <w:sz w:val="24"/>
          <w:szCs w:val="24"/>
        </w:rPr>
      </w:pPr>
      <w:r w:rsidRPr="00815A50">
        <w:rPr>
          <w:rFonts w:ascii="Arial" w:hAnsi="Arial" w:cs="Arial"/>
          <w:sz w:val="24"/>
          <w:szCs w:val="24"/>
        </w:rPr>
        <w:t>To strengthen my ability to manage guest service processes in a high-pressure environment.</w:t>
      </w:r>
    </w:p>
    <w:p w14:paraId="43E1DFE8" w14:textId="77777777" w:rsidR="00815A50" w:rsidRPr="00815A50" w:rsidRDefault="00815A50" w:rsidP="00815A50">
      <w:pPr>
        <w:numPr>
          <w:ilvl w:val="0"/>
          <w:numId w:val="1"/>
        </w:numPr>
        <w:spacing w:line="360" w:lineRule="auto"/>
        <w:rPr>
          <w:rFonts w:ascii="Arial" w:hAnsi="Arial" w:cs="Arial"/>
          <w:sz w:val="24"/>
          <w:szCs w:val="24"/>
        </w:rPr>
      </w:pPr>
      <w:r w:rsidRPr="00815A50">
        <w:rPr>
          <w:rFonts w:ascii="Arial" w:hAnsi="Arial" w:cs="Arial"/>
          <w:sz w:val="24"/>
          <w:szCs w:val="24"/>
        </w:rPr>
        <w:t>To build confidence in decision-making and problem-solving within the F&amp;B context.</w:t>
      </w:r>
    </w:p>
    <w:p w14:paraId="4B579043" w14:textId="77777777" w:rsidR="00815A50" w:rsidRPr="00815A50" w:rsidRDefault="00815A50" w:rsidP="00815A50">
      <w:pPr>
        <w:numPr>
          <w:ilvl w:val="0"/>
          <w:numId w:val="1"/>
        </w:numPr>
        <w:spacing w:line="360" w:lineRule="auto"/>
        <w:rPr>
          <w:rFonts w:ascii="Arial" w:hAnsi="Arial" w:cs="Arial"/>
          <w:sz w:val="24"/>
          <w:szCs w:val="24"/>
        </w:rPr>
      </w:pPr>
      <w:r w:rsidRPr="00815A50">
        <w:rPr>
          <w:rFonts w:ascii="Arial" w:hAnsi="Arial" w:cs="Arial"/>
          <w:sz w:val="24"/>
          <w:szCs w:val="24"/>
        </w:rPr>
        <w:t>To enhance my communication and leadership skills when working with colleagues under operational strain.</w:t>
      </w:r>
    </w:p>
    <w:p w14:paraId="79463107" w14:textId="77777777" w:rsidR="00815A50" w:rsidRPr="00815A50" w:rsidRDefault="00815A50" w:rsidP="00815A50">
      <w:pPr>
        <w:rPr>
          <w:rFonts w:ascii="Arial" w:hAnsi="Arial" w:cs="Arial"/>
          <w:sz w:val="40"/>
          <w:szCs w:val="40"/>
        </w:rPr>
      </w:pPr>
      <w:r w:rsidRPr="00815A50">
        <w:rPr>
          <w:rFonts w:ascii="Arial" w:hAnsi="Arial" w:cs="Arial"/>
          <w:sz w:val="40"/>
          <w:szCs w:val="40"/>
        </w:rPr>
        <w:t>Section 1: Role Reflection</w:t>
      </w:r>
    </w:p>
    <w:p w14:paraId="14D3DFD1"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I worked as an F&amp;B Assistant, covering breakfast, lunch, and dinner services, as well as occasional event support. My responsibilities included preparing service areas, guiding guests to their tables, verifying room numbers for breakfast inclusion, taking and delivering orders, and addressing guest queries and complaints. I also had the chance to observe how supervisors prioritised tasks, delegated responsibilities, and adapted to busy periods. To reflect on my experience, I applied the ERA Cycle (Fleming, 2023), which encourages structured reflection through the stages of experience, reflection, and action (Fleming, 2023).</w:t>
      </w:r>
    </w:p>
    <w:p w14:paraId="1F3E1B96" w14:textId="77777777" w:rsidR="00815A50" w:rsidRPr="00815A50" w:rsidRDefault="00815A50" w:rsidP="00815A50">
      <w:pPr>
        <w:spacing w:line="360" w:lineRule="auto"/>
        <w:rPr>
          <w:rFonts w:ascii="Arial" w:hAnsi="Arial" w:cs="Arial"/>
          <w:sz w:val="24"/>
          <w:szCs w:val="24"/>
        </w:rPr>
      </w:pPr>
      <w:r w:rsidRPr="00815A50">
        <w:rPr>
          <w:rFonts w:ascii="Arial" w:hAnsi="Arial" w:cs="Arial"/>
          <w:b/>
          <w:bCs/>
          <w:sz w:val="28"/>
          <w:szCs w:val="28"/>
        </w:rPr>
        <w:t>Experience</w:t>
      </w:r>
      <w:r w:rsidRPr="00815A50">
        <w:rPr>
          <w:rFonts w:ascii="Arial" w:hAnsi="Arial" w:cs="Arial"/>
        </w:rPr>
        <w:br/>
      </w:r>
      <w:r w:rsidRPr="00815A50">
        <w:rPr>
          <w:rFonts w:ascii="Arial" w:hAnsi="Arial" w:cs="Arial"/>
        </w:rPr>
        <w:tab/>
      </w:r>
      <w:r w:rsidRPr="00815A50">
        <w:rPr>
          <w:rFonts w:ascii="Arial" w:hAnsi="Arial" w:cs="Arial"/>
          <w:sz w:val="24"/>
          <w:szCs w:val="24"/>
        </w:rPr>
        <w:t xml:space="preserve">Two experiences are especially noteworthy as outcomes of my placement, shedding light on the reality of the hospitality industry. The restaurant was full, and most people who had breakfast as part of the room package could not find seats instantly. I observed how the supervisor handled the situation professionally, offering </w:t>
      </w:r>
      <w:r w:rsidRPr="00815A50">
        <w:rPr>
          <w:rFonts w:ascii="Arial" w:hAnsi="Arial" w:cs="Arial"/>
          <w:sz w:val="24"/>
          <w:szCs w:val="24"/>
        </w:rPr>
        <w:lastRenderedPageBreak/>
        <w:t>apologies, assigning seating to alternative dining settings, and providing complimentary drinks to keep the guests satisfied. This has taught me the lesson of remaining calm and making decisions under immense pressure, as well as discussing with guests and encouraging them. The second case occurred at a significant dinner event. There was a lapse in communication between the kitchen and the service team, resulting in significant delays in food service. Servers were unsure whether orders had been taken, and complaints were reported at a few tables. I learnt the importance of determining and sustaining clear communication channels among departments. The two experiences made me appreciate the importance of teamwork, anticipation, and outstanding leadership in offering flawless guest experiences.</w:t>
      </w:r>
    </w:p>
    <w:p w14:paraId="380014C1" w14:textId="0EF2BA72" w:rsidR="00815A50" w:rsidRPr="00815A50" w:rsidRDefault="00815A50" w:rsidP="00815A50">
      <w:pPr>
        <w:spacing w:line="360" w:lineRule="auto"/>
        <w:rPr>
          <w:rFonts w:ascii="Arial" w:hAnsi="Arial" w:cs="Arial"/>
          <w:sz w:val="28"/>
          <w:szCs w:val="28"/>
        </w:rPr>
      </w:pPr>
      <w:r w:rsidRPr="00815A50">
        <w:rPr>
          <w:rFonts w:ascii="Arial" w:hAnsi="Arial" w:cs="Arial"/>
          <w:b/>
          <w:bCs/>
          <w:sz w:val="28"/>
          <w:szCs w:val="28"/>
        </w:rPr>
        <w:t>Reflection</w:t>
      </w:r>
      <w:r w:rsidRPr="00815A50">
        <w:rPr>
          <w:rFonts w:ascii="Arial" w:hAnsi="Arial" w:cs="Arial"/>
          <w:sz w:val="24"/>
          <w:szCs w:val="24"/>
        </w:rPr>
        <w:br/>
      </w:r>
      <w:r w:rsidRPr="00815A50">
        <w:rPr>
          <w:rFonts w:ascii="Arial" w:hAnsi="Arial" w:cs="Arial"/>
          <w:sz w:val="24"/>
          <w:szCs w:val="24"/>
        </w:rPr>
        <w:tab/>
        <w:t>Both examples highlighted the importance of leadership, adaptability, problem-solving, and communication. The supervisor at breakfast calmly explained the delay to the guests, offered complimentary drinks, and reorganized the seating plan, demonstrating strong problem-solving and guest care skills (Trapp et al., 2012, p. 1234). In contrast, the dinner service revealed weaknesses: the supervisor failed to communicate effectively between teams, resulting in guest complaints and stressed staff. This experience reinforced the importance of effective communication and clear delegation in maintaining service standards (Hecht et al., 2020, p. 7381). I believe my strengths lie in staying calm under pressure and communicating clearly with guests. However, I recognised a weakness in my confidence when making quick decisions without checking first with supervisors, something I aim to improve (Hobson et al., 2020).</w:t>
      </w:r>
    </w:p>
    <w:p w14:paraId="76291184" w14:textId="77777777" w:rsidR="00815A50" w:rsidRPr="00815A50" w:rsidRDefault="00815A50" w:rsidP="00815A50">
      <w:pPr>
        <w:spacing w:line="360" w:lineRule="auto"/>
        <w:rPr>
          <w:rFonts w:ascii="Arial" w:hAnsi="Arial" w:cs="Arial"/>
          <w:b/>
          <w:bCs/>
          <w:sz w:val="28"/>
          <w:szCs w:val="28"/>
        </w:rPr>
      </w:pPr>
      <w:r w:rsidRPr="00815A50">
        <w:rPr>
          <w:rFonts w:ascii="Arial" w:hAnsi="Arial" w:cs="Arial"/>
          <w:b/>
          <w:bCs/>
          <w:sz w:val="28"/>
          <w:szCs w:val="28"/>
        </w:rPr>
        <w:t>Action Plan</w:t>
      </w:r>
    </w:p>
    <w:p w14:paraId="2091FA41" w14:textId="77777777" w:rsidR="00815A50" w:rsidRPr="00815A50" w:rsidRDefault="00815A50" w:rsidP="00815A50">
      <w:pPr>
        <w:numPr>
          <w:ilvl w:val="0"/>
          <w:numId w:val="2"/>
        </w:numPr>
        <w:spacing w:line="360" w:lineRule="auto"/>
        <w:rPr>
          <w:rFonts w:ascii="Arial" w:hAnsi="Arial" w:cs="Arial"/>
          <w:sz w:val="24"/>
          <w:szCs w:val="24"/>
        </w:rPr>
      </w:pPr>
      <w:r w:rsidRPr="00815A50">
        <w:rPr>
          <w:rFonts w:ascii="Arial" w:hAnsi="Arial" w:cs="Arial"/>
          <w:sz w:val="24"/>
          <w:szCs w:val="24"/>
        </w:rPr>
        <w:t>Complete an online training module on F&amp;B service problem-solving (Bennett et al., 2020, p.1).</w:t>
      </w:r>
    </w:p>
    <w:p w14:paraId="1B3A487D" w14:textId="77777777" w:rsidR="00815A50" w:rsidRPr="00815A50" w:rsidRDefault="00815A50" w:rsidP="00815A50">
      <w:pPr>
        <w:numPr>
          <w:ilvl w:val="0"/>
          <w:numId w:val="2"/>
        </w:numPr>
        <w:spacing w:line="360" w:lineRule="auto"/>
        <w:rPr>
          <w:rFonts w:ascii="Arial" w:hAnsi="Arial" w:cs="Arial"/>
          <w:sz w:val="24"/>
          <w:szCs w:val="24"/>
        </w:rPr>
      </w:pPr>
      <w:r w:rsidRPr="00815A50">
        <w:rPr>
          <w:rFonts w:ascii="Arial" w:hAnsi="Arial" w:cs="Arial"/>
          <w:sz w:val="24"/>
          <w:szCs w:val="24"/>
        </w:rPr>
        <w:t xml:space="preserve">Volunteer for more responsibility in future </w:t>
      </w:r>
      <w:proofErr w:type="spellStart"/>
      <w:r w:rsidRPr="00815A50">
        <w:rPr>
          <w:rFonts w:ascii="Arial" w:hAnsi="Arial" w:cs="Arial"/>
          <w:sz w:val="24"/>
          <w:szCs w:val="24"/>
        </w:rPr>
        <w:t>ocasions</w:t>
      </w:r>
      <w:proofErr w:type="spellEnd"/>
      <w:r w:rsidRPr="00815A50">
        <w:rPr>
          <w:rFonts w:ascii="Arial" w:hAnsi="Arial" w:cs="Arial"/>
          <w:sz w:val="24"/>
          <w:szCs w:val="24"/>
        </w:rPr>
        <w:t>, such as managing small sections of the dining room independently.</w:t>
      </w:r>
    </w:p>
    <w:p w14:paraId="25FB91B8" w14:textId="77777777" w:rsidR="00815A50" w:rsidRPr="00815A50" w:rsidRDefault="00815A50" w:rsidP="00815A50">
      <w:pPr>
        <w:numPr>
          <w:ilvl w:val="0"/>
          <w:numId w:val="2"/>
        </w:numPr>
        <w:spacing w:line="360" w:lineRule="auto"/>
        <w:rPr>
          <w:rFonts w:ascii="Arial" w:hAnsi="Arial" w:cs="Arial"/>
          <w:sz w:val="24"/>
          <w:szCs w:val="24"/>
        </w:rPr>
      </w:pPr>
      <w:r w:rsidRPr="00815A50">
        <w:rPr>
          <w:rFonts w:ascii="Arial" w:hAnsi="Arial" w:cs="Arial"/>
          <w:sz w:val="24"/>
          <w:szCs w:val="24"/>
        </w:rPr>
        <w:t xml:space="preserve">Develop assertiveness techniques through self-directed learning and practice (Spence et al., 2022, p. 2626). </w:t>
      </w:r>
    </w:p>
    <w:p w14:paraId="3F11FD10" w14:textId="77777777" w:rsidR="00815A50" w:rsidRPr="00815A50" w:rsidRDefault="00815A50" w:rsidP="00815A50">
      <w:pPr>
        <w:spacing w:line="360" w:lineRule="auto"/>
        <w:rPr>
          <w:rFonts w:ascii="Arial" w:hAnsi="Arial" w:cs="Arial"/>
          <w:sz w:val="40"/>
          <w:szCs w:val="40"/>
        </w:rPr>
      </w:pPr>
      <w:r w:rsidRPr="00815A50">
        <w:rPr>
          <w:rFonts w:ascii="Arial" w:hAnsi="Arial" w:cs="Arial"/>
          <w:sz w:val="40"/>
          <w:szCs w:val="40"/>
        </w:rPr>
        <w:lastRenderedPageBreak/>
        <w:t>Section 2: Development Journey</w:t>
      </w:r>
    </w:p>
    <w:p w14:paraId="302611A6"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ab/>
        <w:t xml:space="preserve">Reflecting on my Level 4 and Level 6 placements (both at Hilton </w:t>
      </w:r>
      <w:proofErr w:type="spellStart"/>
      <w:r w:rsidRPr="00815A50">
        <w:rPr>
          <w:rFonts w:ascii="Arial" w:hAnsi="Arial" w:cs="Arial"/>
          <w:sz w:val="24"/>
          <w:szCs w:val="24"/>
        </w:rPr>
        <w:t>Puckrup</w:t>
      </w:r>
      <w:proofErr w:type="spellEnd"/>
      <w:r w:rsidRPr="00815A50">
        <w:rPr>
          <w:rFonts w:ascii="Arial" w:hAnsi="Arial" w:cs="Arial"/>
          <w:sz w:val="24"/>
          <w:szCs w:val="24"/>
        </w:rPr>
        <w:t xml:space="preserve"> Hall), I noticed several similarities and differences. At Level 4, my role was more task-focused, involving tasks such as setting tables, clearing plates, and following direct instructions. At Level 6, I was given more responsibility, particularly in guiding guests and supporting supervisors during peak times. The operational challenges were similar (e.g., short staffing), but at Level 6, I became increasingly aware of how decisions affect guest satisfaction and team morale. From Food &amp; Beverage Operations (Level 4), I initially saw service as a sequence of tasks. My Level 6 experience taught me the importance of flexibility, effective communication, and situational awareness in delivering seamless service. From Sustainable Hospitality &amp; Tourism Management (Level 5), I reflected on how sustainability practices were applied in the F&amp;B department. Hilton's CSR strategies, such as reducing food waste and offering locally sourced options, were present but could be further strengthened, especially in menu design and portion control (Spence et al., 2022, p. 2626). The "greener practice" I researched at Level 5 (plant-based menu options) could be suitable at this hotel, as guests increasingly look for sustainable choices.</w:t>
      </w:r>
    </w:p>
    <w:p w14:paraId="3F7FE80B" w14:textId="77777777" w:rsidR="00815A50" w:rsidRPr="00815A50" w:rsidRDefault="00815A50" w:rsidP="00815A50">
      <w:pPr>
        <w:spacing w:line="360" w:lineRule="auto"/>
        <w:rPr>
          <w:rFonts w:ascii="Arial" w:hAnsi="Arial" w:cs="Arial"/>
          <w:sz w:val="40"/>
          <w:szCs w:val="40"/>
        </w:rPr>
      </w:pPr>
      <w:r w:rsidRPr="00815A50">
        <w:rPr>
          <w:rFonts w:ascii="Arial" w:hAnsi="Arial" w:cs="Arial"/>
          <w:sz w:val="40"/>
          <w:szCs w:val="40"/>
        </w:rPr>
        <w:t>Section 3: Service Improvement Proposal</w:t>
      </w:r>
    </w:p>
    <w:p w14:paraId="28F5C690" w14:textId="77777777" w:rsidR="00815A50" w:rsidRPr="00815A50" w:rsidRDefault="00815A50" w:rsidP="00815A50">
      <w:pPr>
        <w:spacing w:line="360" w:lineRule="auto"/>
        <w:rPr>
          <w:rFonts w:ascii="Arial" w:hAnsi="Arial" w:cs="Arial"/>
          <w:sz w:val="24"/>
          <w:szCs w:val="24"/>
        </w:rPr>
      </w:pPr>
      <w:r w:rsidRPr="00815A50">
        <w:rPr>
          <w:rFonts w:ascii="Arial" w:hAnsi="Arial" w:cs="Arial"/>
          <w:b/>
          <w:bCs/>
          <w:sz w:val="24"/>
          <w:szCs w:val="24"/>
        </w:rPr>
        <w:t>Identified Issue:</w:t>
      </w:r>
      <w:r w:rsidRPr="00815A50">
        <w:rPr>
          <w:rFonts w:ascii="Arial" w:hAnsi="Arial" w:cs="Arial"/>
          <w:sz w:val="24"/>
          <w:szCs w:val="24"/>
        </w:rPr>
        <w:t xml:space="preserve"> Guest service delays during peak dinner periods</w:t>
      </w:r>
    </w:p>
    <w:p w14:paraId="77CF509C"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During my placement, I consistently observed that dinner service would be compromised by long delays, especially during rush hours. The communication barriers between the kitchen and the staff working on the front-of-house resulted in delays, as staff members did not understand what was happening with the orders, wrong orders were delivered, and guests had to wait too long. These problems led to guest dissatisfaction, as evidenced by a significant number of complaints regarding slow service and delayed meals. This raised the level of stress among the team, and commitment was sometimes affected by the pressure to resolve the matter. My co-workers agreed that one of the common problems was the delay in services, and most of them were annoyed that it was affecting the guest experience (Wolgast et al., 2022, p .23).</w:t>
      </w:r>
    </w:p>
    <w:p w14:paraId="675469C1" w14:textId="77777777" w:rsidR="00815A50" w:rsidRPr="00815A50" w:rsidRDefault="00815A50" w:rsidP="00815A50">
      <w:pPr>
        <w:spacing w:line="360" w:lineRule="auto"/>
        <w:rPr>
          <w:rFonts w:ascii="Arial" w:hAnsi="Arial" w:cs="Arial"/>
          <w:sz w:val="24"/>
          <w:szCs w:val="24"/>
        </w:rPr>
      </w:pPr>
    </w:p>
    <w:p w14:paraId="2C69FF56" w14:textId="77777777" w:rsidR="00815A50" w:rsidRPr="00815A50" w:rsidRDefault="00815A50" w:rsidP="00815A50">
      <w:pPr>
        <w:spacing w:line="360" w:lineRule="auto"/>
        <w:rPr>
          <w:rFonts w:ascii="Arial" w:hAnsi="Arial" w:cs="Arial"/>
          <w:b/>
          <w:bCs/>
          <w:sz w:val="24"/>
          <w:szCs w:val="24"/>
        </w:rPr>
      </w:pPr>
      <w:r w:rsidRPr="00815A50">
        <w:rPr>
          <w:rFonts w:ascii="Arial" w:hAnsi="Arial" w:cs="Arial"/>
          <w:b/>
          <w:bCs/>
          <w:sz w:val="24"/>
          <w:szCs w:val="24"/>
        </w:rPr>
        <w:t>Improvement Plan:</w:t>
      </w:r>
    </w:p>
    <w:p w14:paraId="79754122" w14:textId="77777777" w:rsidR="00815A50" w:rsidRPr="00815A50" w:rsidRDefault="00815A50" w:rsidP="00815A50">
      <w:pPr>
        <w:numPr>
          <w:ilvl w:val="0"/>
          <w:numId w:val="3"/>
        </w:numPr>
        <w:spacing w:line="360" w:lineRule="auto"/>
        <w:rPr>
          <w:rFonts w:ascii="Arial" w:hAnsi="Arial" w:cs="Arial"/>
          <w:sz w:val="24"/>
          <w:szCs w:val="24"/>
        </w:rPr>
      </w:pPr>
      <w:r w:rsidRPr="00815A50">
        <w:rPr>
          <w:rFonts w:ascii="Arial" w:hAnsi="Arial" w:cs="Arial"/>
          <w:sz w:val="24"/>
          <w:szCs w:val="24"/>
        </w:rPr>
        <w:t>Implement pre-service briefing meetings before dinner service. These meetings would allow kitchen and service staff to review the menu, note large group bookings, and clarify responsibilities. This is supported by best practice in hospitality management, where pre-shift meetings improve coordination and reduce errors (Jones et al., 2002).</w:t>
      </w:r>
    </w:p>
    <w:p w14:paraId="2250ACB7" w14:textId="77777777" w:rsidR="00815A50" w:rsidRPr="00815A50" w:rsidRDefault="00815A50" w:rsidP="00815A50">
      <w:pPr>
        <w:numPr>
          <w:ilvl w:val="0"/>
          <w:numId w:val="3"/>
        </w:numPr>
        <w:spacing w:line="360" w:lineRule="auto"/>
        <w:rPr>
          <w:rFonts w:ascii="Arial" w:hAnsi="Arial" w:cs="Arial"/>
          <w:sz w:val="24"/>
          <w:szCs w:val="24"/>
        </w:rPr>
      </w:pPr>
      <w:r w:rsidRPr="00815A50">
        <w:rPr>
          <w:rFonts w:ascii="Arial" w:hAnsi="Arial" w:cs="Arial"/>
          <w:sz w:val="24"/>
          <w:szCs w:val="24"/>
        </w:rPr>
        <w:t>Introduce an order-tracking system that is visible to both kitchen and front-of-house teams. This would ensure that all team members can monitor the progress of orders in real-time, reducing confusion and enabling proactive guest updates (Shaw et al., 2021, p. 1032).</w:t>
      </w:r>
    </w:p>
    <w:p w14:paraId="0BFEA999" w14:textId="77777777" w:rsidR="00815A50" w:rsidRPr="00815A50" w:rsidRDefault="00815A50" w:rsidP="00815A50">
      <w:pPr>
        <w:numPr>
          <w:ilvl w:val="0"/>
          <w:numId w:val="3"/>
        </w:numPr>
        <w:spacing w:line="360" w:lineRule="auto"/>
        <w:rPr>
          <w:rFonts w:ascii="Arial" w:hAnsi="Arial" w:cs="Arial"/>
          <w:sz w:val="24"/>
          <w:szCs w:val="24"/>
        </w:rPr>
      </w:pPr>
      <w:r w:rsidRPr="00815A50">
        <w:rPr>
          <w:rFonts w:ascii="Arial" w:hAnsi="Arial" w:cs="Arial"/>
          <w:sz w:val="24"/>
          <w:szCs w:val="24"/>
        </w:rPr>
        <w:t>Develop a cross-training programme for junior staff. This would provide team members with a better understanding of kitchen operations, and vice versa, thereby enhancing communication and teamwork. Cross-training is recognized in the literature as a valuable tool for enhancing operational flexibility and service efficiency (Schultz et al., 2021, p. 204).</w:t>
      </w:r>
    </w:p>
    <w:p w14:paraId="43BD0023"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By addressing service delays through these steps, the department could enhance guest satisfaction while improving staff morale and operational efficiency. Performance criteria, such as order turnaround time, guest feedback scores, and error rates, can be used to monitor success (Hobson et al., 2020).</w:t>
      </w:r>
    </w:p>
    <w:p w14:paraId="44BB2956" w14:textId="77777777" w:rsidR="00815A50" w:rsidRPr="00815A50" w:rsidRDefault="00815A50" w:rsidP="00815A50">
      <w:pPr>
        <w:spacing w:line="360" w:lineRule="auto"/>
        <w:rPr>
          <w:rFonts w:ascii="Arial" w:hAnsi="Arial" w:cs="Arial"/>
          <w:sz w:val="40"/>
          <w:szCs w:val="40"/>
        </w:rPr>
      </w:pPr>
      <w:r w:rsidRPr="00815A50">
        <w:rPr>
          <w:rFonts w:ascii="Arial" w:hAnsi="Arial" w:cs="Arial"/>
          <w:sz w:val="40"/>
          <w:szCs w:val="40"/>
        </w:rPr>
        <w:t>Conclusion</w:t>
      </w:r>
    </w:p>
    <w:p w14:paraId="5B2DB44A"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ab/>
        <w:t xml:space="preserve">My Level 6 placement at Hilton </w:t>
      </w:r>
      <w:proofErr w:type="spellStart"/>
      <w:r w:rsidRPr="00815A50">
        <w:rPr>
          <w:rFonts w:ascii="Arial" w:hAnsi="Arial" w:cs="Arial"/>
          <w:sz w:val="24"/>
          <w:szCs w:val="24"/>
        </w:rPr>
        <w:t>Puckrup</w:t>
      </w:r>
      <w:proofErr w:type="spellEnd"/>
      <w:r w:rsidRPr="00815A50">
        <w:rPr>
          <w:rFonts w:ascii="Arial" w:hAnsi="Arial" w:cs="Arial"/>
          <w:sz w:val="24"/>
          <w:szCs w:val="24"/>
        </w:rPr>
        <w:t xml:space="preserve"> Hall provided me with a deeper insight into the complexity of F&amp;B operations. I achieved my learning objectives by developing my communication skills, learning to effectively manage guest expectations, and gaining a clearer understanding of supervisory responsibilities in a high-pressure environment. However, I also identified areas for further growth, especially in decision-making confidence and assertiveness. The experience demonstrated to me the importance of leadership, teamwork, and proactive service planning in delivering positive guest experiences.</w:t>
      </w:r>
    </w:p>
    <w:p w14:paraId="036A51E1"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br w:type="page"/>
      </w:r>
    </w:p>
    <w:p w14:paraId="20D3D3CC" w14:textId="77777777" w:rsidR="00815A50" w:rsidRPr="00815A50" w:rsidRDefault="00815A50" w:rsidP="00815A50">
      <w:pPr>
        <w:rPr>
          <w:rFonts w:ascii="Arial" w:hAnsi="Arial" w:cs="Arial"/>
          <w:sz w:val="40"/>
          <w:szCs w:val="40"/>
        </w:rPr>
      </w:pPr>
      <w:r w:rsidRPr="00815A50">
        <w:rPr>
          <w:rFonts w:ascii="Arial" w:hAnsi="Arial" w:cs="Arial"/>
          <w:sz w:val="40"/>
          <w:szCs w:val="40"/>
        </w:rPr>
        <w:lastRenderedPageBreak/>
        <w:t>References</w:t>
      </w:r>
    </w:p>
    <w:p w14:paraId="7970EF48" w14:textId="77777777" w:rsidR="00815A50" w:rsidRPr="00815A50" w:rsidRDefault="00815A50" w:rsidP="00815A50">
      <w:pPr>
        <w:spacing w:line="360" w:lineRule="auto"/>
        <w:rPr>
          <w:rFonts w:ascii="Arial" w:hAnsi="Arial" w:cs="Arial"/>
          <w:sz w:val="24"/>
          <w:szCs w:val="24"/>
        </w:rPr>
      </w:pPr>
      <w:bookmarkStart w:id="1" w:name="_Hlk200837575"/>
      <w:r w:rsidRPr="00815A50">
        <w:rPr>
          <w:rFonts w:ascii="Arial" w:hAnsi="Arial" w:cs="Arial"/>
          <w:sz w:val="24"/>
          <w:szCs w:val="24"/>
        </w:rPr>
        <w:t xml:space="preserve">Bennett, R., Zorbas, C., Huse, O., Peeters, A., Cameron, A.J., Sacks, G., &amp; </w:t>
      </w:r>
      <w:proofErr w:type="spellStart"/>
      <w:r w:rsidRPr="00815A50">
        <w:rPr>
          <w:rFonts w:ascii="Arial" w:hAnsi="Arial" w:cs="Arial"/>
          <w:sz w:val="24"/>
          <w:szCs w:val="24"/>
        </w:rPr>
        <w:t>Backholer</w:t>
      </w:r>
      <w:proofErr w:type="spellEnd"/>
      <w:r w:rsidRPr="00815A50">
        <w:rPr>
          <w:rFonts w:ascii="Arial" w:hAnsi="Arial" w:cs="Arial"/>
          <w:sz w:val="24"/>
          <w:szCs w:val="24"/>
        </w:rPr>
        <w:t xml:space="preserve">, K. (2020). Prevalence of healthy and unhealthy food and beverage price promotions and their potential influence on shopper purchasing behaviour: a systematic review of the literature. Obesity reviews, 21(1), p.e12948. </w:t>
      </w:r>
      <w:hyperlink r:id="rId5" w:history="1">
        <w:r w:rsidRPr="00815A50">
          <w:rPr>
            <w:rStyle w:val="Hyperlink"/>
            <w:rFonts w:ascii="Arial" w:hAnsi="Arial" w:cs="Arial"/>
            <w:sz w:val="24"/>
            <w:szCs w:val="24"/>
          </w:rPr>
          <w:t>https://doi.org/10.1111/obr.12948</w:t>
        </w:r>
      </w:hyperlink>
      <w:r w:rsidRPr="00815A50">
        <w:rPr>
          <w:rFonts w:ascii="Arial" w:hAnsi="Arial" w:cs="Arial"/>
          <w:sz w:val="24"/>
          <w:szCs w:val="24"/>
        </w:rPr>
        <w:t xml:space="preserve">   </w:t>
      </w:r>
    </w:p>
    <w:p w14:paraId="7C988381"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Fleming</w:t>
      </w:r>
      <w:r w:rsidRPr="00815A50">
        <w:rPr>
          <w:rFonts w:ascii="Cambria Math" w:hAnsi="Cambria Math" w:cs="Cambria Math"/>
          <w:sz w:val="24"/>
          <w:szCs w:val="24"/>
        </w:rPr>
        <w:t>‐</w:t>
      </w:r>
      <w:r w:rsidRPr="00815A50">
        <w:rPr>
          <w:rFonts w:ascii="Arial" w:hAnsi="Arial" w:cs="Arial"/>
          <w:sz w:val="24"/>
          <w:szCs w:val="24"/>
        </w:rPr>
        <w:t>Milici, F., Phaneuf, L., &amp; Harris, J. (2023). Prevalence of food and beverage brands in "made</w:t>
      </w:r>
      <w:r w:rsidRPr="00815A50">
        <w:rPr>
          <w:rFonts w:ascii="Cambria Math" w:hAnsi="Cambria Math" w:cs="Cambria Math"/>
          <w:sz w:val="24"/>
          <w:szCs w:val="24"/>
        </w:rPr>
        <w:t>‐</w:t>
      </w:r>
      <w:r w:rsidRPr="00815A50">
        <w:rPr>
          <w:rFonts w:ascii="Arial" w:hAnsi="Arial" w:cs="Arial"/>
          <w:sz w:val="24"/>
          <w:szCs w:val="24"/>
        </w:rPr>
        <w:t>for</w:t>
      </w:r>
      <w:r w:rsidRPr="00815A50">
        <w:rPr>
          <w:rFonts w:ascii="Cambria Math" w:hAnsi="Cambria Math" w:cs="Cambria Math"/>
          <w:sz w:val="24"/>
          <w:szCs w:val="24"/>
        </w:rPr>
        <w:t>‐</w:t>
      </w:r>
      <w:r w:rsidRPr="00815A50">
        <w:rPr>
          <w:rFonts w:ascii="Arial" w:hAnsi="Arial" w:cs="Arial"/>
          <w:sz w:val="24"/>
          <w:szCs w:val="24"/>
        </w:rPr>
        <w:t>kids" child</w:t>
      </w:r>
      <w:r w:rsidRPr="00815A50">
        <w:rPr>
          <w:rFonts w:ascii="Cambria Math" w:hAnsi="Cambria Math" w:cs="Cambria Math"/>
          <w:sz w:val="24"/>
          <w:szCs w:val="24"/>
        </w:rPr>
        <w:t>‐</w:t>
      </w:r>
      <w:r w:rsidRPr="00815A50">
        <w:rPr>
          <w:rFonts w:ascii="Arial" w:hAnsi="Arial" w:cs="Arial"/>
          <w:sz w:val="24"/>
          <w:szCs w:val="24"/>
        </w:rPr>
        <w:t xml:space="preserve">influencer YouTube videos: 2019–2020. </w:t>
      </w:r>
      <w:proofErr w:type="spellStart"/>
      <w:r w:rsidRPr="00815A50">
        <w:rPr>
          <w:rFonts w:ascii="Arial" w:hAnsi="Arial" w:cs="Arial"/>
          <w:sz w:val="24"/>
          <w:szCs w:val="24"/>
        </w:rPr>
        <w:t>Pediatric</w:t>
      </w:r>
      <w:proofErr w:type="spellEnd"/>
      <w:r w:rsidRPr="00815A50">
        <w:rPr>
          <w:rFonts w:ascii="Arial" w:hAnsi="Arial" w:cs="Arial"/>
          <w:sz w:val="24"/>
          <w:szCs w:val="24"/>
        </w:rPr>
        <w:t xml:space="preserve"> obesity, 18(4), p.e13008. </w:t>
      </w:r>
      <w:hyperlink r:id="rId6" w:history="1">
        <w:r w:rsidRPr="00815A50">
          <w:rPr>
            <w:rStyle w:val="Hyperlink"/>
            <w:rFonts w:ascii="Arial" w:hAnsi="Arial" w:cs="Arial"/>
            <w:sz w:val="24"/>
            <w:szCs w:val="24"/>
          </w:rPr>
          <w:t>https://doi.org/10.1111/ijpo.13008</w:t>
        </w:r>
      </w:hyperlink>
      <w:r w:rsidRPr="00815A50">
        <w:rPr>
          <w:rFonts w:ascii="Arial" w:hAnsi="Arial" w:cs="Arial"/>
          <w:sz w:val="24"/>
          <w:szCs w:val="24"/>
        </w:rPr>
        <w:t xml:space="preserve"> </w:t>
      </w:r>
    </w:p>
    <w:p w14:paraId="01F9F0DD"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 xml:space="preserve">Hecht, A.A., Perez, C.L., </w:t>
      </w:r>
      <w:proofErr w:type="spellStart"/>
      <w:r w:rsidRPr="00815A50">
        <w:rPr>
          <w:rFonts w:ascii="Arial" w:hAnsi="Arial" w:cs="Arial"/>
          <w:sz w:val="24"/>
          <w:szCs w:val="24"/>
        </w:rPr>
        <w:t>Polascek</w:t>
      </w:r>
      <w:proofErr w:type="spellEnd"/>
      <w:r w:rsidRPr="00815A50">
        <w:rPr>
          <w:rFonts w:ascii="Arial" w:hAnsi="Arial" w:cs="Arial"/>
          <w:sz w:val="24"/>
          <w:szCs w:val="24"/>
        </w:rPr>
        <w:t xml:space="preserve">, M., Thorndike, A.N., </w:t>
      </w:r>
      <w:proofErr w:type="spellStart"/>
      <w:r w:rsidRPr="00815A50">
        <w:rPr>
          <w:rFonts w:ascii="Arial" w:hAnsi="Arial" w:cs="Arial"/>
          <w:sz w:val="24"/>
          <w:szCs w:val="24"/>
        </w:rPr>
        <w:t>Franckle</w:t>
      </w:r>
      <w:proofErr w:type="spellEnd"/>
      <w:r w:rsidRPr="00815A50">
        <w:rPr>
          <w:rFonts w:ascii="Arial" w:hAnsi="Arial" w:cs="Arial"/>
          <w:sz w:val="24"/>
          <w:szCs w:val="24"/>
        </w:rPr>
        <w:t xml:space="preserve">, R.L. and Moran, A.J., 2020. Influence of food and beverage companies on retailer marketing strategies and consumer </w:t>
      </w:r>
      <w:proofErr w:type="spellStart"/>
      <w:r w:rsidRPr="00815A50">
        <w:rPr>
          <w:rFonts w:ascii="Arial" w:hAnsi="Arial" w:cs="Arial"/>
          <w:sz w:val="24"/>
          <w:szCs w:val="24"/>
        </w:rPr>
        <w:t>behavior</w:t>
      </w:r>
      <w:proofErr w:type="spellEnd"/>
      <w:r w:rsidRPr="00815A50">
        <w:rPr>
          <w:rFonts w:ascii="Arial" w:hAnsi="Arial" w:cs="Arial"/>
          <w:sz w:val="24"/>
          <w:szCs w:val="24"/>
        </w:rPr>
        <w:t xml:space="preserve">. International journal of environmental research and public health, 17(20), p.7381. </w:t>
      </w:r>
      <w:hyperlink r:id="rId7" w:history="1">
        <w:r w:rsidRPr="00815A50">
          <w:rPr>
            <w:rStyle w:val="Hyperlink"/>
            <w:rFonts w:ascii="Arial" w:hAnsi="Arial" w:cs="Arial"/>
            <w:sz w:val="24"/>
            <w:szCs w:val="24"/>
          </w:rPr>
          <w:t>https://doi.org/10.3390/ijerph17207381</w:t>
        </w:r>
      </w:hyperlink>
      <w:r w:rsidRPr="00815A50">
        <w:rPr>
          <w:rFonts w:ascii="Arial" w:hAnsi="Arial" w:cs="Arial"/>
          <w:sz w:val="24"/>
          <w:szCs w:val="24"/>
        </w:rPr>
        <w:t xml:space="preserve"> </w:t>
      </w:r>
    </w:p>
    <w:p w14:paraId="6C9A11A5"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 xml:space="preserve">Maia, R.G.T. and Junior, A.O.P., 2021. Eco-Efficiency of the food and beverage industry from the perspective of sensitive indicators of the water-energy-food nexus. Journal of Cleaner Production, 324, p.129283. </w:t>
      </w:r>
      <w:hyperlink r:id="rId8" w:history="1">
        <w:r w:rsidRPr="00815A50">
          <w:rPr>
            <w:rStyle w:val="Hyperlink"/>
            <w:rFonts w:ascii="Arial" w:hAnsi="Arial" w:cs="Arial"/>
            <w:sz w:val="24"/>
            <w:szCs w:val="24"/>
          </w:rPr>
          <w:t>https://doi.org/10.1016/j.jclepro.2021.129283</w:t>
        </w:r>
      </w:hyperlink>
      <w:r w:rsidRPr="00815A50">
        <w:rPr>
          <w:rFonts w:ascii="Arial" w:hAnsi="Arial" w:cs="Arial"/>
          <w:sz w:val="24"/>
          <w:szCs w:val="24"/>
        </w:rPr>
        <w:t xml:space="preserve">   </w:t>
      </w:r>
    </w:p>
    <w:p w14:paraId="6DA3CC18"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 xml:space="preserve">Munguía-Serrano, A., Tolentino-Mayo, L., Théodore, F.L. and </w:t>
      </w:r>
      <w:proofErr w:type="spellStart"/>
      <w:r w:rsidRPr="00815A50">
        <w:rPr>
          <w:rFonts w:ascii="Arial" w:hAnsi="Arial" w:cs="Arial"/>
          <w:sz w:val="24"/>
          <w:szCs w:val="24"/>
        </w:rPr>
        <w:t>Vandevijvere</w:t>
      </w:r>
      <w:proofErr w:type="spellEnd"/>
      <w:r w:rsidRPr="00815A50">
        <w:rPr>
          <w:rFonts w:ascii="Arial" w:hAnsi="Arial" w:cs="Arial"/>
          <w:sz w:val="24"/>
          <w:szCs w:val="24"/>
        </w:rPr>
        <w:t xml:space="preserve">, S., (2020). Nutritional quality of hidden food and beverage advertising directed to children: Extent and nature of product placement in Mexican television programs. International Journal of Environmental Research and Public Health, 17(9), p.3086. </w:t>
      </w:r>
      <w:hyperlink r:id="rId9" w:history="1">
        <w:r w:rsidRPr="00815A50">
          <w:rPr>
            <w:rStyle w:val="Hyperlink"/>
            <w:rFonts w:ascii="Arial" w:hAnsi="Arial" w:cs="Arial"/>
            <w:sz w:val="24"/>
            <w:szCs w:val="24"/>
          </w:rPr>
          <w:t>https://doi.org/10.3390/ijerph17093086</w:t>
        </w:r>
      </w:hyperlink>
      <w:r w:rsidRPr="00815A50">
        <w:rPr>
          <w:rFonts w:ascii="Arial" w:hAnsi="Arial" w:cs="Arial"/>
          <w:sz w:val="24"/>
          <w:szCs w:val="24"/>
        </w:rPr>
        <w:t xml:space="preserve"> </w:t>
      </w:r>
    </w:p>
    <w:p w14:paraId="3FD9ADE1"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Schultz, S., Cameron, A.J., Grigsby-Duffy, L., Robinson, E., Marshall, J., Orellana, L., &amp; Sacks, G. (2021). Availability and placement of healthy and discretionary food in Australian supermarkets by chain and level of socio-economic disadvantage. Public health nutrition, 24(2), pp.203–214.</w:t>
      </w:r>
    </w:p>
    <w:p w14:paraId="1CF05FA4"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 xml:space="preserve">Shaw, S.C., </w:t>
      </w:r>
      <w:proofErr w:type="spellStart"/>
      <w:r w:rsidRPr="00815A50">
        <w:rPr>
          <w:rFonts w:ascii="Arial" w:hAnsi="Arial" w:cs="Arial"/>
          <w:sz w:val="24"/>
          <w:szCs w:val="24"/>
        </w:rPr>
        <w:t>Ntani</w:t>
      </w:r>
      <w:proofErr w:type="spellEnd"/>
      <w:r w:rsidRPr="00815A50">
        <w:rPr>
          <w:rFonts w:ascii="Arial" w:hAnsi="Arial" w:cs="Arial"/>
          <w:sz w:val="24"/>
          <w:szCs w:val="24"/>
        </w:rPr>
        <w:t xml:space="preserve">, G., Baird, J. and Vogel, C.A., (2020). A systematic review of the influences of food store product placement on diet-related outcomes. Nutrition reviews, 78(12), pp.1030–1045. </w:t>
      </w:r>
      <w:hyperlink r:id="rId10" w:history="1">
        <w:r w:rsidRPr="00815A50">
          <w:rPr>
            <w:rStyle w:val="Hyperlink"/>
            <w:rFonts w:ascii="Arial" w:hAnsi="Arial" w:cs="Arial"/>
            <w:sz w:val="24"/>
            <w:szCs w:val="24"/>
          </w:rPr>
          <w:t>https://doi.org/10.1093/nutrit/nuaa024</w:t>
        </w:r>
      </w:hyperlink>
      <w:r w:rsidRPr="00815A50">
        <w:rPr>
          <w:rFonts w:ascii="Arial" w:hAnsi="Arial" w:cs="Arial"/>
          <w:sz w:val="24"/>
          <w:szCs w:val="24"/>
        </w:rPr>
        <w:t xml:space="preserve"> </w:t>
      </w:r>
    </w:p>
    <w:p w14:paraId="4C91D452"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lastRenderedPageBreak/>
        <w:t xml:space="preserve">Spence, S., Matthews, J.N., McSweeney, L., Adamson, A.J. &amp; Bradley, J. (2022). The effect of a product placement intervention on pupils' food and drink purchases in two secondary schools: an exploratory study. Nutrients, 14(13), p.2626. </w:t>
      </w:r>
      <w:hyperlink r:id="rId11" w:history="1">
        <w:r w:rsidRPr="00815A50">
          <w:rPr>
            <w:rStyle w:val="Hyperlink"/>
            <w:rFonts w:ascii="Arial" w:hAnsi="Arial" w:cs="Arial"/>
            <w:sz w:val="24"/>
            <w:szCs w:val="24"/>
          </w:rPr>
          <w:t>https://doi.org/10.3390/nu14132626</w:t>
        </w:r>
      </w:hyperlink>
      <w:r w:rsidRPr="00815A50">
        <w:rPr>
          <w:rFonts w:ascii="Arial" w:hAnsi="Arial" w:cs="Arial"/>
          <w:sz w:val="24"/>
          <w:szCs w:val="24"/>
        </w:rPr>
        <w:t xml:space="preserve"> </w:t>
      </w:r>
    </w:p>
    <w:p w14:paraId="118B1B0B"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 xml:space="preserve">Trapp, G., Hooper, P., Thornton, L.E., Kennington, K., Sartori, A., Wickens, N., &amp; Billingham, W. (2021). Exposure to unhealthy food and beverage advertising during the school commute in Australia. J </w:t>
      </w:r>
      <w:proofErr w:type="spellStart"/>
      <w:r w:rsidRPr="00815A50">
        <w:rPr>
          <w:rFonts w:ascii="Arial" w:hAnsi="Arial" w:cs="Arial"/>
          <w:sz w:val="24"/>
          <w:szCs w:val="24"/>
        </w:rPr>
        <w:t>Epidemiol</w:t>
      </w:r>
      <w:proofErr w:type="spellEnd"/>
      <w:r w:rsidRPr="00815A50">
        <w:rPr>
          <w:rFonts w:ascii="Arial" w:hAnsi="Arial" w:cs="Arial"/>
          <w:sz w:val="24"/>
          <w:szCs w:val="24"/>
        </w:rPr>
        <w:t xml:space="preserve"> Community Health, 75(12), pp.1232–1235. </w:t>
      </w:r>
      <w:hyperlink r:id="rId12" w:history="1">
        <w:r w:rsidRPr="00815A50">
          <w:rPr>
            <w:rStyle w:val="Hyperlink"/>
            <w:rFonts w:ascii="Arial" w:hAnsi="Arial" w:cs="Arial"/>
            <w:sz w:val="24"/>
            <w:szCs w:val="24"/>
          </w:rPr>
          <w:t>https://jech.bmj.com/content/75/12/1232.abstract</w:t>
        </w:r>
      </w:hyperlink>
      <w:r w:rsidRPr="00815A50">
        <w:rPr>
          <w:rFonts w:ascii="Arial" w:hAnsi="Arial" w:cs="Arial"/>
          <w:sz w:val="24"/>
          <w:szCs w:val="24"/>
        </w:rPr>
        <w:t xml:space="preserve"> </w:t>
      </w:r>
    </w:p>
    <w:p w14:paraId="209932E4" w14:textId="77777777" w:rsidR="00815A50" w:rsidRPr="00815A50" w:rsidRDefault="00815A50" w:rsidP="00815A50">
      <w:pPr>
        <w:spacing w:line="360" w:lineRule="auto"/>
        <w:rPr>
          <w:rFonts w:ascii="Arial" w:hAnsi="Arial" w:cs="Arial"/>
          <w:sz w:val="24"/>
          <w:szCs w:val="24"/>
        </w:rPr>
      </w:pPr>
      <w:r w:rsidRPr="00815A50">
        <w:rPr>
          <w:rFonts w:ascii="Arial" w:hAnsi="Arial" w:cs="Arial"/>
          <w:sz w:val="24"/>
          <w:szCs w:val="24"/>
        </w:rPr>
        <w:t xml:space="preserve">Wolgast, H., Halverson, M.M., Kennedy, N., Gallard, I., &amp; </w:t>
      </w:r>
      <w:proofErr w:type="spellStart"/>
      <w:r w:rsidRPr="00815A50">
        <w:rPr>
          <w:rFonts w:ascii="Arial" w:hAnsi="Arial" w:cs="Arial"/>
          <w:sz w:val="24"/>
          <w:szCs w:val="24"/>
        </w:rPr>
        <w:t>Karpyn</w:t>
      </w:r>
      <w:proofErr w:type="spellEnd"/>
      <w:r w:rsidRPr="00815A50">
        <w:rPr>
          <w:rFonts w:ascii="Arial" w:hAnsi="Arial" w:cs="Arial"/>
          <w:sz w:val="24"/>
          <w:szCs w:val="24"/>
        </w:rPr>
        <w:t xml:space="preserve">, A. (2022). Encouraging healthier food and beverage purchasing and consumption: A review of interventions within grocery retail settings. International Journal of Environmental Research and Public Health, 19(23), p.16107. </w:t>
      </w:r>
      <w:hyperlink r:id="rId13" w:history="1">
        <w:r w:rsidRPr="00815A50">
          <w:rPr>
            <w:rStyle w:val="Hyperlink"/>
            <w:rFonts w:ascii="Arial" w:hAnsi="Arial" w:cs="Arial"/>
            <w:sz w:val="24"/>
            <w:szCs w:val="24"/>
          </w:rPr>
          <w:t>https://doi.org/10.3390/ijerph192316107</w:t>
        </w:r>
      </w:hyperlink>
      <w:bookmarkEnd w:id="1"/>
    </w:p>
    <w:bookmarkEnd w:id="0"/>
    <w:p w14:paraId="304209A7" w14:textId="77777777" w:rsidR="00815A50" w:rsidRPr="00815A50" w:rsidRDefault="00815A50" w:rsidP="00815A50">
      <w:pPr>
        <w:rPr>
          <w:rFonts w:ascii="Arial" w:hAnsi="Arial" w:cs="Arial"/>
        </w:rPr>
      </w:pPr>
    </w:p>
    <w:p w14:paraId="707927AD" w14:textId="77777777" w:rsidR="00815A50" w:rsidRPr="00815A50" w:rsidRDefault="00815A50" w:rsidP="00815A50">
      <w:pPr>
        <w:rPr>
          <w:rFonts w:ascii="Arial" w:hAnsi="Arial" w:cs="Arial"/>
        </w:rPr>
      </w:pPr>
    </w:p>
    <w:p w14:paraId="1EC53A2B" w14:textId="3A6E4D18" w:rsidR="00634DA5" w:rsidRPr="00815A50" w:rsidRDefault="00634DA5">
      <w:pPr>
        <w:rPr>
          <w:rFonts w:ascii="Arial" w:hAnsi="Arial" w:cs="Arial"/>
        </w:rPr>
      </w:pPr>
    </w:p>
    <w:p w14:paraId="5B1A77E9" w14:textId="77777777" w:rsidR="00815A50" w:rsidRPr="00815A50" w:rsidRDefault="00815A50">
      <w:pPr>
        <w:rPr>
          <w:rFonts w:ascii="Arial" w:hAnsi="Arial" w:cs="Arial"/>
        </w:rPr>
      </w:pPr>
    </w:p>
    <w:sectPr w:rsidR="00815A50" w:rsidRPr="00815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366B73"/>
    <w:multiLevelType w:val="hybridMultilevel"/>
    <w:tmpl w:val="DEC60D4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1" w15:restartNumberingAfterBreak="0">
    <w:nsid w:val="59A00F97"/>
    <w:multiLevelType w:val="hybridMultilevel"/>
    <w:tmpl w:val="A17488E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2" w15:restartNumberingAfterBreak="0">
    <w:nsid w:val="711210D0"/>
    <w:multiLevelType w:val="hybridMultilevel"/>
    <w:tmpl w:val="4ECC700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num w:numId="1" w16cid:durableId="2134707584">
    <w:abstractNumId w:val="2"/>
    <w:lvlOverride w:ilvl="0"/>
    <w:lvlOverride w:ilvl="1"/>
    <w:lvlOverride w:ilvl="2"/>
    <w:lvlOverride w:ilvl="3"/>
    <w:lvlOverride w:ilvl="4"/>
    <w:lvlOverride w:ilvl="5"/>
    <w:lvlOverride w:ilvl="6"/>
    <w:lvlOverride w:ilvl="7"/>
    <w:lvlOverride w:ilvl="8"/>
  </w:num>
  <w:num w:numId="2" w16cid:durableId="479155624">
    <w:abstractNumId w:val="0"/>
    <w:lvlOverride w:ilvl="0"/>
    <w:lvlOverride w:ilvl="1"/>
    <w:lvlOverride w:ilvl="2"/>
    <w:lvlOverride w:ilvl="3"/>
    <w:lvlOverride w:ilvl="4"/>
    <w:lvlOverride w:ilvl="5"/>
    <w:lvlOverride w:ilvl="6"/>
    <w:lvlOverride w:ilvl="7"/>
    <w:lvlOverride w:ilvl="8"/>
  </w:num>
  <w:num w:numId="3" w16cid:durableId="189504693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808"/>
    <w:rsid w:val="0016344B"/>
    <w:rsid w:val="00555808"/>
    <w:rsid w:val="00634DA5"/>
    <w:rsid w:val="00815A50"/>
    <w:rsid w:val="009176D4"/>
    <w:rsid w:val="00921210"/>
    <w:rsid w:val="00CA6D59"/>
    <w:rsid w:val="00E35C44"/>
    <w:rsid w:val="00F57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CC883"/>
  <w15:chartTrackingRefBased/>
  <w15:docId w15:val="{2693C9C2-0C0C-4BB6-B025-92FC809A7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8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8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8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8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8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8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8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8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8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8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8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8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8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8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8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8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8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808"/>
    <w:rPr>
      <w:rFonts w:eastAsiaTheme="majorEastAsia" w:cstheme="majorBidi"/>
      <w:color w:val="272727" w:themeColor="text1" w:themeTint="D8"/>
    </w:rPr>
  </w:style>
  <w:style w:type="paragraph" w:styleId="Title">
    <w:name w:val="Title"/>
    <w:basedOn w:val="Normal"/>
    <w:next w:val="Normal"/>
    <w:link w:val="TitleChar"/>
    <w:uiPriority w:val="10"/>
    <w:qFormat/>
    <w:rsid w:val="00555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8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8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8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808"/>
    <w:pPr>
      <w:spacing w:before="160"/>
      <w:jc w:val="center"/>
    </w:pPr>
    <w:rPr>
      <w:i/>
      <w:iCs/>
      <w:color w:val="404040" w:themeColor="text1" w:themeTint="BF"/>
    </w:rPr>
  </w:style>
  <w:style w:type="character" w:customStyle="1" w:styleId="QuoteChar">
    <w:name w:val="Quote Char"/>
    <w:basedOn w:val="DefaultParagraphFont"/>
    <w:link w:val="Quote"/>
    <w:uiPriority w:val="29"/>
    <w:rsid w:val="00555808"/>
    <w:rPr>
      <w:i/>
      <w:iCs/>
      <w:color w:val="404040" w:themeColor="text1" w:themeTint="BF"/>
    </w:rPr>
  </w:style>
  <w:style w:type="paragraph" w:styleId="ListParagraph">
    <w:name w:val="List Paragraph"/>
    <w:basedOn w:val="Normal"/>
    <w:uiPriority w:val="34"/>
    <w:qFormat/>
    <w:rsid w:val="00555808"/>
    <w:pPr>
      <w:ind w:left="720"/>
      <w:contextualSpacing/>
    </w:pPr>
  </w:style>
  <w:style w:type="character" w:styleId="IntenseEmphasis">
    <w:name w:val="Intense Emphasis"/>
    <w:basedOn w:val="DefaultParagraphFont"/>
    <w:uiPriority w:val="21"/>
    <w:qFormat/>
    <w:rsid w:val="00555808"/>
    <w:rPr>
      <w:i/>
      <w:iCs/>
      <w:color w:val="0F4761" w:themeColor="accent1" w:themeShade="BF"/>
    </w:rPr>
  </w:style>
  <w:style w:type="paragraph" w:styleId="IntenseQuote">
    <w:name w:val="Intense Quote"/>
    <w:basedOn w:val="Normal"/>
    <w:next w:val="Normal"/>
    <w:link w:val="IntenseQuoteChar"/>
    <w:uiPriority w:val="30"/>
    <w:qFormat/>
    <w:rsid w:val="005558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808"/>
    <w:rPr>
      <w:i/>
      <w:iCs/>
      <w:color w:val="0F4761" w:themeColor="accent1" w:themeShade="BF"/>
    </w:rPr>
  </w:style>
  <w:style w:type="character" w:styleId="IntenseReference">
    <w:name w:val="Intense Reference"/>
    <w:basedOn w:val="DefaultParagraphFont"/>
    <w:uiPriority w:val="32"/>
    <w:qFormat/>
    <w:rsid w:val="00555808"/>
    <w:rPr>
      <w:b/>
      <w:bCs/>
      <w:smallCaps/>
      <w:color w:val="0F4761" w:themeColor="accent1" w:themeShade="BF"/>
      <w:spacing w:val="5"/>
    </w:rPr>
  </w:style>
  <w:style w:type="character" w:styleId="Hyperlink">
    <w:name w:val="Hyperlink"/>
    <w:basedOn w:val="DefaultParagraphFont"/>
    <w:uiPriority w:val="99"/>
    <w:unhideWhenUsed/>
    <w:rsid w:val="00815A50"/>
    <w:rPr>
      <w:color w:val="467886" w:themeColor="hyperlink"/>
      <w:u w:val="single"/>
    </w:rPr>
  </w:style>
  <w:style w:type="character" w:styleId="UnresolvedMention">
    <w:name w:val="Unresolved Mention"/>
    <w:basedOn w:val="DefaultParagraphFont"/>
    <w:uiPriority w:val="99"/>
    <w:semiHidden/>
    <w:unhideWhenUsed/>
    <w:rsid w:val="00815A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333628">
      <w:bodyDiv w:val="1"/>
      <w:marLeft w:val="0"/>
      <w:marRight w:val="0"/>
      <w:marTop w:val="0"/>
      <w:marBottom w:val="0"/>
      <w:divBdr>
        <w:top w:val="none" w:sz="0" w:space="0" w:color="auto"/>
        <w:left w:val="none" w:sz="0" w:space="0" w:color="auto"/>
        <w:bottom w:val="none" w:sz="0" w:space="0" w:color="auto"/>
        <w:right w:val="none" w:sz="0" w:space="0" w:color="auto"/>
      </w:divBdr>
    </w:div>
    <w:div w:id="1146698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21.129283" TargetMode="External"/><Relationship Id="rId13" Type="http://schemas.openxmlformats.org/officeDocument/2006/relationships/hyperlink" Target="https://doi.org/10.3390/ijerph192316107" TargetMode="External"/><Relationship Id="rId3" Type="http://schemas.openxmlformats.org/officeDocument/2006/relationships/settings" Target="settings.xml"/><Relationship Id="rId7" Type="http://schemas.openxmlformats.org/officeDocument/2006/relationships/hyperlink" Target="https://doi.org/10.3390/ijerph17207381" TargetMode="External"/><Relationship Id="rId12" Type="http://schemas.openxmlformats.org/officeDocument/2006/relationships/hyperlink" Target="https://jech.bmj.com/content/75/12/1232.abstr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1/ijpo.13008" TargetMode="External"/><Relationship Id="rId11" Type="http://schemas.openxmlformats.org/officeDocument/2006/relationships/hyperlink" Target="https://doi.org/10.3390/nu14132626" TargetMode="External"/><Relationship Id="rId5" Type="http://schemas.openxmlformats.org/officeDocument/2006/relationships/hyperlink" Target="https://doi.org/10.1111/obr.12948" TargetMode="External"/><Relationship Id="rId15" Type="http://schemas.openxmlformats.org/officeDocument/2006/relationships/theme" Target="theme/theme1.xml"/><Relationship Id="rId10" Type="http://schemas.openxmlformats.org/officeDocument/2006/relationships/hyperlink" Target="https://doi.org/10.1093/nutrit/nuaa024" TargetMode="External"/><Relationship Id="rId4" Type="http://schemas.openxmlformats.org/officeDocument/2006/relationships/webSettings" Target="webSettings.xml"/><Relationship Id="rId9" Type="http://schemas.openxmlformats.org/officeDocument/2006/relationships/hyperlink" Target="https://doi.org/10.3390/ijerph1709308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3</cp:revision>
  <dcterms:created xsi:type="dcterms:W3CDTF">2025-06-15T19:48:00Z</dcterms:created>
  <dcterms:modified xsi:type="dcterms:W3CDTF">2025-06-16T16:17:00Z</dcterms:modified>
</cp:coreProperties>
</file>