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AB3325" w14:textId="77777777" w:rsidR="00557A9B" w:rsidRDefault="00557A9B" w:rsidP="00DB2BE6">
      <w:pPr>
        <w:spacing w:line="360" w:lineRule="auto"/>
        <w:rPr>
          <w:rFonts w:ascii="Arial" w:hAnsi="Arial" w:cs="Arial"/>
          <w:b/>
          <w:bCs/>
          <w:sz w:val="22"/>
          <w:szCs w:val="22"/>
        </w:rPr>
      </w:pPr>
      <w:r>
        <w:rPr>
          <w:noProof/>
        </w:rPr>
        <w:drawing>
          <wp:inline distT="0" distB="0" distL="0" distR="0" wp14:anchorId="54DCA34A" wp14:editId="46C07D96">
            <wp:extent cx="5996940" cy="1524000"/>
            <wp:effectExtent l="0" t="0" r="3810" b="0"/>
            <wp:docPr id="407055079" name="Picture 1" descr="Logo for University of Wales Trinity Saint David featuring a yellow and black sh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for University of Wales Trinity Saint David featuring a yellow and black shiel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59939" cy="1540010"/>
                    </a:xfrm>
                    <a:prstGeom prst="rect">
                      <a:avLst/>
                    </a:prstGeom>
                    <a:noFill/>
                    <a:ln>
                      <a:noFill/>
                    </a:ln>
                  </pic:spPr>
                </pic:pic>
              </a:graphicData>
            </a:graphic>
          </wp:inline>
        </w:drawing>
      </w:r>
    </w:p>
    <w:p w14:paraId="6A20BE69" w14:textId="77777777" w:rsidR="00557A9B" w:rsidRDefault="00557A9B" w:rsidP="00DB2BE6">
      <w:pPr>
        <w:spacing w:line="360" w:lineRule="auto"/>
        <w:rPr>
          <w:rFonts w:ascii="Arial" w:hAnsi="Arial" w:cs="Arial"/>
          <w:b/>
          <w:bCs/>
          <w:sz w:val="22"/>
          <w:szCs w:val="22"/>
        </w:rPr>
      </w:pPr>
    </w:p>
    <w:p w14:paraId="55E781F0" w14:textId="20BDA069" w:rsidR="00170F24" w:rsidRPr="00557A9B" w:rsidRDefault="00557A9B" w:rsidP="00DB2BE6">
      <w:pPr>
        <w:spacing w:line="360" w:lineRule="auto"/>
        <w:rPr>
          <w:rFonts w:ascii="Arial" w:hAnsi="Arial" w:cs="Arial"/>
          <w:b/>
          <w:bCs/>
          <w:color w:val="833C0B" w:themeColor="accent2" w:themeShade="80"/>
          <w:sz w:val="32"/>
          <w:szCs w:val="32"/>
        </w:rPr>
      </w:pPr>
      <w:r w:rsidRPr="00557A9B">
        <w:rPr>
          <w:rFonts w:ascii="Arial" w:hAnsi="Arial" w:cs="Arial"/>
          <w:b/>
          <w:bCs/>
          <w:color w:val="833C0B" w:themeColor="accent2" w:themeShade="80"/>
          <w:sz w:val="32"/>
          <w:szCs w:val="32"/>
        </w:rPr>
        <w:t xml:space="preserve"> </w:t>
      </w:r>
      <w:r>
        <w:rPr>
          <w:rFonts w:ascii="Arial" w:hAnsi="Arial" w:cs="Arial"/>
          <w:b/>
          <w:bCs/>
          <w:color w:val="833C0B" w:themeColor="accent2" w:themeShade="80"/>
          <w:sz w:val="32"/>
          <w:szCs w:val="32"/>
        </w:rPr>
        <w:t xml:space="preserve">          </w:t>
      </w:r>
      <w:r w:rsidR="00170F24" w:rsidRPr="008D4653">
        <w:rPr>
          <w:rFonts w:ascii="Arial" w:hAnsi="Arial" w:cs="Arial"/>
          <w:b/>
          <w:bCs/>
          <w:color w:val="833C0B" w:themeColor="accent2" w:themeShade="80"/>
          <w:sz w:val="32"/>
          <w:szCs w:val="32"/>
          <w:highlight w:val="lightGray"/>
        </w:rPr>
        <w:t>PATIENT SAFETY DIGITALISATION AT NHS DIGITAL</w:t>
      </w:r>
    </w:p>
    <w:p w14:paraId="7691D529" w14:textId="58E44391" w:rsidR="00170F24" w:rsidRPr="008D4653" w:rsidRDefault="00557A9B" w:rsidP="00170F24">
      <w:pPr>
        <w:jc w:val="center"/>
        <w:rPr>
          <w:rFonts w:ascii="Arial" w:hAnsi="Arial" w:cs="Arial"/>
          <w:b/>
          <w:bCs/>
          <w:sz w:val="28"/>
          <w:szCs w:val="28"/>
        </w:rPr>
      </w:pPr>
      <w:r>
        <w:rPr>
          <w:rFonts w:ascii="Arial" w:hAnsi="Arial" w:cs="Arial"/>
          <w:sz w:val="22"/>
          <w:szCs w:val="22"/>
        </w:rPr>
        <w:t xml:space="preserve"> </w:t>
      </w:r>
      <w:r w:rsidRPr="008D4653">
        <w:rPr>
          <w:rFonts w:ascii="Arial" w:hAnsi="Arial" w:cs="Arial"/>
          <w:b/>
          <w:bCs/>
          <w:sz w:val="28"/>
          <w:szCs w:val="28"/>
        </w:rPr>
        <w:t xml:space="preserve">Student </w:t>
      </w:r>
      <w:r w:rsidR="00170F24" w:rsidRPr="008D4653">
        <w:rPr>
          <w:rFonts w:ascii="Arial" w:hAnsi="Arial" w:cs="Arial"/>
          <w:b/>
          <w:bCs/>
          <w:sz w:val="28"/>
          <w:szCs w:val="28"/>
        </w:rPr>
        <w:t>Name</w:t>
      </w:r>
      <w:r w:rsidRPr="008D4653">
        <w:rPr>
          <w:rFonts w:ascii="Arial" w:hAnsi="Arial" w:cs="Arial"/>
          <w:b/>
          <w:bCs/>
          <w:sz w:val="28"/>
          <w:szCs w:val="28"/>
        </w:rPr>
        <w:t xml:space="preserve">: </w:t>
      </w:r>
      <w:proofErr w:type="spellStart"/>
      <w:r w:rsidRPr="008D4653">
        <w:rPr>
          <w:rFonts w:ascii="Arial" w:hAnsi="Arial" w:cs="Arial"/>
          <w:b/>
          <w:bCs/>
          <w:sz w:val="28"/>
          <w:szCs w:val="28"/>
        </w:rPr>
        <w:t>Bhumikaben</w:t>
      </w:r>
      <w:proofErr w:type="spellEnd"/>
      <w:r w:rsidRPr="008D4653">
        <w:rPr>
          <w:rFonts w:ascii="Arial" w:hAnsi="Arial" w:cs="Arial"/>
          <w:b/>
          <w:bCs/>
          <w:sz w:val="28"/>
          <w:szCs w:val="28"/>
        </w:rPr>
        <w:t xml:space="preserve"> </w:t>
      </w:r>
      <w:proofErr w:type="spellStart"/>
      <w:r w:rsidRPr="008D4653">
        <w:rPr>
          <w:rFonts w:ascii="Arial" w:hAnsi="Arial" w:cs="Arial"/>
          <w:b/>
          <w:bCs/>
          <w:sz w:val="28"/>
          <w:szCs w:val="28"/>
        </w:rPr>
        <w:t>Rajubhai</w:t>
      </w:r>
      <w:proofErr w:type="spellEnd"/>
      <w:r w:rsidRPr="008D4653">
        <w:rPr>
          <w:rFonts w:ascii="Arial" w:hAnsi="Arial" w:cs="Arial"/>
          <w:b/>
          <w:bCs/>
          <w:sz w:val="28"/>
          <w:szCs w:val="28"/>
        </w:rPr>
        <w:t xml:space="preserve"> Patel</w:t>
      </w:r>
    </w:p>
    <w:p w14:paraId="2974CE6E" w14:textId="7FEABFBB" w:rsidR="00170F24" w:rsidRPr="008D4653" w:rsidRDefault="00557A9B" w:rsidP="00170F24">
      <w:pPr>
        <w:jc w:val="center"/>
        <w:rPr>
          <w:rFonts w:ascii="Arial" w:hAnsi="Arial" w:cs="Arial"/>
          <w:b/>
          <w:bCs/>
          <w:sz w:val="28"/>
          <w:szCs w:val="28"/>
        </w:rPr>
      </w:pPr>
      <w:r w:rsidRPr="008D4653">
        <w:rPr>
          <w:rFonts w:ascii="Arial" w:hAnsi="Arial" w:cs="Arial"/>
          <w:b/>
          <w:bCs/>
          <w:sz w:val="28"/>
          <w:szCs w:val="28"/>
        </w:rPr>
        <w:t>Student Id: 2520143</w:t>
      </w:r>
    </w:p>
    <w:p w14:paraId="674446EA" w14:textId="336957EA" w:rsidR="00170F24" w:rsidRPr="008D4653" w:rsidRDefault="00557A9B" w:rsidP="00557A9B">
      <w:pPr>
        <w:jc w:val="center"/>
        <w:rPr>
          <w:rFonts w:ascii="Arial" w:hAnsi="Arial" w:cs="Arial"/>
          <w:b/>
          <w:bCs/>
          <w:sz w:val="28"/>
          <w:szCs w:val="28"/>
        </w:rPr>
      </w:pPr>
      <w:r w:rsidRPr="008D4653">
        <w:rPr>
          <w:rFonts w:ascii="Arial" w:hAnsi="Arial" w:cs="Arial"/>
          <w:b/>
          <w:bCs/>
          <w:sz w:val="28"/>
          <w:szCs w:val="28"/>
        </w:rPr>
        <w:t>Lecturer: Dr. Fahad khan</w:t>
      </w:r>
    </w:p>
    <w:p w14:paraId="3059D8E8" w14:textId="7F410D07" w:rsidR="00170F24" w:rsidRPr="008D4653" w:rsidRDefault="00557A9B" w:rsidP="00170F24">
      <w:pPr>
        <w:jc w:val="center"/>
        <w:rPr>
          <w:rFonts w:ascii="Arial" w:hAnsi="Arial" w:cs="Arial"/>
          <w:b/>
          <w:bCs/>
          <w:sz w:val="28"/>
          <w:szCs w:val="28"/>
        </w:rPr>
      </w:pPr>
      <w:r w:rsidRPr="008D4653">
        <w:rPr>
          <w:rFonts w:ascii="Arial" w:hAnsi="Arial" w:cs="Arial"/>
          <w:b/>
          <w:bCs/>
          <w:sz w:val="28"/>
          <w:szCs w:val="28"/>
        </w:rPr>
        <w:t xml:space="preserve">MSC PUBLIC HEALTH AND SOCIAL CARE IN PRACTICE </w:t>
      </w:r>
    </w:p>
    <w:p w14:paraId="1BE802E4" w14:textId="7B75BFC8" w:rsidR="00557A9B" w:rsidRPr="008D4653" w:rsidRDefault="00557A9B" w:rsidP="00557A9B">
      <w:pPr>
        <w:jc w:val="center"/>
        <w:rPr>
          <w:rFonts w:ascii="Arial" w:hAnsi="Arial" w:cs="Arial"/>
          <w:b/>
          <w:bCs/>
          <w:sz w:val="28"/>
          <w:szCs w:val="28"/>
        </w:rPr>
      </w:pPr>
      <w:r w:rsidRPr="008D4653">
        <w:rPr>
          <w:rFonts w:ascii="Arial" w:hAnsi="Arial" w:cs="Arial"/>
          <w:b/>
          <w:bCs/>
          <w:sz w:val="28"/>
          <w:szCs w:val="28"/>
        </w:rPr>
        <w:t xml:space="preserve"> </w:t>
      </w:r>
      <w:r w:rsidRPr="008D4653">
        <w:rPr>
          <w:rFonts w:ascii="Arial" w:hAnsi="Arial" w:cs="Arial"/>
          <w:b/>
          <w:bCs/>
          <w:sz w:val="28"/>
          <w:szCs w:val="28"/>
        </w:rPr>
        <w:t>Health Care System Organisation and Leadership</w:t>
      </w:r>
    </w:p>
    <w:p w14:paraId="6C2C23C5" w14:textId="77777777" w:rsidR="00557A9B" w:rsidRPr="00557A9B" w:rsidRDefault="00557A9B" w:rsidP="00557A9B">
      <w:pPr>
        <w:jc w:val="center"/>
        <w:rPr>
          <w:rFonts w:ascii="Arial" w:hAnsi="Arial" w:cs="Arial"/>
          <w:b/>
          <w:bCs/>
          <w:sz w:val="28"/>
          <w:szCs w:val="28"/>
        </w:rPr>
      </w:pPr>
      <w:r w:rsidRPr="00557A9B">
        <w:rPr>
          <w:rFonts w:ascii="Arial" w:hAnsi="Arial" w:cs="Arial"/>
          <w:b/>
          <w:bCs/>
          <w:sz w:val="28"/>
          <w:szCs w:val="28"/>
        </w:rPr>
        <w:t>LCHS7002</w:t>
      </w:r>
    </w:p>
    <w:p w14:paraId="28C9415C" w14:textId="7D91F787" w:rsidR="00557A9B" w:rsidRPr="008D4653" w:rsidRDefault="008D4653" w:rsidP="00170F24">
      <w:pPr>
        <w:jc w:val="center"/>
        <w:rPr>
          <w:rFonts w:ascii="Arial" w:hAnsi="Arial" w:cs="Arial"/>
          <w:b/>
          <w:bCs/>
          <w:sz w:val="28"/>
          <w:szCs w:val="28"/>
        </w:rPr>
      </w:pPr>
      <w:r w:rsidRPr="008D4653">
        <w:rPr>
          <w:rFonts w:ascii="Arial" w:hAnsi="Arial" w:cs="Arial"/>
          <w:b/>
          <w:bCs/>
          <w:sz w:val="28"/>
          <w:szCs w:val="28"/>
        </w:rPr>
        <w:t>Case study analysis</w:t>
      </w:r>
    </w:p>
    <w:p w14:paraId="4DE8F528" w14:textId="498F5F5D" w:rsidR="009F6A1A" w:rsidRPr="00DB2BE6" w:rsidRDefault="00170F24" w:rsidP="00DB2BE6">
      <w:pPr>
        <w:rPr>
          <w:b/>
          <w:bCs/>
          <w:sz w:val="22"/>
          <w:szCs w:val="22"/>
        </w:rPr>
      </w:pPr>
      <w:r w:rsidRPr="008D4653">
        <w:rPr>
          <w:b/>
          <w:bCs/>
          <w:sz w:val="28"/>
          <w:szCs w:val="28"/>
        </w:rPr>
        <w:br w:type="page"/>
      </w:r>
      <w:r w:rsidR="009F6A1A" w:rsidRPr="008B2B84">
        <w:rPr>
          <w:rFonts w:ascii="Arial" w:hAnsi="Arial" w:cs="Arial"/>
          <w:b/>
          <w:bCs/>
          <w:sz w:val="22"/>
          <w:szCs w:val="22"/>
        </w:rPr>
        <w:lastRenderedPageBreak/>
        <w:t xml:space="preserve"> PATIENT SAFETY DIGITALISATION AT NHS DIGITAL</w:t>
      </w:r>
    </w:p>
    <w:p w14:paraId="7711E15D" w14:textId="77777777" w:rsidR="001F6E79" w:rsidRPr="001F6E79" w:rsidRDefault="008B2B84" w:rsidP="001F6E79">
      <w:pPr>
        <w:spacing w:after="0" w:line="360" w:lineRule="auto"/>
        <w:contextualSpacing/>
        <w:jc w:val="both"/>
        <w:rPr>
          <w:rFonts w:ascii="Arial" w:hAnsi="Arial" w:cs="Arial"/>
          <w:sz w:val="22"/>
          <w:szCs w:val="22"/>
        </w:rPr>
      </w:pPr>
      <w:r w:rsidRPr="008B2B84">
        <w:rPr>
          <w:rFonts w:ascii="Arial" w:hAnsi="Arial" w:cs="Arial"/>
          <w:b/>
          <w:bCs/>
          <w:sz w:val="22"/>
          <w:szCs w:val="22"/>
          <w:lang w:val="en-US"/>
        </w:rPr>
        <w:t>1.Introduction</w:t>
      </w:r>
      <w:r w:rsidRPr="008B2B84">
        <w:rPr>
          <w:rFonts w:ascii="Arial" w:hAnsi="Arial" w:cs="Arial"/>
          <w:sz w:val="22"/>
          <w:szCs w:val="22"/>
          <w:lang w:val="en-US"/>
        </w:rPr>
        <w:br/>
        <w:t>The NHS Digital is undergoing one of the major transformations owing to the high demand for digital solutions to improve patient safety, care coordination, and efficiency in the healthcare provision (Ahmed and Rizvi, 2025). With the assistance of efficient digital tools, including electronic health records (EHRs) and interoperable platforms, medication errors, misdiagnoses, and clinical outcomes could be minimized more effectively (Akhtar et al., 2022; Alotaibi and Federico, 2017). The proper implementation of these technologies in the sphere of health care delivery is a reliable element of patient safety as one of the ultimate goals of health care (Alami et al., 2017).</w:t>
      </w:r>
      <w:r>
        <w:rPr>
          <w:rFonts w:ascii="Arial" w:hAnsi="Arial" w:cs="Arial"/>
          <w:sz w:val="22"/>
          <w:szCs w:val="22"/>
          <w:lang w:val="en-US"/>
        </w:rPr>
        <w:t xml:space="preserve"> </w:t>
      </w:r>
      <w:r w:rsidRPr="008B2B84">
        <w:rPr>
          <w:rFonts w:ascii="Arial" w:hAnsi="Arial" w:cs="Arial"/>
          <w:sz w:val="22"/>
          <w:szCs w:val="22"/>
          <w:lang w:val="en-US"/>
        </w:rPr>
        <w:t xml:space="preserve">Leadership is essential to the activities of digital transformation, and it may be defined as the ability to impact and influence people to achieve common goals, plus provide a supportive environment (West et al., 2015). The leadership at NHS Digital is efficient at ensuring the safe adoption of technologies, motivating the staff, and achieving patient-centered outcomes (Allcock et al., 2024). The type of governance, including centralization (the power is centralized at an upper level of the organization) and decentralization (the power is decentralized to the local units), also has an effect on the adoption of the digital health solutions in the hospitals of different regions (The King’s Fund, 2022; Alotaibi, Wilson &amp; Traynor, 2025). The current report examines the field of leadership, as applied to NHS Digital, in terms of the relevant concepts, including the Great Man, Trait, Behavioral, and Situational theories, and the influence of the styles of leadership on decision-making and the process of managing the crisis (West et al., 2015). Implementation and adoption of digital systems necessitate the application of an appropriate leadership style to ensure that the adoption process is successful and attracts the involvement of the staff and patient safety. </w:t>
      </w:r>
      <w:r w:rsidR="001F6E79" w:rsidRPr="001F6E79">
        <w:rPr>
          <w:rFonts w:ascii="Arial" w:hAnsi="Arial" w:cs="Arial"/>
          <w:sz w:val="22"/>
          <w:szCs w:val="22"/>
        </w:rPr>
        <w:t>The report critically evaluates NHS Digital challenges and examines how centralized and decentralized leadership models influence safety, efficiency, and sustainable digital transformation (Akhtar et al., 2022).</w:t>
      </w:r>
    </w:p>
    <w:p w14:paraId="3BF8F29C" w14:textId="7E3BF721" w:rsidR="008B2B84" w:rsidRDefault="008B2B84" w:rsidP="008B2B84">
      <w:pPr>
        <w:spacing w:after="0" w:line="360" w:lineRule="auto"/>
        <w:contextualSpacing/>
        <w:jc w:val="both"/>
        <w:rPr>
          <w:rFonts w:ascii="Arial" w:hAnsi="Arial" w:cs="Arial"/>
          <w:b/>
          <w:bCs/>
          <w:sz w:val="22"/>
          <w:szCs w:val="22"/>
          <w:lang w:val="en-US"/>
        </w:rPr>
      </w:pPr>
      <w:r w:rsidRPr="008B2B84">
        <w:rPr>
          <w:rFonts w:ascii="Arial" w:hAnsi="Arial" w:cs="Arial"/>
          <w:sz w:val="22"/>
          <w:szCs w:val="22"/>
          <w:lang w:val="en-US"/>
        </w:rPr>
        <w:br/>
      </w:r>
      <w:r w:rsidRPr="008B2B84">
        <w:rPr>
          <w:rFonts w:ascii="Arial" w:hAnsi="Arial" w:cs="Arial"/>
          <w:b/>
          <w:bCs/>
          <w:sz w:val="22"/>
          <w:szCs w:val="22"/>
          <w:lang w:val="en-US"/>
        </w:rPr>
        <w:t>2.</w:t>
      </w:r>
      <w:r w:rsidR="00DB2BE6">
        <w:rPr>
          <w:rFonts w:ascii="Arial" w:hAnsi="Arial" w:cs="Arial"/>
          <w:b/>
          <w:bCs/>
          <w:sz w:val="22"/>
          <w:szCs w:val="22"/>
          <w:lang w:val="en-US"/>
        </w:rPr>
        <w:t xml:space="preserve"> Key discussion</w:t>
      </w:r>
    </w:p>
    <w:p w14:paraId="03882243" w14:textId="4084A69F" w:rsidR="008B2B84" w:rsidRDefault="008B2B84" w:rsidP="008B2B84">
      <w:pPr>
        <w:spacing w:after="0" w:line="360" w:lineRule="auto"/>
        <w:contextualSpacing/>
        <w:jc w:val="both"/>
        <w:rPr>
          <w:rFonts w:ascii="Arial" w:hAnsi="Arial" w:cs="Arial"/>
          <w:b/>
          <w:bCs/>
          <w:sz w:val="22"/>
          <w:szCs w:val="22"/>
          <w:lang w:val="en-US"/>
        </w:rPr>
      </w:pPr>
      <w:r w:rsidRPr="008B2B84">
        <w:rPr>
          <w:rFonts w:ascii="Arial" w:hAnsi="Arial" w:cs="Arial"/>
          <w:b/>
          <w:bCs/>
          <w:sz w:val="22"/>
          <w:szCs w:val="22"/>
          <w:lang w:val="en-US"/>
        </w:rPr>
        <w:br/>
        <w:t>a. Identification of the Problem and System Context</w:t>
      </w:r>
    </w:p>
    <w:p w14:paraId="68D33075" w14:textId="08F6EA53" w:rsidR="008B2B84" w:rsidRDefault="008B2B84" w:rsidP="008B2B84">
      <w:pPr>
        <w:spacing w:after="0" w:line="360" w:lineRule="auto"/>
        <w:contextualSpacing/>
        <w:jc w:val="both"/>
        <w:rPr>
          <w:rFonts w:ascii="Arial" w:hAnsi="Arial" w:cs="Arial"/>
          <w:sz w:val="22"/>
          <w:szCs w:val="22"/>
          <w:lang w:val="en-US"/>
        </w:rPr>
      </w:pPr>
      <w:r w:rsidRPr="008B2B84">
        <w:rPr>
          <w:rFonts w:ascii="Arial" w:hAnsi="Arial" w:cs="Arial"/>
          <w:sz w:val="22"/>
          <w:szCs w:val="22"/>
          <w:lang w:val="en-US"/>
        </w:rPr>
        <w:br/>
        <w:t xml:space="preserve">The implementation of digital technologies in the healthcare system and, in particular, NHS Digital, has enormous potential to enhance patient safety, streamline the process of care coordination, and make the operational performance more efficient. This is not a simple procedure, and new concerns that should be addressed with appropriate attention are present (Bahadori et al., 2025). The key problem of NHS Digital is that the data of patients is disjointed. </w:t>
      </w:r>
      <w:r w:rsidRPr="008B2B84">
        <w:rPr>
          <w:rFonts w:ascii="Arial" w:hAnsi="Arial" w:cs="Arial"/>
          <w:sz w:val="22"/>
          <w:szCs w:val="22"/>
          <w:lang w:val="en-US"/>
        </w:rPr>
        <w:lastRenderedPageBreak/>
        <w:t>The lack of interactivity of digital systems across different NHS Trusts contributes to disjointed care of patients, and the lack of information (accessibility) or its incompleteness becomes the source of medical errors, delayed diagnostics, and improper treatment (Camacho et al., 2024; Clarke et al., 2016). The medical workers can encounter barriers in accessing real-time patient information throughout the care transition (e.g., when admitting or leaving patients to a hospital), which can easily harm them (Cresswell et al., 2024).</w:t>
      </w:r>
    </w:p>
    <w:p w14:paraId="3EB63939" w14:textId="430A8A25" w:rsidR="008B2B84" w:rsidRDefault="008B2B84" w:rsidP="008B2B84">
      <w:pPr>
        <w:spacing w:after="0" w:line="360" w:lineRule="auto"/>
        <w:contextualSpacing/>
        <w:jc w:val="both"/>
        <w:rPr>
          <w:rFonts w:ascii="Arial" w:hAnsi="Arial" w:cs="Arial"/>
          <w:sz w:val="22"/>
          <w:szCs w:val="22"/>
          <w:lang w:val="en-US"/>
        </w:rPr>
      </w:pPr>
      <w:r w:rsidRPr="008B2B84">
        <w:rPr>
          <w:rFonts w:ascii="Arial" w:hAnsi="Arial" w:cs="Arial"/>
          <w:sz w:val="22"/>
          <w:szCs w:val="22"/>
          <w:lang w:val="en-US"/>
        </w:rPr>
        <w:br/>
        <w:t>Issues of patient safety associated with medical errors remain a significant issue in the world. The World Health Organization (WHO) reckons 1 in 10 patients was at least injured during the course of hospital care, and that was caused by medication errors and mismanagement of patient information, which took first place in the list of the most common ones. NHS Confederation (2022) indicates over 237 million medication errors annually in the UK, and the expenses of these errors exceed £ 98 million, which undoubtedly implies the need to have powerful digital solutions (Flott et al., 2021). These statistics highlight the point that patient safety is not simply a clinical issue, but a systemic issue that should be addressed through technology, organization, and leadership. The problem that NHS Digital is grappling with is the implementation of fully integrated electronic health records (EHRs) and interoperable systems in different healthcare settings locally. The lack of interoperability between the hospitals, the general practitioners, and the specialist clinics impedes information flows between the two (Bahadori et al., 2025). Significant patient data is bound to be latent, lost or misunderstood, particularly in a high-risk scenario, including emergency care, intensive care unit, or multifaceted patient transfer-over (Camacho et al., 2024). There is no real-time information availability that disrupts the possibility of clinical decision-making and reduces the effectiveness of treatment and patient safety (Clarke et al., 2016).</w:t>
      </w:r>
    </w:p>
    <w:p w14:paraId="0FE9FE88" w14:textId="77777777" w:rsidR="00A84997" w:rsidRDefault="008B2B84" w:rsidP="008B2B84">
      <w:pPr>
        <w:spacing w:after="0" w:line="360" w:lineRule="auto"/>
        <w:contextualSpacing/>
        <w:jc w:val="both"/>
        <w:rPr>
          <w:rFonts w:ascii="Arial" w:hAnsi="Arial" w:cs="Arial"/>
          <w:sz w:val="22"/>
          <w:szCs w:val="22"/>
          <w:lang w:val="en-US"/>
        </w:rPr>
      </w:pPr>
      <w:r w:rsidRPr="008B2B84">
        <w:rPr>
          <w:rFonts w:ascii="Arial" w:hAnsi="Arial" w:cs="Arial"/>
          <w:sz w:val="22"/>
          <w:szCs w:val="22"/>
          <w:lang w:val="en-US"/>
        </w:rPr>
        <w:br/>
        <w:t>Various failures within the system also add to these risks. The communication gap in healthcare is a serious issue, and medical personnel constantly work in the framework of systems with the inability to exchange information with one another, thus making it impossible to transfer information within the shortest period (Cresswell et al., 2024). The variations in digital infrastructure among the NHS trusts lead to the variations in the quality-of-care delivery, with some regions having access to advanced digital solutions, and others having outdated or poor systems (Flott et al., 2021). The inadequacy of training is also a weakness that leads to digital adoption; the absence of technology by health care providers may result in difficulty in entering data, navigating it, or accessing the necessary data, and their risk is aggravated by the possibility of error (Clarke et al., 2016). The reluctance to use new digital tools is not a particular issue, particularly in the scenario of workers accustomed to working with paper, which limits the impact of the technology investments (Bahadori et al., 2025).</w:t>
      </w:r>
      <w:r w:rsidRPr="008B2B84">
        <w:rPr>
          <w:rFonts w:ascii="Arial" w:hAnsi="Arial" w:cs="Arial"/>
          <w:sz w:val="22"/>
          <w:szCs w:val="22"/>
          <w:lang w:val="en-US"/>
        </w:rPr>
        <w:br/>
      </w:r>
      <w:r w:rsidRPr="008B2B84">
        <w:rPr>
          <w:rFonts w:ascii="Arial" w:hAnsi="Arial" w:cs="Arial"/>
          <w:sz w:val="22"/>
          <w:szCs w:val="22"/>
          <w:lang w:val="en-US"/>
        </w:rPr>
        <w:lastRenderedPageBreak/>
        <w:t xml:space="preserve">The manifestation of these structural vices is influenced by the government structures. Despite the positive goals of the national programs on encouraging uniformity in digital integration and the incorporation of the NHS Long-Term Plan on Digital Health, the local implementation is highly varied (Cresswell et al., 2024). There are possible odds that the trusts will use systems that fail to effectively adhere to the national standards, resulting in fragmented care trajectories and patient safety outcomes inequalities (Flott et al., 2021). The local regulatory bodies are not consistently prepared and enabled to carry out the integration, and the regulators on the national level are only capable of taking action after the occurrences, and this is indicative of a proactive governance deficiency (Bahadori et al., 2025).These interactions can be analyzed using a Rich Picture diagram because it is possible to visualize the flow of information, responsibilities, and communications between the most significant persons, including doctors, nurses, IT workers, and patients (Clarke et al., 2016). The areas where the breakdown in communication, system design and governance lead to patient safety vulnerabilities can be demonstrated by the processes identified by the diagram that are considered critical, such as medication administration, documentation and error reporting. Knowing about these weak points enables NHS Digital to pay more attention to the intervention and improve the information flow, detection of its errors, and clinical decision-making (Cresswell et al., 2024). In conclusion, an absence of system interoperability and fragmented patient information is among the key challenges facing patient safety at NHS Digital. </w:t>
      </w:r>
      <w:r w:rsidR="001F6E79">
        <w:rPr>
          <w:rFonts w:ascii="Arial" w:hAnsi="Arial" w:cs="Arial"/>
          <w:sz w:val="22"/>
          <w:szCs w:val="22"/>
          <w:lang w:val="en-US"/>
        </w:rPr>
        <w:t>While</w:t>
      </w:r>
      <w:r w:rsidRPr="008B2B84">
        <w:rPr>
          <w:rFonts w:ascii="Arial" w:hAnsi="Arial" w:cs="Arial"/>
          <w:sz w:val="22"/>
          <w:szCs w:val="22"/>
          <w:lang w:val="en-US"/>
        </w:rPr>
        <w:t xml:space="preserve"> digital technologies introduce a possibility of the reduction of errors and improvement of care, they cannot assimilate without the introduction of systemic failures, such as periodic inconsistency of training, absence of communication, and lack of coordination (Bahadori et al., 2025; Camacho et al., 2024). The tools that enable understanding such complexities are called Rich Picture diagrams, and NHS Digital can create interventions that will lead to the best results in terms of information sharing, accountability, and patient safety (Flott et al., 2021; Clarke et al., 2016; Cresswell et al., 2024). In order to realize the full potential of digital transformation in healthcare, there must be proper governance, employee training and interoperable digital systems that would offer security to the patients, as well as improve healthcare delivery across </w:t>
      </w:r>
    </w:p>
    <w:p w14:paraId="22520BCA" w14:textId="77777777" w:rsidR="00A84997" w:rsidRDefault="008B2B84" w:rsidP="008B2B84">
      <w:pPr>
        <w:spacing w:after="0" w:line="360" w:lineRule="auto"/>
        <w:contextualSpacing/>
        <w:jc w:val="both"/>
        <w:rPr>
          <w:rFonts w:ascii="Arial" w:hAnsi="Arial" w:cs="Arial"/>
          <w:sz w:val="22"/>
          <w:szCs w:val="22"/>
          <w:lang w:val="en-US"/>
        </w:rPr>
      </w:pPr>
      <w:r w:rsidRPr="008B2B84">
        <w:rPr>
          <w:rFonts w:ascii="Arial" w:hAnsi="Arial" w:cs="Arial"/>
          <w:sz w:val="22"/>
          <w:szCs w:val="22"/>
          <w:lang w:val="en-US"/>
        </w:rPr>
        <w:t>the NHS.</w:t>
      </w:r>
    </w:p>
    <w:p w14:paraId="5A0B3F0F" w14:textId="27D378F3" w:rsidR="008B2B84" w:rsidRPr="00FB5ED4" w:rsidRDefault="00FB5ED4" w:rsidP="008B2B84">
      <w:pPr>
        <w:spacing w:after="0" w:line="360" w:lineRule="auto"/>
        <w:contextualSpacing/>
        <w:jc w:val="both"/>
        <w:rPr>
          <w:rFonts w:ascii="Arial" w:hAnsi="Arial" w:cs="Arial"/>
          <w:sz w:val="22"/>
          <w:szCs w:val="22"/>
        </w:rPr>
      </w:pPr>
      <w:r>
        <w:rPr>
          <w:rFonts w:ascii="Arial" w:hAnsi="Arial" w:cs="Arial"/>
          <w:noProof/>
          <w:sz w:val="22"/>
          <w:szCs w:val="22"/>
        </w:rPr>
        <w:lastRenderedPageBreak/>
        <w:drawing>
          <wp:inline distT="0" distB="0" distL="0" distR="0" wp14:anchorId="4332F569" wp14:editId="6C2B78DF">
            <wp:extent cx="5907750" cy="3938501"/>
            <wp:effectExtent l="0" t="0" r="0" b="5080"/>
            <wp:docPr id="1606401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61228" cy="3974153"/>
                    </a:xfrm>
                    <a:prstGeom prst="rect">
                      <a:avLst/>
                    </a:prstGeom>
                    <a:noFill/>
                  </pic:spPr>
                </pic:pic>
              </a:graphicData>
            </a:graphic>
          </wp:inline>
        </w:drawing>
      </w:r>
    </w:p>
    <w:p w14:paraId="579DA26B" w14:textId="77777777" w:rsidR="00A84997" w:rsidRDefault="00A84997" w:rsidP="008B2B84">
      <w:pPr>
        <w:spacing w:after="0" w:line="360" w:lineRule="auto"/>
        <w:contextualSpacing/>
        <w:jc w:val="both"/>
        <w:rPr>
          <w:rFonts w:ascii="Arial" w:hAnsi="Arial" w:cs="Arial"/>
          <w:sz w:val="22"/>
          <w:szCs w:val="22"/>
          <w:lang w:val="en-US"/>
        </w:rPr>
      </w:pPr>
    </w:p>
    <w:p w14:paraId="32280BF3" w14:textId="46737D60" w:rsidR="008B2B84" w:rsidRDefault="008B2B84" w:rsidP="008B2B84">
      <w:pPr>
        <w:spacing w:after="0" w:line="360" w:lineRule="auto"/>
        <w:contextualSpacing/>
        <w:jc w:val="both"/>
        <w:rPr>
          <w:rFonts w:ascii="Arial" w:hAnsi="Arial" w:cs="Arial"/>
          <w:b/>
          <w:bCs/>
          <w:sz w:val="22"/>
          <w:szCs w:val="22"/>
          <w:lang w:val="en-US"/>
        </w:rPr>
      </w:pPr>
      <w:r w:rsidRPr="008B2B84">
        <w:rPr>
          <w:rFonts w:ascii="Arial" w:hAnsi="Arial" w:cs="Arial"/>
          <w:sz w:val="22"/>
          <w:szCs w:val="22"/>
          <w:lang w:val="en-US"/>
        </w:rPr>
        <w:br/>
      </w:r>
      <w:r w:rsidRPr="008B2B84">
        <w:rPr>
          <w:rFonts w:ascii="Arial" w:hAnsi="Arial" w:cs="Arial"/>
          <w:b/>
          <w:bCs/>
          <w:sz w:val="22"/>
          <w:szCs w:val="22"/>
          <w:lang w:val="en-US"/>
        </w:rPr>
        <w:t>b. The Decentralization and Centralization</w:t>
      </w:r>
    </w:p>
    <w:p w14:paraId="7EB8376E" w14:textId="7C7F13D0" w:rsidR="008B2B84" w:rsidRDefault="008B2B84" w:rsidP="008B2B84">
      <w:pPr>
        <w:spacing w:after="0" w:line="360" w:lineRule="auto"/>
        <w:contextualSpacing/>
        <w:jc w:val="both"/>
        <w:rPr>
          <w:rFonts w:ascii="Arial" w:hAnsi="Arial" w:cs="Arial"/>
          <w:sz w:val="22"/>
          <w:szCs w:val="22"/>
          <w:lang w:val="en-US"/>
        </w:rPr>
      </w:pPr>
      <w:r w:rsidRPr="008B2B84">
        <w:rPr>
          <w:rFonts w:ascii="Arial" w:hAnsi="Arial" w:cs="Arial"/>
          <w:b/>
          <w:bCs/>
          <w:sz w:val="22"/>
          <w:szCs w:val="22"/>
          <w:lang w:val="en-US"/>
        </w:rPr>
        <w:br/>
      </w:r>
      <w:r w:rsidRPr="008B2B84">
        <w:rPr>
          <w:rFonts w:ascii="Arial" w:hAnsi="Arial" w:cs="Arial"/>
          <w:sz w:val="22"/>
          <w:szCs w:val="22"/>
          <w:lang w:val="en-US"/>
        </w:rPr>
        <w:t>NHS Digital is a hybrid model that comprises a centralized and a decentralized constituent. Firstly, centralization provides the NHS with homogeneity, consistency, and coordination since only one national decision is reached (Gondi, Powers and Shrank, 2022). The uniformity of policies, national standards, and computer infrastructure is possible under centralized control, in particular, regarding electronic health records (EHRs) and the rules of data sharing. Consequently, patient data can be collected in an orderly manner, safely stored and easily moved across trusts, which theoretically will remove errors and will increase the safety of the systems to patients in general (Neves, 2021; NHS England, 2021). In addition, centralization promotes large-scale digital projects, such as the introduction of interoperable EHR, where NHS Digital can successfully leverage resources and introduce standard national requirements. However, the disadvantage of centralization is also very pronounced. It can reduce the responsiveness to local issues and slow down the decision-making process because of intensifying the concentration of authority to a greater extent, thus, bureaucratizing it (Li et al., 2025). Incidentally, local integration issues may consume long periods of time, but national standards are applied to determine how EHR should be utilized. Furthermore, central authorities may be more concerned with compliance and the overall coordination of large-</w:t>
      </w:r>
      <w:r w:rsidRPr="008B2B84">
        <w:rPr>
          <w:rFonts w:ascii="Arial" w:hAnsi="Arial" w:cs="Arial"/>
          <w:sz w:val="22"/>
          <w:szCs w:val="22"/>
          <w:lang w:val="en-US"/>
        </w:rPr>
        <w:lastRenderedPageBreak/>
        <w:t>scale issues rather than the actual patient safety concerns that may lead to the delay of interventions in case of an emergency or high-risk situation (Kruse et al., 2016; Gondi, Powers and Shrank, 2022). Besides, centralized systems may not be able to take into account disparities in technological readiness, digital proficiency of workers, or geographic constraints of resources that could possibly widen the gap in patient care (Morley, Barry &amp; Hiam, 2025). On the other hand, decentralization extends authority to local trusts and clinical commissioning groups (CCGs), rendering them capable of making decisions in certain situations (Li et al., 2025). It could be observed that the localized control is the breeder of flexibility in the sense that the trusts are allowed to deploy digital solutions based on regional needs and patient populations. One such example is that there are those trusts that have successfully implemented a telemedicine solution or formidable EHR capabilities, and there are those that are well behind in the digital transformation. Hence, decentralization encourages innovation and renders digital tools helpful to local healthcare demands. It also makes the clinical staff more empowered since they are the ones who have the first-hand experience of patient needs and are able to make decisions regarding adopting and using digital technologies as they satisfy the need and in a timely fashion (Neves, 2021; NHS England, 2025).</w:t>
      </w:r>
      <w:r w:rsidRPr="008B2B84">
        <w:rPr>
          <w:rFonts w:ascii="Arial" w:hAnsi="Arial" w:cs="Arial"/>
          <w:sz w:val="22"/>
          <w:szCs w:val="22"/>
          <w:lang w:val="en-US"/>
        </w:rPr>
        <w:br/>
        <w:t>In contrast, decentralization involves very high risks. The issue of scattered decision-making can result in the uneven rate of system adoption, disparity in interoperability and scattered patient information (Li et al., 2025). To provide an example, the disparities in digital infrastructure in trusts may add the risk of unfinished patient records, particularly during a care transfer, which may occur in the form of additional risks of medication errors, delays in treatment, and misdiagnoses (Camacho et al., 2024). Moreover, there is no proper control of the local autonomy, and this fact might result in the lack of accountability because some trusts can be dedicated to operational convenience, neglecting the standards of national safety that would interfere with the effective management of a crisis.</w:t>
      </w:r>
    </w:p>
    <w:p w14:paraId="02025175" w14:textId="77777777" w:rsidR="00AE4F8C" w:rsidRPr="00AE4F8C" w:rsidRDefault="008B2B84" w:rsidP="00AE4F8C">
      <w:pPr>
        <w:spacing w:after="0" w:line="360" w:lineRule="auto"/>
        <w:contextualSpacing/>
        <w:jc w:val="both"/>
        <w:rPr>
          <w:rFonts w:ascii="Arial" w:hAnsi="Arial" w:cs="Arial"/>
          <w:sz w:val="22"/>
          <w:szCs w:val="22"/>
          <w:lang w:val="en-US"/>
        </w:rPr>
      </w:pPr>
      <w:r w:rsidRPr="008B2B84">
        <w:rPr>
          <w:rFonts w:ascii="Arial" w:hAnsi="Arial" w:cs="Arial"/>
          <w:sz w:val="22"/>
          <w:szCs w:val="22"/>
          <w:lang w:val="en-US"/>
        </w:rPr>
        <w:br/>
        <w:t>Notably, the interim model of NHS Digital indicates the necessity to balance the two strategies. Though centralization ensures uniformity of the system, reliability in exchanging information in line with national standards, overt centralization will impede flexibility and responsiveness on the local level (Gondi, Powers and Shrank, 2022). Conversely, decentralized decision making enhances the aspect of being responsive and local, but on the flipside, it may contribute to fragmentation and disparity in patient safety outcomes (Morley, Barry &amp; Hiam, 2025). Therefore, it needs a democratic combination, where the centralization could regulate the state of interoperability, digital safety, and governance standards, but the decentralization would not provide control over the clinical autonomy to make the decisions that could be patient-centered and locally adaptive (Neves, 2021; NHS England, 2025).</w:t>
      </w:r>
      <w:r w:rsidRPr="008B2B84">
        <w:rPr>
          <w:rFonts w:ascii="Arial" w:hAnsi="Arial" w:cs="Arial"/>
          <w:sz w:val="22"/>
          <w:szCs w:val="22"/>
          <w:lang w:val="en-US"/>
        </w:rPr>
        <w:br/>
        <w:t xml:space="preserve">Nevertheless, ultimately, the NHS Digital optimization process also requires more coordinated </w:t>
      </w:r>
      <w:r w:rsidRPr="008B2B84">
        <w:rPr>
          <w:rFonts w:ascii="Arial" w:hAnsi="Arial" w:cs="Arial"/>
          <w:sz w:val="22"/>
          <w:szCs w:val="22"/>
          <w:lang w:val="en-US"/>
        </w:rPr>
        <w:lastRenderedPageBreak/>
        <w:t>efforts of the central authorities and local trusts, the uncompromising adherence to the national practices, and the unique accountability regulations on all levels. NHS Digital can reduce fragmentation, reduce errors and enhance patient safety by strategically centralizing digital infrastructure and providing local clinical decision-making. Lastly, a coordinated and combined approach that balances between centralization and decentralization will contribute to making digital healthcare endeavors effective and receptive to give the NHS the chance to offer quality, reliable, and uniform care to patients in every setting (Camacho et al., 2024; Li et al., 2025).</w:t>
      </w:r>
      <w:r w:rsidRPr="008B2B84">
        <w:rPr>
          <w:rFonts w:ascii="Arial" w:hAnsi="Arial" w:cs="Arial"/>
          <w:sz w:val="22"/>
          <w:szCs w:val="22"/>
          <w:lang w:val="en-US"/>
        </w:rPr>
        <w:br/>
      </w:r>
      <w:r w:rsidR="00AE4F8C" w:rsidRPr="00AE4F8C">
        <w:rPr>
          <w:rFonts w:ascii="Arial" w:hAnsi="Arial" w:cs="Arial"/>
          <w:b/>
          <w:bCs/>
          <w:sz w:val="22"/>
          <w:szCs w:val="22"/>
          <w:lang w:val="en-US"/>
        </w:rPr>
        <w:t>c) Leadership Theories and their Application to the Case Study</w:t>
      </w:r>
    </w:p>
    <w:p w14:paraId="2DFB9666" w14:textId="77777777" w:rsidR="00AE4F8C" w:rsidRPr="00AE4F8C" w:rsidRDefault="00AE4F8C" w:rsidP="00AE4F8C">
      <w:pPr>
        <w:spacing w:after="0" w:line="360" w:lineRule="auto"/>
        <w:contextualSpacing/>
        <w:jc w:val="both"/>
        <w:rPr>
          <w:rFonts w:ascii="Arial" w:hAnsi="Arial" w:cs="Arial"/>
          <w:sz w:val="22"/>
          <w:szCs w:val="22"/>
          <w:lang w:val="en-US"/>
        </w:rPr>
      </w:pPr>
      <w:r w:rsidRPr="00AE4F8C">
        <w:rPr>
          <w:rFonts w:ascii="Arial" w:hAnsi="Arial" w:cs="Arial"/>
          <w:sz w:val="22"/>
          <w:szCs w:val="22"/>
          <w:lang w:val="en-US"/>
        </w:rPr>
        <w:t>Leadership in NHS Digital is the most important point of the successful implementation of digital technologies that would improve patient safety, efficiency, and staff engagement. Sufficient leadership is critical in spearheading the digital transformation, managing the technological change resistance, and ensuring that digital systems such as electronic health records (EHRs), data-sharing platforms, and national digital infrastructure are rolled out safely and efficiently. Tannenbaum Leadership Continuum and Theory X, Y, and Z provide viable solutions to this critical analysis of leadership practice in NHS Digital, namely, the knowledge of the effectiveness of leadership, staff engagement, and safety outcomes enabled by ensuring performance data and workforce surveys.</w:t>
      </w:r>
    </w:p>
    <w:p w14:paraId="27C596EF" w14:textId="695744B0" w:rsidR="00AE4F8C" w:rsidRPr="00AE4F8C" w:rsidRDefault="00AE4F8C" w:rsidP="00AE4F8C">
      <w:pPr>
        <w:spacing w:after="0" w:line="360" w:lineRule="auto"/>
        <w:contextualSpacing/>
        <w:jc w:val="both"/>
        <w:rPr>
          <w:rFonts w:ascii="Arial" w:hAnsi="Arial" w:cs="Arial"/>
          <w:sz w:val="22"/>
          <w:szCs w:val="22"/>
          <w:lang w:val="en-US"/>
        </w:rPr>
      </w:pPr>
      <w:r w:rsidRPr="00AE4F8C">
        <w:rPr>
          <w:rFonts w:ascii="Arial" w:hAnsi="Arial" w:cs="Arial"/>
          <w:sz w:val="22"/>
          <w:szCs w:val="22"/>
          <w:lang w:val="en-US"/>
        </w:rPr>
        <w:t>The Behavioral Leadership Theory is rooted in the behaviors and actions of a leader rather than their qualities, and the significance of the task-oriented and people-oriented behaviors in determining the success of a leader (Secundo et al., 2018). Following the example of NHS Digital, it is possible to note that behavioral leadership is reflected in how the leaders find a balance between the operational goals, such as the implementation of the digital systems, and the need to consider the staff in technological changes. The task-oriented leadership style will ensure that performance and time boundaries are met during the implementation of digital change, such as EHR integration, interoperability systems, and the use of patient safety monitoring tools. Similarly, the people-based leadership promotes the training of employees, communication, and involvement that are important in the success of the digital adoption. The results of the NHS staff survey showed that the specified staff members are more likely to mention that the positive outlook on the introduction of new technologies and the participants of safety initiatives are either influenced by the initiative of the leadership (Reidy et al., 2025). It means that the motivation of the staff, their engagement, and the outcome of patient safety directly depend on the leadership behavior.</w:t>
      </w:r>
    </w:p>
    <w:p w14:paraId="623C0B11" w14:textId="7A327E96" w:rsidR="00AE4F8C" w:rsidRPr="00AE4F8C" w:rsidRDefault="00AE4F8C" w:rsidP="00AE4F8C">
      <w:pPr>
        <w:spacing w:after="0" w:line="360" w:lineRule="auto"/>
        <w:contextualSpacing/>
        <w:jc w:val="both"/>
        <w:rPr>
          <w:rFonts w:ascii="Arial" w:hAnsi="Arial" w:cs="Arial"/>
          <w:sz w:val="22"/>
          <w:szCs w:val="22"/>
          <w:lang w:val="en-US"/>
        </w:rPr>
      </w:pPr>
      <w:r w:rsidRPr="00AE4F8C">
        <w:rPr>
          <w:rFonts w:ascii="Arial" w:hAnsi="Arial" w:cs="Arial"/>
          <w:sz w:val="22"/>
          <w:szCs w:val="22"/>
          <w:lang w:val="en-US"/>
        </w:rPr>
        <w:t xml:space="preserve">However, the application of behavioral leadership in NHS Digital has had both strengths and weaknesses. While task-based leadership has been effective in the process of rolling out the national digital infrastructure and improving the data management system, people-oriented leadership has been feared in addressing the workload of the staff and digital fatigue. The reports published on the workforce of the NHS reveal that sometimes the members of staff </w:t>
      </w:r>
      <w:r w:rsidRPr="00AE4F8C">
        <w:rPr>
          <w:rFonts w:ascii="Arial" w:hAnsi="Arial" w:cs="Arial"/>
          <w:sz w:val="22"/>
          <w:szCs w:val="22"/>
          <w:lang w:val="en-US"/>
        </w:rPr>
        <w:lastRenderedPageBreak/>
        <w:t>are subjected to the pressure of introducing new digital systems without any previous training or even consultation during the decision-making process, which would negatively affect both the engagement and compliance with the safety standards (</w:t>
      </w:r>
      <w:proofErr w:type="spellStart"/>
      <w:r w:rsidRPr="00AE4F8C">
        <w:rPr>
          <w:rFonts w:ascii="Arial" w:hAnsi="Arial" w:cs="Arial"/>
          <w:sz w:val="22"/>
          <w:szCs w:val="22"/>
          <w:lang w:val="en-US"/>
        </w:rPr>
        <w:t>Oskrochi</w:t>
      </w:r>
      <w:proofErr w:type="spellEnd"/>
      <w:r w:rsidRPr="00AE4F8C">
        <w:rPr>
          <w:rFonts w:ascii="Arial" w:hAnsi="Arial" w:cs="Arial"/>
          <w:sz w:val="22"/>
          <w:szCs w:val="22"/>
          <w:lang w:val="en-US"/>
        </w:rPr>
        <w:t xml:space="preserve"> et al., 2025). This means that leadership has been responsive and authoritative in some instances when it is founded on the accomplishment of operational goals, instead of engaging in capacity building for personnel and psychological safety. The performance of either digital transformation or patient safety would have improved with an intervention, such as a more balanced behavioral leadership style, possessing a higher number of task directions, emotional intelligence, and staff support.</w:t>
      </w:r>
    </w:p>
    <w:p w14:paraId="34816684" w14:textId="73ACB709" w:rsidR="00AE4F8C" w:rsidRPr="00AE4F8C" w:rsidRDefault="00AE4F8C" w:rsidP="00AE4F8C">
      <w:pPr>
        <w:spacing w:after="0" w:line="360" w:lineRule="auto"/>
        <w:contextualSpacing/>
        <w:jc w:val="both"/>
        <w:rPr>
          <w:rFonts w:ascii="Arial" w:hAnsi="Arial" w:cs="Arial"/>
          <w:sz w:val="22"/>
          <w:szCs w:val="22"/>
          <w:lang w:val="en-US"/>
        </w:rPr>
      </w:pPr>
      <w:r w:rsidRPr="00AE4F8C">
        <w:rPr>
          <w:rFonts w:ascii="Arial" w:hAnsi="Arial" w:cs="Arial"/>
          <w:sz w:val="22"/>
          <w:szCs w:val="22"/>
          <w:lang w:val="en-US"/>
        </w:rPr>
        <w:t>Theory X, Y, and Z provide another insight into the leadership attitude and its effect on the behavior of employees and overall performance. Theory X assumes that the employees need to be monitored and controlled, as their nature is predisposed to work, and Theory Y assumes that the employees are autonomous and self-responsible (Reddy et al., 2019). Theory Z, on the contrary, is more trusting, long-term contracts, joint decision-making, and more participative, promoting a leadership culture. In an NHS Digital, it is possible to trace the elements of Theory X leadership in situations where the digital transformation is implemented with the assistance of strict rules, time limits, and performance check systems. This approach will ensure compliance with the national standards of the digital environment and safety norms. Still, it will also reduce the independence and participation of the staff in case of overuse. Based on the data of staff surveys, excessive control and the inability to engage in the digital decision-making process can also lead to resistance and a decrease in morale, and finally affect the patient safety outcomes (Reidy et al., 2025).</w:t>
      </w:r>
    </w:p>
    <w:p w14:paraId="63469989" w14:textId="6B7BC2A0" w:rsidR="00AE4F8C" w:rsidRPr="00AE4F8C" w:rsidRDefault="00AE4F8C" w:rsidP="00AE4F8C">
      <w:pPr>
        <w:spacing w:after="0" w:line="360" w:lineRule="auto"/>
        <w:contextualSpacing/>
        <w:jc w:val="both"/>
        <w:rPr>
          <w:rFonts w:ascii="Arial" w:hAnsi="Arial" w:cs="Arial"/>
          <w:sz w:val="22"/>
          <w:szCs w:val="22"/>
          <w:lang w:val="en-US"/>
        </w:rPr>
      </w:pPr>
      <w:r>
        <w:rPr>
          <w:rFonts w:ascii="Arial" w:hAnsi="Arial" w:cs="Arial"/>
          <w:sz w:val="22"/>
          <w:szCs w:val="22"/>
          <w:lang w:val="en-US"/>
        </w:rPr>
        <w:t>However</w:t>
      </w:r>
      <w:r w:rsidRPr="00AE4F8C">
        <w:rPr>
          <w:rFonts w:ascii="Arial" w:hAnsi="Arial" w:cs="Arial"/>
          <w:sz w:val="22"/>
          <w:szCs w:val="22"/>
          <w:lang w:val="en-US"/>
        </w:rPr>
        <w:t>, the Theory Y leadership is more aligned with the NHS Digital objectives due to the empowerment of the staff, innovation, and problem-solving in teams. Leaders who adopt the ideas of Theory Y will be more likely to involve the clinicians, IT specialists, and frontline employees in the digital planning and implementation process and ensure the systems meet the practical clinical needs and promote patient safety. The NHS performance reports claim that the organizations that have a high staff involvement and engagement rate also have a favorable outcome in terms of safety, improved incident reporting, and digital adoption (</w:t>
      </w:r>
      <w:proofErr w:type="spellStart"/>
      <w:r w:rsidRPr="00AE4F8C">
        <w:rPr>
          <w:rFonts w:ascii="Arial" w:hAnsi="Arial" w:cs="Arial"/>
          <w:sz w:val="22"/>
          <w:szCs w:val="22"/>
          <w:lang w:val="en-US"/>
        </w:rPr>
        <w:t>Oskrochi</w:t>
      </w:r>
      <w:proofErr w:type="spellEnd"/>
      <w:r w:rsidRPr="00AE4F8C">
        <w:rPr>
          <w:rFonts w:ascii="Arial" w:hAnsi="Arial" w:cs="Arial"/>
          <w:sz w:val="22"/>
          <w:szCs w:val="22"/>
          <w:lang w:val="en-US"/>
        </w:rPr>
        <w:t xml:space="preserve"> et al., 2025). The theory Z even addresses a more progressive approach by promoting long-term trust, teamwork, and shared responsibility that should be inherent in complex health care environments that the digital transformation implies, which involve continuous collaboration and learning. However, NHS Digital does not apply Theory Z leadership to its maximum because the process of decision-making is not always decentralized, and there is not always distributed leadership and shared governance.</w:t>
      </w:r>
    </w:p>
    <w:p w14:paraId="267D16D4" w14:textId="77777777" w:rsidR="00AE4F8C" w:rsidRPr="00AE4F8C" w:rsidRDefault="00AE4F8C" w:rsidP="00AE4F8C">
      <w:pPr>
        <w:spacing w:after="0" w:line="360" w:lineRule="auto"/>
        <w:contextualSpacing/>
        <w:jc w:val="both"/>
        <w:rPr>
          <w:rFonts w:ascii="Arial" w:hAnsi="Arial" w:cs="Arial"/>
          <w:sz w:val="22"/>
          <w:szCs w:val="22"/>
          <w:lang w:val="en-US"/>
        </w:rPr>
      </w:pPr>
      <w:r w:rsidRPr="00AE4F8C">
        <w:rPr>
          <w:rFonts w:ascii="Arial" w:hAnsi="Arial" w:cs="Arial"/>
          <w:sz w:val="22"/>
          <w:szCs w:val="22"/>
          <w:lang w:val="en-US"/>
        </w:rPr>
        <w:t xml:space="preserve">Another concept that is useful to consider when evaluating the amount of power and influence on the leadership decisions in NHS Digital is the Tannenbaum Leadership Continuum. This </w:t>
      </w:r>
      <w:r w:rsidRPr="00AE4F8C">
        <w:rPr>
          <w:rFonts w:ascii="Arial" w:hAnsi="Arial" w:cs="Arial"/>
          <w:sz w:val="22"/>
          <w:szCs w:val="22"/>
          <w:lang w:val="en-US"/>
        </w:rPr>
        <w:lastRenderedPageBreak/>
        <w:t>model suggests that the leader may be autocratic (in this case, the decisions are made by the leaders independently), democratic, and participative (in this case, the employees play an active role in the decision-making processes) (Reis et al., 2017). Traditionally, the NHS Digital management has been more central and dictatorial, particularly at a time when urgent digital implementation processes must be followed, such as national systems upgrades and digital response to the pandemic. Though this will be efficient in fast decision-making and efficient operations, this will diminish the participation of the staff and the efficiency of the digital systems at the frontline level.</w:t>
      </w:r>
    </w:p>
    <w:p w14:paraId="27E198BC" w14:textId="77777777" w:rsidR="00AE4F8C" w:rsidRPr="00AE4F8C" w:rsidRDefault="00AE4F8C" w:rsidP="00AE4F8C">
      <w:pPr>
        <w:spacing w:after="0" w:line="360" w:lineRule="auto"/>
        <w:contextualSpacing/>
        <w:jc w:val="both"/>
        <w:rPr>
          <w:rFonts w:ascii="Arial" w:hAnsi="Arial" w:cs="Arial"/>
          <w:sz w:val="22"/>
          <w:szCs w:val="22"/>
          <w:lang w:val="en-US"/>
        </w:rPr>
      </w:pPr>
      <w:r w:rsidRPr="00AE4F8C">
        <w:rPr>
          <w:rFonts w:ascii="Arial" w:hAnsi="Arial" w:cs="Arial"/>
          <w:sz w:val="22"/>
          <w:szCs w:val="22"/>
          <w:lang w:val="en-US"/>
        </w:rPr>
        <w:t>The information on the performance survey and workforce engagement survey reveals that the inclusion in the decision-making process of the staff is directly related to the good safety outcomes and performance of the organization. According to the results of the NHS staff survey, the employees will become more willing to report the safety incidents, participate in the improvement programs, and successfully make use of the new technologies in question when they are made to feel that they take part in the decisions made concerning their work (Reidy et al., 2025). It means that the Tannenbaum Continuum would be a less authoritative leadership, and NHS Digital must utilize a more participative leadership style as digital transformation is a participative process, and innovation and continuous feedback of frontline staff are needed. The current approach to leadership is partly proactive in strategic planning and reactive in operational implementation, and responds to the digital threats emerging quite often instead of anticipating the requirements of the workforce and threats to systems.</w:t>
      </w:r>
    </w:p>
    <w:p w14:paraId="14AD3659" w14:textId="77777777" w:rsidR="00AE4F8C" w:rsidRPr="00AE4F8C" w:rsidRDefault="00AE4F8C" w:rsidP="00AE4F8C">
      <w:pPr>
        <w:spacing w:after="0" w:line="360" w:lineRule="auto"/>
        <w:contextualSpacing/>
        <w:jc w:val="both"/>
        <w:rPr>
          <w:rFonts w:ascii="Arial" w:hAnsi="Arial" w:cs="Arial"/>
          <w:b/>
          <w:bCs/>
          <w:sz w:val="22"/>
          <w:szCs w:val="22"/>
          <w:lang w:val="en-US"/>
        </w:rPr>
      </w:pPr>
      <w:r w:rsidRPr="00AE4F8C">
        <w:rPr>
          <w:rFonts w:ascii="Arial" w:hAnsi="Arial" w:cs="Arial"/>
          <w:b/>
          <w:bCs/>
          <w:sz w:val="22"/>
          <w:szCs w:val="22"/>
          <w:lang w:val="en-US"/>
        </w:rPr>
        <w:t>Critical evaluation</w:t>
      </w:r>
    </w:p>
    <w:p w14:paraId="540AA3D6" w14:textId="7B216CD2" w:rsidR="00AE4F8C" w:rsidRPr="00AE4F8C" w:rsidRDefault="00AE4F8C" w:rsidP="00AE4F8C">
      <w:pPr>
        <w:spacing w:after="0" w:line="360" w:lineRule="auto"/>
        <w:contextualSpacing/>
        <w:jc w:val="both"/>
        <w:rPr>
          <w:rFonts w:ascii="Arial" w:hAnsi="Arial" w:cs="Arial"/>
          <w:sz w:val="22"/>
          <w:szCs w:val="22"/>
          <w:lang w:val="en-US"/>
        </w:rPr>
      </w:pPr>
      <w:r w:rsidRPr="00AE4F8C">
        <w:rPr>
          <w:rFonts w:ascii="Arial" w:hAnsi="Arial" w:cs="Arial"/>
          <w:sz w:val="22"/>
          <w:szCs w:val="22"/>
          <w:lang w:val="en-US"/>
        </w:rPr>
        <w:t xml:space="preserve">When it comes to the leadership in NHS Digital, the distributed and emotionally intelligent approach to leadership would have been adopted more readily by the leadership to enhance effectiveness. Decentralization of decision-making in various departments would be possible under distributed leadership to allow clinicians, IT professionals, and operational managers to contribute to the digital safety strategies. Emotional intelligence enhances communication, trust, and interaction among the staff and ensures the employees are comfortable with the digital change. </w:t>
      </w:r>
      <w:r>
        <w:rPr>
          <w:rFonts w:ascii="Arial" w:hAnsi="Arial" w:cs="Arial"/>
          <w:sz w:val="22"/>
          <w:szCs w:val="22"/>
          <w:lang w:val="en-US"/>
        </w:rPr>
        <w:t>Additionally,</w:t>
      </w:r>
      <w:r w:rsidRPr="00AE4F8C">
        <w:rPr>
          <w:rFonts w:ascii="Arial" w:hAnsi="Arial" w:cs="Arial"/>
          <w:sz w:val="22"/>
          <w:szCs w:val="22"/>
          <w:lang w:val="en-US"/>
        </w:rPr>
        <w:t xml:space="preserve"> demonstrated that the emotionally intelligent heads can create psychologically safe working environments where employees feel better about reporting errors and participating in safety initiatives, which ultimately results in improved patient outcomes (Reddy et al., 2019). By integrating behavioral leadership with the Theory Y and Z ideas, as well as choosing a participative approach in the Tannenbaum Continuum, NHS Digital will be in a position to increase the involvement of the staff and the level of patient safety performance.</w:t>
      </w:r>
    </w:p>
    <w:p w14:paraId="298025AA" w14:textId="77777777" w:rsidR="00B2306A" w:rsidRDefault="00B2306A" w:rsidP="00AE4F8C">
      <w:pPr>
        <w:spacing w:after="0" w:line="360" w:lineRule="auto"/>
        <w:contextualSpacing/>
        <w:jc w:val="both"/>
        <w:rPr>
          <w:rFonts w:ascii="Arial" w:hAnsi="Arial" w:cs="Arial"/>
          <w:b/>
          <w:bCs/>
          <w:sz w:val="22"/>
          <w:szCs w:val="22"/>
          <w:lang w:val="en-US"/>
        </w:rPr>
      </w:pPr>
    </w:p>
    <w:p w14:paraId="747271B3" w14:textId="77777777" w:rsidR="00B2306A" w:rsidRDefault="00B2306A" w:rsidP="00AE4F8C">
      <w:pPr>
        <w:spacing w:after="0" w:line="360" w:lineRule="auto"/>
        <w:contextualSpacing/>
        <w:jc w:val="both"/>
        <w:rPr>
          <w:rFonts w:ascii="Arial" w:hAnsi="Arial" w:cs="Arial"/>
          <w:b/>
          <w:bCs/>
          <w:sz w:val="22"/>
          <w:szCs w:val="22"/>
          <w:lang w:val="en-US"/>
        </w:rPr>
      </w:pPr>
    </w:p>
    <w:p w14:paraId="568D7767" w14:textId="77777777" w:rsidR="00B2306A" w:rsidRDefault="00B2306A" w:rsidP="00AE4F8C">
      <w:pPr>
        <w:spacing w:after="0" w:line="360" w:lineRule="auto"/>
        <w:contextualSpacing/>
        <w:jc w:val="both"/>
        <w:rPr>
          <w:rFonts w:ascii="Arial" w:hAnsi="Arial" w:cs="Arial"/>
          <w:b/>
          <w:bCs/>
          <w:sz w:val="22"/>
          <w:szCs w:val="22"/>
          <w:lang w:val="en-US"/>
        </w:rPr>
      </w:pPr>
    </w:p>
    <w:p w14:paraId="05070199" w14:textId="0C2DDD3F" w:rsidR="008B2B84" w:rsidRDefault="008B2B84" w:rsidP="00AE4F8C">
      <w:pPr>
        <w:spacing w:after="0" w:line="360" w:lineRule="auto"/>
        <w:contextualSpacing/>
        <w:jc w:val="both"/>
        <w:rPr>
          <w:rFonts w:ascii="Arial" w:hAnsi="Arial" w:cs="Arial"/>
          <w:b/>
          <w:bCs/>
          <w:sz w:val="22"/>
          <w:szCs w:val="22"/>
          <w:lang w:val="en-US"/>
        </w:rPr>
      </w:pPr>
      <w:r w:rsidRPr="008B2B84">
        <w:rPr>
          <w:rFonts w:ascii="Arial" w:hAnsi="Arial" w:cs="Arial"/>
          <w:b/>
          <w:bCs/>
          <w:sz w:val="22"/>
          <w:szCs w:val="22"/>
          <w:lang w:val="en-US"/>
        </w:rPr>
        <w:lastRenderedPageBreak/>
        <w:t>d. Lesson Learned and Improvement</w:t>
      </w:r>
    </w:p>
    <w:p w14:paraId="58D880C8" w14:textId="3B7EA830" w:rsidR="008B2B84" w:rsidRDefault="008B2B84" w:rsidP="008B2B84">
      <w:pPr>
        <w:spacing w:after="0" w:line="360" w:lineRule="auto"/>
        <w:contextualSpacing/>
        <w:jc w:val="both"/>
        <w:rPr>
          <w:rFonts w:ascii="Arial" w:hAnsi="Arial" w:cs="Arial"/>
          <w:sz w:val="22"/>
          <w:szCs w:val="22"/>
          <w:lang w:val="en-US"/>
        </w:rPr>
      </w:pPr>
      <w:r w:rsidRPr="008B2B84">
        <w:rPr>
          <w:rFonts w:ascii="Arial" w:hAnsi="Arial" w:cs="Arial"/>
          <w:sz w:val="22"/>
          <w:szCs w:val="22"/>
          <w:lang w:val="en-US"/>
        </w:rPr>
        <w:br/>
        <w:t>The digital health technologies that have been implemented by NHS Digital have come with their own success and significant challenges. Firstly, interoperable systems and electronic health records (EHRs) have strengthened patient safety outcomes by making data management straightforward and by facilitating the ability to access necessary data with ease and in real time (Bahadori et al., 2025). However, the implementation process has not been that smooth, revealing the weaknesses of leadership, governance, and staff training along with the flexibility of the system, which must be taken into account to achieve long-lasting changes in healthcare delivery (Camacho et al., 2024; Clarke et al., 2016). Firstly, digital health technologies can be successfully integrated only with strong governance bodies. Weakly uniform governance and absence of well-processed decision-making have also led to a lack of consistency in implementation by NHS trusts, which has vitiated patient safety (Cresswell et al., 2024). Digital disparity in infrastructure, even with national policies such as the NHS Long-Term Plan of Digital Health, has contributed to the variation in quality of care. Thus, NHS Digital should adopt standardized policies and interoperability systems across all care settings, but it should be allowed to customize them to address the requirements of a specific region (Flott et al., 2021). Improved governance is not only a procedural process, but it also enables decisions to be made in the form of data and is a requirement in making sure that the digital tools are properly utilized to enhance patient safety (Bahadori et al., 2025).</w:t>
      </w:r>
      <w:r w:rsidRPr="008B2B84">
        <w:rPr>
          <w:rFonts w:ascii="Arial" w:hAnsi="Arial" w:cs="Arial"/>
          <w:sz w:val="22"/>
          <w:szCs w:val="22"/>
          <w:lang w:val="en-US"/>
        </w:rPr>
        <w:br/>
        <w:t>Second, it has not been distributed leadership, and that might have been a significant drawback. Historically, the leadership made decisions regarding digital health technologies at the national or regional level. Though centralization is beneficial in improving coordination, it is highly prone to causing bottlenecks and reducing the frontline interaction (Camacho et al., 2024). By contrast, distributed leadership would allow staff to get involved in decision-making and shoulder the responsibility of the local implementation because it would empower them on various levels (Clarke et al., 2016). It is worth mentioning that such a custom encourages the culture of collaboration and innovative thinking, thus reducing opposition to new technology and the possession of electronic projects. The fact that NHS Digital has not taken the idea of distributed leadership wholesale has limited its capabilities to adapt to local challenges and harness the potential of the frontline workers.</w:t>
      </w:r>
      <w:r w:rsidRPr="008B2B84">
        <w:rPr>
          <w:rFonts w:ascii="Arial" w:hAnsi="Arial" w:cs="Arial"/>
          <w:sz w:val="22"/>
          <w:szCs w:val="22"/>
          <w:lang w:val="en-US"/>
        </w:rPr>
        <w:br/>
        <w:t xml:space="preserve">Third, the effective implementation of digital tools requires adequate training and permanent assistance. Many NHS staff members report that they are struggling with new systems and do not have training and various levels of digital literacy (Bahadori et al., 2025). Although some employees are capable of adapting to the changes, some struggle to cope with EHRs and telemedicine applications, particularly the long-term employees who have been accustomed to working with paper-based systems (Flott et al., 2021). Thus, the risk of poor efficiency in </w:t>
      </w:r>
      <w:r w:rsidRPr="008B2B84">
        <w:rPr>
          <w:rFonts w:ascii="Arial" w:hAnsi="Arial" w:cs="Arial"/>
          <w:sz w:val="22"/>
          <w:szCs w:val="22"/>
          <w:lang w:val="en-US"/>
        </w:rPr>
        <w:lastRenderedPageBreak/>
        <w:t>operational processes is not the only effect of data entry or navigation errors, but direct jeopardization to patient safety (Camacho et al., 2024). The NHS Digital is also expected to fully implement role-based training, which would include onboarding, learning and refresher training. The staff feedback should likewise inform the system updates and training content, and will guarantee the process of continuous learning and adaptation (Cresswell et al., 2024).</w:t>
      </w:r>
      <w:r w:rsidRPr="008B2B84">
        <w:rPr>
          <w:rFonts w:ascii="Arial" w:hAnsi="Arial" w:cs="Arial"/>
          <w:sz w:val="22"/>
          <w:szCs w:val="22"/>
          <w:lang w:val="en-US"/>
        </w:rPr>
        <w:br/>
        <w:t>In addition to that, continuous improvement is anchored in the capability to be flexible as well as receptive to feedback. Implementation of digital health is not a one-time event but needs to be measured and enhanced with the help of recurrent tools and measurement by the real-world performance (Clarke et al., 2016). NHS Digital must establish formal feedback, which will include patient safety indicators, system use, and employee satisfaction in the decision-making processes. Without the mechanisms, the inefficiencies and errors would not be eradicated, limiting the possible benefits of the digital tools and endangering the safety of patients (Bahadori et al., 2025). In addition, the system should be adaptable to accommodate the emerging issues that encompass new clinical guidelines, evolving patient needs, and new, swiftly changing technological issues (Flott et al., 2021). Focus on the iterative, adaptive models of implementation that would allow making rapid adjustments and continuously improving should be among the priorities that NHS Digital should have. A dynamic approach will ensure that digital solutions are not becoming fixed or hard, but they will be changing and adjusting to the circumstances to support the clinical needs and organizational objectives (Camacho et al., 2024). Finally, patient-centered care should also be the priority of the digital transformation. There is also a possibility of the implementation of technologies not to improve the outcomes or safety, but to be an end in themselves (Cresswell et al., 2024). The digital tools will enhance the clinical workflows, patient empowerment, and increase access to care and better the service provision by enhancing the quality and efficiency (Bahadori et al., 2025). The leadership must ensure that technologies are accessible, convenient, and can be utilized even by patients, as opposed to just the staff, which will highlight the primary point of improving patient experiences and outcomes (Clarke et al., 2016).</w:t>
      </w:r>
    </w:p>
    <w:p w14:paraId="799A18F7" w14:textId="4C61C4C6" w:rsidR="008B2B84" w:rsidRDefault="008B2B84" w:rsidP="008B2B84">
      <w:pPr>
        <w:spacing w:after="0" w:line="360" w:lineRule="auto"/>
        <w:contextualSpacing/>
        <w:jc w:val="both"/>
        <w:rPr>
          <w:rFonts w:ascii="Arial" w:hAnsi="Arial" w:cs="Arial"/>
          <w:sz w:val="22"/>
          <w:szCs w:val="22"/>
          <w:lang w:val="en-US"/>
        </w:rPr>
      </w:pPr>
      <w:r w:rsidRPr="008B2B84">
        <w:rPr>
          <w:rFonts w:ascii="Arial" w:hAnsi="Arial" w:cs="Arial"/>
          <w:sz w:val="22"/>
          <w:szCs w:val="22"/>
          <w:lang w:val="en-US"/>
        </w:rPr>
        <w:br/>
      </w:r>
      <w:r w:rsidRPr="008B2B84">
        <w:rPr>
          <w:rFonts w:ascii="Arial" w:hAnsi="Arial" w:cs="Arial"/>
          <w:b/>
          <w:bCs/>
          <w:sz w:val="22"/>
          <w:szCs w:val="22"/>
          <w:lang w:val="en-US"/>
        </w:rPr>
        <w:t>3.Recommendations</w:t>
      </w:r>
      <w:r w:rsidRPr="008B2B84">
        <w:rPr>
          <w:rFonts w:ascii="Arial" w:hAnsi="Arial" w:cs="Arial"/>
          <w:b/>
          <w:bCs/>
          <w:sz w:val="22"/>
          <w:szCs w:val="22"/>
          <w:lang w:val="en-US"/>
        </w:rPr>
        <w:br/>
      </w:r>
      <w:r w:rsidRPr="008B2B84">
        <w:rPr>
          <w:rFonts w:ascii="Arial" w:hAnsi="Arial" w:cs="Arial"/>
          <w:sz w:val="22"/>
          <w:szCs w:val="22"/>
          <w:lang w:val="en-US"/>
        </w:rPr>
        <w:t xml:space="preserve">NHS Digital will have to employ a multi-faceted strategy that will target leadership, governance, efficiency, and lifelong learning to attain better patient safety by digitalizing the organization. First of all, there is leadership style as a significant factor that can guarantee a successful digital transformation. It would be better changed towards transformational leadership that focuses on inspiring and motivating employees to embrace innovation (Sirina Keesara, Jonas </w:t>
      </w:r>
      <w:r>
        <w:rPr>
          <w:rFonts w:ascii="Arial" w:hAnsi="Arial" w:cs="Arial"/>
          <w:sz w:val="22"/>
          <w:szCs w:val="22"/>
          <w:lang w:val="en-US"/>
        </w:rPr>
        <w:t>&amp;</w:t>
      </w:r>
      <w:r w:rsidRPr="008B2B84">
        <w:rPr>
          <w:rFonts w:ascii="Arial" w:hAnsi="Arial" w:cs="Arial"/>
          <w:sz w:val="22"/>
          <w:szCs w:val="22"/>
          <w:lang w:val="en-US"/>
        </w:rPr>
        <w:t xml:space="preserve">Schulman, 2020). Reactive leadership has been a scourge of NHS Digital in the past, whereby it reacts to digital issues once they arise. However, patient safety can be an element of every choice, and a culture can be established to the point of staff-ownership </w:t>
      </w:r>
      <w:r w:rsidRPr="008B2B84">
        <w:rPr>
          <w:rFonts w:ascii="Arial" w:hAnsi="Arial" w:cs="Arial"/>
          <w:sz w:val="22"/>
          <w:szCs w:val="22"/>
          <w:lang w:val="en-US"/>
        </w:rPr>
        <w:lastRenderedPageBreak/>
        <w:t>and accountability, leading to the adoption of digital health programs through the active transformational strategy (Sony, Antony &amp; McDermott, 2022). Also, transformational leaders enhance emotional intelligence among the teams, and it enhances the cohesion, morale, and reduces resistance against the adoption of technology (</w:t>
      </w:r>
      <w:proofErr w:type="spellStart"/>
      <w:r w:rsidRPr="008B2B84">
        <w:rPr>
          <w:rFonts w:ascii="Arial" w:hAnsi="Arial" w:cs="Arial"/>
          <w:sz w:val="22"/>
          <w:szCs w:val="22"/>
          <w:lang w:val="en-US"/>
        </w:rPr>
        <w:t>Stoumpos</w:t>
      </w:r>
      <w:proofErr w:type="spellEnd"/>
      <w:r w:rsidRPr="008B2B84">
        <w:rPr>
          <w:rFonts w:ascii="Arial" w:hAnsi="Arial" w:cs="Arial"/>
          <w:sz w:val="22"/>
          <w:szCs w:val="22"/>
          <w:lang w:val="en-US"/>
        </w:rPr>
        <w:t xml:space="preserve">, Kitsios </w:t>
      </w:r>
      <w:r>
        <w:rPr>
          <w:rFonts w:ascii="Arial" w:hAnsi="Arial" w:cs="Arial"/>
          <w:sz w:val="22"/>
          <w:szCs w:val="22"/>
          <w:lang w:val="en-US"/>
        </w:rPr>
        <w:t>&amp;</w:t>
      </w:r>
      <w:proofErr w:type="spellStart"/>
      <w:r w:rsidRPr="008B2B84">
        <w:rPr>
          <w:rFonts w:ascii="Arial" w:hAnsi="Arial" w:cs="Arial"/>
          <w:sz w:val="22"/>
          <w:szCs w:val="22"/>
          <w:lang w:val="en-US"/>
        </w:rPr>
        <w:t>Talias</w:t>
      </w:r>
      <w:proofErr w:type="spellEnd"/>
      <w:r w:rsidRPr="008B2B84">
        <w:rPr>
          <w:rFonts w:ascii="Arial" w:hAnsi="Arial" w:cs="Arial"/>
          <w:sz w:val="22"/>
          <w:szCs w:val="22"/>
          <w:lang w:val="en-US"/>
        </w:rPr>
        <w:t>, 2023). Without such leadership, the digital initiatives might be neglected, and this can adversely affect the improvement of patient safety (Wise, 2025).</w:t>
      </w:r>
      <w:r>
        <w:rPr>
          <w:rFonts w:ascii="Arial" w:hAnsi="Arial" w:cs="Arial"/>
          <w:sz w:val="22"/>
          <w:szCs w:val="22"/>
          <w:lang w:val="en-US"/>
        </w:rPr>
        <w:t xml:space="preserve"> </w:t>
      </w:r>
      <w:r w:rsidRPr="008B2B84">
        <w:rPr>
          <w:rFonts w:ascii="Arial" w:hAnsi="Arial" w:cs="Arial"/>
          <w:sz w:val="22"/>
          <w:szCs w:val="22"/>
          <w:lang w:val="en-US"/>
        </w:rPr>
        <w:t>Secondly, it is important to strengthen the governance and communication. This hybrid of centralization and decentralization in the NHS Digital has led to the ambiguity of implementation of digital tools (Sussex et al., 2024). The accountability lines, decision-making measures and national strategy of strategic plans of the country should therefore be enhanced, and the local trusts should be provided with the privilege to modify those strategies according to the needs of the regions. Good governance ensures standardization and interoperability of digital systems that reduce the separation of patient information and mistakes (</w:t>
      </w:r>
      <w:proofErr w:type="spellStart"/>
      <w:r w:rsidRPr="008B2B84">
        <w:rPr>
          <w:rFonts w:ascii="Arial" w:hAnsi="Arial" w:cs="Arial"/>
          <w:sz w:val="22"/>
          <w:szCs w:val="22"/>
          <w:lang w:val="en-US"/>
        </w:rPr>
        <w:t>Youseof</w:t>
      </w:r>
      <w:proofErr w:type="spellEnd"/>
      <w:r w:rsidRPr="008B2B84">
        <w:rPr>
          <w:rFonts w:ascii="Arial" w:hAnsi="Arial" w:cs="Arial"/>
          <w:sz w:val="22"/>
          <w:szCs w:val="22"/>
          <w:lang w:val="en-US"/>
        </w:rPr>
        <w:t xml:space="preserve"> </w:t>
      </w:r>
      <w:proofErr w:type="spellStart"/>
      <w:r w:rsidRPr="008B2B84">
        <w:rPr>
          <w:rFonts w:ascii="Arial" w:hAnsi="Arial" w:cs="Arial"/>
          <w:sz w:val="22"/>
          <w:szCs w:val="22"/>
          <w:lang w:val="en-US"/>
        </w:rPr>
        <w:t>Oskrochi</w:t>
      </w:r>
      <w:proofErr w:type="spellEnd"/>
      <w:r w:rsidRPr="008B2B84">
        <w:rPr>
          <w:rFonts w:ascii="Arial" w:hAnsi="Arial" w:cs="Arial"/>
          <w:sz w:val="22"/>
          <w:szCs w:val="22"/>
          <w:lang w:val="en-US"/>
        </w:rPr>
        <w:t xml:space="preserve"> et al., 2025). Simultaneously, the communication systems are to be improved to comprehend the policy, spread the policy changes promptly, and facilitate the interaction between a central leadership team and a local clinical team (</w:t>
      </w:r>
      <w:proofErr w:type="spellStart"/>
      <w:r w:rsidRPr="008B2B84">
        <w:rPr>
          <w:rFonts w:ascii="Arial" w:hAnsi="Arial" w:cs="Arial"/>
          <w:sz w:val="22"/>
          <w:szCs w:val="22"/>
          <w:lang w:val="en-US"/>
        </w:rPr>
        <w:t>Stoumpos</w:t>
      </w:r>
      <w:proofErr w:type="spellEnd"/>
      <w:r w:rsidRPr="008B2B84">
        <w:rPr>
          <w:rFonts w:ascii="Arial" w:hAnsi="Arial" w:cs="Arial"/>
          <w:sz w:val="22"/>
          <w:szCs w:val="22"/>
          <w:lang w:val="en-US"/>
        </w:rPr>
        <w:t>, 2023). This is because with better governance and communication, patient safety should be enhanced by the fact that all care environments may be digitized in a similar manner at all times.</w:t>
      </w:r>
    </w:p>
    <w:p w14:paraId="1A59CB6C" w14:textId="371E13D2" w:rsidR="008B2B84" w:rsidRDefault="008B2B84" w:rsidP="008B2B84">
      <w:pPr>
        <w:spacing w:after="0" w:line="360" w:lineRule="auto"/>
        <w:contextualSpacing/>
        <w:jc w:val="both"/>
        <w:rPr>
          <w:rFonts w:ascii="Arial" w:hAnsi="Arial" w:cs="Arial"/>
          <w:sz w:val="22"/>
          <w:szCs w:val="22"/>
          <w:lang w:val="en-US"/>
        </w:rPr>
      </w:pPr>
      <w:r w:rsidRPr="008B2B84">
        <w:rPr>
          <w:rFonts w:ascii="Arial" w:hAnsi="Arial" w:cs="Arial"/>
          <w:sz w:val="22"/>
          <w:szCs w:val="22"/>
          <w:lang w:val="en-US"/>
        </w:rPr>
        <w:br/>
        <w:t>Third, NHS Digital should be made more efficient through streamlining the processes and integrating digital technology into clinical practices in a natural way. The so-called artificial intelligence in the form of decision support system, such as, can not only be useful in enhancing the accuracy of the diagnosis and treatment options, but also in reducing the need to visit a medical facility in favor of telemedicine, platforms, which can alleviate the burden and pressure in the healthcare environment (Sirina Keesara, Jonas &amp; Schulman, 2020). It is, though, necessary that the implementation of these technologies will not introduce new complexity and workload. The electronic tools are expected to complement the existing processes rather than lead to confusion and duplication (Sony, Antony and McDermott, 2022). Properly implemented, these solutions will assist in streamlining coordination between healthcare providers, have the capability to do timely interventions and achieve better patient safety outcomes in the long run (</w:t>
      </w:r>
      <w:proofErr w:type="spellStart"/>
      <w:r w:rsidRPr="008B2B84">
        <w:rPr>
          <w:rFonts w:ascii="Arial" w:hAnsi="Arial" w:cs="Arial"/>
          <w:sz w:val="22"/>
          <w:szCs w:val="22"/>
          <w:lang w:val="en-US"/>
        </w:rPr>
        <w:t>Stoumpos</w:t>
      </w:r>
      <w:proofErr w:type="spellEnd"/>
      <w:r w:rsidRPr="008B2B84">
        <w:rPr>
          <w:rFonts w:ascii="Arial" w:hAnsi="Arial" w:cs="Arial"/>
          <w:sz w:val="22"/>
          <w:szCs w:val="22"/>
          <w:lang w:val="en-US"/>
        </w:rPr>
        <w:t xml:space="preserve">, Kitsios </w:t>
      </w:r>
      <w:r>
        <w:rPr>
          <w:rFonts w:ascii="Arial" w:hAnsi="Arial" w:cs="Arial"/>
          <w:sz w:val="22"/>
          <w:szCs w:val="22"/>
          <w:lang w:val="en-US"/>
        </w:rPr>
        <w:t>&amp;</w:t>
      </w:r>
      <w:r w:rsidRPr="008B2B84">
        <w:rPr>
          <w:rFonts w:ascii="Arial" w:hAnsi="Arial" w:cs="Arial"/>
          <w:sz w:val="22"/>
          <w:szCs w:val="22"/>
          <w:lang w:val="en-US"/>
        </w:rPr>
        <w:t xml:space="preserve"> </w:t>
      </w:r>
      <w:proofErr w:type="spellStart"/>
      <w:r w:rsidRPr="008B2B84">
        <w:rPr>
          <w:rFonts w:ascii="Arial" w:hAnsi="Arial" w:cs="Arial"/>
          <w:sz w:val="22"/>
          <w:szCs w:val="22"/>
          <w:lang w:val="en-US"/>
        </w:rPr>
        <w:t>Talias</w:t>
      </w:r>
      <w:proofErr w:type="spellEnd"/>
      <w:r w:rsidRPr="008B2B84">
        <w:rPr>
          <w:rFonts w:ascii="Arial" w:hAnsi="Arial" w:cs="Arial"/>
          <w:sz w:val="22"/>
          <w:szCs w:val="22"/>
          <w:lang w:val="en-US"/>
        </w:rPr>
        <w:t>, 2023).</w:t>
      </w:r>
      <w:r>
        <w:rPr>
          <w:rFonts w:ascii="Arial" w:hAnsi="Arial" w:cs="Arial"/>
          <w:sz w:val="22"/>
          <w:szCs w:val="22"/>
          <w:lang w:val="en-US"/>
        </w:rPr>
        <w:t xml:space="preserve"> </w:t>
      </w:r>
      <w:r w:rsidRPr="008B2B84">
        <w:rPr>
          <w:rFonts w:ascii="Arial" w:hAnsi="Arial" w:cs="Arial"/>
          <w:sz w:val="22"/>
          <w:szCs w:val="22"/>
          <w:lang w:val="en-US"/>
        </w:rPr>
        <w:t>Finally, the culture of never-stop learning should be encouraged in order to make digital health programs sustainable. Digital literacy should be provided to healthcare professionals and empower them to use digital tools safely and without any fear (Sussex et al., 2024). In addition, they should be provided with feedback mechanisms built on the needs of the patients, the systems must be responsive to the dynamic needs, and the staff should be capable of identifying and solving the problems (</w:t>
      </w:r>
      <w:proofErr w:type="spellStart"/>
      <w:r w:rsidRPr="008B2B84">
        <w:rPr>
          <w:rFonts w:ascii="Arial" w:hAnsi="Arial" w:cs="Arial"/>
          <w:sz w:val="22"/>
          <w:szCs w:val="22"/>
          <w:lang w:val="en-US"/>
        </w:rPr>
        <w:t>Yoesof</w:t>
      </w:r>
      <w:proofErr w:type="spellEnd"/>
      <w:r w:rsidRPr="008B2B84">
        <w:rPr>
          <w:rFonts w:ascii="Arial" w:hAnsi="Arial" w:cs="Arial"/>
          <w:sz w:val="22"/>
          <w:szCs w:val="22"/>
          <w:lang w:val="en-US"/>
        </w:rPr>
        <w:t xml:space="preserve"> </w:t>
      </w:r>
      <w:proofErr w:type="spellStart"/>
      <w:r w:rsidRPr="008B2B84">
        <w:rPr>
          <w:rFonts w:ascii="Arial" w:hAnsi="Arial" w:cs="Arial"/>
          <w:sz w:val="22"/>
          <w:szCs w:val="22"/>
          <w:lang w:val="en-US"/>
        </w:rPr>
        <w:t>Oskrochi</w:t>
      </w:r>
      <w:proofErr w:type="spellEnd"/>
      <w:r w:rsidRPr="008B2B84">
        <w:rPr>
          <w:rFonts w:ascii="Arial" w:hAnsi="Arial" w:cs="Arial"/>
          <w:sz w:val="22"/>
          <w:szCs w:val="22"/>
          <w:lang w:val="en-US"/>
        </w:rPr>
        <w:t xml:space="preserve"> et al., 2025). With the concept of constant professional growth </w:t>
      </w:r>
      <w:r w:rsidRPr="008B2B84">
        <w:rPr>
          <w:rFonts w:ascii="Arial" w:hAnsi="Arial" w:cs="Arial"/>
          <w:sz w:val="22"/>
          <w:szCs w:val="22"/>
          <w:lang w:val="en-US"/>
        </w:rPr>
        <w:lastRenderedPageBreak/>
        <w:t>integrated into NHS Digital, each employee will be prepared to accept any technological shift, prevent the absence of any progress and promote the learning culture (Wise, 2025). Also, the usability, reliability and safety of digital tools can be enhanced via the continuous evaluation and optimization (using the actual usage data) (</w:t>
      </w:r>
      <w:proofErr w:type="spellStart"/>
      <w:r w:rsidRPr="008B2B84">
        <w:rPr>
          <w:rFonts w:ascii="Arial" w:hAnsi="Arial" w:cs="Arial"/>
          <w:sz w:val="22"/>
          <w:szCs w:val="22"/>
          <w:lang w:val="en-US"/>
        </w:rPr>
        <w:t>Stoumpos</w:t>
      </w:r>
      <w:proofErr w:type="spellEnd"/>
      <w:r w:rsidRPr="008B2B84">
        <w:rPr>
          <w:rFonts w:ascii="Arial" w:hAnsi="Arial" w:cs="Arial"/>
          <w:sz w:val="22"/>
          <w:szCs w:val="22"/>
          <w:lang w:val="en-US"/>
        </w:rPr>
        <w:t xml:space="preserve">, Kitsios </w:t>
      </w:r>
      <w:r>
        <w:rPr>
          <w:rFonts w:ascii="Arial" w:hAnsi="Arial" w:cs="Arial"/>
          <w:sz w:val="22"/>
          <w:szCs w:val="22"/>
          <w:lang w:val="en-US"/>
        </w:rPr>
        <w:t>&amp;</w:t>
      </w:r>
      <w:r w:rsidRPr="008B2B84">
        <w:rPr>
          <w:rFonts w:ascii="Arial" w:hAnsi="Arial" w:cs="Arial"/>
          <w:sz w:val="22"/>
          <w:szCs w:val="22"/>
          <w:lang w:val="en-US"/>
        </w:rPr>
        <w:t xml:space="preserve"> </w:t>
      </w:r>
      <w:proofErr w:type="spellStart"/>
      <w:r w:rsidRPr="008B2B84">
        <w:rPr>
          <w:rFonts w:ascii="Arial" w:hAnsi="Arial" w:cs="Arial"/>
          <w:sz w:val="22"/>
          <w:szCs w:val="22"/>
          <w:lang w:val="en-US"/>
        </w:rPr>
        <w:t>Talias</w:t>
      </w:r>
      <w:proofErr w:type="spellEnd"/>
      <w:r w:rsidRPr="008B2B84">
        <w:rPr>
          <w:rFonts w:ascii="Arial" w:hAnsi="Arial" w:cs="Arial"/>
          <w:sz w:val="22"/>
          <w:szCs w:val="22"/>
          <w:lang w:val="en-US"/>
        </w:rPr>
        <w:t>, 2023).</w:t>
      </w:r>
      <w:r>
        <w:rPr>
          <w:rFonts w:ascii="Arial" w:hAnsi="Arial" w:cs="Arial"/>
          <w:sz w:val="22"/>
          <w:szCs w:val="22"/>
          <w:lang w:val="en-US"/>
        </w:rPr>
        <w:t xml:space="preserve"> </w:t>
      </w:r>
      <w:r w:rsidRPr="008B2B84">
        <w:rPr>
          <w:rFonts w:ascii="Arial" w:hAnsi="Arial" w:cs="Arial"/>
          <w:sz w:val="22"/>
          <w:szCs w:val="22"/>
          <w:lang w:val="en-US"/>
        </w:rPr>
        <w:t xml:space="preserve">In conclusion, NHS Digital must harness all four elements of transformational leadership, good governance, operational efficiency, and lifelong learning to improve the safety of patients by digitalizing it. Transformational leadership helps to promote engagement and reduce resistance, and improved governance and communication contribute to consistency and accountability. A culture of continuous learning equips the staff of the organization with the resources to adapt to the changes in technology in the future, the optimization of workflow and a combination of digital tools, which are more productive and risk-averse and minimize risks. NHS Digital will be able to construct a more secure and efficient healthcare system with the help of his recommendations and, therefore, the digital health innovations will be converted into practical changes in patient care and patient outcomes (Sirina Keesara, Jonas and Schulman, 2020; Sony, Antony and McDermott, 2022; </w:t>
      </w:r>
      <w:proofErr w:type="spellStart"/>
      <w:r w:rsidRPr="008B2B84">
        <w:rPr>
          <w:rFonts w:ascii="Arial" w:hAnsi="Arial" w:cs="Arial"/>
          <w:sz w:val="22"/>
          <w:szCs w:val="22"/>
          <w:lang w:val="en-US"/>
        </w:rPr>
        <w:t>Stoumpos</w:t>
      </w:r>
      <w:proofErr w:type="spellEnd"/>
      <w:r w:rsidRPr="008B2B84">
        <w:rPr>
          <w:rFonts w:ascii="Arial" w:hAnsi="Arial" w:cs="Arial"/>
          <w:sz w:val="22"/>
          <w:szCs w:val="22"/>
          <w:lang w:val="en-US"/>
        </w:rPr>
        <w:t xml:space="preserve">, Kitsios and </w:t>
      </w:r>
      <w:proofErr w:type="spellStart"/>
      <w:r w:rsidRPr="008B2B84">
        <w:rPr>
          <w:rFonts w:ascii="Arial" w:hAnsi="Arial" w:cs="Arial"/>
          <w:sz w:val="22"/>
          <w:szCs w:val="22"/>
          <w:lang w:val="en-US"/>
        </w:rPr>
        <w:t>Talias</w:t>
      </w:r>
      <w:proofErr w:type="spellEnd"/>
      <w:r w:rsidRPr="008B2B84">
        <w:rPr>
          <w:rFonts w:ascii="Arial" w:hAnsi="Arial" w:cs="Arial"/>
          <w:sz w:val="22"/>
          <w:szCs w:val="22"/>
          <w:lang w:val="en-US"/>
        </w:rPr>
        <w:t xml:space="preserve">, 2023; Sussex et al., 2024; Wise, 2025; Youssof </w:t>
      </w:r>
      <w:proofErr w:type="spellStart"/>
      <w:r w:rsidRPr="008B2B84">
        <w:rPr>
          <w:rFonts w:ascii="Arial" w:hAnsi="Arial" w:cs="Arial"/>
          <w:sz w:val="22"/>
          <w:szCs w:val="22"/>
          <w:lang w:val="en-US"/>
        </w:rPr>
        <w:t>Oskrochi</w:t>
      </w:r>
      <w:proofErr w:type="spellEnd"/>
      <w:r w:rsidRPr="008B2B84">
        <w:rPr>
          <w:rFonts w:ascii="Arial" w:hAnsi="Arial" w:cs="Arial"/>
          <w:sz w:val="22"/>
          <w:szCs w:val="22"/>
          <w:lang w:val="en-US"/>
        </w:rPr>
        <w:t xml:space="preserve"> et al., 2</w:t>
      </w:r>
      <w:r>
        <w:rPr>
          <w:rFonts w:ascii="Arial" w:hAnsi="Arial" w:cs="Arial"/>
          <w:sz w:val="22"/>
          <w:szCs w:val="22"/>
          <w:lang w:val="en-US"/>
        </w:rPr>
        <w:t>025)</w:t>
      </w:r>
    </w:p>
    <w:p w14:paraId="01BF7B09" w14:textId="01DDAF5A" w:rsidR="008B2B84" w:rsidRDefault="008B2B84" w:rsidP="008B2B84">
      <w:pPr>
        <w:spacing w:after="0" w:line="360" w:lineRule="auto"/>
        <w:contextualSpacing/>
        <w:jc w:val="both"/>
        <w:rPr>
          <w:rFonts w:ascii="Arial" w:hAnsi="Arial" w:cs="Arial"/>
          <w:b/>
          <w:bCs/>
          <w:sz w:val="22"/>
          <w:szCs w:val="22"/>
          <w:lang w:val="en-US"/>
        </w:rPr>
      </w:pPr>
    </w:p>
    <w:p w14:paraId="323D1259" w14:textId="070FE19E" w:rsidR="008B2B84" w:rsidRPr="008B2B84" w:rsidRDefault="008B2B84" w:rsidP="008B2B84">
      <w:pPr>
        <w:spacing w:after="0" w:line="360" w:lineRule="auto"/>
        <w:contextualSpacing/>
        <w:jc w:val="both"/>
        <w:rPr>
          <w:rFonts w:ascii="Arial" w:hAnsi="Arial" w:cs="Arial"/>
          <w:sz w:val="22"/>
          <w:szCs w:val="22"/>
          <w:lang w:val="en-US"/>
        </w:rPr>
      </w:pPr>
      <w:r w:rsidRPr="008B2B84">
        <w:rPr>
          <w:rFonts w:ascii="Arial" w:hAnsi="Arial" w:cs="Arial"/>
          <w:b/>
          <w:bCs/>
          <w:sz w:val="22"/>
          <w:szCs w:val="22"/>
          <w:lang w:val="en-US"/>
        </w:rPr>
        <w:t>4.Conclusion</w:t>
      </w:r>
      <w:r w:rsidRPr="008B2B84">
        <w:rPr>
          <w:rFonts w:ascii="Arial" w:hAnsi="Arial" w:cs="Arial"/>
          <w:sz w:val="22"/>
          <w:szCs w:val="22"/>
          <w:lang w:val="en-US"/>
        </w:rPr>
        <w:br/>
        <w:t xml:space="preserve">In conclusion, the concept of patient safety digitalization in NHS Digital is a pivotal transformation in delivering healthcare, and it might lead to the potential improvement of its quality, efficiency, and patient outcomes. The electronic health records (EHRs), interoperable systems, and telemedicine have been found capable of reducing medication errors, enhancing care coordination, and clinical decision-making (Camacho et al., 2024; Bahadori et al., 2025). These digital interventions nonetheless need good leadership, good governance, and alignment with the organization. </w:t>
      </w:r>
      <w:r>
        <w:rPr>
          <w:rFonts w:ascii="Arial" w:hAnsi="Arial" w:cs="Arial"/>
          <w:sz w:val="22"/>
          <w:szCs w:val="22"/>
          <w:lang w:val="en-US"/>
        </w:rPr>
        <w:t>T</w:t>
      </w:r>
      <w:r w:rsidRPr="008B2B84">
        <w:rPr>
          <w:rFonts w:ascii="Arial" w:hAnsi="Arial" w:cs="Arial"/>
          <w:sz w:val="22"/>
          <w:szCs w:val="22"/>
          <w:lang w:val="en-US"/>
        </w:rPr>
        <w:t>he case study, NHS Digital requires a distributed and transformational type of leadership. It is not only the need to make the adoption of the digital tools strategic, but also to empower the local healthcare providers so that they can tailor the systems to their environment (Sirina Keesara, Jonas</w:t>
      </w:r>
      <w:r>
        <w:rPr>
          <w:rFonts w:ascii="Arial" w:hAnsi="Arial" w:cs="Arial"/>
          <w:sz w:val="22"/>
          <w:szCs w:val="22"/>
          <w:lang w:val="en-US"/>
        </w:rPr>
        <w:t>&amp;</w:t>
      </w:r>
      <w:r w:rsidRPr="008B2B84">
        <w:rPr>
          <w:rFonts w:ascii="Arial" w:hAnsi="Arial" w:cs="Arial"/>
          <w:sz w:val="22"/>
          <w:szCs w:val="22"/>
          <w:lang w:val="en-US"/>
        </w:rPr>
        <w:t xml:space="preserve"> Schulman, 2020; </w:t>
      </w:r>
      <w:proofErr w:type="spellStart"/>
      <w:r w:rsidRPr="008B2B84">
        <w:rPr>
          <w:rFonts w:ascii="Arial" w:hAnsi="Arial" w:cs="Arial"/>
          <w:sz w:val="22"/>
          <w:szCs w:val="22"/>
          <w:lang w:val="en-US"/>
        </w:rPr>
        <w:t>Stoumpos</w:t>
      </w:r>
      <w:proofErr w:type="spellEnd"/>
      <w:r w:rsidRPr="008B2B84">
        <w:rPr>
          <w:rFonts w:ascii="Arial" w:hAnsi="Arial" w:cs="Arial"/>
          <w:sz w:val="22"/>
          <w:szCs w:val="22"/>
          <w:lang w:val="en-US"/>
        </w:rPr>
        <w:t xml:space="preserve">, Kitsios and </w:t>
      </w:r>
      <w:proofErr w:type="spellStart"/>
      <w:r w:rsidRPr="008B2B84">
        <w:rPr>
          <w:rFonts w:ascii="Arial" w:hAnsi="Arial" w:cs="Arial"/>
          <w:sz w:val="22"/>
          <w:szCs w:val="22"/>
          <w:lang w:val="en-US"/>
        </w:rPr>
        <w:t>Talias</w:t>
      </w:r>
      <w:proofErr w:type="spellEnd"/>
      <w:r w:rsidRPr="008B2B84">
        <w:rPr>
          <w:rFonts w:ascii="Arial" w:hAnsi="Arial" w:cs="Arial"/>
          <w:sz w:val="22"/>
          <w:szCs w:val="22"/>
          <w:lang w:val="en-US"/>
        </w:rPr>
        <w:t xml:space="preserve">, 2023). Otherwise, the digital initiatives will be at risk of resistance, low adoption, and implementation in bits. Transformational leaders create a culture of collaboration, innovation, and accountability, and hence, the engagement of employees is also converted into more effective and safe patient care. Moreover, governance and communication formations are significant in bringing uniformity in the NHS. Transparent local accountability should be established to complement the existence of centralized policies that do not cause disparities in the rates of dissemination of information and patient safety (Sussex et al., 2024; Youssof </w:t>
      </w:r>
      <w:proofErr w:type="spellStart"/>
      <w:r w:rsidRPr="008B2B84">
        <w:rPr>
          <w:rFonts w:ascii="Arial" w:hAnsi="Arial" w:cs="Arial"/>
          <w:sz w:val="22"/>
          <w:szCs w:val="22"/>
          <w:lang w:val="en-US"/>
        </w:rPr>
        <w:t>Oskrochi</w:t>
      </w:r>
      <w:proofErr w:type="spellEnd"/>
      <w:r w:rsidRPr="008B2B84">
        <w:rPr>
          <w:rFonts w:ascii="Arial" w:hAnsi="Arial" w:cs="Arial"/>
          <w:sz w:val="22"/>
          <w:szCs w:val="22"/>
          <w:lang w:val="en-US"/>
        </w:rPr>
        <w:t xml:space="preserve"> et al., 2025). Without such integration, the advantages of digitalization are undermined by the incoherence of the working processes, patient records, and the lack of </w:t>
      </w:r>
      <w:r w:rsidRPr="008B2B84">
        <w:rPr>
          <w:rFonts w:ascii="Arial" w:hAnsi="Arial" w:cs="Arial"/>
          <w:sz w:val="22"/>
          <w:szCs w:val="22"/>
          <w:lang w:val="en-US"/>
        </w:rPr>
        <w:lastRenderedPageBreak/>
        <w:t>efficiency in the care delivery process. Finally, systems thinking also cannot be ignored in the context of the sustainable digital transformation. NHS Digital should consider a holistic approach, in which the leadership, governance, and technology collaborate, as opposed to using a discrete intervention approach (Flott, Maguire and Phillips, 2021). By focusing on the entire healthcare ecosystem, the organization will be in a position to maximize patient safety, improve outcomes, and build a resilient structure that will be capable of adapting to the emerging technological and clinical challenges in the future. Effective digitalization is therefore not just a technical one but a long-term, organization-wide endeavor to change the way the process of healthcare delivery is carried out throughout England.</w:t>
      </w:r>
    </w:p>
    <w:p w14:paraId="6BF5C03D" w14:textId="77777777" w:rsidR="008B2B84" w:rsidRPr="00301443" w:rsidRDefault="008B2B84" w:rsidP="008B2B84">
      <w:pPr>
        <w:rPr>
          <w:sz w:val="22"/>
          <w:szCs w:val="22"/>
        </w:rPr>
      </w:pPr>
    </w:p>
    <w:p w14:paraId="1CE821CE" w14:textId="77777777" w:rsidR="00641038" w:rsidRDefault="00641038" w:rsidP="00641038"/>
    <w:p w14:paraId="5B5AB2F1" w14:textId="77777777" w:rsidR="00641038" w:rsidRDefault="00641038" w:rsidP="00D167DA">
      <w:pPr>
        <w:spacing w:line="360" w:lineRule="auto"/>
        <w:jc w:val="both"/>
      </w:pPr>
    </w:p>
    <w:p w14:paraId="6C4268B7" w14:textId="77777777" w:rsidR="00D167DA" w:rsidRDefault="00D167DA" w:rsidP="00D167DA">
      <w:pPr>
        <w:spacing w:line="360" w:lineRule="auto"/>
      </w:pPr>
      <w:r>
        <w:br w:type="page"/>
      </w:r>
    </w:p>
    <w:p w14:paraId="2FB9DD94" w14:textId="772850CB" w:rsidR="00BB2A01" w:rsidRPr="008B2B84" w:rsidRDefault="00BB2A01" w:rsidP="008B2B84">
      <w:pPr>
        <w:spacing w:after="0" w:line="360" w:lineRule="auto"/>
        <w:ind w:left="720" w:hanging="720"/>
        <w:contextualSpacing/>
        <w:jc w:val="both"/>
        <w:rPr>
          <w:rFonts w:ascii="Arial" w:hAnsi="Arial" w:cs="Arial"/>
          <w:sz w:val="22"/>
          <w:szCs w:val="22"/>
        </w:rPr>
      </w:pPr>
      <w:r w:rsidRPr="008B2B84">
        <w:rPr>
          <w:rFonts w:ascii="Arial" w:hAnsi="Arial" w:cs="Arial"/>
          <w:sz w:val="22"/>
          <w:szCs w:val="22"/>
        </w:rPr>
        <w:lastRenderedPageBreak/>
        <w:t>Reference</w:t>
      </w:r>
      <w:r w:rsidR="00B17470" w:rsidRPr="008B2B84">
        <w:rPr>
          <w:rFonts w:ascii="Arial" w:hAnsi="Arial" w:cs="Arial"/>
          <w:sz w:val="22"/>
          <w:szCs w:val="22"/>
        </w:rPr>
        <w:t xml:space="preserve"> List</w:t>
      </w:r>
    </w:p>
    <w:p w14:paraId="0E4B76E0"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Ahmed, H &amp; Rizvi, SA 2025, ‘Unifying NHS Electronic Prescribing and Health Records: Bridging the Digital Divide’, </w:t>
      </w:r>
      <w:proofErr w:type="spellStart"/>
      <w:r w:rsidRPr="008B2B84">
        <w:rPr>
          <w:rFonts w:ascii="Arial" w:hAnsi="Arial" w:cs="Arial"/>
          <w:i/>
          <w:iCs/>
          <w:sz w:val="22"/>
          <w:szCs w:val="22"/>
        </w:rPr>
        <w:t>Cureus</w:t>
      </w:r>
      <w:proofErr w:type="spellEnd"/>
      <w:r w:rsidRPr="008B2B84">
        <w:rPr>
          <w:rFonts w:ascii="Arial" w:hAnsi="Arial" w:cs="Arial"/>
          <w:sz w:val="22"/>
          <w:szCs w:val="22"/>
        </w:rPr>
        <w:t xml:space="preserve">, Springer Science and Business Media LLC, viewed 14 March 2026, </w:t>
      </w:r>
      <w:hyperlink r:id="rId9" w:history="1">
        <w:r w:rsidRPr="008B2B84">
          <w:rPr>
            <w:rStyle w:val="Hyperlink"/>
            <w:rFonts w:ascii="Arial" w:hAnsi="Arial" w:cs="Arial"/>
            <w:color w:val="auto"/>
            <w:sz w:val="22"/>
            <w:szCs w:val="22"/>
          </w:rPr>
          <w:t>https://pubmed.ncbi.nlm.nih.gov/40666567/</w:t>
        </w:r>
      </w:hyperlink>
      <w:r w:rsidRPr="008B2B84">
        <w:rPr>
          <w:rFonts w:ascii="Arial" w:hAnsi="Arial" w:cs="Arial"/>
          <w:sz w:val="22"/>
          <w:szCs w:val="22"/>
        </w:rPr>
        <w:t>.</w:t>
      </w:r>
    </w:p>
    <w:p w14:paraId="001C2F4B"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Akhtar, N, Khan, N, Qayyum, S, Qureshi, MI &amp; Hishan, SS 2022, ‘Efficacy and pitfalls of digital technologies in healthcare services: A systematic review of two decades’, </w:t>
      </w:r>
      <w:r w:rsidRPr="008B2B84">
        <w:rPr>
          <w:rFonts w:ascii="Arial" w:hAnsi="Arial" w:cs="Arial"/>
          <w:i/>
          <w:iCs/>
          <w:sz w:val="22"/>
          <w:szCs w:val="22"/>
        </w:rPr>
        <w:t>Frontiers in Public Health</w:t>
      </w:r>
      <w:r w:rsidRPr="008B2B84">
        <w:rPr>
          <w:rFonts w:ascii="Arial" w:hAnsi="Arial" w:cs="Arial"/>
          <w:sz w:val="22"/>
          <w:szCs w:val="22"/>
        </w:rPr>
        <w:t xml:space="preserve">, vol. 10, Frontiers Media SA, viewed 14 March 2026, </w:t>
      </w:r>
      <w:hyperlink r:id="rId10" w:history="1">
        <w:r w:rsidRPr="008B2B84">
          <w:rPr>
            <w:rStyle w:val="Hyperlink"/>
            <w:rFonts w:ascii="Arial" w:hAnsi="Arial" w:cs="Arial"/>
            <w:color w:val="auto"/>
            <w:sz w:val="22"/>
            <w:szCs w:val="22"/>
          </w:rPr>
          <w:t>https://pmc.ncbi.nlm.nih.gov/articles/PMC9523565/</w:t>
        </w:r>
      </w:hyperlink>
      <w:r w:rsidRPr="008B2B84">
        <w:rPr>
          <w:rFonts w:ascii="Arial" w:hAnsi="Arial" w:cs="Arial"/>
          <w:sz w:val="22"/>
          <w:szCs w:val="22"/>
        </w:rPr>
        <w:t>.</w:t>
      </w:r>
    </w:p>
    <w:p w14:paraId="544F0166"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Alami, H, Gagnon, M-P &amp; Fortin, J-P 2017, ‘Digital health and the challenge of health systems transformation’, </w:t>
      </w:r>
      <w:r w:rsidRPr="008B2B84">
        <w:rPr>
          <w:rFonts w:ascii="Arial" w:hAnsi="Arial" w:cs="Arial"/>
          <w:i/>
          <w:iCs/>
          <w:sz w:val="22"/>
          <w:szCs w:val="22"/>
        </w:rPr>
        <w:t>mHealth</w:t>
      </w:r>
      <w:r w:rsidRPr="008B2B84">
        <w:rPr>
          <w:rFonts w:ascii="Arial" w:hAnsi="Arial" w:cs="Arial"/>
          <w:sz w:val="22"/>
          <w:szCs w:val="22"/>
        </w:rPr>
        <w:t xml:space="preserve">, vol. 3, AME Publishing Company, pp. 31–31, viewed 14 March 2026, </w:t>
      </w:r>
      <w:hyperlink r:id="rId11" w:history="1">
        <w:r w:rsidRPr="008B2B84">
          <w:rPr>
            <w:rStyle w:val="Hyperlink"/>
            <w:rFonts w:ascii="Arial" w:hAnsi="Arial" w:cs="Arial"/>
            <w:color w:val="auto"/>
            <w:sz w:val="22"/>
            <w:szCs w:val="22"/>
          </w:rPr>
          <w:t>https://pubmed.ncbi.nlm.nih.gov/28894741/</w:t>
        </w:r>
      </w:hyperlink>
      <w:r w:rsidRPr="008B2B84">
        <w:rPr>
          <w:rFonts w:ascii="Arial" w:hAnsi="Arial" w:cs="Arial"/>
          <w:sz w:val="22"/>
          <w:szCs w:val="22"/>
        </w:rPr>
        <w:t>.</w:t>
      </w:r>
    </w:p>
    <w:p w14:paraId="75F585E3" w14:textId="77777777" w:rsidR="00170F24" w:rsidRPr="008B2B84" w:rsidRDefault="00170F24" w:rsidP="008B2B84">
      <w:pPr>
        <w:spacing w:after="0" w:line="360" w:lineRule="auto"/>
        <w:ind w:left="720" w:hanging="720"/>
        <w:contextualSpacing/>
        <w:jc w:val="both"/>
        <w:rPr>
          <w:rFonts w:ascii="Arial" w:hAnsi="Arial" w:cs="Arial"/>
          <w:sz w:val="22"/>
          <w:szCs w:val="22"/>
        </w:rPr>
      </w:pPr>
      <w:r w:rsidRPr="008B2B84">
        <w:rPr>
          <w:rFonts w:ascii="Arial" w:hAnsi="Arial" w:cs="Arial"/>
          <w:sz w:val="22"/>
          <w:szCs w:val="22"/>
        </w:rPr>
        <w:t>Allcock, J.A., Zhuang, M., Li, S. and Zhao, X., 2024. Landscape of digital technologies used in the national health service in England: content analysis. </w:t>
      </w:r>
      <w:r w:rsidRPr="008B2B84">
        <w:rPr>
          <w:rFonts w:ascii="Arial" w:hAnsi="Arial" w:cs="Arial"/>
          <w:i/>
          <w:iCs/>
          <w:sz w:val="22"/>
          <w:szCs w:val="22"/>
        </w:rPr>
        <w:t>JMIR Formative Research</w:t>
      </w:r>
      <w:r w:rsidRPr="008B2B84">
        <w:rPr>
          <w:rFonts w:ascii="Arial" w:hAnsi="Arial" w:cs="Arial"/>
          <w:sz w:val="22"/>
          <w:szCs w:val="22"/>
        </w:rPr>
        <w:t>, </w:t>
      </w:r>
      <w:r w:rsidRPr="008B2B84">
        <w:rPr>
          <w:rFonts w:ascii="Arial" w:hAnsi="Arial" w:cs="Arial"/>
          <w:i/>
          <w:iCs/>
          <w:sz w:val="22"/>
          <w:szCs w:val="22"/>
        </w:rPr>
        <w:t>8</w:t>
      </w:r>
      <w:r w:rsidRPr="008B2B84">
        <w:rPr>
          <w:rFonts w:ascii="Arial" w:hAnsi="Arial" w:cs="Arial"/>
          <w:sz w:val="22"/>
          <w:szCs w:val="22"/>
        </w:rPr>
        <w:t xml:space="preserve">, p.e51859. Available at: </w:t>
      </w:r>
      <w:hyperlink r:id="rId12" w:history="1">
        <w:r w:rsidRPr="008B2B84">
          <w:rPr>
            <w:rStyle w:val="Hyperlink"/>
            <w:rFonts w:ascii="Arial" w:hAnsi="Arial" w:cs="Arial"/>
            <w:color w:val="auto"/>
            <w:sz w:val="22"/>
            <w:szCs w:val="22"/>
          </w:rPr>
          <w:t>https://www.ncbi.nlm.nih.gov/pmc/articles/PMC11069097/</w:t>
        </w:r>
      </w:hyperlink>
      <w:r w:rsidRPr="008B2B84">
        <w:rPr>
          <w:rFonts w:ascii="Arial" w:hAnsi="Arial" w:cs="Arial"/>
          <w:sz w:val="22"/>
          <w:szCs w:val="22"/>
        </w:rPr>
        <w:t xml:space="preserve">  (Accessed: 6 March 2026).</w:t>
      </w:r>
    </w:p>
    <w:p w14:paraId="671E49E7"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Alotaibi, N, Wilson, CB &amp; Traynor, M 2025, ‘Enhancing digital readiness and capability in healthcare: a systematic review of interventions, barriers, and facilitators’, </w:t>
      </w:r>
      <w:r w:rsidRPr="008B2B84">
        <w:rPr>
          <w:rFonts w:ascii="Arial" w:hAnsi="Arial" w:cs="Arial"/>
          <w:i/>
          <w:iCs/>
          <w:sz w:val="22"/>
          <w:szCs w:val="22"/>
        </w:rPr>
        <w:t>BMC Health Services Research</w:t>
      </w:r>
      <w:r w:rsidRPr="008B2B84">
        <w:rPr>
          <w:rFonts w:ascii="Arial" w:hAnsi="Arial" w:cs="Arial"/>
          <w:sz w:val="22"/>
          <w:szCs w:val="22"/>
        </w:rPr>
        <w:t xml:space="preserve">, vol. 25, Springer Science and Business Media LLC, no. 1, viewed 14 March 2026, </w:t>
      </w:r>
      <w:hyperlink r:id="rId13" w:history="1">
        <w:r w:rsidRPr="008B2B84">
          <w:rPr>
            <w:rStyle w:val="Hyperlink"/>
            <w:rFonts w:ascii="Arial" w:hAnsi="Arial" w:cs="Arial"/>
            <w:color w:val="auto"/>
            <w:sz w:val="22"/>
            <w:szCs w:val="22"/>
          </w:rPr>
          <w:t>https://link.springer.com/article/10.1186/s12913-025-12663-3</w:t>
        </w:r>
      </w:hyperlink>
      <w:r w:rsidRPr="008B2B84">
        <w:rPr>
          <w:rFonts w:ascii="Arial" w:hAnsi="Arial" w:cs="Arial"/>
          <w:sz w:val="22"/>
          <w:szCs w:val="22"/>
        </w:rPr>
        <w:t>.</w:t>
      </w:r>
    </w:p>
    <w:p w14:paraId="10060740"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Alotaibi, YK &amp; Federico, F 2017, ‘The impact of health information technology on patient safety’, </w:t>
      </w:r>
      <w:r w:rsidRPr="008B2B84">
        <w:rPr>
          <w:rFonts w:ascii="Arial" w:hAnsi="Arial" w:cs="Arial"/>
          <w:i/>
          <w:iCs/>
          <w:sz w:val="22"/>
          <w:szCs w:val="22"/>
        </w:rPr>
        <w:t>Saudi Medical Journal</w:t>
      </w:r>
      <w:r w:rsidRPr="008B2B84">
        <w:rPr>
          <w:rFonts w:ascii="Arial" w:hAnsi="Arial" w:cs="Arial"/>
          <w:sz w:val="22"/>
          <w:szCs w:val="22"/>
        </w:rPr>
        <w:t xml:space="preserve">, vol. 38, Saudi Medical Journal, no. 12, pp. 1173–1180, viewed 14 March 2026, </w:t>
      </w:r>
      <w:hyperlink r:id="rId14" w:history="1">
        <w:r w:rsidRPr="008B2B84">
          <w:rPr>
            <w:rStyle w:val="Hyperlink"/>
            <w:rFonts w:ascii="Arial" w:hAnsi="Arial" w:cs="Arial"/>
            <w:color w:val="auto"/>
            <w:sz w:val="22"/>
            <w:szCs w:val="22"/>
          </w:rPr>
          <w:t>https://pmc.ncbi.nlm.nih.gov/articles/PMC5787626/</w:t>
        </w:r>
      </w:hyperlink>
      <w:r w:rsidRPr="008B2B84">
        <w:rPr>
          <w:rFonts w:ascii="Arial" w:hAnsi="Arial" w:cs="Arial"/>
          <w:sz w:val="22"/>
          <w:szCs w:val="22"/>
        </w:rPr>
        <w:t>.</w:t>
      </w:r>
    </w:p>
    <w:p w14:paraId="5250DE0B"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Bahadori, S, Buckle, P, Tayana Soukup Ascensao, Saira Ghafur &amp; Kierkegaard, P 2025, ‘Evolving Digital Health Technologies: Aligning With and Enhancing the National Institute for Health and Care Excellence Evidence Standards Framework’, </w:t>
      </w:r>
      <w:r w:rsidRPr="008B2B84">
        <w:rPr>
          <w:rFonts w:ascii="Arial" w:hAnsi="Arial" w:cs="Arial"/>
          <w:i/>
          <w:iCs/>
          <w:sz w:val="22"/>
          <w:szCs w:val="22"/>
        </w:rPr>
        <w:t xml:space="preserve">JMIR </w:t>
      </w:r>
      <w:proofErr w:type="spellStart"/>
      <w:r w:rsidRPr="008B2B84">
        <w:rPr>
          <w:rFonts w:ascii="Arial" w:hAnsi="Arial" w:cs="Arial"/>
          <w:i/>
          <w:iCs/>
          <w:sz w:val="22"/>
          <w:szCs w:val="22"/>
        </w:rPr>
        <w:t>mhealth</w:t>
      </w:r>
      <w:proofErr w:type="spellEnd"/>
      <w:r w:rsidRPr="008B2B84">
        <w:rPr>
          <w:rFonts w:ascii="Arial" w:hAnsi="Arial" w:cs="Arial"/>
          <w:i/>
          <w:iCs/>
          <w:sz w:val="22"/>
          <w:szCs w:val="22"/>
        </w:rPr>
        <w:t xml:space="preserve"> and </w:t>
      </w:r>
      <w:proofErr w:type="spellStart"/>
      <w:r w:rsidRPr="008B2B84">
        <w:rPr>
          <w:rFonts w:ascii="Arial" w:hAnsi="Arial" w:cs="Arial"/>
          <w:i/>
          <w:iCs/>
          <w:sz w:val="22"/>
          <w:szCs w:val="22"/>
        </w:rPr>
        <w:t>uhealth</w:t>
      </w:r>
      <w:proofErr w:type="spellEnd"/>
      <w:r w:rsidRPr="008B2B84">
        <w:rPr>
          <w:rFonts w:ascii="Arial" w:hAnsi="Arial" w:cs="Arial"/>
          <w:sz w:val="22"/>
          <w:szCs w:val="22"/>
        </w:rPr>
        <w:t xml:space="preserve">, vol. 13, JMIR Publications, pp. e67435–e67435, viewed 14 March 2026, </w:t>
      </w:r>
      <w:hyperlink r:id="rId15" w:history="1">
        <w:r w:rsidRPr="008B2B84">
          <w:rPr>
            <w:rStyle w:val="Hyperlink"/>
            <w:rFonts w:ascii="Arial" w:hAnsi="Arial" w:cs="Arial"/>
            <w:color w:val="auto"/>
            <w:sz w:val="22"/>
            <w:szCs w:val="22"/>
          </w:rPr>
          <w:t>https://pmc.ncbi.nlm.nih.gov/articles/PMC12373408/</w:t>
        </w:r>
      </w:hyperlink>
      <w:r w:rsidRPr="008B2B84">
        <w:rPr>
          <w:rFonts w:ascii="Arial" w:hAnsi="Arial" w:cs="Arial"/>
          <w:sz w:val="22"/>
          <w:szCs w:val="22"/>
        </w:rPr>
        <w:t>.</w:t>
      </w:r>
    </w:p>
    <w:p w14:paraId="036323E4"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Camacho, EM, Gavan, S, Keers, RN, Chuter, A &amp; Elliott, RA 2024, ‘Estimating the impact on patient safety of enabling the digital transfer of patients’ prescription information in the English NHS’, </w:t>
      </w:r>
      <w:r w:rsidRPr="008B2B84">
        <w:rPr>
          <w:rFonts w:ascii="Arial" w:hAnsi="Arial" w:cs="Arial"/>
          <w:i/>
          <w:iCs/>
          <w:sz w:val="22"/>
          <w:szCs w:val="22"/>
        </w:rPr>
        <w:t>BMJ Quality &amp; Safety</w:t>
      </w:r>
      <w:r w:rsidRPr="008B2B84">
        <w:rPr>
          <w:rFonts w:ascii="Arial" w:hAnsi="Arial" w:cs="Arial"/>
          <w:sz w:val="22"/>
          <w:szCs w:val="22"/>
        </w:rPr>
        <w:t xml:space="preserve">, vol. 33, BMJ, no. 11, pp. 726–737, viewed 14 March 2026, </w:t>
      </w:r>
      <w:hyperlink r:id="rId16" w:history="1">
        <w:r w:rsidRPr="008B2B84">
          <w:rPr>
            <w:rStyle w:val="Hyperlink"/>
            <w:rFonts w:ascii="Arial" w:hAnsi="Arial" w:cs="Arial"/>
            <w:color w:val="auto"/>
            <w:sz w:val="22"/>
            <w:szCs w:val="22"/>
          </w:rPr>
          <w:t>https://pubmed.ncbi.nlm.nih.gov/38531659/</w:t>
        </w:r>
      </w:hyperlink>
      <w:r w:rsidRPr="008B2B84">
        <w:rPr>
          <w:rFonts w:ascii="Arial" w:hAnsi="Arial" w:cs="Arial"/>
          <w:sz w:val="22"/>
          <w:szCs w:val="22"/>
        </w:rPr>
        <w:t>.</w:t>
      </w:r>
    </w:p>
    <w:p w14:paraId="671F7EBD"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Clarke, A, Adamson, J, Watt, I, Sheard, L, Cairns, P &amp; Wright, J 2016, ‘The impact of electronic records on patient safety: a qualitative study’, </w:t>
      </w:r>
      <w:r w:rsidRPr="008B2B84">
        <w:rPr>
          <w:rFonts w:ascii="Arial" w:hAnsi="Arial" w:cs="Arial"/>
          <w:i/>
          <w:iCs/>
          <w:sz w:val="22"/>
          <w:szCs w:val="22"/>
        </w:rPr>
        <w:t>BMC Medical Informatics and Decision Making</w:t>
      </w:r>
      <w:r w:rsidRPr="008B2B84">
        <w:rPr>
          <w:rFonts w:ascii="Arial" w:hAnsi="Arial" w:cs="Arial"/>
          <w:sz w:val="22"/>
          <w:szCs w:val="22"/>
        </w:rPr>
        <w:t xml:space="preserve">, vol. 16, BioMed Central, no. 1, pp. 62–62, viewed 14 March 2026, </w:t>
      </w:r>
      <w:hyperlink r:id="rId17" w:history="1">
        <w:r w:rsidRPr="008B2B84">
          <w:rPr>
            <w:rStyle w:val="Hyperlink"/>
            <w:rFonts w:ascii="Arial" w:hAnsi="Arial" w:cs="Arial"/>
            <w:color w:val="auto"/>
            <w:sz w:val="22"/>
            <w:szCs w:val="22"/>
          </w:rPr>
          <w:t>https://link.springer.com/article/10.1186/s12911-016-0299-y</w:t>
        </w:r>
      </w:hyperlink>
    </w:p>
    <w:p w14:paraId="3E4E0382" w14:textId="77777777" w:rsidR="00170F24" w:rsidRPr="008B2B84" w:rsidRDefault="00170F24" w:rsidP="008B2B84">
      <w:pPr>
        <w:spacing w:after="0" w:line="360" w:lineRule="auto"/>
        <w:ind w:left="720" w:hanging="720"/>
        <w:contextualSpacing/>
        <w:jc w:val="both"/>
        <w:rPr>
          <w:rFonts w:ascii="Arial" w:hAnsi="Arial" w:cs="Arial"/>
          <w:sz w:val="22"/>
          <w:szCs w:val="22"/>
        </w:rPr>
      </w:pPr>
      <w:r w:rsidRPr="008B2B84">
        <w:rPr>
          <w:rFonts w:ascii="Arial" w:hAnsi="Arial" w:cs="Arial"/>
          <w:sz w:val="22"/>
          <w:szCs w:val="22"/>
        </w:rPr>
        <w:t xml:space="preserve">Cresswell, K., Anderson, S., Elizondo, A.M. and Williams, R., 2024. Opportunities and challenges of promoting integrated care through digitalisation–learning lessons from </w:t>
      </w:r>
      <w:r w:rsidRPr="008B2B84">
        <w:rPr>
          <w:rFonts w:ascii="Arial" w:hAnsi="Arial" w:cs="Arial"/>
          <w:sz w:val="22"/>
          <w:szCs w:val="22"/>
        </w:rPr>
        <w:lastRenderedPageBreak/>
        <w:t>large-scale national programmes in England. </w:t>
      </w:r>
      <w:r w:rsidRPr="008B2B84">
        <w:rPr>
          <w:rFonts w:ascii="Arial" w:hAnsi="Arial" w:cs="Arial"/>
          <w:i/>
          <w:iCs/>
          <w:sz w:val="22"/>
          <w:szCs w:val="22"/>
        </w:rPr>
        <w:t>Health Policy and Technology</w:t>
      </w:r>
      <w:r w:rsidRPr="008B2B84">
        <w:rPr>
          <w:rFonts w:ascii="Arial" w:hAnsi="Arial" w:cs="Arial"/>
          <w:sz w:val="22"/>
          <w:szCs w:val="22"/>
        </w:rPr>
        <w:t>, </w:t>
      </w:r>
      <w:r w:rsidRPr="008B2B84">
        <w:rPr>
          <w:rFonts w:ascii="Arial" w:hAnsi="Arial" w:cs="Arial"/>
          <w:i/>
          <w:iCs/>
          <w:sz w:val="22"/>
          <w:szCs w:val="22"/>
        </w:rPr>
        <w:t>13</w:t>
      </w:r>
      <w:r w:rsidRPr="008B2B84">
        <w:rPr>
          <w:rFonts w:ascii="Arial" w:hAnsi="Arial" w:cs="Arial"/>
          <w:sz w:val="22"/>
          <w:szCs w:val="22"/>
        </w:rPr>
        <w:t xml:space="preserve">(2), p.100838. Available at: </w:t>
      </w:r>
      <w:hyperlink r:id="rId18" w:tgtFrame="_new" w:history="1">
        <w:r w:rsidRPr="008B2B84">
          <w:rPr>
            <w:rStyle w:val="Hyperlink"/>
            <w:rFonts w:ascii="Arial" w:hAnsi="Arial" w:cs="Arial"/>
            <w:color w:val="auto"/>
            <w:sz w:val="22"/>
            <w:szCs w:val="22"/>
          </w:rPr>
          <w:t>https://www.sciencedirect.com/science/article/pii/S2211883724000017</w:t>
        </w:r>
      </w:hyperlink>
      <w:r w:rsidRPr="008B2B84">
        <w:rPr>
          <w:rFonts w:ascii="Arial" w:hAnsi="Arial" w:cs="Arial"/>
          <w:sz w:val="22"/>
          <w:szCs w:val="22"/>
        </w:rPr>
        <w:t xml:space="preserve"> (Accessed: 6 March 2026).</w:t>
      </w:r>
    </w:p>
    <w:p w14:paraId="51E96CD0" w14:textId="77777777" w:rsidR="00170F24" w:rsidRPr="008B2B84" w:rsidRDefault="00170F24" w:rsidP="008B2B84">
      <w:pPr>
        <w:spacing w:after="0" w:line="360" w:lineRule="auto"/>
        <w:ind w:left="720" w:hanging="720"/>
        <w:contextualSpacing/>
        <w:jc w:val="both"/>
        <w:rPr>
          <w:rFonts w:ascii="Arial" w:hAnsi="Arial" w:cs="Arial"/>
          <w:sz w:val="22"/>
          <w:szCs w:val="22"/>
        </w:rPr>
      </w:pPr>
      <w:r w:rsidRPr="008B2B84">
        <w:rPr>
          <w:rFonts w:ascii="Arial" w:hAnsi="Arial" w:cs="Arial"/>
          <w:sz w:val="22"/>
          <w:szCs w:val="22"/>
        </w:rPr>
        <w:t>Flott, K., Maguire, J. and Phillips, N., 2021. Digital safety: the next frontier for patient safety. </w:t>
      </w:r>
      <w:r w:rsidRPr="008B2B84">
        <w:rPr>
          <w:rFonts w:ascii="Arial" w:hAnsi="Arial" w:cs="Arial"/>
          <w:i/>
          <w:iCs/>
          <w:sz w:val="22"/>
          <w:szCs w:val="22"/>
        </w:rPr>
        <w:t>Future Healthcare Journal</w:t>
      </w:r>
      <w:r w:rsidRPr="008B2B84">
        <w:rPr>
          <w:rFonts w:ascii="Arial" w:hAnsi="Arial" w:cs="Arial"/>
          <w:sz w:val="22"/>
          <w:szCs w:val="22"/>
        </w:rPr>
        <w:t>, </w:t>
      </w:r>
      <w:r w:rsidRPr="008B2B84">
        <w:rPr>
          <w:rFonts w:ascii="Arial" w:hAnsi="Arial" w:cs="Arial"/>
          <w:i/>
          <w:iCs/>
          <w:sz w:val="22"/>
          <w:szCs w:val="22"/>
        </w:rPr>
        <w:t>8</w:t>
      </w:r>
      <w:r w:rsidRPr="008B2B84">
        <w:rPr>
          <w:rFonts w:ascii="Arial" w:hAnsi="Arial" w:cs="Arial"/>
          <w:sz w:val="22"/>
          <w:szCs w:val="22"/>
        </w:rPr>
        <w:t xml:space="preserve">(3), </w:t>
      </w:r>
      <w:proofErr w:type="gramStart"/>
      <w:r w:rsidRPr="008B2B84">
        <w:rPr>
          <w:rFonts w:ascii="Arial" w:hAnsi="Arial" w:cs="Arial"/>
          <w:sz w:val="22"/>
          <w:szCs w:val="22"/>
        </w:rPr>
        <w:t>pp.e</w:t>
      </w:r>
      <w:proofErr w:type="gramEnd"/>
      <w:r w:rsidRPr="008B2B84">
        <w:rPr>
          <w:rFonts w:ascii="Arial" w:hAnsi="Arial" w:cs="Arial"/>
          <w:sz w:val="22"/>
          <w:szCs w:val="22"/>
        </w:rPr>
        <w:t xml:space="preserve">598-e601. Available at: </w:t>
      </w:r>
      <w:hyperlink r:id="rId19" w:tgtFrame="_new" w:history="1">
        <w:r w:rsidRPr="008B2B84">
          <w:rPr>
            <w:rStyle w:val="Hyperlink"/>
            <w:rFonts w:ascii="Arial" w:hAnsi="Arial" w:cs="Arial"/>
            <w:color w:val="auto"/>
            <w:sz w:val="22"/>
            <w:szCs w:val="22"/>
          </w:rPr>
          <w:t>https://pmc.ncbi.nlm.nih.gov/articles/PMC8651323/</w:t>
        </w:r>
      </w:hyperlink>
      <w:r w:rsidRPr="008B2B84">
        <w:rPr>
          <w:rFonts w:ascii="Arial" w:hAnsi="Arial" w:cs="Arial"/>
          <w:sz w:val="22"/>
          <w:szCs w:val="22"/>
        </w:rPr>
        <w:t xml:space="preserve"> (Accessed: 6 March 2026).</w:t>
      </w:r>
    </w:p>
    <w:p w14:paraId="0300588F"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Gondi, S, Powers, BW &amp; Shrank, WH 2022, ‘Evidence and Efficacy in the Era of Digital Care’, </w:t>
      </w:r>
      <w:r w:rsidRPr="008B2B84">
        <w:rPr>
          <w:rFonts w:ascii="Arial" w:hAnsi="Arial" w:cs="Arial"/>
          <w:i/>
          <w:iCs/>
          <w:sz w:val="22"/>
          <w:szCs w:val="22"/>
        </w:rPr>
        <w:t>Journal of General Internal Medicine</w:t>
      </w:r>
      <w:r w:rsidRPr="008B2B84">
        <w:rPr>
          <w:rFonts w:ascii="Arial" w:hAnsi="Arial" w:cs="Arial"/>
          <w:sz w:val="22"/>
          <w:szCs w:val="22"/>
        </w:rPr>
        <w:t xml:space="preserve">, vol. 37, Springer Science and Business Media LLC, no. 10, pp. 2559–2561, viewed 14 March 2026, </w:t>
      </w:r>
      <w:hyperlink r:id="rId20" w:history="1">
        <w:r w:rsidRPr="008B2B84">
          <w:rPr>
            <w:rStyle w:val="Hyperlink"/>
            <w:rFonts w:ascii="Arial" w:hAnsi="Arial" w:cs="Arial"/>
            <w:color w:val="auto"/>
            <w:sz w:val="22"/>
            <w:szCs w:val="22"/>
          </w:rPr>
          <w:t>https://pmc.ncbi.nlm.nih.gov/articles/PMC9360364/</w:t>
        </w:r>
      </w:hyperlink>
      <w:r w:rsidRPr="008B2B84">
        <w:rPr>
          <w:rFonts w:ascii="Arial" w:hAnsi="Arial" w:cs="Arial"/>
          <w:sz w:val="22"/>
          <w:szCs w:val="22"/>
        </w:rPr>
        <w:t>.</w:t>
      </w:r>
    </w:p>
    <w:p w14:paraId="3F521621"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Kruse, CS, Kristof, C, Jones, B, Mitchell, E &amp; Martinez, A 2016, ‘Barriers to Electronic Health Record Adoption: a Systematic Literature Review’, </w:t>
      </w:r>
      <w:r w:rsidRPr="008B2B84">
        <w:rPr>
          <w:rFonts w:ascii="Arial" w:hAnsi="Arial" w:cs="Arial"/>
          <w:i/>
          <w:iCs/>
          <w:sz w:val="22"/>
          <w:szCs w:val="22"/>
        </w:rPr>
        <w:t>Journal of Medical Systems</w:t>
      </w:r>
      <w:r w:rsidRPr="008B2B84">
        <w:rPr>
          <w:rFonts w:ascii="Arial" w:hAnsi="Arial" w:cs="Arial"/>
          <w:sz w:val="22"/>
          <w:szCs w:val="22"/>
        </w:rPr>
        <w:t xml:space="preserve">, vol. 40, Springer </w:t>
      </w:r>
      <w:proofErr w:type="spellStart"/>
      <w:r w:rsidRPr="008B2B84">
        <w:rPr>
          <w:rFonts w:ascii="Arial" w:hAnsi="Arial" w:cs="Arial"/>
          <w:sz w:val="22"/>
          <w:szCs w:val="22"/>
        </w:rPr>
        <w:t>Science+Business</w:t>
      </w:r>
      <w:proofErr w:type="spellEnd"/>
      <w:r w:rsidRPr="008B2B84">
        <w:rPr>
          <w:rFonts w:ascii="Arial" w:hAnsi="Arial" w:cs="Arial"/>
          <w:sz w:val="22"/>
          <w:szCs w:val="22"/>
        </w:rPr>
        <w:t xml:space="preserve"> Media, no. 12, pp. 252–252, viewed 14 March 2026, </w:t>
      </w:r>
      <w:hyperlink r:id="rId21" w:history="1">
        <w:r w:rsidRPr="008B2B84">
          <w:rPr>
            <w:rStyle w:val="Hyperlink"/>
            <w:rFonts w:ascii="Arial" w:hAnsi="Arial" w:cs="Arial"/>
            <w:color w:val="auto"/>
            <w:sz w:val="22"/>
            <w:szCs w:val="22"/>
          </w:rPr>
          <w:t>https://pubmed.ncbi.nlm.nih.gov/27714560/</w:t>
        </w:r>
      </w:hyperlink>
      <w:r w:rsidRPr="008B2B84">
        <w:rPr>
          <w:rFonts w:ascii="Arial" w:hAnsi="Arial" w:cs="Arial"/>
          <w:sz w:val="22"/>
          <w:szCs w:val="22"/>
        </w:rPr>
        <w:t>.</w:t>
      </w:r>
    </w:p>
    <w:p w14:paraId="4B27C1F6"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 xml:space="preserve">Li, E, Lounsbury, O, Hasnain, M, Hutan </w:t>
      </w:r>
      <w:proofErr w:type="spellStart"/>
      <w:r w:rsidRPr="008B2B84">
        <w:rPr>
          <w:rFonts w:ascii="Arial" w:hAnsi="Arial" w:cs="Arial"/>
          <w:sz w:val="22"/>
          <w:szCs w:val="22"/>
        </w:rPr>
        <w:t>Ashrafian</w:t>
      </w:r>
      <w:proofErr w:type="spellEnd"/>
      <w:r w:rsidRPr="008B2B84">
        <w:rPr>
          <w:rFonts w:ascii="Arial" w:hAnsi="Arial" w:cs="Arial"/>
          <w:sz w:val="22"/>
          <w:szCs w:val="22"/>
        </w:rPr>
        <w:t>, Darzi, A, Neves, AL &amp; Clarke, J 2025, ‘Physician experiences of electronic health record interoperability and its practical impact on care delivery in the English NHS: a cross-sectional survey study’, </w:t>
      </w:r>
      <w:r w:rsidRPr="008B2B84">
        <w:rPr>
          <w:rFonts w:ascii="Arial" w:hAnsi="Arial" w:cs="Arial"/>
          <w:i/>
          <w:iCs/>
          <w:sz w:val="22"/>
          <w:szCs w:val="22"/>
        </w:rPr>
        <w:t>BMJ Open</w:t>
      </w:r>
      <w:r w:rsidRPr="008B2B84">
        <w:rPr>
          <w:rFonts w:ascii="Arial" w:hAnsi="Arial" w:cs="Arial"/>
          <w:sz w:val="22"/>
          <w:szCs w:val="22"/>
        </w:rPr>
        <w:t xml:space="preserve">, vol. 15, BMJ, no. 6, pp. e096669–e096669, viewed 14 March 2026, </w:t>
      </w:r>
      <w:hyperlink r:id="rId22" w:history="1">
        <w:r w:rsidRPr="008B2B84">
          <w:rPr>
            <w:rStyle w:val="Hyperlink"/>
            <w:rFonts w:ascii="Arial" w:hAnsi="Arial" w:cs="Arial"/>
            <w:color w:val="auto"/>
            <w:sz w:val="22"/>
            <w:szCs w:val="22"/>
          </w:rPr>
          <w:t>https://pubmed.ncbi.nlm.nih.gov/40499968/</w:t>
        </w:r>
      </w:hyperlink>
      <w:r w:rsidRPr="008B2B84">
        <w:rPr>
          <w:rFonts w:ascii="Arial" w:hAnsi="Arial" w:cs="Arial"/>
          <w:sz w:val="22"/>
          <w:szCs w:val="22"/>
        </w:rPr>
        <w:t>.</w:t>
      </w:r>
    </w:p>
    <w:p w14:paraId="4F48E045"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Morley, J, Barry, E &amp; Hiam, L 2025, ‘Can a digital NHS be equitable?’, </w:t>
      </w:r>
      <w:r w:rsidRPr="008B2B84">
        <w:rPr>
          <w:rFonts w:ascii="Arial" w:hAnsi="Arial" w:cs="Arial"/>
          <w:i/>
          <w:iCs/>
          <w:sz w:val="22"/>
          <w:szCs w:val="22"/>
        </w:rPr>
        <w:t>BMJ</w:t>
      </w:r>
      <w:r w:rsidRPr="008B2B84">
        <w:rPr>
          <w:rFonts w:ascii="Arial" w:hAnsi="Arial" w:cs="Arial"/>
          <w:sz w:val="22"/>
          <w:szCs w:val="22"/>
        </w:rPr>
        <w:t xml:space="preserve">, vol. 389, BMJ, p. r1317, viewed 14 March 2026, </w:t>
      </w:r>
      <w:hyperlink r:id="rId23" w:history="1">
        <w:r w:rsidRPr="008B2B84">
          <w:rPr>
            <w:rStyle w:val="Hyperlink"/>
            <w:rFonts w:ascii="Arial" w:hAnsi="Arial" w:cs="Arial"/>
            <w:color w:val="auto"/>
            <w:sz w:val="22"/>
            <w:szCs w:val="22"/>
          </w:rPr>
          <w:t>https://www.bmj.com/content/389/bmj.r1317</w:t>
        </w:r>
      </w:hyperlink>
      <w:r w:rsidRPr="008B2B84">
        <w:rPr>
          <w:rFonts w:ascii="Arial" w:hAnsi="Arial" w:cs="Arial"/>
          <w:sz w:val="22"/>
          <w:szCs w:val="22"/>
        </w:rPr>
        <w:t>.</w:t>
      </w:r>
    </w:p>
    <w:p w14:paraId="39D0921B" w14:textId="77777777" w:rsidR="00170F24" w:rsidRPr="008B2B84" w:rsidRDefault="00170F24" w:rsidP="008B2B84">
      <w:pPr>
        <w:spacing w:after="0" w:line="360" w:lineRule="auto"/>
        <w:ind w:left="720" w:hanging="720"/>
        <w:contextualSpacing/>
        <w:jc w:val="both"/>
        <w:rPr>
          <w:rFonts w:ascii="Arial" w:hAnsi="Arial" w:cs="Arial"/>
          <w:sz w:val="22"/>
          <w:szCs w:val="22"/>
        </w:rPr>
      </w:pPr>
      <w:r w:rsidRPr="008B2B84">
        <w:rPr>
          <w:rFonts w:ascii="Arial" w:hAnsi="Arial" w:cs="Arial"/>
          <w:sz w:val="22"/>
          <w:szCs w:val="22"/>
        </w:rPr>
        <w:t>Neves, A.L., 2021. The NHS digital clinical safety strategy. </w:t>
      </w:r>
      <w:proofErr w:type="spellStart"/>
      <w:r w:rsidRPr="008B2B84">
        <w:rPr>
          <w:rFonts w:ascii="Arial" w:hAnsi="Arial" w:cs="Arial"/>
          <w:i/>
          <w:iCs/>
          <w:sz w:val="22"/>
          <w:szCs w:val="22"/>
        </w:rPr>
        <w:t>bmj</w:t>
      </w:r>
      <w:proofErr w:type="spellEnd"/>
      <w:r w:rsidRPr="008B2B84">
        <w:rPr>
          <w:rFonts w:ascii="Arial" w:hAnsi="Arial" w:cs="Arial"/>
          <w:sz w:val="22"/>
          <w:szCs w:val="22"/>
        </w:rPr>
        <w:t>, </w:t>
      </w:r>
      <w:r w:rsidRPr="008B2B84">
        <w:rPr>
          <w:rFonts w:ascii="Arial" w:hAnsi="Arial" w:cs="Arial"/>
          <w:i/>
          <w:iCs/>
          <w:sz w:val="22"/>
          <w:szCs w:val="22"/>
        </w:rPr>
        <w:t>375</w:t>
      </w:r>
      <w:r w:rsidRPr="008B2B84">
        <w:rPr>
          <w:rFonts w:ascii="Arial" w:hAnsi="Arial" w:cs="Arial"/>
          <w:sz w:val="22"/>
          <w:szCs w:val="22"/>
        </w:rPr>
        <w:t xml:space="preserve">. Available at: </w:t>
      </w:r>
      <w:hyperlink r:id="rId24" w:tgtFrame="_new" w:history="1">
        <w:r w:rsidRPr="008B2B84">
          <w:rPr>
            <w:rStyle w:val="Hyperlink"/>
            <w:rFonts w:ascii="Arial" w:hAnsi="Arial" w:cs="Arial"/>
            <w:color w:val="auto"/>
            <w:sz w:val="22"/>
            <w:szCs w:val="22"/>
          </w:rPr>
          <w:t>https://pubmed.ncbi.nlm.nih.gov/34862185/</w:t>
        </w:r>
      </w:hyperlink>
      <w:r w:rsidRPr="008B2B84">
        <w:rPr>
          <w:rFonts w:ascii="Arial" w:hAnsi="Arial" w:cs="Arial"/>
          <w:sz w:val="22"/>
          <w:szCs w:val="22"/>
        </w:rPr>
        <w:t xml:space="preserve"> (Accessed: 6 March 2026).</w:t>
      </w:r>
    </w:p>
    <w:p w14:paraId="3D7154AE" w14:textId="2504A358" w:rsidR="008B2B84" w:rsidRPr="008B2B84" w:rsidRDefault="00170F24" w:rsidP="008B2B84">
      <w:pPr>
        <w:spacing w:after="0" w:line="360" w:lineRule="auto"/>
        <w:ind w:left="720" w:hanging="720"/>
        <w:contextualSpacing/>
        <w:jc w:val="both"/>
        <w:rPr>
          <w:rFonts w:ascii="Arial" w:hAnsi="Arial" w:cs="Arial"/>
          <w:sz w:val="22"/>
          <w:szCs w:val="22"/>
        </w:rPr>
      </w:pPr>
      <w:r w:rsidRPr="008B2B84">
        <w:rPr>
          <w:rFonts w:ascii="Arial" w:hAnsi="Arial" w:cs="Arial"/>
          <w:sz w:val="22"/>
          <w:szCs w:val="22"/>
        </w:rPr>
        <w:t xml:space="preserve">NHS England, 2021. </w:t>
      </w:r>
      <w:r w:rsidRPr="008B2B84">
        <w:rPr>
          <w:rFonts w:ascii="Arial" w:hAnsi="Arial" w:cs="Arial"/>
          <w:i/>
          <w:iCs/>
          <w:sz w:val="22"/>
          <w:szCs w:val="22"/>
        </w:rPr>
        <w:t>Digital clinical safety strategy</w:t>
      </w:r>
      <w:r w:rsidRPr="008B2B84">
        <w:rPr>
          <w:rFonts w:ascii="Arial" w:hAnsi="Arial" w:cs="Arial"/>
          <w:sz w:val="22"/>
          <w:szCs w:val="22"/>
        </w:rPr>
        <w:t xml:space="preserve">. Available at: </w:t>
      </w:r>
      <w:hyperlink r:id="rId25" w:tgtFrame="_new" w:history="1">
        <w:r w:rsidRPr="008B2B84">
          <w:rPr>
            <w:rStyle w:val="Hyperlink"/>
            <w:rFonts w:ascii="Arial" w:hAnsi="Arial" w:cs="Arial"/>
            <w:color w:val="auto"/>
            <w:sz w:val="22"/>
            <w:szCs w:val="22"/>
          </w:rPr>
          <w:t>https://www.england.nhs.uk/patient-safety/patient-safety-systems/digital-clinical-safety-strategy/</w:t>
        </w:r>
      </w:hyperlink>
      <w:r w:rsidRPr="008B2B84">
        <w:rPr>
          <w:rFonts w:ascii="Arial" w:hAnsi="Arial" w:cs="Arial"/>
          <w:sz w:val="22"/>
          <w:szCs w:val="22"/>
        </w:rPr>
        <w:t xml:space="preserve"> (Accessed: 6 March 2026).</w:t>
      </w:r>
    </w:p>
    <w:p w14:paraId="524C0952" w14:textId="4A0E634F" w:rsidR="008B2B84" w:rsidRPr="008B2B84" w:rsidRDefault="00170F24" w:rsidP="008B2B84">
      <w:pPr>
        <w:spacing w:after="0" w:line="360" w:lineRule="auto"/>
        <w:ind w:left="720" w:hanging="720"/>
        <w:contextualSpacing/>
        <w:jc w:val="both"/>
        <w:rPr>
          <w:rFonts w:ascii="Arial" w:hAnsi="Arial" w:cs="Arial"/>
          <w:sz w:val="22"/>
          <w:szCs w:val="22"/>
        </w:rPr>
      </w:pPr>
      <w:r w:rsidRPr="008B2B84">
        <w:rPr>
          <w:rFonts w:ascii="Arial" w:hAnsi="Arial" w:cs="Arial"/>
          <w:sz w:val="22"/>
          <w:szCs w:val="22"/>
        </w:rPr>
        <w:t xml:space="preserve">NHS England, 2025. </w:t>
      </w:r>
      <w:r w:rsidRPr="008B2B84">
        <w:rPr>
          <w:rFonts w:ascii="Arial" w:hAnsi="Arial" w:cs="Arial"/>
          <w:i/>
          <w:iCs/>
          <w:sz w:val="22"/>
          <w:szCs w:val="22"/>
        </w:rPr>
        <w:t>Review of digital clinical safety standards: DCB0129 and DCB0160</w:t>
      </w:r>
      <w:r w:rsidRPr="008B2B84">
        <w:rPr>
          <w:rFonts w:ascii="Arial" w:hAnsi="Arial" w:cs="Arial"/>
          <w:sz w:val="22"/>
          <w:szCs w:val="22"/>
        </w:rPr>
        <w:t xml:space="preserve">. Available at: </w:t>
      </w:r>
      <w:hyperlink r:id="rId26" w:tgtFrame="_new" w:history="1">
        <w:r w:rsidRPr="008B2B84">
          <w:rPr>
            <w:rStyle w:val="Hyperlink"/>
            <w:rFonts w:ascii="Arial" w:hAnsi="Arial" w:cs="Arial"/>
            <w:color w:val="auto"/>
            <w:sz w:val="22"/>
            <w:szCs w:val="22"/>
          </w:rPr>
          <w:t>https://digital.nhs.uk/data-and-information/information-standards/governance/latest-activity/standards-and-collections/review-of-digital-clinical-safety-standards-dcb0129-and-dcb0160</w:t>
        </w:r>
      </w:hyperlink>
      <w:r w:rsidRPr="008B2B84">
        <w:rPr>
          <w:rFonts w:ascii="Arial" w:hAnsi="Arial" w:cs="Arial"/>
          <w:sz w:val="22"/>
          <w:szCs w:val="22"/>
        </w:rPr>
        <w:t xml:space="preserve"> (Accessed: 6 March 2026).</w:t>
      </w:r>
    </w:p>
    <w:p w14:paraId="6C725360" w14:textId="77777777" w:rsidR="00170F24" w:rsidRPr="008B2B84" w:rsidRDefault="00170F24" w:rsidP="008B2B84">
      <w:pPr>
        <w:spacing w:after="0" w:line="360" w:lineRule="auto"/>
        <w:ind w:left="720" w:hanging="720"/>
        <w:contextualSpacing/>
        <w:jc w:val="both"/>
        <w:rPr>
          <w:rFonts w:ascii="Arial" w:hAnsi="Arial" w:cs="Arial"/>
          <w:sz w:val="22"/>
          <w:szCs w:val="22"/>
        </w:rPr>
      </w:pPr>
      <w:proofErr w:type="spellStart"/>
      <w:r w:rsidRPr="008B2B84">
        <w:rPr>
          <w:rFonts w:ascii="Arial" w:hAnsi="Arial" w:cs="Arial"/>
          <w:sz w:val="22"/>
          <w:szCs w:val="22"/>
        </w:rPr>
        <w:t>Oskrochi</w:t>
      </w:r>
      <w:proofErr w:type="spellEnd"/>
      <w:r w:rsidRPr="008B2B84">
        <w:rPr>
          <w:rFonts w:ascii="Arial" w:hAnsi="Arial" w:cs="Arial"/>
          <w:sz w:val="22"/>
          <w:szCs w:val="22"/>
        </w:rPr>
        <w:t xml:space="preserve">, Y., Roy-Highley, E., Grimes, K. and Shah, S., 2025. Digital Health Technology Compliance </w:t>
      </w:r>
      <w:proofErr w:type="gramStart"/>
      <w:r w:rsidRPr="008B2B84">
        <w:rPr>
          <w:rFonts w:ascii="Arial" w:hAnsi="Arial" w:cs="Arial"/>
          <w:sz w:val="22"/>
          <w:szCs w:val="22"/>
        </w:rPr>
        <w:t>With</w:t>
      </w:r>
      <w:proofErr w:type="gramEnd"/>
      <w:r w:rsidRPr="008B2B84">
        <w:rPr>
          <w:rFonts w:ascii="Arial" w:hAnsi="Arial" w:cs="Arial"/>
          <w:sz w:val="22"/>
          <w:szCs w:val="22"/>
        </w:rPr>
        <w:t xml:space="preserve"> Clinical Safety Standards </w:t>
      </w:r>
      <w:proofErr w:type="gramStart"/>
      <w:r w:rsidRPr="008B2B84">
        <w:rPr>
          <w:rFonts w:ascii="Arial" w:hAnsi="Arial" w:cs="Arial"/>
          <w:sz w:val="22"/>
          <w:szCs w:val="22"/>
        </w:rPr>
        <w:t>In</w:t>
      </w:r>
      <w:proofErr w:type="gramEnd"/>
      <w:r w:rsidRPr="008B2B84">
        <w:rPr>
          <w:rFonts w:ascii="Arial" w:hAnsi="Arial" w:cs="Arial"/>
          <w:sz w:val="22"/>
          <w:szCs w:val="22"/>
        </w:rPr>
        <w:t xml:space="preserve"> the National Health Service in England: National Cross-Sectional Study. </w:t>
      </w:r>
      <w:r w:rsidRPr="008B2B84">
        <w:rPr>
          <w:rFonts w:ascii="Arial" w:hAnsi="Arial" w:cs="Arial"/>
          <w:i/>
          <w:iCs/>
          <w:sz w:val="22"/>
          <w:szCs w:val="22"/>
        </w:rPr>
        <w:t>Journal of Medical Internet Research</w:t>
      </w:r>
      <w:r w:rsidRPr="008B2B84">
        <w:rPr>
          <w:rFonts w:ascii="Arial" w:hAnsi="Arial" w:cs="Arial"/>
          <w:sz w:val="22"/>
          <w:szCs w:val="22"/>
        </w:rPr>
        <w:t>, </w:t>
      </w:r>
      <w:r w:rsidRPr="008B2B84">
        <w:rPr>
          <w:rFonts w:ascii="Arial" w:hAnsi="Arial" w:cs="Arial"/>
          <w:i/>
          <w:iCs/>
          <w:sz w:val="22"/>
          <w:szCs w:val="22"/>
        </w:rPr>
        <w:t>27</w:t>
      </w:r>
      <w:r w:rsidRPr="008B2B84">
        <w:rPr>
          <w:rFonts w:ascii="Arial" w:hAnsi="Arial" w:cs="Arial"/>
          <w:sz w:val="22"/>
          <w:szCs w:val="22"/>
        </w:rPr>
        <w:t xml:space="preserve">, p.e80076. Available at: </w:t>
      </w:r>
      <w:hyperlink r:id="rId27" w:tgtFrame="_new" w:history="1">
        <w:r w:rsidRPr="008B2B84">
          <w:rPr>
            <w:rStyle w:val="Hyperlink"/>
            <w:rFonts w:ascii="Arial" w:hAnsi="Arial" w:cs="Arial"/>
            <w:color w:val="auto"/>
            <w:sz w:val="22"/>
            <w:szCs w:val="22"/>
          </w:rPr>
          <w:t>https://www.jmir.org/2025/1/e80076</w:t>
        </w:r>
      </w:hyperlink>
      <w:r w:rsidRPr="008B2B84">
        <w:rPr>
          <w:rFonts w:ascii="Arial" w:hAnsi="Arial" w:cs="Arial"/>
          <w:sz w:val="22"/>
          <w:szCs w:val="22"/>
        </w:rPr>
        <w:t xml:space="preserve"> (Accessed: 6 March 2026).</w:t>
      </w:r>
    </w:p>
    <w:p w14:paraId="2B0FE481" w14:textId="1BBDFDE9" w:rsidR="00170F24" w:rsidRPr="008B2B84" w:rsidRDefault="00170F24" w:rsidP="008B2B84">
      <w:pPr>
        <w:spacing w:after="0" w:line="360" w:lineRule="auto"/>
        <w:ind w:left="720" w:hanging="720"/>
        <w:contextualSpacing/>
        <w:jc w:val="both"/>
        <w:rPr>
          <w:rFonts w:ascii="Arial" w:hAnsi="Arial" w:cs="Arial"/>
          <w:sz w:val="22"/>
          <w:szCs w:val="22"/>
        </w:rPr>
      </w:pPr>
      <w:r w:rsidRPr="008B2B84">
        <w:rPr>
          <w:rFonts w:ascii="Arial" w:hAnsi="Arial" w:cs="Arial"/>
          <w:sz w:val="22"/>
          <w:szCs w:val="22"/>
        </w:rPr>
        <w:t xml:space="preserve">Reis, ZSN, Maia, TA, Marcolino, MS, Becerra-Posada, F, Novillo-Ortiz, D &amp; Ribeiro, ALP 2017, ‘Is There Evidence of Cost Benefits of Electronic Medical Records, Standards, or </w:t>
      </w:r>
      <w:r w:rsidRPr="008B2B84">
        <w:rPr>
          <w:rFonts w:ascii="Arial" w:hAnsi="Arial" w:cs="Arial"/>
          <w:sz w:val="22"/>
          <w:szCs w:val="22"/>
        </w:rPr>
        <w:lastRenderedPageBreak/>
        <w:t>Interoperability in Hospital Information Systems? Overview of Systematic Reviews’, </w:t>
      </w:r>
      <w:r w:rsidRPr="008B2B84">
        <w:rPr>
          <w:rFonts w:ascii="Arial" w:hAnsi="Arial" w:cs="Arial"/>
          <w:i/>
          <w:iCs/>
          <w:sz w:val="22"/>
          <w:szCs w:val="22"/>
        </w:rPr>
        <w:t>JMIR Medical Informatics</w:t>
      </w:r>
      <w:r w:rsidRPr="008B2B84">
        <w:rPr>
          <w:rFonts w:ascii="Arial" w:hAnsi="Arial" w:cs="Arial"/>
          <w:sz w:val="22"/>
          <w:szCs w:val="22"/>
        </w:rPr>
        <w:t xml:space="preserve">, vol. 5, JMIR Publications Inc., no. 3, p. e26, viewed 14 March 2026, </w:t>
      </w:r>
      <w:hyperlink r:id="rId28" w:history="1">
        <w:r w:rsidRPr="008B2B84">
          <w:rPr>
            <w:rStyle w:val="Hyperlink"/>
            <w:rFonts w:ascii="Arial" w:hAnsi="Arial" w:cs="Arial"/>
            <w:color w:val="auto"/>
            <w:sz w:val="22"/>
            <w:szCs w:val="22"/>
          </w:rPr>
          <w:t>https://pubmed.ncbi.nlm.nih.gov/28851681/</w:t>
        </w:r>
      </w:hyperlink>
      <w:r w:rsidRPr="008B2B84">
        <w:rPr>
          <w:rFonts w:ascii="Arial" w:hAnsi="Arial" w:cs="Arial"/>
          <w:sz w:val="22"/>
          <w:szCs w:val="22"/>
        </w:rPr>
        <w:t>.</w:t>
      </w:r>
    </w:p>
    <w:p w14:paraId="78F56A01"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Reddy, S, Allan, S, Coghlan, S &amp; Cooper, P 2019, ‘A governance model for the application of AI in health care’, </w:t>
      </w:r>
      <w:r w:rsidRPr="008B2B84">
        <w:rPr>
          <w:rFonts w:ascii="Arial" w:hAnsi="Arial" w:cs="Arial"/>
          <w:i/>
          <w:iCs/>
          <w:sz w:val="22"/>
          <w:szCs w:val="22"/>
        </w:rPr>
        <w:t>Journal of the American Medical Informatics Association</w:t>
      </w:r>
      <w:r w:rsidRPr="008B2B84">
        <w:rPr>
          <w:rFonts w:ascii="Arial" w:hAnsi="Arial" w:cs="Arial"/>
          <w:sz w:val="22"/>
          <w:szCs w:val="22"/>
        </w:rPr>
        <w:t xml:space="preserve">, vol. 27, Oxford University Press (OUP), no. 3, pp. 491–497, viewed 14 March 2026, </w:t>
      </w:r>
      <w:hyperlink r:id="rId29" w:history="1">
        <w:r w:rsidRPr="008B2B84">
          <w:rPr>
            <w:rStyle w:val="Hyperlink"/>
            <w:rFonts w:ascii="Arial" w:hAnsi="Arial" w:cs="Arial"/>
            <w:color w:val="auto"/>
            <w:sz w:val="22"/>
            <w:szCs w:val="22"/>
          </w:rPr>
          <w:t>https://pubmed.ncbi.nlm.nih.gov/31682262/</w:t>
        </w:r>
      </w:hyperlink>
      <w:r w:rsidRPr="008B2B84">
        <w:rPr>
          <w:rFonts w:ascii="Arial" w:hAnsi="Arial" w:cs="Arial"/>
          <w:sz w:val="22"/>
          <w:szCs w:val="22"/>
        </w:rPr>
        <w:t>.</w:t>
      </w:r>
    </w:p>
    <w:p w14:paraId="79F0AA5C"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 xml:space="preserve">Reidy, C, Chrysanthi Papoutsi, KC, S, </w:t>
      </w:r>
      <w:proofErr w:type="spellStart"/>
      <w:r w:rsidRPr="008B2B84">
        <w:rPr>
          <w:rFonts w:ascii="Arial" w:hAnsi="Arial" w:cs="Arial"/>
          <w:sz w:val="22"/>
          <w:szCs w:val="22"/>
        </w:rPr>
        <w:t>Gudgin</w:t>
      </w:r>
      <w:proofErr w:type="spellEnd"/>
      <w:r w:rsidRPr="008B2B84">
        <w:rPr>
          <w:rFonts w:ascii="Arial" w:hAnsi="Arial" w:cs="Arial"/>
          <w:sz w:val="22"/>
          <w:szCs w:val="22"/>
        </w:rPr>
        <w:t>, B, Laverty, AA, Greaves, F &amp; Powell, J 2025, ‘Qualitative evaluation of the implementation and national roll-out of the NHS App in England’, </w:t>
      </w:r>
      <w:r w:rsidRPr="008B2B84">
        <w:rPr>
          <w:rFonts w:ascii="Arial" w:hAnsi="Arial" w:cs="Arial"/>
          <w:i/>
          <w:iCs/>
          <w:sz w:val="22"/>
          <w:szCs w:val="22"/>
        </w:rPr>
        <w:t>BMC Medicine</w:t>
      </w:r>
      <w:r w:rsidRPr="008B2B84">
        <w:rPr>
          <w:rFonts w:ascii="Arial" w:hAnsi="Arial" w:cs="Arial"/>
          <w:sz w:val="22"/>
          <w:szCs w:val="22"/>
        </w:rPr>
        <w:t xml:space="preserve">, vol. 23, BioMed Central, no. 1, pp. 20–20, viewed 14 March 2026, </w:t>
      </w:r>
      <w:hyperlink r:id="rId30" w:history="1">
        <w:r w:rsidRPr="008B2B84">
          <w:rPr>
            <w:rStyle w:val="Hyperlink"/>
            <w:rFonts w:ascii="Arial" w:hAnsi="Arial" w:cs="Arial"/>
            <w:color w:val="auto"/>
            <w:sz w:val="22"/>
            <w:szCs w:val="22"/>
          </w:rPr>
          <w:t>https://link.springer.com/article/10.1186/s12916-024-03842-w</w:t>
        </w:r>
      </w:hyperlink>
      <w:r w:rsidRPr="008B2B84">
        <w:rPr>
          <w:rFonts w:ascii="Arial" w:hAnsi="Arial" w:cs="Arial"/>
          <w:sz w:val="22"/>
          <w:szCs w:val="22"/>
        </w:rPr>
        <w:t>.</w:t>
      </w:r>
    </w:p>
    <w:p w14:paraId="20C49152"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 xml:space="preserve">Secundo, G, Toma, A, </w:t>
      </w:r>
      <w:proofErr w:type="spellStart"/>
      <w:r w:rsidRPr="008B2B84">
        <w:rPr>
          <w:rFonts w:ascii="Arial" w:hAnsi="Arial" w:cs="Arial"/>
          <w:sz w:val="22"/>
          <w:szCs w:val="22"/>
        </w:rPr>
        <w:t>Schiuma</w:t>
      </w:r>
      <w:proofErr w:type="spellEnd"/>
      <w:r w:rsidRPr="008B2B84">
        <w:rPr>
          <w:rFonts w:ascii="Arial" w:hAnsi="Arial" w:cs="Arial"/>
          <w:sz w:val="22"/>
          <w:szCs w:val="22"/>
        </w:rPr>
        <w:t xml:space="preserve">, G &amp; </w:t>
      </w:r>
      <w:proofErr w:type="spellStart"/>
      <w:r w:rsidRPr="008B2B84">
        <w:rPr>
          <w:rFonts w:ascii="Arial" w:hAnsi="Arial" w:cs="Arial"/>
          <w:sz w:val="22"/>
          <w:szCs w:val="22"/>
        </w:rPr>
        <w:t>Passiante</w:t>
      </w:r>
      <w:proofErr w:type="spellEnd"/>
      <w:r w:rsidRPr="008B2B84">
        <w:rPr>
          <w:rFonts w:ascii="Arial" w:hAnsi="Arial" w:cs="Arial"/>
          <w:sz w:val="22"/>
          <w:szCs w:val="22"/>
        </w:rPr>
        <w:t>, G 2018, ‘Knowledge transfer in open innovation’, </w:t>
      </w:r>
      <w:r w:rsidRPr="008B2B84">
        <w:rPr>
          <w:rFonts w:ascii="Arial" w:hAnsi="Arial" w:cs="Arial"/>
          <w:i/>
          <w:iCs/>
          <w:sz w:val="22"/>
          <w:szCs w:val="22"/>
        </w:rPr>
        <w:t>Business Process Management Journal</w:t>
      </w:r>
      <w:r w:rsidRPr="008B2B84">
        <w:rPr>
          <w:rFonts w:ascii="Arial" w:hAnsi="Arial" w:cs="Arial"/>
          <w:sz w:val="22"/>
          <w:szCs w:val="22"/>
        </w:rPr>
        <w:t xml:space="preserve">, vol. 25, Emerald, no. 1, pp. 144–163, viewed 14 March 2026, </w:t>
      </w:r>
      <w:hyperlink r:id="rId31" w:history="1">
        <w:r w:rsidRPr="008B2B84">
          <w:rPr>
            <w:rStyle w:val="Hyperlink"/>
            <w:rFonts w:ascii="Arial" w:hAnsi="Arial" w:cs="Arial"/>
            <w:color w:val="auto"/>
            <w:sz w:val="22"/>
            <w:szCs w:val="22"/>
          </w:rPr>
          <w:t>https://ricerca.lum.it/handle/20.500.12572/475</w:t>
        </w:r>
      </w:hyperlink>
      <w:r w:rsidRPr="008B2B84">
        <w:rPr>
          <w:rFonts w:ascii="Arial" w:hAnsi="Arial" w:cs="Arial"/>
          <w:sz w:val="22"/>
          <w:szCs w:val="22"/>
        </w:rPr>
        <w:t>.</w:t>
      </w:r>
    </w:p>
    <w:p w14:paraId="3007C10B"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Sirina Keesara, Jonas, A &amp; Schulman, K 2020, ‘Covid-19 and Health Care’s Digital Revolution’, </w:t>
      </w:r>
      <w:r w:rsidRPr="008B2B84">
        <w:rPr>
          <w:rFonts w:ascii="Arial" w:hAnsi="Arial" w:cs="Arial"/>
          <w:i/>
          <w:iCs/>
          <w:sz w:val="22"/>
          <w:szCs w:val="22"/>
        </w:rPr>
        <w:t>New England Journal of Medicine</w:t>
      </w:r>
      <w:r w:rsidRPr="008B2B84">
        <w:rPr>
          <w:rFonts w:ascii="Arial" w:hAnsi="Arial" w:cs="Arial"/>
          <w:sz w:val="22"/>
          <w:szCs w:val="22"/>
        </w:rPr>
        <w:t xml:space="preserve">, vol. 382, Massachusetts Medical Society, no. 23, pp. e82–e82, viewed 14 March 2026, </w:t>
      </w:r>
      <w:hyperlink r:id="rId32" w:history="1">
        <w:r w:rsidRPr="008B2B84">
          <w:rPr>
            <w:rStyle w:val="Hyperlink"/>
            <w:rFonts w:ascii="Arial" w:hAnsi="Arial" w:cs="Arial"/>
            <w:color w:val="auto"/>
            <w:sz w:val="22"/>
            <w:szCs w:val="22"/>
          </w:rPr>
          <w:t>https://pubmed.ncbi.nlm.nih.gov/32240581/</w:t>
        </w:r>
      </w:hyperlink>
      <w:r w:rsidRPr="008B2B84">
        <w:rPr>
          <w:rFonts w:ascii="Arial" w:hAnsi="Arial" w:cs="Arial"/>
          <w:sz w:val="22"/>
          <w:szCs w:val="22"/>
        </w:rPr>
        <w:t>.</w:t>
      </w:r>
    </w:p>
    <w:p w14:paraId="34859D10"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Sony, M, Antony, J &amp; McDermott, O 2022, ‘The Impact of Healthcare 4.0 on the Healthcare Service Quality: A Systematic Literature Review’, </w:t>
      </w:r>
      <w:r w:rsidRPr="008B2B84">
        <w:rPr>
          <w:rFonts w:ascii="Arial" w:hAnsi="Arial" w:cs="Arial"/>
          <w:i/>
          <w:iCs/>
          <w:sz w:val="22"/>
          <w:szCs w:val="22"/>
        </w:rPr>
        <w:t>Hospital Topics</w:t>
      </w:r>
      <w:r w:rsidRPr="008B2B84">
        <w:rPr>
          <w:rFonts w:ascii="Arial" w:hAnsi="Arial" w:cs="Arial"/>
          <w:sz w:val="22"/>
          <w:szCs w:val="22"/>
        </w:rPr>
        <w:t xml:space="preserve">, vol. 101, Informa UK Limited, no. 4, pp. 288–304, viewed 14 March 2026, </w:t>
      </w:r>
      <w:hyperlink r:id="rId33" w:history="1">
        <w:r w:rsidRPr="008B2B84">
          <w:rPr>
            <w:rStyle w:val="Hyperlink"/>
            <w:rFonts w:ascii="Arial" w:hAnsi="Arial" w:cs="Arial"/>
            <w:color w:val="auto"/>
            <w:sz w:val="22"/>
            <w:szCs w:val="22"/>
          </w:rPr>
          <w:t>https://researchrepository.universityofgalway.ie/server/api/core/bitstreams/d859d25f-ca0c-4b19-8a73-73ae7b94ef51/content</w:t>
        </w:r>
      </w:hyperlink>
      <w:r w:rsidRPr="008B2B84">
        <w:rPr>
          <w:rFonts w:ascii="Arial" w:hAnsi="Arial" w:cs="Arial"/>
          <w:sz w:val="22"/>
          <w:szCs w:val="22"/>
        </w:rPr>
        <w:t>.</w:t>
      </w:r>
    </w:p>
    <w:p w14:paraId="04E72F08" w14:textId="77777777" w:rsidR="00170F24" w:rsidRPr="008B2B84" w:rsidRDefault="00170F24" w:rsidP="008B2B84">
      <w:pPr>
        <w:spacing w:after="0" w:line="360" w:lineRule="auto"/>
        <w:ind w:left="720" w:hanging="720"/>
        <w:contextualSpacing/>
        <w:jc w:val="both"/>
        <w:rPr>
          <w:rFonts w:ascii="Arial" w:hAnsi="Arial" w:cs="Arial"/>
          <w:sz w:val="22"/>
          <w:szCs w:val="22"/>
        </w:rPr>
      </w:pPr>
      <w:proofErr w:type="spellStart"/>
      <w:r w:rsidRPr="008B2B84">
        <w:rPr>
          <w:rFonts w:ascii="Arial" w:hAnsi="Arial" w:cs="Arial"/>
          <w:sz w:val="22"/>
          <w:szCs w:val="22"/>
        </w:rPr>
        <w:t>Stoumpos</w:t>
      </w:r>
      <w:proofErr w:type="spellEnd"/>
      <w:r w:rsidRPr="008B2B84">
        <w:rPr>
          <w:rFonts w:ascii="Arial" w:hAnsi="Arial" w:cs="Arial"/>
          <w:sz w:val="22"/>
          <w:szCs w:val="22"/>
        </w:rPr>
        <w:t xml:space="preserve">, A.I., Kitsios, F. and </w:t>
      </w:r>
      <w:proofErr w:type="spellStart"/>
      <w:r w:rsidRPr="008B2B84">
        <w:rPr>
          <w:rFonts w:ascii="Arial" w:hAnsi="Arial" w:cs="Arial"/>
          <w:sz w:val="22"/>
          <w:szCs w:val="22"/>
        </w:rPr>
        <w:t>Talias</w:t>
      </w:r>
      <w:proofErr w:type="spellEnd"/>
      <w:r w:rsidRPr="008B2B84">
        <w:rPr>
          <w:rFonts w:ascii="Arial" w:hAnsi="Arial" w:cs="Arial"/>
          <w:sz w:val="22"/>
          <w:szCs w:val="22"/>
        </w:rPr>
        <w:t>, M.A., 2023. Digital transformation in healthcare: technology acceptance and its applications. </w:t>
      </w:r>
      <w:r w:rsidRPr="008B2B84">
        <w:rPr>
          <w:rFonts w:ascii="Arial" w:hAnsi="Arial" w:cs="Arial"/>
          <w:i/>
          <w:iCs/>
          <w:sz w:val="22"/>
          <w:szCs w:val="22"/>
        </w:rPr>
        <w:t>International journal of environmental research and public health</w:t>
      </w:r>
      <w:r w:rsidRPr="008B2B84">
        <w:rPr>
          <w:rFonts w:ascii="Arial" w:hAnsi="Arial" w:cs="Arial"/>
          <w:sz w:val="22"/>
          <w:szCs w:val="22"/>
        </w:rPr>
        <w:t>, </w:t>
      </w:r>
      <w:r w:rsidRPr="008B2B84">
        <w:rPr>
          <w:rFonts w:ascii="Arial" w:hAnsi="Arial" w:cs="Arial"/>
          <w:i/>
          <w:iCs/>
          <w:sz w:val="22"/>
          <w:szCs w:val="22"/>
        </w:rPr>
        <w:t>20</w:t>
      </w:r>
      <w:r w:rsidRPr="008B2B84">
        <w:rPr>
          <w:rFonts w:ascii="Arial" w:hAnsi="Arial" w:cs="Arial"/>
          <w:sz w:val="22"/>
          <w:szCs w:val="22"/>
        </w:rPr>
        <w:t xml:space="preserve">(4), p.3407. Available at: </w:t>
      </w:r>
      <w:hyperlink r:id="rId34" w:history="1">
        <w:r w:rsidRPr="008B2B84">
          <w:rPr>
            <w:rStyle w:val="Hyperlink"/>
            <w:rFonts w:ascii="Arial" w:hAnsi="Arial" w:cs="Arial"/>
            <w:color w:val="auto"/>
            <w:sz w:val="22"/>
            <w:szCs w:val="22"/>
          </w:rPr>
          <w:t>https://www.ncbi.nlm.nih.gov/pmc/articles/PMC9963556/</w:t>
        </w:r>
      </w:hyperlink>
      <w:r w:rsidRPr="008B2B84">
        <w:rPr>
          <w:rFonts w:ascii="Arial" w:hAnsi="Arial" w:cs="Arial"/>
          <w:sz w:val="22"/>
          <w:szCs w:val="22"/>
        </w:rPr>
        <w:t xml:space="preserve"> (Accessed: 6 March 2026).</w:t>
      </w:r>
    </w:p>
    <w:p w14:paraId="3403EC92"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proofErr w:type="spellStart"/>
      <w:r w:rsidRPr="008B2B84">
        <w:rPr>
          <w:rFonts w:ascii="Arial" w:hAnsi="Arial" w:cs="Arial"/>
          <w:sz w:val="22"/>
          <w:szCs w:val="22"/>
        </w:rPr>
        <w:t>Stoumpos</w:t>
      </w:r>
      <w:proofErr w:type="spellEnd"/>
      <w:r w:rsidRPr="008B2B84">
        <w:rPr>
          <w:rFonts w:ascii="Arial" w:hAnsi="Arial" w:cs="Arial"/>
          <w:sz w:val="22"/>
          <w:szCs w:val="22"/>
        </w:rPr>
        <w:t xml:space="preserve">, AI, Fotis Kitsios &amp; </w:t>
      </w:r>
      <w:proofErr w:type="spellStart"/>
      <w:r w:rsidRPr="008B2B84">
        <w:rPr>
          <w:rFonts w:ascii="Arial" w:hAnsi="Arial" w:cs="Arial"/>
          <w:sz w:val="22"/>
          <w:szCs w:val="22"/>
        </w:rPr>
        <w:t>Talias</w:t>
      </w:r>
      <w:proofErr w:type="spellEnd"/>
      <w:r w:rsidRPr="008B2B84">
        <w:rPr>
          <w:rFonts w:ascii="Arial" w:hAnsi="Arial" w:cs="Arial"/>
          <w:sz w:val="22"/>
          <w:szCs w:val="22"/>
        </w:rPr>
        <w:t>, MA 2023, ‘Digital Transformation in Healthcare: Technology Acceptance and Its Applications’, </w:t>
      </w:r>
      <w:r w:rsidRPr="008B2B84">
        <w:rPr>
          <w:rFonts w:ascii="Arial" w:hAnsi="Arial" w:cs="Arial"/>
          <w:i/>
          <w:iCs/>
          <w:sz w:val="22"/>
          <w:szCs w:val="22"/>
        </w:rPr>
        <w:t>International Journal of Environmental Research and Public Health</w:t>
      </w:r>
      <w:r w:rsidRPr="008B2B84">
        <w:rPr>
          <w:rFonts w:ascii="Arial" w:hAnsi="Arial" w:cs="Arial"/>
          <w:sz w:val="22"/>
          <w:szCs w:val="22"/>
        </w:rPr>
        <w:t xml:space="preserve">, vol. 20, Multidisciplinary Digital Publishing Institute, no. 4, pp. 3407–3407, viewed 14 March 2026, </w:t>
      </w:r>
      <w:hyperlink r:id="rId35" w:history="1">
        <w:r w:rsidRPr="008B2B84">
          <w:rPr>
            <w:rStyle w:val="Hyperlink"/>
            <w:rFonts w:ascii="Arial" w:hAnsi="Arial" w:cs="Arial"/>
            <w:color w:val="auto"/>
            <w:sz w:val="22"/>
            <w:szCs w:val="22"/>
          </w:rPr>
          <w:t>https://pmc.ncbi.nlm.nih.gov/articles/PMC9963556/</w:t>
        </w:r>
      </w:hyperlink>
      <w:r w:rsidRPr="008B2B84">
        <w:rPr>
          <w:rFonts w:ascii="Arial" w:hAnsi="Arial" w:cs="Arial"/>
          <w:sz w:val="22"/>
          <w:szCs w:val="22"/>
        </w:rPr>
        <w:t>.</w:t>
      </w:r>
    </w:p>
    <w:p w14:paraId="15976C64"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Sussex, J, Atherton, H, Abel, G, Clark, C, Cockcroft, E, Leach, B, Marriott, C, Newbould, J, Pitchforth, E, Winder, R &amp; Campbell, J 2024, ‘Supporting Patients’ Use of Digital Services in Primary Health Care in England: Synthesis of Evidence From a Mixed Methods Study of “Digital Facilitation”’, </w:t>
      </w:r>
      <w:r w:rsidRPr="008B2B84">
        <w:rPr>
          <w:rFonts w:ascii="Arial" w:hAnsi="Arial" w:cs="Arial"/>
          <w:i/>
          <w:iCs/>
          <w:sz w:val="22"/>
          <w:szCs w:val="22"/>
        </w:rPr>
        <w:t>JMIR Human Factors</w:t>
      </w:r>
      <w:r w:rsidRPr="008B2B84">
        <w:rPr>
          <w:rFonts w:ascii="Arial" w:hAnsi="Arial" w:cs="Arial"/>
          <w:sz w:val="22"/>
          <w:szCs w:val="22"/>
        </w:rPr>
        <w:t xml:space="preserve">, vol. 11, JMIR </w:t>
      </w:r>
      <w:r w:rsidRPr="008B2B84">
        <w:rPr>
          <w:rFonts w:ascii="Arial" w:hAnsi="Arial" w:cs="Arial"/>
          <w:sz w:val="22"/>
          <w:szCs w:val="22"/>
        </w:rPr>
        <w:lastRenderedPageBreak/>
        <w:t xml:space="preserve">Publications, pp. e52516–e52516, viewed 14 March 2026, </w:t>
      </w:r>
      <w:hyperlink r:id="rId36" w:history="1">
        <w:r w:rsidRPr="008B2B84">
          <w:rPr>
            <w:rStyle w:val="Hyperlink"/>
            <w:rFonts w:ascii="Arial" w:hAnsi="Arial" w:cs="Arial"/>
            <w:color w:val="auto"/>
            <w:sz w:val="22"/>
            <w:szCs w:val="22"/>
          </w:rPr>
          <w:t>https://humanfactors.jmir.org/2024/1/e52516</w:t>
        </w:r>
      </w:hyperlink>
      <w:r w:rsidRPr="008B2B84">
        <w:rPr>
          <w:rFonts w:ascii="Arial" w:hAnsi="Arial" w:cs="Arial"/>
          <w:sz w:val="22"/>
          <w:szCs w:val="22"/>
        </w:rPr>
        <w:t>.</w:t>
      </w:r>
    </w:p>
    <w:p w14:paraId="6D25F983"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Wise, J 2025, ‘Electronic patient records pose “persistent” risk to patient safety, watchdog warns’, </w:t>
      </w:r>
      <w:r w:rsidRPr="008B2B84">
        <w:rPr>
          <w:rFonts w:ascii="Arial" w:hAnsi="Arial" w:cs="Arial"/>
          <w:i/>
          <w:iCs/>
          <w:sz w:val="22"/>
          <w:szCs w:val="22"/>
        </w:rPr>
        <w:t>BMJ</w:t>
      </w:r>
      <w:r w:rsidRPr="008B2B84">
        <w:rPr>
          <w:rFonts w:ascii="Arial" w:hAnsi="Arial" w:cs="Arial"/>
          <w:sz w:val="22"/>
          <w:szCs w:val="22"/>
        </w:rPr>
        <w:t xml:space="preserve">, vol. 391, BMJ, p. r2519, viewed 14 March 2026, </w:t>
      </w:r>
      <w:hyperlink r:id="rId37" w:history="1">
        <w:r w:rsidRPr="008B2B84">
          <w:rPr>
            <w:rStyle w:val="Hyperlink"/>
            <w:rFonts w:ascii="Arial" w:hAnsi="Arial" w:cs="Arial"/>
            <w:color w:val="auto"/>
            <w:sz w:val="22"/>
            <w:szCs w:val="22"/>
          </w:rPr>
          <w:t>https://www.bmj.com/content/391/bmj.r2519</w:t>
        </w:r>
      </w:hyperlink>
      <w:r w:rsidRPr="008B2B84">
        <w:rPr>
          <w:rFonts w:ascii="Arial" w:hAnsi="Arial" w:cs="Arial"/>
          <w:sz w:val="22"/>
          <w:szCs w:val="22"/>
        </w:rPr>
        <w:t>.</w:t>
      </w:r>
    </w:p>
    <w:p w14:paraId="64E217D7" w14:textId="77777777" w:rsidR="00170F24" w:rsidRPr="008B2B84" w:rsidRDefault="00170F24" w:rsidP="008B2B84">
      <w:pPr>
        <w:pStyle w:val="NormalWeb"/>
        <w:spacing w:before="0" w:beforeAutospacing="0" w:after="0" w:afterAutospacing="0" w:line="360" w:lineRule="auto"/>
        <w:ind w:left="720" w:hanging="720"/>
        <w:contextualSpacing/>
        <w:jc w:val="both"/>
        <w:rPr>
          <w:rFonts w:ascii="Arial" w:hAnsi="Arial" w:cs="Arial"/>
          <w:sz w:val="22"/>
          <w:szCs w:val="22"/>
        </w:rPr>
      </w:pPr>
      <w:r w:rsidRPr="008B2B84">
        <w:rPr>
          <w:rFonts w:ascii="Arial" w:hAnsi="Arial" w:cs="Arial"/>
          <w:sz w:val="22"/>
          <w:szCs w:val="22"/>
        </w:rPr>
        <w:t>Youssof Oskrochi, Roy-Highley, E, Grimes, K &amp; Shah, S 2025, ‘Digital Health Technology Compliance With Clinical Safety Standards In the National Health Service in England: National Cross-Sectional Study’, </w:t>
      </w:r>
      <w:r w:rsidRPr="008B2B84">
        <w:rPr>
          <w:rFonts w:ascii="Arial" w:hAnsi="Arial" w:cs="Arial"/>
          <w:i/>
          <w:iCs/>
          <w:sz w:val="22"/>
          <w:szCs w:val="22"/>
        </w:rPr>
        <w:t>Journal of Medical Internet Research</w:t>
      </w:r>
      <w:r w:rsidRPr="008B2B84">
        <w:rPr>
          <w:rFonts w:ascii="Arial" w:hAnsi="Arial" w:cs="Arial"/>
          <w:sz w:val="22"/>
          <w:szCs w:val="22"/>
        </w:rPr>
        <w:t xml:space="preserve">, vol. 27, JMIR Publications, pp. e80076–e80076, viewed 14 March 2026, </w:t>
      </w:r>
      <w:hyperlink r:id="rId38" w:history="1">
        <w:r w:rsidRPr="008B2B84">
          <w:rPr>
            <w:rStyle w:val="Hyperlink"/>
            <w:rFonts w:ascii="Arial" w:hAnsi="Arial" w:cs="Arial"/>
            <w:color w:val="auto"/>
            <w:sz w:val="22"/>
            <w:szCs w:val="22"/>
          </w:rPr>
          <w:t>https://www.jmir.org/2025/1/e80076</w:t>
        </w:r>
      </w:hyperlink>
      <w:r w:rsidRPr="008B2B84">
        <w:rPr>
          <w:rFonts w:ascii="Arial" w:hAnsi="Arial" w:cs="Arial"/>
          <w:sz w:val="22"/>
          <w:szCs w:val="22"/>
        </w:rPr>
        <w:t>.</w:t>
      </w:r>
    </w:p>
    <w:sectPr w:rsidR="00170F24" w:rsidRPr="008B2B84">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C96DEA" w14:textId="77777777" w:rsidR="0082730C" w:rsidRDefault="0082730C" w:rsidP="00170F24">
      <w:pPr>
        <w:spacing w:after="0" w:line="240" w:lineRule="auto"/>
      </w:pPr>
      <w:r>
        <w:separator/>
      </w:r>
    </w:p>
  </w:endnote>
  <w:endnote w:type="continuationSeparator" w:id="0">
    <w:p w14:paraId="7089F4B0" w14:textId="77777777" w:rsidR="0082730C" w:rsidRDefault="0082730C" w:rsidP="00170F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8AABE1" w14:textId="77777777" w:rsidR="0082730C" w:rsidRDefault="0082730C" w:rsidP="00170F24">
      <w:pPr>
        <w:spacing w:after="0" w:line="240" w:lineRule="auto"/>
      </w:pPr>
      <w:r>
        <w:separator/>
      </w:r>
    </w:p>
  </w:footnote>
  <w:footnote w:type="continuationSeparator" w:id="0">
    <w:p w14:paraId="39A9CD5F" w14:textId="77777777" w:rsidR="0082730C" w:rsidRDefault="0082730C" w:rsidP="00170F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332415"/>
      <w:docPartObj>
        <w:docPartGallery w:val="Page Numbers (Top of Page)"/>
        <w:docPartUnique/>
      </w:docPartObj>
    </w:sdtPr>
    <w:sdtEndPr>
      <w:rPr>
        <w:noProof/>
      </w:rPr>
    </w:sdtEndPr>
    <w:sdtContent>
      <w:p w14:paraId="2BEF83FC" w14:textId="1AFF9638" w:rsidR="00170F24" w:rsidRDefault="00170F2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11ED052" w14:textId="77777777" w:rsidR="00170F24" w:rsidRDefault="00170F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52476"/>
    <w:multiLevelType w:val="hybridMultilevel"/>
    <w:tmpl w:val="E9F04AA2"/>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622109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A1A"/>
    <w:rsid w:val="000337B5"/>
    <w:rsid w:val="00050FF2"/>
    <w:rsid w:val="00170F24"/>
    <w:rsid w:val="001F6E79"/>
    <w:rsid w:val="003255A2"/>
    <w:rsid w:val="003B1EC8"/>
    <w:rsid w:val="00557A9B"/>
    <w:rsid w:val="00641038"/>
    <w:rsid w:val="006746D5"/>
    <w:rsid w:val="00695BCF"/>
    <w:rsid w:val="006D38EA"/>
    <w:rsid w:val="007C5F25"/>
    <w:rsid w:val="007E55FD"/>
    <w:rsid w:val="0082730C"/>
    <w:rsid w:val="008B2B84"/>
    <w:rsid w:val="008D4653"/>
    <w:rsid w:val="009628BF"/>
    <w:rsid w:val="009F6A1A"/>
    <w:rsid w:val="00A84997"/>
    <w:rsid w:val="00AD26BC"/>
    <w:rsid w:val="00AD79A8"/>
    <w:rsid w:val="00AE4F8C"/>
    <w:rsid w:val="00B17470"/>
    <w:rsid w:val="00B2306A"/>
    <w:rsid w:val="00BB2A01"/>
    <w:rsid w:val="00D167DA"/>
    <w:rsid w:val="00DB2BE6"/>
    <w:rsid w:val="00E53EF3"/>
    <w:rsid w:val="00E70A8F"/>
    <w:rsid w:val="00EC340F"/>
    <w:rsid w:val="00EF0678"/>
    <w:rsid w:val="00FA2FE4"/>
    <w:rsid w:val="00FB5ED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2BC79"/>
  <w15:chartTrackingRefBased/>
  <w15:docId w15:val="{2A835080-2911-4752-BE8C-64B614C00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A1A"/>
    <w:rPr>
      <w:rFonts w:ascii="Times New Roman" w:hAnsi="Times New Roman" w:cs="Times New Roman"/>
      <w:sz w:val="24"/>
      <w:szCs w:val="24"/>
    </w:rPr>
  </w:style>
  <w:style w:type="paragraph" w:styleId="Heading1">
    <w:name w:val="heading 1"/>
    <w:basedOn w:val="Normal"/>
    <w:next w:val="Normal"/>
    <w:link w:val="Heading1Char"/>
    <w:uiPriority w:val="9"/>
    <w:qFormat/>
    <w:rsid w:val="009F6A1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F6A1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F6A1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6A1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F6A1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F6A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6A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6A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6A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A1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F6A1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F6A1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F6A1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F6A1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F6A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6A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6A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6A1A"/>
    <w:rPr>
      <w:rFonts w:eastAsiaTheme="majorEastAsia" w:cstheme="majorBidi"/>
      <w:color w:val="272727" w:themeColor="text1" w:themeTint="D8"/>
    </w:rPr>
  </w:style>
  <w:style w:type="paragraph" w:styleId="Title">
    <w:name w:val="Title"/>
    <w:basedOn w:val="Normal"/>
    <w:next w:val="Normal"/>
    <w:link w:val="TitleChar"/>
    <w:uiPriority w:val="10"/>
    <w:qFormat/>
    <w:rsid w:val="009F6A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6A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6A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6A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6A1A"/>
    <w:pPr>
      <w:spacing w:before="160"/>
      <w:jc w:val="center"/>
    </w:pPr>
    <w:rPr>
      <w:i/>
      <w:iCs/>
      <w:color w:val="404040" w:themeColor="text1" w:themeTint="BF"/>
    </w:rPr>
  </w:style>
  <w:style w:type="character" w:customStyle="1" w:styleId="QuoteChar">
    <w:name w:val="Quote Char"/>
    <w:basedOn w:val="DefaultParagraphFont"/>
    <w:link w:val="Quote"/>
    <w:uiPriority w:val="29"/>
    <w:rsid w:val="009F6A1A"/>
    <w:rPr>
      <w:i/>
      <w:iCs/>
      <w:color w:val="404040" w:themeColor="text1" w:themeTint="BF"/>
    </w:rPr>
  </w:style>
  <w:style w:type="paragraph" w:styleId="ListParagraph">
    <w:name w:val="List Paragraph"/>
    <w:basedOn w:val="Normal"/>
    <w:uiPriority w:val="34"/>
    <w:qFormat/>
    <w:rsid w:val="009F6A1A"/>
    <w:pPr>
      <w:ind w:left="720"/>
      <w:contextualSpacing/>
    </w:pPr>
  </w:style>
  <w:style w:type="character" w:styleId="IntenseEmphasis">
    <w:name w:val="Intense Emphasis"/>
    <w:basedOn w:val="DefaultParagraphFont"/>
    <w:uiPriority w:val="21"/>
    <w:qFormat/>
    <w:rsid w:val="009F6A1A"/>
    <w:rPr>
      <w:i/>
      <w:iCs/>
      <w:color w:val="2F5496" w:themeColor="accent1" w:themeShade="BF"/>
    </w:rPr>
  </w:style>
  <w:style w:type="paragraph" w:styleId="IntenseQuote">
    <w:name w:val="Intense Quote"/>
    <w:basedOn w:val="Normal"/>
    <w:next w:val="Normal"/>
    <w:link w:val="IntenseQuoteChar"/>
    <w:uiPriority w:val="30"/>
    <w:qFormat/>
    <w:rsid w:val="009F6A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6A1A"/>
    <w:rPr>
      <w:i/>
      <w:iCs/>
      <w:color w:val="2F5496" w:themeColor="accent1" w:themeShade="BF"/>
    </w:rPr>
  </w:style>
  <w:style w:type="character" w:styleId="IntenseReference">
    <w:name w:val="Intense Reference"/>
    <w:basedOn w:val="DefaultParagraphFont"/>
    <w:uiPriority w:val="32"/>
    <w:qFormat/>
    <w:rsid w:val="009F6A1A"/>
    <w:rPr>
      <w:b/>
      <w:bCs/>
      <w:smallCaps/>
      <w:color w:val="2F5496" w:themeColor="accent1" w:themeShade="BF"/>
      <w:spacing w:val="5"/>
    </w:rPr>
  </w:style>
  <w:style w:type="character" w:styleId="Hyperlink">
    <w:name w:val="Hyperlink"/>
    <w:basedOn w:val="DefaultParagraphFont"/>
    <w:uiPriority w:val="99"/>
    <w:unhideWhenUsed/>
    <w:rsid w:val="009F6A1A"/>
    <w:rPr>
      <w:color w:val="0563C1" w:themeColor="hyperlink"/>
      <w:u w:val="single"/>
    </w:rPr>
  </w:style>
  <w:style w:type="character" w:styleId="UnresolvedMention">
    <w:name w:val="Unresolved Mention"/>
    <w:basedOn w:val="DefaultParagraphFont"/>
    <w:uiPriority w:val="99"/>
    <w:semiHidden/>
    <w:unhideWhenUsed/>
    <w:rsid w:val="009F6A1A"/>
    <w:rPr>
      <w:color w:val="605E5C"/>
      <w:shd w:val="clear" w:color="auto" w:fill="E1DFDD"/>
    </w:rPr>
  </w:style>
  <w:style w:type="paragraph" w:styleId="NormalWeb">
    <w:name w:val="Normal (Web)"/>
    <w:basedOn w:val="Normal"/>
    <w:uiPriority w:val="99"/>
    <w:unhideWhenUsed/>
    <w:rsid w:val="00050FF2"/>
    <w:pPr>
      <w:spacing w:before="100" w:beforeAutospacing="1" w:after="100" w:afterAutospacing="1" w:line="240" w:lineRule="auto"/>
    </w:pPr>
    <w:rPr>
      <w:rFonts w:eastAsia="Times New Roman"/>
      <w:kern w:val="0"/>
      <w14:ligatures w14:val="none"/>
    </w:rPr>
  </w:style>
  <w:style w:type="paragraph" w:styleId="Header">
    <w:name w:val="header"/>
    <w:basedOn w:val="Normal"/>
    <w:link w:val="HeaderChar"/>
    <w:uiPriority w:val="99"/>
    <w:unhideWhenUsed/>
    <w:rsid w:val="00170F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24"/>
    <w:rPr>
      <w:rFonts w:ascii="Times New Roman" w:hAnsi="Times New Roman" w:cs="Times New Roman"/>
      <w:sz w:val="24"/>
      <w:szCs w:val="24"/>
    </w:rPr>
  </w:style>
  <w:style w:type="paragraph" w:styleId="Footer">
    <w:name w:val="footer"/>
    <w:basedOn w:val="Normal"/>
    <w:link w:val="FooterChar"/>
    <w:uiPriority w:val="99"/>
    <w:unhideWhenUsed/>
    <w:rsid w:val="00170F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24"/>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6410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5408008">
      <w:bodyDiv w:val="1"/>
      <w:marLeft w:val="0"/>
      <w:marRight w:val="0"/>
      <w:marTop w:val="0"/>
      <w:marBottom w:val="0"/>
      <w:divBdr>
        <w:top w:val="none" w:sz="0" w:space="0" w:color="auto"/>
        <w:left w:val="none" w:sz="0" w:space="0" w:color="auto"/>
        <w:bottom w:val="none" w:sz="0" w:space="0" w:color="auto"/>
        <w:right w:val="none" w:sz="0" w:space="0" w:color="auto"/>
      </w:divBdr>
    </w:div>
    <w:div w:id="335498929">
      <w:bodyDiv w:val="1"/>
      <w:marLeft w:val="0"/>
      <w:marRight w:val="0"/>
      <w:marTop w:val="0"/>
      <w:marBottom w:val="0"/>
      <w:divBdr>
        <w:top w:val="none" w:sz="0" w:space="0" w:color="auto"/>
        <w:left w:val="none" w:sz="0" w:space="0" w:color="auto"/>
        <w:bottom w:val="none" w:sz="0" w:space="0" w:color="auto"/>
        <w:right w:val="none" w:sz="0" w:space="0" w:color="auto"/>
      </w:divBdr>
    </w:div>
    <w:div w:id="341709313">
      <w:bodyDiv w:val="1"/>
      <w:marLeft w:val="0"/>
      <w:marRight w:val="0"/>
      <w:marTop w:val="0"/>
      <w:marBottom w:val="0"/>
      <w:divBdr>
        <w:top w:val="none" w:sz="0" w:space="0" w:color="auto"/>
        <w:left w:val="none" w:sz="0" w:space="0" w:color="auto"/>
        <w:bottom w:val="none" w:sz="0" w:space="0" w:color="auto"/>
        <w:right w:val="none" w:sz="0" w:space="0" w:color="auto"/>
      </w:divBdr>
    </w:div>
    <w:div w:id="343093161">
      <w:bodyDiv w:val="1"/>
      <w:marLeft w:val="0"/>
      <w:marRight w:val="0"/>
      <w:marTop w:val="0"/>
      <w:marBottom w:val="0"/>
      <w:divBdr>
        <w:top w:val="none" w:sz="0" w:space="0" w:color="auto"/>
        <w:left w:val="none" w:sz="0" w:space="0" w:color="auto"/>
        <w:bottom w:val="none" w:sz="0" w:space="0" w:color="auto"/>
        <w:right w:val="none" w:sz="0" w:space="0" w:color="auto"/>
      </w:divBdr>
    </w:div>
    <w:div w:id="702635765">
      <w:bodyDiv w:val="1"/>
      <w:marLeft w:val="0"/>
      <w:marRight w:val="0"/>
      <w:marTop w:val="0"/>
      <w:marBottom w:val="0"/>
      <w:divBdr>
        <w:top w:val="none" w:sz="0" w:space="0" w:color="auto"/>
        <w:left w:val="none" w:sz="0" w:space="0" w:color="auto"/>
        <w:bottom w:val="none" w:sz="0" w:space="0" w:color="auto"/>
        <w:right w:val="none" w:sz="0" w:space="0" w:color="auto"/>
      </w:divBdr>
    </w:div>
    <w:div w:id="877088597">
      <w:bodyDiv w:val="1"/>
      <w:marLeft w:val="0"/>
      <w:marRight w:val="0"/>
      <w:marTop w:val="0"/>
      <w:marBottom w:val="0"/>
      <w:divBdr>
        <w:top w:val="none" w:sz="0" w:space="0" w:color="auto"/>
        <w:left w:val="none" w:sz="0" w:space="0" w:color="auto"/>
        <w:bottom w:val="none" w:sz="0" w:space="0" w:color="auto"/>
        <w:right w:val="none" w:sz="0" w:space="0" w:color="auto"/>
      </w:divBdr>
    </w:div>
    <w:div w:id="880750202">
      <w:bodyDiv w:val="1"/>
      <w:marLeft w:val="0"/>
      <w:marRight w:val="0"/>
      <w:marTop w:val="0"/>
      <w:marBottom w:val="0"/>
      <w:divBdr>
        <w:top w:val="none" w:sz="0" w:space="0" w:color="auto"/>
        <w:left w:val="none" w:sz="0" w:space="0" w:color="auto"/>
        <w:bottom w:val="none" w:sz="0" w:space="0" w:color="auto"/>
        <w:right w:val="none" w:sz="0" w:space="0" w:color="auto"/>
      </w:divBdr>
    </w:div>
    <w:div w:id="943921424">
      <w:bodyDiv w:val="1"/>
      <w:marLeft w:val="0"/>
      <w:marRight w:val="0"/>
      <w:marTop w:val="0"/>
      <w:marBottom w:val="0"/>
      <w:divBdr>
        <w:top w:val="none" w:sz="0" w:space="0" w:color="auto"/>
        <w:left w:val="none" w:sz="0" w:space="0" w:color="auto"/>
        <w:bottom w:val="none" w:sz="0" w:space="0" w:color="auto"/>
        <w:right w:val="none" w:sz="0" w:space="0" w:color="auto"/>
      </w:divBdr>
    </w:div>
    <w:div w:id="1000426487">
      <w:bodyDiv w:val="1"/>
      <w:marLeft w:val="0"/>
      <w:marRight w:val="0"/>
      <w:marTop w:val="0"/>
      <w:marBottom w:val="0"/>
      <w:divBdr>
        <w:top w:val="none" w:sz="0" w:space="0" w:color="auto"/>
        <w:left w:val="none" w:sz="0" w:space="0" w:color="auto"/>
        <w:bottom w:val="none" w:sz="0" w:space="0" w:color="auto"/>
        <w:right w:val="none" w:sz="0" w:space="0" w:color="auto"/>
      </w:divBdr>
    </w:div>
    <w:div w:id="1023627538">
      <w:bodyDiv w:val="1"/>
      <w:marLeft w:val="0"/>
      <w:marRight w:val="0"/>
      <w:marTop w:val="0"/>
      <w:marBottom w:val="0"/>
      <w:divBdr>
        <w:top w:val="none" w:sz="0" w:space="0" w:color="auto"/>
        <w:left w:val="none" w:sz="0" w:space="0" w:color="auto"/>
        <w:bottom w:val="none" w:sz="0" w:space="0" w:color="auto"/>
        <w:right w:val="none" w:sz="0" w:space="0" w:color="auto"/>
      </w:divBdr>
    </w:div>
    <w:div w:id="1140150582">
      <w:bodyDiv w:val="1"/>
      <w:marLeft w:val="0"/>
      <w:marRight w:val="0"/>
      <w:marTop w:val="0"/>
      <w:marBottom w:val="0"/>
      <w:divBdr>
        <w:top w:val="none" w:sz="0" w:space="0" w:color="auto"/>
        <w:left w:val="none" w:sz="0" w:space="0" w:color="auto"/>
        <w:bottom w:val="none" w:sz="0" w:space="0" w:color="auto"/>
        <w:right w:val="none" w:sz="0" w:space="0" w:color="auto"/>
      </w:divBdr>
    </w:div>
    <w:div w:id="1154956911">
      <w:bodyDiv w:val="1"/>
      <w:marLeft w:val="0"/>
      <w:marRight w:val="0"/>
      <w:marTop w:val="0"/>
      <w:marBottom w:val="0"/>
      <w:divBdr>
        <w:top w:val="none" w:sz="0" w:space="0" w:color="auto"/>
        <w:left w:val="none" w:sz="0" w:space="0" w:color="auto"/>
        <w:bottom w:val="none" w:sz="0" w:space="0" w:color="auto"/>
        <w:right w:val="none" w:sz="0" w:space="0" w:color="auto"/>
      </w:divBdr>
    </w:div>
    <w:div w:id="1162235862">
      <w:bodyDiv w:val="1"/>
      <w:marLeft w:val="0"/>
      <w:marRight w:val="0"/>
      <w:marTop w:val="0"/>
      <w:marBottom w:val="0"/>
      <w:divBdr>
        <w:top w:val="none" w:sz="0" w:space="0" w:color="auto"/>
        <w:left w:val="none" w:sz="0" w:space="0" w:color="auto"/>
        <w:bottom w:val="none" w:sz="0" w:space="0" w:color="auto"/>
        <w:right w:val="none" w:sz="0" w:space="0" w:color="auto"/>
      </w:divBdr>
    </w:div>
    <w:div w:id="1194268506">
      <w:bodyDiv w:val="1"/>
      <w:marLeft w:val="0"/>
      <w:marRight w:val="0"/>
      <w:marTop w:val="0"/>
      <w:marBottom w:val="0"/>
      <w:divBdr>
        <w:top w:val="none" w:sz="0" w:space="0" w:color="auto"/>
        <w:left w:val="none" w:sz="0" w:space="0" w:color="auto"/>
        <w:bottom w:val="none" w:sz="0" w:space="0" w:color="auto"/>
        <w:right w:val="none" w:sz="0" w:space="0" w:color="auto"/>
      </w:divBdr>
    </w:div>
    <w:div w:id="1352418738">
      <w:bodyDiv w:val="1"/>
      <w:marLeft w:val="0"/>
      <w:marRight w:val="0"/>
      <w:marTop w:val="0"/>
      <w:marBottom w:val="0"/>
      <w:divBdr>
        <w:top w:val="none" w:sz="0" w:space="0" w:color="auto"/>
        <w:left w:val="none" w:sz="0" w:space="0" w:color="auto"/>
        <w:bottom w:val="none" w:sz="0" w:space="0" w:color="auto"/>
        <w:right w:val="none" w:sz="0" w:space="0" w:color="auto"/>
      </w:divBdr>
    </w:div>
    <w:div w:id="1598292030">
      <w:bodyDiv w:val="1"/>
      <w:marLeft w:val="0"/>
      <w:marRight w:val="0"/>
      <w:marTop w:val="0"/>
      <w:marBottom w:val="0"/>
      <w:divBdr>
        <w:top w:val="none" w:sz="0" w:space="0" w:color="auto"/>
        <w:left w:val="none" w:sz="0" w:space="0" w:color="auto"/>
        <w:bottom w:val="none" w:sz="0" w:space="0" w:color="auto"/>
        <w:right w:val="none" w:sz="0" w:space="0" w:color="auto"/>
      </w:divBdr>
    </w:div>
    <w:div w:id="1608343125">
      <w:bodyDiv w:val="1"/>
      <w:marLeft w:val="0"/>
      <w:marRight w:val="0"/>
      <w:marTop w:val="0"/>
      <w:marBottom w:val="0"/>
      <w:divBdr>
        <w:top w:val="none" w:sz="0" w:space="0" w:color="auto"/>
        <w:left w:val="none" w:sz="0" w:space="0" w:color="auto"/>
        <w:bottom w:val="none" w:sz="0" w:space="0" w:color="auto"/>
        <w:right w:val="none" w:sz="0" w:space="0" w:color="auto"/>
      </w:divBdr>
    </w:div>
    <w:div w:id="1663116670">
      <w:bodyDiv w:val="1"/>
      <w:marLeft w:val="0"/>
      <w:marRight w:val="0"/>
      <w:marTop w:val="0"/>
      <w:marBottom w:val="0"/>
      <w:divBdr>
        <w:top w:val="none" w:sz="0" w:space="0" w:color="auto"/>
        <w:left w:val="none" w:sz="0" w:space="0" w:color="auto"/>
        <w:bottom w:val="none" w:sz="0" w:space="0" w:color="auto"/>
        <w:right w:val="none" w:sz="0" w:space="0" w:color="auto"/>
      </w:divBdr>
    </w:div>
    <w:div w:id="1702778697">
      <w:bodyDiv w:val="1"/>
      <w:marLeft w:val="0"/>
      <w:marRight w:val="0"/>
      <w:marTop w:val="0"/>
      <w:marBottom w:val="0"/>
      <w:divBdr>
        <w:top w:val="none" w:sz="0" w:space="0" w:color="auto"/>
        <w:left w:val="none" w:sz="0" w:space="0" w:color="auto"/>
        <w:bottom w:val="none" w:sz="0" w:space="0" w:color="auto"/>
        <w:right w:val="none" w:sz="0" w:space="0" w:color="auto"/>
      </w:divBdr>
    </w:div>
    <w:div w:id="1737120692">
      <w:bodyDiv w:val="1"/>
      <w:marLeft w:val="0"/>
      <w:marRight w:val="0"/>
      <w:marTop w:val="0"/>
      <w:marBottom w:val="0"/>
      <w:divBdr>
        <w:top w:val="none" w:sz="0" w:space="0" w:color="auto"/>
        <w:left w:val="none" w:sz="0" w:space="0" w:color="auto"/>
        <w:bottom w:val="none" w:sz="0" w:space="0" w:color="auto"/>
        <w:right w:val="none" w:sz="0" w:space="0" w:color="auto"/>
      </w:divBdr>
    </w:div>
    <w:div w:id="1744133939">
      <w:bodyDiv w:val="1"/>
      <w:marLeft w:val="0"/>
      <w:marRight w:val="0"/>
      <w:marTop w:val="0"/>
      <w:marBottom w:val="0"/>
      <w:divBdr>
        <w:top w:val="none" w:sz="0" w:space="0" w:color="auto"/>
        <w:left w:val="none" w:sz="0" w:space="0" w:color="auto"/>
        <w:bottom w:val="none" w:sz="0" w:space="0" w:color="auto"/>
        <w:right w:val="none" w:sz="0" w:space="0" w:color="auto"/>
      </w:divBdr>
    </w:div>
    <w:div w:id="1779790100">
      <w:bodyDiv w:val="1"/>
      <w:marLeft w:val="0"/>
      <w:marRight w:val="0"/>
      <w:marTop w:val="0"/>
      <w:marBottom w:val="0"/>
      <w:divBdr>
        <w:top w:val="none" w:sz="0" w:space="0" w:color="auto"/>
        <w:left w:val="none" w:sz="0" w:space="0" w:color="auto"/>
        <w:bottom w:val="none" w:sz="0" w:space="0" w:color="auto"/>
        <w:right w:val="none" w:sz="0" w:space="0" w:color="auto"/>
      </w:divBdr>
    </w:div>
    <w:div w:id="1839080932">
      <w:bodyDiv w:val="1"/>
      <w:marLeft w:val="0"/>
      <w:marRight w:val="0"/>
      <w:marTop w:val="0"/>
      <w:marBottom w:val="0"/>
      <w:divBdr>
        <w:top w:val="none" w:sz="0" w:space="0" w:color="auto"/>
        <w:left w:val="none" w:sz="0" w:space="0" w:color="auto"/>
        <w:bottom w:val="none" w:sz="0" w:space="0" w:color="auto"/>
        <w:right w:val="none" w:sz="0" w:space="0" w:color="auto"/>
      </w:divBdr>
    </w:div>
    <w:div w:id="1940914598">
      <w:bodyDiv w:val="1"/>
      <w:marLeft w:val="0"/>
      <w:marRight w:val="0"/>
      <w:marTop w:val="0"/>
      <w:marBottom w:val="0"/>
      <w:divBdr>
        <w:top w:val="none" w:sz="0" w:space="0" w:color="auto"/>
        <w:left w:val="none" w:sz="0" w:space="0" w:color="auto"/>
        <w:bottom w:val="none" w:sz="0" w:space="0" w:color="auto"/>
        <w:right w:val="none" w:sz="0" w:space="0" w:color="auto"/>
      </w:divBdr>
    </w:div>
    <w:div w:id="1949237649">
      <w:bodyDiv w:val="1"/>
      <w:marLeft w:val="0"/>
      <w:marRight w:val="0"/>
      <w:marTop w:val="0"/>
      <w:marBottom w:val="0"/>
      <w:divBdr>
        <w:top w:val="none" w:sz="0" w:space="0" w:color="auto"/>
        <w:left w:val="none" w:sz="0" w:space="0" w:color="auto"/>
        <w:bottom w:val="none" w:sz="0" w:space="0" w:color="auto"/>
        <w:right w:val="none" w:sz="0" w:space="0" w:color="auto"/>
      </w:divBdr>
    </w:div>
    <w:div w:id="2008435340">
      <w:bodyDiv w:val="1"/>
      <w:marLeft w:val="0"/>
      <w:marRight w:val="0"/>
      <w:marTop w:val="0"/>
      <w:marBottom w:val="0"/>
      <w:divBdr>
        <w:top w:val="none" w:sz="0" w:space="0" w:color="auto"/>
        <w:left w:val="none" w:sz="0" w:space="0" w:color="auto"/>
        <w:bottom w:val="none" w:sz="0" w:space="0" w:color="auto"/>
        <w:right w:val="none" w:sz="0" w:space="0" w:color="auto"/>
      </w:divBdr>
    </w:div>
    <w:div w:id="2111047023">
      <w:bodyDiv w:val="1"/>
      <w:marLeft w:val="0"/>
      <w:marRight w:val="0"/>
      <w:marTop w:val="0"/>
      <w:marBottom w:val="0"/>
      <w:divBdr>
        <w:top w:val="none" w:sz="0" w:space="0" w:color="auto"/>
        <w:left w:val="none" w:sz="0" w:space="0" w:color="auto"/>
        <w:bottom w:val="none" w:sz="0" w:space="0" w:color="auto"/>
        <w:right w:val="none" w:sz="0" w:space="0" w:color="auto"/>
      </w:divBdr>
    </w:div>
    <w:div w:id="2129544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186/s12913-025-12663-3" TargetMode="External"/><Relationship Id="rId18" Type="http://schemas.openxmlformats.org/officeDocument/2006/relationships/hyperlink" Target="https://www.sciencedirect.com/science/article/pii/S2211883724000017?utm_source=chatgpt.com" TargetMode="External"/><Relationship Id="rId26" Type="http://schemas.openxmlformats.org/officeDocument/2006/relationships/hyperlink" Target="https://digital.nhs.uk/data-and-information/information-standards/governance/latest-activity/standards-and-collections/review-of-digital-clinical-safety-standards-dcb0129-and-dcb0160?utm_source=chatgpt.com" TargetMode="External"/><Relationship Id="rId39" Type="http://schemas.openxmlformats.org/officeDocument/2006/relationships/header" Target="header1.xml"/><Relationship Id="rId21" Type="http://schemas.openxmlformats.org/officeDocument/2006/relationships/hyperlink" Target="https://pubmed.ncbi.nlm.nih.gov/27714560/" TargetMode="External"/><Relationship Id="rId34" Type="http://schemas.openxmlformats.org/officeDocument/2006/relationships/hyperlink" Target="https://www.ncbi.nlm.nih.gov/pmc/articles/PMC9963556/"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pubmed.ncbi.nlm.nih.gov/38531659/" TargetMode="External"/><Relationship Id="rId20" Type="http://schemas.openxmlformats.org/officeDocument/2006/relationships/hyperlink" Target="https://pmc.ncbi.nlm.nih.gov/articles/PMC9360364/" TargetMode="External"/><Relationship Id="rId29" Type="http://schemas.openxmlformats.org/officeDocument/2006/relationships/hyperlink" Target="https://pubmed.ncbi.nlm.nih.gov/31682262/"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med.ncbi.nlm.nih.gov/28894741/" TargetMode="External"/><Relationship Id="rId24" Type="http://schemas.openxmlformats.org/officeDocument/2006/relationships/hyperlink" Target="https://pubmed.ncbi.nlm.nih.gov/34862185/?utm_source=chatgpt.com" TargetMode="External"/><Relationship Id="rId32" Type="http://schemas.openxmlformats.org/officeDocument/2006/relationships/hyperlink" Target="https://pubmed.ncbi.nlm.nih.gov/32240581/" TargetMode="External"/><Relationship Id="rId37" Type="http://schemas.openxmlformats.org/officeDocument/2006/relationships/hyperlink" Target="https://www.bmj.com/content/391/bmj.r2519"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mc.ncbi.nlm.nih.gov/articles/PMC12373408/" TargetMode="External"/><Relationship Id="rId23" Type="http://schemas.openxmlformats.org/officeDocument/2006/relationships/hyperlink" Target="https://www.bmj.com/content/389/bmj.r1317" TargetMode="External"/><Relationship Id="rId28" Type="http://schemas.openxmlformats.org/officeDocument/2006/relationships/hyperlink" Target="https://pubmed.ncbi.nlm.nih.gov/28851681/" TargetMode="External"/><Relationship Id="rId36" Type="http://schemas.openxmlformats.org/officeDocument/2006/relationships/hyperlink" Target="https://humanfactors.jmir.org/2024/1/e52516" TargetMode="External"/><Relationship Id="rId10" Type="http://schemas.openxmlformats.org/officeDocument/2006/relationships/hyperlink" Target="https://pmc.ncbi.nlm.nih.gov/articles/PMC9523565/" TargetMode="External"/><Relationship Id="rId19" Type="http://schemas.openxmlformats.org/officeDocument/2006/relationships/hyperlink" Target="https://pmc.ncbi.nlm.nih.gov/articles/PMC8651323/?utm_source=chatgpt.com" TargetMode="External"/><Relationship Id="rId31" Type="http://schemas.openxmlformats.org/officeDocument/2006/relationships/hyperlink" Target="https://ricerca.lum.it/handle/20.500.12572/475" TargetMode="External"/><Relationship Id="rId4" Type="http://schemas.openxmlformats.org/officeDocument/2006/relationships/webSettings" Target="webSettings.xml"/><Relationship Id="rId9" Type="http://schemas.openxmlformats.org/officeDocument/2006/relationships/hyperlink" Target="https://pubmed.ncbi.nlm.nih.gov/40666567/" TargetMode="External"/><Relationship Id="rId14" Type="http://schemas.openxmlformats.org/officeDocument/2006/relationships/hyperlink" Target="https://pmc.ncbi.nlm.nih.gov/articles/PMC5787626/" TargetMode="External"/><Relationship Id="rId22" Type="http://schemas.openxmlformats.org/officeDocument/2006/relationships/hyperlink" Target="https://pubmed.ncbi.nlm.nih.gov/40499968/" TargetMode="External"/><Relationship Id="rId27" Type="http://schemas.openxmlformats.org/officeDocument/2006/relationships/hyperlink" Target="https://www.jmir.org/2025/1/e80076?utm_source=chatgpt.com" TargetMode="External"/><Relationship Id="rId30" Type="http://schemas.openxmlformats.org/officeDocument/2006/relationships/hyperlink" Target="https://link.springer.com/article/10.1186/s12916-024-03842-w" TargetMode="External"/><Relationship Id="rId35" Type="http://schemas.openxmlformats.org/officeDocument/2006/relationships/hyperlink" Target="https://pmc.ncbi.nlm.nih.gov/articles/PMC9963556/" TargetMode="Externa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hyperlink" Target="https://www.ncbi.nlm.nih.gov/pmc/articles/PMC11069097/" TargetMode="External"/><Relationship Id="rId17" Type="http://schemas.openxmlformats.org/officeDocument/2006/relationships/hyperlink" Target="https://link.springer.com/article/10.1186/s12911-016-0299-y" TargetMode="External"/><Relationship Id="rId25" Type="http://schemas.openxmlformats.org/officeDocument/2006/relationships/hyperlink" Target="https://www.england.nhs.uk/patient-safety/patient-safety-systems/digital-clinical-safety-strategy/?utm_source=chatgpt.com" TargetMode="External"/><Relationship Id="rId33" Type="http://schemas.openxmlformats.org/officeDocument/2006/relationships/hyperlink" Target="https://researchrepository.universityofgalway.ie/server/api/core/bitstreams/d859d25f-ca0c-4b19-8a73-73ae7b94ef51/content" TargetMode="External"/><Relationship Id="rId38" Type="http://schemas.openxmlformats.org/officeDocument/2006/relationships/hyperlink" Target="https://www.jmir.org/2025/1/e800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18</Pages>
  <Words>7169</Words>
  <Characters>40866</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Viren Patel</cp:lastModifiedBy>
  <cp:revision>5</cp:revision>
  <dcterms:created xsi:type="dcterms:W3CDTF">2026-03-03T08:10:00Z</dcterms:created>
  <dcterms:modified xsi:type="dcterms:W3CDTF">2026-03-26T21:34:00Z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7bfe66e3-cd05-481b-97a0-bc400345be1b</vt:lpwstr>
  </property>
</Properties>
</file>