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349766651"/>
        <w:docPartObj>
          <w:docPartGallery w:val="Cover Pages"/>
          <w:docPartUnique/>
        </w:docPartObj>
      </w:sdtPr>
      <w:sdtContent>
        <w:p w14:paraId="75B0812F" w14:textId="7EEDF8BE" w:rsidR="00BB6DA2" w:rsidRPr="00013746" w:rsidRDefault="00BB6DA2">
          <w:pPr>
            <w:rPr>
              <w:rFonts w:cs="Arial"/>
            </w:rPr>
          </w:pPr>
          <w:r w:rsidRPr="00013746">
            <w:rPr>
              <w:rFonts w:cs="Arial"/>
              <w:noProof/>
            </w:rPr>
            <mc:AlternateContent>
              <mc:Choice Requires="wpg">
                <w:drawing>
                  <wp:anchor distT="0" distB="0" distL="114300" distR="114300" simplePos="0" relativeHeight="251659264" behindDoc="1" locked="0" layoutInCell="1" allowOverlap="1" wp14:anchorId="0F58E489" wp14:editId="3068624C">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137BE9" w14:textId="55E53CD7" w:rsidR="00BB6DA2" w:rsidRDefault="00BB6DA2">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5253F4E" w14:textId="67DC01A5" w:rsidR="00BB6DA2" w:rsidRPr="00013746" w:rsidRDefault="00BB6DA2">
                                      <w:pPr>
                                        <w:pStyle w:val="NoSpacing"/>
                                        <w:jc w:val="center"/>
                                        <w:rPr>
                                          <w:rFonts w:ascii="Arial" w:eastAsiaTheme="majorEastAsia" w:hAnsi="Arial" w:cs="Arial"/>
                                          <w:b/>
                                          <w:bCs/>
                                          <w:caps/>
                                          <w:color w:val="156082" w:themeColor="accent1"/>
                                          <w:sz w:val="72"/>
                                          <w:szCs w:val="72"/>
                                        </w:rPr>
                                      </w:pPr>
                                      <w:r w:rsidRPr="00013746">
                                        <w:rPr>
                                          <w:rFonts w:ascii="Arial" w:eastAsiaTheme="majorEastAsia" w:hAnsi="Arial" w:cs="Arial"/>
                                          <w:b/>
                                          <w:bCs/>
                                          <w:caps/>
                                          <w:color w:val="156082" w:themeColor="accent1"/>
                                          <w:sz w:val="72"/>
                                          <w:szCs w:val="72"/>
                                        </w:rPr>
                                        <w:t>Person-Centred Care and Partnership Working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58E489" id="Group 198"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">
                    <v:rect id="Rectangle 194" o:spid="_x0000_s1027" style="position:absolute;width:68580;height:13716;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" fillcolor="#156082 [3204]" stroked="f" strokeweight="1.5pt"/>
                    <v:rect id="Rectangle 195" o:spid="_x0000_s1028" style="position:absolute;top:40943;width:68580;height:50292;visibility:visible;mso-wrap-style:square;v-text-anchor:bottom"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" fillcolor="#156082 [3204]" stroked="f" strokeweight="1.5pt">
                      <v:textbox inset="36pt,57.6pt,36pt,36pt">
                        <w:txbxContent>
                          <w:p w14:paraId="1E137BE9" w14:textId="55E53CD7" w:rsidR="00BB6DA2" w:rsidRDefault="00BB6DA2">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" fillcolor="white [3212]" stroked="f" strokeweight=".5pt">
                      <v:textbox inset="36pt,7.2pt,36pt,7.2pt">
                        <w:txbxContent>
                          <w:sdt>
                            <w:sdtPr>
                              <w:rPr>
                                <w:rFonts w:ascii="Arial" w:eastAsiaTheme="majorEastAsia" w:hAnsi="Arial" w:cs="Arial"/>
                                <w:b/>
                                <w:bCs/>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5253F4E" w14:textId="67DC01A5" w:rsidR="00BB6DA2" w:rsidRPr="00013746" w:rsidRDefault="00BB6DA2">
                                <w:pPr>
                                  <w:pStyle w:val="NoSpacing"/>
                                  <w:jc w:val="center"/>
                                  <w:rPr>
                                    <w:rFonts w:ascii="Arial" w:eastAsiaTheme="majorEastAsia" w:hAnsi="Arial" w:cs="Arial"/>
                                    <w:b/>
                                    <w:bCs/>
                                    <w:caps/>
                                    <w:color w:val="156082" w:themeColor="accent1"/>
                                    <w:sz w:val="72"/>
                                    <w:szCs w:val="72"/>
                                  </w:rPr>
                                </w:pPr>
                                <w:r w:rsidRPr="00013746">
                                  <w:rPr>
                                    <w:rFonts w:ascii="Arial" w:eastAsiaTheme="majorEastAsia" w:hAnsi="Arial" w:cs="Arial"/>
                                    <w:b/>
                                    <w:bCs/>
                                    <w:caps/>
                                    <w:color w:val="156082" w:themeColor="accent1"/>
                                    <w:sz w:val="72"/>
                                    <w:szCs w:val="72"/>
                                  </w:rPr>
                                  <w:t>Person-Centred Care and Partnership Working Report</w:t>
                                </w:r>
                              </w:p>
                            </w:sdtContent>
                          </w:sdt>
                        </w:txbxContent>
                      </v:textbox>
                    </v:shape>
                    <w10:wrap anchorx="page" anchory="page"/>
                  </v:group>
                </w:pict>
              </mc:Fallback>
            </mc:AlternateContent>
          </w:r>
        </w:p>
        <w:p w14:paraId="290BA940" w14:textId="110CF3F6" w:rsidR="00BB6DA2" w:rsidRPr="00013746" w:rsidRDefault="00BB6DA2" w:rsidP="00BB6DA2">
          <w:pPr>
            <w:spacing w:line="278" w:lineRule="auto"/>
            <w:jc w:val="left"/>
            <w:rPr>
              <w:rFonts w:cs="Arial"/>
            </w:rPr>
          </w:pPr>
          <w:r w:rsidRPr="00013746">
            <w:rPr>
              <w:rFonts w:cs="Arial"/>
              <w:noProof/>
            </w:rPr>
            <mc:AlternateContent>
              <mc:Choice Requires="wps">
                <w:drawing>
                  <wp:anchor distT="0" distB="0" distL="114300" distR="114300" simplePos="0" relativeHeight="251660288" behindDoc="0" locked="0" layoutInCell="1" allowOverlap="1" wp14:anchorId="01983E8E" wp14:editId="4FE19D85">
                    <wp:simplePos x="0" y="0"/>
                    <wp:positionH relativeFrom="column">
                      <wp:posOffset>675564</wp:posOffset>
                    </wp:positionH>
                    <wp:positionV relativeFrom="paragraph">
                      <wp:posOffset>4023265</wp:posOffset>
                    </wp:positionV>
                    <wp:extent cx="4230806" cy="2552132"/>
                    <wp:effectExtent l="0" t="0" r="0" b="635"/>
                    <wp:wrapNone/>
                    <wp:docPr id="2036763616" name="Text Box 1"/>
                    <wp:cNvGraphicFramePr/>
                    <a:graphic xmlns:a="http://schemas.openxmlformats.org/drawingml/2006/main">
                      <a:graphicData uri="http://schemas.microsoft.com/office/word/2010/wordprocessingShape">
                        <wps:wsp>
                          <wps:cNvSpPr txBox="1"/>
                          <wps:spPr>
                            <a:xfrm>
                              <a:off x="0" y="0"/>
                              <a:ext cx="4230806" cy="2552132"/>
                            </a:xfrm>
                            <a:prstGeom prst="rect">
                              <a:avLst/>
                            </a:prstGeom>
                            <a:solidFill>
                              <a:schemeClr val="lt1"/>
                            </a:solidFill>
                            <a:ln w="6350">
                              <a:noFill/>
                            </a:ln>
                          </wps:spPr>
                          <wps:txbx>
                            <w:txbxContent>
                              <w:p w14:paraId="670F90E5" w14:textId="088A3E43" w:rsidR="00BB6DA2" w:rsidRDefault="00BB6DA2" w:rsidP="00BB6DA2">
                                <w:r w:rsidRPr="00BB6DA2">
                                  <w:rPr>
                                    <w:b/>
                                    <w:bCs/>
                                  </w:rPr>
                                  <w:t>Name:</w:t>
                                </w:r>
                                <w:r w:rsidRPr="00BB6DA2">
                                  <w:t xml:space="preserve"> </w:t>
                                </w:r>
                                <w:r w:rsidR="00377029">
                                  <w:t>Marie Andrews</w:t>
                                </w:r>
                              </w:p>
                              <w:p w14:paraId="4077E1E2" w14:textId="4BA79BB3" w:rsidR="00BB6DA2" w:rsidRDefault="00BB6DA2" w:rsidP="00BB6DA2">
                                <w:r w:rsidRPr="00BB6DA2">
                                  <w:rPr>
                                    <w:b/>
                                    <w:bCs/>
                                  </w:rPr>
                                  <w:t>Student Number:</w:t>
                                </w:r>
                                <w:r w:rsidRPr="00BB6DA2">
                                  <w:t xml:space="preserve"> </w:t>
                                </w:r>
                                <w:r w:rsidR="00377029">
                                  <w:t>2411716</w:t>
                                </w:r>
                              </w:p>
                              <w:p w14:paraId="00B87921" w14:textId="77777777" w:rsidR="00BB6DA2" w:rsidRDefault="00BB6DA2" w:rsidP="00BB6DA2">
                                <w:r w:rsidRPr="00BB6DA2">
                                  <w:rPr>
                                    <w:b/>
                                    <w:bCs/>
                                  </w:rPr>
                                  <w:t>Module Code and Title:</w:t>
                                </w:r>
                                <w:r w:rsidRPr="00BB6DA2">
                                  <w:t xml:space="preserve"> BMHP5016 – Principles of Health and Social Care Practice</w:t>
                                </w:r>
                              </w:p>
                              <w:p w14:paraId="5FC07503" w14:textId="502A31B5" w:rsidR="00BB6DA2" w:rsidRDefault="00BB6DA2" w:rsidP="00BB6DA2">
                                <w:r w:rsidRPr="00BB6DA2">
                                  <w:rPr>
                                    <w:b/>
                                    <w:bCs/>
                                  </w:rPr>
                                  <w:t>Lecturer’s Name:</w:t>
                                </w:r>
                                <w:r w:rsidRPr="00BB6DA2">
                                  <w:t xml:space="preserve"> Junaid Shaikh</w:t>
                                </w:r>
                              </w:p>
                              <w:p w14:paraId="1565F427" w14:textId="157FB7F2" w:rsidR="00BB6DA2" w:rsidRPr="00BB6DA2" w:rsidRDefault="00BB6DA2" w:rsidP="00BB6DA2">
                                <w:r w:rsidRPr="00BB6DA2">
                                  <w:rPr>
                                    <w:b/>
                                    <w:bCs/>
                                  </w:rPr>
                                  <w:t>Assignment Title:</w:t>
                                </w:r>
                                <w:r w:rsidRPr="00BB6DA2">
                                  <w:t xml:space="preserve"> Component 2 – Written Assignment (Report)</w:t>
                                </w:r>
                              </w:p>
                              <w:p w14:paraId="53844037" w14:textId="77777777" w:rsidR="00BB6DA2" w:rsidRDefault="00BB6D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983E8E" id="_x0000_t202" coordsize="21600,21600" o:spt="202" path="m,l,21600r21600,l21600,xe">
                    <v:stroke joinstyle="miter"/>
                    <v:path gradientshapeok="t" o:connecttype="rect"/>
                  </v:shapetype>
                  <v:shape id="Text Box 1" o:spid="_x0000_s1030" type="#_x0000_t202" style="position:absolute;margin-left:53.2pt;margin-top:316.8pt;width:333.15pt;height:20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" fillcolor="white [3201]" stroked="f" strokeweight=".5pt">
                    <v:textbox>
                      <w:txbxContent>
                        <w:p w14:paraId="670F90E5" w14:textId="088A3E43" w:rsidR="00BB6DA2" w:rsidRDefault="00BB6DA2" w:rsidP="00BB6DA2">
                          <w:r w:rsidRPr="00BB6DA2">
                            <w:rPr>
                              <w:b/>
                              <w:bCs/>
                            </w:rPr>
                            <w:t>Name:</w:t>
                          </w:r>
                          <w:r w:rsidRPr="00BB6DA2">
                            <w:t xml:space="preserve"> </w:t>
                          </w:r>
                          <w:r w:rsidR="00377029">
                            <w:t>Marie Andrews</w:t>
                          </w:r>
                        </w:p>
                        <w:p w14:paraId="4077E1E2" w14:textId="4BA79BB3" w:rsidR="00BB6DA2" w:rsidRDefault="00BB6DA2" w:rsidP="00BB6DA2">
                          <w:r w:rsidRPr="00BB6DA2">
                            <w:rPr>
                              <w:b/>
                              <w:bCs/>
                            </w:rPr>
                            <w:t>Student Number:</w:t>
                          </w:r>
                          <w:r w:rsidRPr="00BB6DA2">
                            <w:t xml:space="preserve"> </w:t>
                          </w:r>
                          <w:r w:rsidR="00377029">
                            <w:t>2411716</w:t>
                          </w:r>
                        </w:p>
                        <w:p w14:paraId="00B87921" w14:textId="77777777" w:rsidR="00BB6DA2" w:rsidRDefault="00BB6DA2" w:rsidP="00BB6DA2">
                          <w:r w:rsidRPr="00BB6DA2">
                            <w:rPr>
                              <w:b/>
                              <w:bCs/>
                            </w:rPr>
                            <w:t>Module Code and Title:</w:t>
                          </w:r>
                          <w:r w:rsidRPr="00BB6DA2">
                            <w:t xml:space="preserve"> BMHP5016 – Principles of Health and Social Care Practice</w:t>
                          </w:r>
                        </w:p>
                        <w:p w14:paraId="5FC07503" w14:textId="502A31B5" w:rsidR="00BB6DA2" w:rsidRDefault="00BB6DA2" w:rsidP="00BB6DA2">
                          <w:r w:rsidRPr="00BB6DA2">
                            <w:rPr>
                              <w:b/>
                              <w:bCs/>
                            </w:rPr>
                            <w:t>Lecturer’s Name:</w:t>
                          </w:r>
                          <w:r w:rsidRPr="00BB6DA2">
                            <w:t xml:space="preserve"> Junaid Shaikh</w:t>
                          </w:r>
                        </w:p>
                        <w:p w14:paraId="1565F427" w14:textId="157FB7F2" w:rsidR="00BB6DA2" w:rsidRPr="00BB6DA2" w:rsidRDefault="00BB6DA2" w:rsidP="00BB6DA2">
                          <w:r w:rsidRPr="00BB6DA2">
                            <w:rPr>
                              <w:b/>
                              <w:bCs/>
                            </w:rPr>
                            <w:t>Assignment Title:</w:t>
                          </w:r>
                          <w:r w:rsidRPr="00BB6DA2">
                            <w:t xml:space="preserve"> Component 2 – Written Assignment (Report)</w:t>
                          </w:r>
                        </w:p>
                        <w:p w14:paraId="53844037" w14:textId="77777777" w:rsidR="00BB6DA2" w:rsidRDefault="00BB6DA2"/>
                      </w:txbxContent>
                    </v:textbox>
                  </v:shape>
                </w:pict>
              </mc:Fallback>
            </mc:AlternateContent>
          </w:r>
          <w:r w:rsidRPr="00013746">
            <w:rPr>
              <w:rFonts w:cs="Arial"/>
            </w:rPr>
            <w:br w:type="page"/>
          </w:r>
        </w:p>
      </w:sdtContent>
    </w:sdt>
    <w:p w14:paraId="793F0557" w14:textId="11EA5FAA" w:rsidR="00D223E8" w:rsidRPr="00013746" w:rsidRDefault="00FC3132" w:rsidP="00FC3132">
      <w:pPr>
        <w:pStyle w:val="Heading1"/>
        <w:rPr>
          <w:rFonts w:cs="Arial"/>
        </w:rPr>
      </w:pPr>
      <w:bookmarkStart w:id="0" w:name="_Toc209620293"/>
      <w:r w:rsidRPr="00013746">
        <w:rPr>
          <w:rFonts w:cs="Arial"/>
        </w:rPr>
        <w:lastRenderedPageBreak/>
        <w:t>Abstract</w:t>
      </w:r>
      <w:bookmarkEnd w:id="0"/>
    </w:p>
    <w:p w14:paraId="515DA9C9" w14:textId="3B32B8F7" w:rsidR="00FC3132" w:rsidRPr="00013746" w:rsidRDefault="00FC3132" w:rsidP="00FC3132">
      <w:pPr>
        <w:rPr>
          <w:rFonts w:cs="Arial"/>
        </w:rPr>
      </w:pPr>
      <w:r w:rsidRPr="00013746">
        <w:rPr>
          <w:rFonts w:cs="Arial"/>
        </w:rPr>
        <w:t xml:space="preserve">The report assesses the importance of Person-Centred Care and Partnership Working in the community-based dementia services in the United Kingdom. Person-Centred Care is theorised as the philosophy that values the dignity, preferences, and lived experiences of people with dementia, and thus opposes the dementia-reduction of these people. Its advantages, such as increases in the quality of life, greater engagement, and better health outcomes, are outlined in the discussion, though limitations such as workforce shortages, limited resources, and institutional resistance to change were also mentioned. </w:t>
      </w:r>
    </w:p>
    <w:p w14:paraId="7A4D2E10" w14:textId="52E16F46" w:rsidR="00FC3132" w:rsidRPr="00013746" w:rsidRDefault="00FC3132" w:rsidP="00FC3132">
      <w:pPr>
        <w:rPr>
          <w:rFonts w:cs="Arial"/>
        </w:rPr>
      </w:pPr>
      <w:r w:rsidRPr="00013746">
        <w:rPr>
          <w:rFonts w:cs="Arial"/>
        </w:rPr>
        <w:t xml:space="preserve">The appropriate theoretical concepts, especially the Personhood Theory by </w:t>
      </w:r>
      <w:proofErr w:type="spellStart"/>
      <w:r w:rsidRPr="00013746">
        <w:rPr>
          <w:rFonts w:cs="Arial"/>
        </w:rPr>
        <w:t>Kitwood</w:t>
      </w:r>
      <w:proofErr w:type="spellEnd"/>
      <w:r w:rsidRPr="00013746">
        <w:rPr>
          <w:rFonts w:cs="Arial"/>
        </w:rPr>
        <w:t xml:space="preserve"> and the Hierarchy of Needs by Maslow, are discussed to reveal how the theory can guide practice in dementia care. Ethical principles, such as autonomy, beneficence, non-maleficence, and justice, are examined, and the issues surrounding the problem of decision-making under Mental Capacity Act 2005 are considered. </w:t>
      </w:r>
    </w:p>
    <w:p w14:paraId="0DA8E7FF" w14:textId="2D76A207" w:rsidR="00FC3132" w:rsidRPr="00013746" w:rsidRDefault="00FC3132" w:rsidP="00FC3132">
      <w:pPr>
        <w:rPr>
          <w:rFonts w:cs="Arial"/>
        </w:rPr>
      </w:pPr>
      <w:r w:rsidRPr="00013746">
        <w:rPr>
          <w:rFonts w:cs="Arial"/>
        </w:rPr>
        <w:t xml:space="preserve">Partnership Working Partnership Working is a critically analysed topic using examples of multidisciplinary collaboration between general practitioners, social care teams, voluntary organisations, and carers in dementia pathways. The role of legislation, such as the Care Act 2014, Equality Act 2010, and the NHS Long Term Plan 2019 is evaluated to determine the impact of policy on practice. </w:t>
      </w:r>
    </w:p>
    <w:p w14:paraId="7A6762D3" w14:textId="0579F9CE" w:rsidR="00FC3132" w:rsidRPr="00013746" w:rsidRDefault="00FC3132" w:rsidP="00FC3132">
      <w:pPr>
        <w:rPr>
          <w:rFonts w:cs="Arial"/>
        </w:rPr>
      </w:pPr>
      <w:r w:rsidRPr="00013746">
        <w:rPr>
          <w:rFonts w:cs="Arial"/>
        </w:rPr>
        <w:t>The report contains evidence-based recommendations, including improved dementia training, digital telecare solutions, greater support of informal carers, and the establishment of community hubs. Together, these strategies strongly emphasize the need to integrate Person-</w:t>
      </w:r>
      <w:proofErr w:type="spellStart"/>
      <w:r w:rsidRPr="00013746">
        <w:rPr>
          <w:rFonts w:cs="Arial"/>
        </w:rPr>
        <w:t>Centered</w:t>
      </w:r>
      <w:proofErr w:type="spellEnd"/>
      <w:r w:rsidRPr="00013746">
        <w:rPr>
          <w:rFonts w:cs="Arial"/>
        </w:rPr>
        <w:t xml:space="preserve"> Care and Partnership Working within dementia services to provide sustainable and equitable health and social care delivery.</w:t>
      </w:r>
    </w:p>
    <w:p w14:paraId="5BF5230A" w14:textId="21344FB6" w:rsidR="00A650D3" w:rsidRPr="00013746" w:rsidRDefault="00A650D3" w:rsidP="00FC3132">
      <w:pPr>
        <w:rPr>
          <w:rFonts w:cs="Arial"/>
        </w:rPr>
      </w:pPr>
    </w:p>
    <w:p w14:paraId="6EE2C791" w14:textId="77777777" w:rsidR="00A650D3" w:rsidRPr="00013746" w:rsidRDefault="00A650D3">
      <w:pPr>
        <w:spacing w:line="278" w:lineRule="auto"/>
        <w:jc w:val="left"/>
        <w:rPr>
          <w:rFonts w:cs="Arial"/>
        </w:rPr>
      </w:pPr>
      <w:r w:rsidRPr="00013746">
        <w:rPr>
          <w:rFonts w:cs="Arial"/>
        </w:rPr>
        <w:br w:type="page"/>
      </w:r>
    </w:p>
    <w:sdt>
      <w:sdtPr>
        <w:rPr>
          <w:rFonts w:ascii="Arial" w:eastAsiaTheme="minorHAnsi" w:hAnsi="Arial" w:cs="Arial"/>
          <w:b/>
          <w:bCs/>
          <w:color w:val="000000" w:themeColor="text1"/>
          <w:kern w:val="2"/>
          <w:sz w:val="22"/>
          <w:szCs w:val="22"/>
          <w:lang w:val="en-GB"/>
          <w14:ligatures w14:val="standardContextual"/>
        </w:rPr>
        <w:id w:val="-1739014878"/>
        <w:docPartObj>
          <w:docPartGallery w:val="Table of Contents"/>
          <w:docPartUnique/>
        </w:docPartObj>
      </w:sdtPr>
      <w:sdtEndPr>
        <w:rPr>
          <w:noProof/>
          <w:color w:val="auto"/>
          <w:szCs w:val="24"/>
        </w:rPr>
      </w:sdtEndPr>
      <w:sdtContent>
        <w:p w14:paraId="7F030950" w14:textId="36E1D404" w:rsidR="00A650D3" w:rsidRPr="00013746" w:rsidRDefault="00013746" w:rsidP="00B52FA6">
          <w:pPr>
            <w:pStyle w:val="TOCHeading"/>
            <w:jc w:val="center"/>
            <w:rPr>
              <w:rFonts w:ascii="Arial" w:hAnsi="Arial" w:cs="Arial"/>
              <w:b/>
              <w:bCs/>
              <w:color w:val="000000" w:themeColor="text1"/>
              <w:sz w:val="40"/>
              <w:szCs w:val="40"/>
            </w:rPr>
          </w:pPr>
          <w:r>
            <w:rPr>
              <w:rFonts w:ascii="Arial" w:hAnsi="Arial" w:cs="Arial"/>
              <w:b/>
              <w:bCs/>
              <w:color w:val="000000" w:themeColor="text1"/>
              <w:sz w:val="40"/>
              <w:szCs w:val="40"/>
            </w:rPr>
            <w:t>Table of C</w:t>
          </w:r>
          <w:r w:rsidR="00A650D3" w:rsidRPr="00013746">
            <w:rPr>
              <w:rFonts w:ascii="Arial" w:hAnsi="Arial" w:cs="Arial"/>
              <w:b/>
              <w:bCs/>
              <w:color w:val="000000" w:themeColor="text1"/>
              <w:sz w:val="40"/>
              <w:szCs w:val="40"/>
            </w:rPr>
            <w:t>ontents</w:t>
          </w:r>
        </w:p>
        <w:p w14:paraId="2095B3DE" w14:textId="02BA3DEB" w:rsidR="00013746" w:rsidRDefault="00A650D3">
          <w:pPr>
            <w:pStyle w:val="TOC1"/>
            <w:tabs>
              <w:tab w:val="right" w:leader="dot" w:pos="9016"/>
            </w:tabs>
            <w:rPr>
              <w:rFonts w:cstheme="minorBidi"/>
              <w:noProof/>
              <w:kern w:val="2"/>
              <w:sz w:val="24"/>
              <w:szCs w:val="24"/>
              <w14:ligatures w14:val="standardContextual"/>
            </w:rPr>
          </w:pPr>
          <w:r w:rsidRPr="00013746">
            <w:rPr>
              <w:rFonts w:ascii="Arial" w:hAnsi="Arial" w:cs="Arial"/>
            </w:rPr>
            <w:fldChar w:fldCharType="begin"/>
          </w:r>
          <w:r w:rsidRPr="00013746">
            <w:rPr>
              <w:rFonts w:ascii="Arial" w:hAnsi="Arial" w:cs="Arial"/>
            </w:rPr>
            <w:instrText xml:space="preserve"> TOC \o "1-3" \h \z \u </w:instrText>
          </w:r>
          <w:r w:rsidRPr="00013746">
            <w:rPr>
              <w:rFonts w:ascii="Arial" w:hAnsi="Arial" w:cs="Arial"/>
            </w:rPr>
            <w:fldChar w:fldCharType="separate"/>
          </w:r>
          <w:hyperlink w:anchor="_Toc209620293" w:history="1">
            <w:r w:rsidR="00013746" w:rsidRPr="00055D2D">
              <w:rPr>
                <w:rStyle w:val="Hyperlink"/>
                <w:rFonts w:cs="Arial"/>
                <w:noProof/>
              </w:rPr>
              <w:t>Abstract</w:t>
            </w:r>
            <w:r w:rsidR="00013746">
              <w:rPr>
                <w:noProof/>
                <w:webHidden/>
              </w:rPr>
              <w:tab/>
            </w:r>
            <w:r w:rsidR="00013746">
              <w:rPr>
                <w:noProof/>
                <w:webHidden/>
              </w:rPr>
              <w:fldChar w:fldCharType="begin"/>
            </w:r>
            <w:r w:rsidR="00013746">
              <w:rPr>
                <w:noProof/>
                <w:webHidden/>
              </w:rPr>
              <w:instrText xml:space="preserve"> PAGEREF _Toc209620293 \h </w:instrText>
            </w:r>
            <w:r w:rsidR="00013746">
              <w:rPr>
                <w:noProof/>
                <w:webHidden/>
              </w:rPr>
            </w:r>
            <w:r w:rsidR="00013746">
              <w:rPr>
                <w:noProof/>
                <w:webHidden/>
              </w:rPr>
              <w:fldChar w:fldCharType="separate"/>
            </w:r>
            <w:r w:rsidR="00013746">
              <w:rPr>
                <w:noProof/>
                <w:webHidden/>
              </w:rPr>
              <w:t>1</w:t>
            </w:r>
            <w:r w:rsidR="00013746">
              <w:rPr>
                <w:noProof/>
                <w:webHidden/>
              </w:rPr>
              <w:fldChar w:fldCharType="end"/>
            </w:r>
          </w:hyperlink>
        </w:p>
        <w:p w14:paraId="2A2218E7" w14:textId="3E3B2184" w:rsidR="00013746" w:rsidRDefault="00013746">
          <w:pPr>
            <w:pStyle w:val="TOC1"/>
            <w:tabs>
              <w:tab w:val="right" w:leader="dot" w:pos="9016"/>
            </w:tabs>
            <w:rPr>
              <w:rFonts w:cstheme="minorBidi"/>
              <w:noProof/>
              <w:kern w:val="2"/>
              <w:sz w:val="24"/>
              <w:szCs w:val="24"/>
              <w14:ligatures w14:val="standardContextual"/>
            </w:rPr>
          </w:pPr>
          <w:hyperlink w:anchor="_Toc209620294" w:history="1">
            <w:r w:rsidRPr="00055D2D">
              <w:rPr>
                <w:rStyle w:val="Hyperlink"/>
                <w:rFonts w:cs="Arial"/>
                <w:noProof/>
              </w:rPr>
              <w:t>Introduction</w:t>
            </w:r>
            <w:r>
              <w:rPr>
                <w:noProof/>
                <w:webHidden/>
              </w:rPr>
              <w:tab/>
            </w:r>
            <w:r>
              <w:rPr>
                <w:noProof/>
                <w:webHidden/>
              </w:rPr>
              <w:fldChar w:fldCharType="begin"/>
            </w:r>
            <w:r>
              <w:rPr>
                <w:noProof/>
                <w:webHidden/>
              </w:rPr>
              <w:instrText xml:space="preserve"> PAGEREF _Toc209620294 \h </w:instrText>
            </w:r>
            <w:r>
              <w:rPr>
                <w:noProof/>
                <w:webHidden/>
              </w:rPr>
            </w:r>
            <w:r>
              <w:rPr>
                <w:noProof/>
                <w:webHidden/>
              </w:rPr>
              <w:fldChar w:fldCharType="separate"/>
            </w:r>
            <w:r>
              <w:rPr>
                <w:noProof/>
                <w:webHidden/>
              </w:rPr>
              <w:t>3</w:t>
            </w:r>
            <w:r>
              <w:rPr>
                <w:noProof/>
                <w:webHidden/>
              </w:rPr>
              <w:fldChar w:fldCharType="end"/>
            </w:r>
          </w:hyperlink>
        </w:p>
        <w:p w14:paraId="792213CE" w14:textId="703CE8D9" w:rsidR="00013746" w:rsidRDefault="00013746">
          <w:pPr>
            <w:pStyle w:val="TOC1"/>
            <w:tabs>
              <w:tab w:val="right" w:leader="dot" w:pos="9016"/>
            </w:tabs>
            <w:rPr>
              <w:rFonts w:cstheme="minorBidi"/>
              <w:noProof/>
              <w:kern w:val="2"/>
              <w:sz w:val="24"/>
              <w:szCs w:val="24"/>
              <w14:ligatures w14:val="standardContextual"/>
            </w:rPr>
          </w:pPr>
          <w:hyperlink w:anchor="_Toc209620295" w:history="1">
            <w:r w:rsidRPr="00055D2D">
              <w:rPr>
                <w:rStyle w:val="Hyperlink"/>
                <w:rFonts w:cs="Arial"/>
                <w:noProof/>
              </w:rPr>
              <w:t>Knowledge of Person Centred Care in Dementia Care</w:t>
            </w:r>
            <w:r>
              <w:rPr>
                <w:noProof/>
                <w:webHidden/>
              </w:rPr>
              <w:tab/>
            </w:r>
            <w:r>
              <w:rPr>
                <w:noProof/>
                <w:webHidden/>
              </w:rPr>
              <w:fldChar w:fldCharType="begin"/>
            </w:r>
            <w:r>
              <w:rPr>
                <w:noProof/>
                <w:webHidden/>
              </w:rPr>
              <w:instrText xml:space="preserve"> PAGEREF _Toc209620295 \h </w:instrText>
            </w:r>
            <w:r>
              <w:rPr>
                <w:noProof/>
                <w:webHidden/>
              </w:rPr>
            </w:r>
            <w:r>
              <w:rPr>
                <w:noProof/>
                <w:webHidden/>
              </w:rPr>
              <w:fldChar w:fldCharType="separate"/>
            </w:r>
            <w:r>
              <w:rPr>
                <w:noProof/>
                <w:webHidden/>
              </w:rPr>
              <w:t>3</w:t>
            </w:r>
            <w:r>
              <w:rPr>
                <w:noProof/>
                <w:webHidden/>
              </w:rPr>
              <w:fldChar w:fldCharType="end"/>
            </w:r>
          </w:hyperlink>
        </w:p>
        <w:p w14:paraId="2B5EC763" w14:textId="688FC51F" w:rsidR="00013746" w:rsidRDefault="00013746">
          <w:pPr>
            <w:pStyle w:val="TOC1"/>
            <w:tabs>
              <w:tab w:val="right" w:leader="dot" w:pos="9016"/>
            </w:tabs>
            <w:rPr>
              <w:rFonts w:cstheme="minorBidi"/>
              <w:noProof/>
              <w:kern w:val="2"/>
              <w:sz w:val="24"/>
              <w:szCs w:val="24"/>
              <w14:ligatures w14:val="standardContextual"/>
            </w:rPr>
          </w:pPr>
          <w:hyperlink w:anchor="_Toc209620296" w:history="1">
            <w:r w:rsidRPr="00055D2D">
              <w:rPr>
                <w:rStyle w:val="Hyperlink"/>
                <w:rFonts w:cs="Arial"/>
                <w:noProof/>
              </w:rPr>
              <w:t>Theoretical Foundations of Person-Centred Practice</w:t>
            </w:r>
            <w:r>
              <w:rPr>
                <w:noProof/>
                <w:webHidden/>
              </w:rPr>
              <w:tab/>
            </w:r>
            <w:r>
              <w:rPr>
                <w:noProof/>
                <w:webHidden/>
              </w:rPr>
              <w:fldChar w:fldCharType="begin"/>
            </w:r>
            <w:r>
              <w:rPr>
                <w:noProof/>
                <w:webHidden/>
              </w:rPr>
              <w:instrText xml:space="preserve"> PAGEREF _Toc209620296 \h </w:instrText>
            </w:r>
            <w:r>
              <w:rPr>
                <w:noProof/>
                <w:webHidden/>
              </w:rPr>
            </w:r>
            <w:r>
              <w:rPr>
                <w:noProof/>
                <w:webHidden/>
              </w:rPr>
              <w:fldChar w:fldCharType="separate"/>
            </w:r>
            <w:r>
              <w:rPr>
                <w:noProof/>
                <w:webHidden/>
              </w:rPr>
              <w:t>4</w:t>
            </w:r>
            <w:r>
              <w:rPr>
                <w:noProof/>
                <w:webHidden/>
              </w:rPr>
              <w:fldChar w:fldCharType="end"/>
            </w:r>
          </w:hyperlink>
        </w:p>
        <w:p w14:paraId="6E13FD0D" w14:textId="45755AA1" w:rsidR="00013746" w:rsidRDefault="00013746">
          <w:pPr>
            <w:pStyle w:val="TOC1"/>
            <w:tabs>
              <w:tab w:val="right" w:leader="dot" w:pos="9016"/>
            </w:tabs>
            <w:rPr>
              <w:rFonts w:cstheme="minorBidi"/>
              <w:noProof/>
              <w:kern w:val="2"/>
              <w:sz w:val="24"/>
              <w:szCs w:val="24"/>
              <w14:ligatures w14:val="standardContextual"/>
            </w:rPr>
          </w:pPr>
          <w:hyperlink w:anchor="_Toc209620297" w:history="1">
            <w:r w:rsidRPr="00055D2D">
              <w:rPr>
                <w:rStyle w:val="Hyperlink"/>
                <w:rFonts w:cs="Arial"/>
                <w:noProof/>
              </w:rPr>
              <w:t>Ethical Responsibilities in Community Dementia Care</w:t>
            </w:r>
            <w:r>
              <w:rPr>
                <w:noProof/>
                <w:webHidden/>
              </w:rPr>
              <w:tab/>
            </w:r>
            <w:r>
              <w:rPr>
                <w:noProof/>
                <w:webHidden/>
              </w:rPr>
              <w:fldChar w:fldCharType="begin"/>
            </w:r>
            <w:r>
              <w:rPr>
                <w:noProof/>
                <w:webHidden/>
              </w:rPr>
              <w:instrText xml:space="preserve"> PAGEREF _Toc209620297 \h </w:instrText>
            </w:r>
            <w:r>
              <w:rPr>
                <w:noProof/>
                <w:webHidden/>
              </w:rPr>
            </w:r>
            <w:r>
              <w:rPr>
                <w:noProof/>
                <w:webHidden/>
              </w:rPr>
              <w:fldChar w:fldCharType="separate"/>
            </w:r>
            <w:r>
              <w:rPr>
                <w:noProof/>
                <w:webHidden/>
              </w:rPr>
              <w:t>5</w:t>
            </w:r>
            <w:r>
              <w:rPr>
                <w:noProof/>
                <w:webHidden/>
              </w:rPr>
              <w:fldChar w:fldCharType="end"/>
            </w:r>
          </w:hyperlink>
        </w:p>
        <w:p w14:paraId="0FDFBEA2" w14:textId="4773619A" w:rsidR="00013746" w:rsidRDefault="00013746">
          <w:pPr>
            <w:pStyle w:val="TOC1"/>
            <w:tabs>
              <w:tab w:val="right" w:leader="dot" w:pos="9016"/>
            </w:tabs>
            <w:rPr>
              <w:rFonts w:cstheme="minorBidi"/>
              <w:noProof/>
              <w:kern w:val="2"/>
              <w:sz w:val="24"/>
              <w:szCs w:val="24"/>
              <w14:ligatures w14:val="standardContextual"/>
            </w:rPr>
          </w:pPr>
          <w:hyperlink w:anchor="_Toc209620298" w:history="1">
            <w:r w:rsidRPr="00055D2D">
              <w:rPr>
                <w:rStyle w:val="Hyperlink"/>
                <w:rFonts w:cs="Arial"/>
                <w:noProof/>
              </w:rPr>
              <w:t>Collaborative Approaches to Dementia Support</w:t>
            </w:r>
            <w:r>
              <w:rPr>
                <w:noProof/>
                <w:webHidden/>
              </w:rPr>
              <w:tab/>
            </w:r>
            <w:r>
              <w:rPr>
                <w:noProof/>
                <w:webHidden/>
              </w:rPr>
              <w:fldChar w:fldCharType="begin"/>
            </w:r>
            <w:r>
              <w:rPr>
                <w:noProof/>
                <w:webHidden/>
              </w:rPr>
              <w:instrText xml:space="preserve"> PAGEREF _Toc209620298 \h </w:instrText>
            </w:r>
            <w:r>
              <w:rPr>
                <w:noProof/>
                <w:webHidden/>
              </w:rPr>
            </w:r>
            <w:r>
              <w:rPr>
                <w:noProof/>
                <w:webHidden/>
              </w:rPr>
              <w:fldChar w:fldCharType="separate"/>
            </w:r>
            <w:r>
              <w:rPr>
                <w:noProof/>
                <w:webHidden/>
              </w:rPr>
              <w:t>6</w:t>
            </w:r>
            <w:r>
              <w:rPr>
                <w:noProof/>
                <w:webHidden/>
              </w:rPr>
              <w:fldChar w:fldCharType="end"/>
            </w:r>
          </w:hyperlink>
        </w:p>
        <w:p w14:paraId="15A0F757" w14:textId="72AE7D4B" w:rsidR="00013746" w:rsidRDefault="00013746">
          <w:pPr>
            <w:pStyle w:val="TOC1"/>
            <w:tabs>
              <w:tab w:val="right" w:leader="dot" w:pos="9016"/>
            </w:tabs>
            <w:rPr>
              <w:rFonts w:cstheme="minorBidi"/>
              <w:noProof/>
              <w:kern w:val="2"/>
              <w:sz w:val="24"/>
              <w:szCs w:val="24"/>
              <w14:ligatures w14:val="standardContextual"/>
            </w:rPr>
          </w:pPr>
          <w:hyperlink w:anchor="_Toc209620299" w:history="1">
            <w:r w:rsidRPr="00055D2D">
              <w:rPr>
                <w:rStyle w:val="Hyperlink"/>
                <w:rFonts w:cs="Arial"/>
                <w:noProof/>
              </w:rPr>
              <w:t>Policy and Legal Frameworks Shaping Dementia Care</w:t>
            </w:r>
            <w:r>
              <w:rPr>
                <w:noProof/>
                <w:webHidden/>
              </w:rPr>
              <w:tab/>
            </w:r>
            <w:r>
              <w:rPr>
                <w:noProof/>
                <w:webHidden/>
              </w:rPr>
              <w:fldChar w:fldCharType="begin"/>
            </w:r>
            <w:r>
              <w:rPr>
                <w:noProof/>
                <w:webHidden/>
              </w:rPr>
              <w:instrText xml:space="preserve"> PAGEREF _Toc209620299 \h </w:instrText>
            </w:r>
            <w:r>
              <w:rPr>
                <w:noProof/>
                <w:webHidden/>
              </w:rPr>
            </w:r>
            <w:r>
              <w:rPr>
                <w:noProof/>
                <w:webHidden/>
              </w:rPr>
              <w:fldChar w:fldCharType="separate"/>
            </w:r>
            <w:r>
              <w:rPr>
                <w:noProof/>
                <w:webHidden/>
              </w:rPr>
              <w:t>7</w:t>
            </w:r>
            <w:r>
              <w:rPr>
                <w:noProof/>
                <w:webHidden/>
              </w:rPr>
              <w:fldChar w:fldCharType="end"/>
            </w:r>
          </w:hyperlink>
        </w:p>
        <w:p w14:paraId="5B3D77B5" w14:textId="2B1868FA" w:rsidR="00013746" w:rsidRDefault="00013746">
          <w:pPr>
            <w:pStyle w:val="TOC1"/>
            <w:tabs>
              <w:tab w:val="right" w:leader="dot" w:pos="9016"/>
            </w:tabs>
            <w:rPr>
              <w:rFonts w:cstheme="minorBidi"/>
              <w:noProof/>
              <w:kern w:val="2"/>
              <w:sz w:val="24"/>
              <w:szCs w:val="24"/>
              <w14:ligatures w14:val="standardContextual"/>
            </w:rPr>
          </w:pPr>
          <w:hyperlink w:anchor="_Toc209620300" w:history="1">
            <w:r w:rsidRPr="00055D2D">
              <w:rPr>
                <w:rStyle w:val="Hyperlink"/>
                <w:rFonts w:cs="Arial"/>
                <w:noProof/>
              </w:rPr>
              <w:t>Strategies for Improving Dementia Services</w:t>
            </w:r>
            <w:r>
              <w:rPr>
                <w:noProof/>
                <w:webHidden/>
              </w:rPr>
              <w:tab/>
            </w:r>
            <w:r>
              <w:rPr>
                <w:noProof/>
                <w:webHidden/>
              </w:rPr>
              <w:fldChar w:fldCharType="begin"/>
            </w:r>
            <w:r>
              <w:rPr>
                <w:noProof/>
                <w:webHidden/>
              </w:rPr>
              <w:instrText xml:space="preserve"> PAGEREF _Toc209620300 \h </w:instrText>
            </w:r>
            <w:r>
              <w:rPr>
                <w:noProof/>
                <w:webHidden/>
              </w:rPr>
            </w:r>
            <w:r>
              <w:rPr>
                <w:noProof/>
                <w:webHidden/>
              </w:rPr>
              <w:fldChar w:fldCharType="separate"/>
            </w:r>
            <w:r>
              <w:rPr>
                <w:noProof/>
                <w:webHidden/>
              </w:rPr>
              <w:t>7</w:t>
            </w:r>
            <w:r>
              <w:rPr>
                <w:noProof/>
                <w:webHidden/>
              </w:rPr>
              <w:fldChar w:fldCharType="end"/>
            </w:r>
          </w:hyperlink>
        </w:p>
        <w:p w14:paraId="60262FF2" w14:textId="637628A6" w:rsidR="00013746" w:rsidRDefault="00013746">
          <w:pPr>
            <w:pStyle w:val="TOC1"/>
            <w:tabs>
              <w:tab w:val="right" w:leader="dot" w:pos="9016"/>
            </w:tabs>
            <w:rPr>
              <w:rFonts w:cstheme="minorBidi"/>
              <w:noProof/>
              <w:kern w:val="2"/>
              <w:sz w:val="24"/>
              <w:szCs w:val="24"/>
              <w14:ligatures w14:val="standardContextual"/>
            </w:rPr>
          </w:pPr>
          <w:hyperlink w:anchor="_Toc209620301" w:history="1">
            <w:r w:rsidRPr="00055D2D">
              <w:rPr>
                <w:rStyle w:val="Hyperlink"/>
                <w:rFonts w:cs="Arial"/>
                <w:noProof/>
              </w:rPr>
              <w:t>Conclusion</w:t>
            </w:r>
            <w:r>
              <w:rPr>
                <w:noProof/>
                <w:webHidden/>
              </w:rPr>
              <w:tab/>
            </w:r>
            <w:r>
              <w:rPr>
                <w:noProof/>
                <w:webHidden/>
              </w:rPr>
              <w:fldChar w:fldCharType="begin"/>
            </w:r>
            <w:r>
              <w:rPr>
                <w:noProof/>
                <w:webHidden/>
              </w:rPr>
              <w:instrText xml:space="preserve"> PAGEREF _Toc209620301 \h </w:instrText>
            </w:r>
            <w:r>
              <w:rPr>
                <w:noProof/>
                <w:webHidden/>
              </w:rPr>
            </w:r>
            <w:r>
              <w:rPr>
                <w:noProof/>
                <w:webHidden/>
              </w:rPr>
              <w:fldChar w:fldCharType="separate"/>
            </w:r>
            <w:r>
              <w:rPr>
                <w:noProof/>
                <w:webHidden/>
              </w:rPr>
              <w:t>8</w:t>
            </w:r>
            <w:r>
              <w:rPr>
                <w:noProof/>
                <w:webHidden/>
              </w:rPr>
              <w:fldChar w:fldCharType="end"/>
            </w:r>
          </w:hyperlink>
        </w:p>
        <w:p w14:paraId="340A44E9" w14:textId="3DC72A92" w:rsidR="00013746" w:rsidRDefault="00013746">
          <w:pPr>
            <w:pStyle w:val="TOC1"/>
            <w:tabs>
              <w:tab w:val="right" w:leader="dot" w:pos="9016"/>
            </w:tabs>
            <w:rPr>
              <w:rFonts w:cstheme="minorBidi"/>
              <w:noProof/>
              <w:kern w:val="2"/>
              <w:sz w:val="24"/>
              <w:szCs w:val="24"/>
              <w14:ligatures w14:val="standardContextual"/>
            </w:rPr>
          </w:pPr>
          <w:hyperlink w:anchor="_Toc209620302" w:history="1">
            <w:r w:rsidRPr="00055D2D">
              <w:rPr>
                <w:rStyle w:val="Hyperlink"/>
                <w:rFonts w:cs="Arial"/>
                <w:noProof/>
              </w:rPr>
              <w:t>References</w:t>
            </w:r>
            <w:r>
              <w:rPr>
                <w:noProof/>
                <w:webHidden/>
              </w:rPr>
              <w:tab/>
            </w:r>
            <w:r>
              <w:rPr>
                <w:noProof/>
                <w:webHidden/>
              </w:rPr>
              <w:fldChar w:fldCharType="begin"/>
            </w:r>
            <w:r>
              <w:rPr>
                <w:noProof/>
                <w:webHidden/>
              </w:rPr>
              <w:instrText xml:space="preserve"> PAGEREF _Toc209620302 \h </w:instrText>
            </w:r>
            <w:r>
              <w:rPr>
                <w:noProof/>
                <w:webHidden/>
              </w:rPr>
            </w:r>
            <w:r>
              <w:rPr>
                <w:noProof/>
                <w:webHidden/>
              </w:rPr>
              <w:fldChar w:fldCharType="separate"/>
            </w:r>
            <w:r>
              <w:rPr>
                <w:noProof/>
                <w:webHidden/>
              </w:rPr>
              <w:t>10</w:t>
            </w:r>
            <w:r>
              <w:rPr>
                <w:noProof/>
                <w:webHidden/>
              </w:rPr>
              <w:fldChar w:fldCharType="end"/>
            </w:r>
          </w:hyperlink>
        </w:p>
        <w:p w14:paraId="32894C88" w14:textId="09026B00" w:rsidR="00A650D3" w:rsidRPr="00013746" w:rsidRDefault="00A650D3">
          <w:pPr>
            <w:rPr>
              <w:rFonts w:cs="Arial"/>
            </w:rPr>
          </w:pPr>
          <w:r w:rsidRPr="00013746">
            <w:rPr>
              <w:rFonts w:cs="Arial"/>
              <w:b/>
              <w:bCs/>
              <w:noProof/>
            </w:rPr>
            <w:fldChar w:fldCharType="end"/>
          </w:r>
        </w:p>
      </w:sdtContent>
    </w:sdt>
    <w:p w14:paraId="7278D946" w14:textId="77777777" w:rsidR="00A650D3" w:rsidRPr="00013746" w:rsidRDefault="00A650D3" w:rsidP="00FC3132">
      <w:pPr>
        <w:rPr>
          <w:rFonts w:cs="Arial"/>
        </w:rPr>
      </w:pPr>
    </w:p>
    <w:p w14:paraId="7C3FF3C9" w14:textId="65275D1E" w:rsidR="00FC3132" w:rsidRPr="00013746" w:rsidRDefault="00FC3132">
      <w:pPr>
        <w:spacing w:line="278" w:lineRule="auto"/>
        <w:jc w:val="left"/>
        <w:rPr>
          <w:rFonts w:cs="Arial"/>
        </w:rPr>
      </w:pPr>
      <w:r w:rsidRPr="00013746">
        <w:rPr>
          <w:rFonts w:cs="Arial"/>
        </w:rPr>
        <w:br w:type="page"/>
      </w:r>
    </w:p>
    <w:p w14:paraId="322C3F43" w14:textId="289EF1B9" w:rsidR="00FC3132" w:rsidRPr="00013746" w:rsidRDefault="00FC3132" w:rsidP="00FC3132">
      <w:pPr>
        <w:pStyle w:val="Heading1"/>
        <w:rPr>
          <w:rFonts w:cs="Arial"/>
        </w:rPr>
      </w:pPr>
      <w:bookmarkStart w:id="1" w:name="_Toc209620294"/>
      <w:r w:rsidRPr="00013746">
        <w:rPr>
          <w:rFonts w:cs="Arial"/>
        </w:rPr>
        <w:lastRenderedPageBreak/>
        <w:t>Introduction</w:t>
      </w:r>
      <w:bookmarkEnd w:id="1"/>
    </w:p>
    <w:p w14:paraId="099AF5B9" w14:textId="77777777" w:rsidR="009450E0" w:rsidRPr="00013746" w:rsidRDefault="009450E0" w:rsidP="009450E0">
      <w:pPr>
        <w:rPr>
          <w:rFonts w:cs="Arial"/>
        </w:rPr>
      </w:pPr>
      <w:r w:rsidRPr="00013746">
        <w:rPr>
          <w:rFonts w:cs="Arial"/>
        </w:rPr>
        <w:t>Person-Centred Care and Partnership Working practice have become an important element in the health and social care practice in the United Kingdom and particularly in the services that handle the people living with dementia in the society. Person-Centred Care is completely about dignity, respect and choice of oneself in which individuals are not merely identified by their condition but instead by their presence (Tieu, 2022). The importance of the partnership working is highlighted in Partnership Working that demonstrates that professionals, families, voluntary organisations and statutory services must cooperate to provide holistic and co-ordinated care.</w:t>
      </w:r>
    </w:p>
    <w:p w14:paraId="5A29FCBF" w14:textId="267E2843" w:rsidR="007A2D08" w:rsidRPr="00013746" w:rsidRDefault="007A2D08" w:rsidP="007A2D08">
      <w:pPr>
        <w:rPr>
          <w:rFonts w:cs="Arial"/>
        </w:rPr>
      </w:pPr>
      <w:r w:rsidRPr="00013746">
        <w:rPr>
          <w:rFonts w:cs="Arial"/>
        </w:rPr>
        <w:t xml:space="preserve">This report is aimed at the critical assessment of the person-centred care and the conceptualisation and implementation of partnership-working within dementia services. It does not only ruminate on its advantages, including enhanced patient engagement and quality of life, but also on its disadvantages, including systemic </w:t>
      </w:r>
      <w:proofErr w:type="spellStart"/>
      <w:r w:rsidRPr="00013746">
        <w:rPr>
          <w:rFonts w:cs="Arial"/>
        </w:rPr>
        <w:t>unparity</w:t>
      </w:r>
      <w:proofErr w:type="spellEnd"/>
      <w:r w:rsidRPr="00013746">
        <w:rPr>
          <w:rFonts w:cs="Arial"/>
        </w:rPr>
        <w:t xml:space="preserve">, workforce deficit, and disjointed service delivery. Theories and ethical principles are also discussed as well as practical examples that can prove how these strategies can influence the practice. Also, the report evaluates the contribution of legislations and policies governing delivery of dementia care including Care Act 2014 and Mental Capacity Act 2005. The report will present evidence-based recommendations based on the evaluation of the strengths and challenges that will help in empowering the future practice and make the community-based dementia services responsive, equitable, and sustainable.  </w:t>
      </w:r>
    </w:p>
    <w:p w14:paraId="73B13F1B" w14:textId="1AEB4F30" w:rsidR="007A2D08" w:rsidRPr="00013746" w:rsidRDefault="007A2D08" w:rsidP="007A2D08">
      <w:pPr>
        <w:pStyle w:val="Heading1"/>
        <w:rPr>
          <w:rFonts w:cs="Arial"/>
        </w:rPr>
      </w:pPr>
      <w:bookmarkStart w:id="2" w:name="_Toc209620295"/>
      <w:r w:rsidRPr="00013746">
        <w:rPr>
          <w:rFonts w:cs="Arial"/>
        </w:rPr>
        <w:t xml:space="preserve">Knowledge of </w:t>
      </w:r>
      <w:r w:rsidR="00942341" w:rsidRPr="00013746">
        <w:rPr>
          <w:rFonts w:cs="Arial"/>
        </w:rPr>
        <w:t>Person-Centred</w:t>
      </w:r>
      <w:r w:rsidRPr="00013746">
        <w:rPr>
          <w:rFonts w:cs="Arial"/>
        </w:rPr>
        <w:t xml:space="preserve"> Care in Dementia Care</w:t>
      </w:r>
      <w:bookmarkEnd w:id="2"/>
    </w:p>
    <w:p w14:paraId="3621A844" w14:textId="71CED2E9" w:rsidR="007A2D08" w:rsidRPr="00013746" w:rsidRDefault="007A2D08" w:rsidP="007A2D08">
      <w:pPr>
        <w:rPr>
          <w:rFonts w:cs="Arial"/>
        </w:rPr>
      </w:pPr>
      <w:r w:rsidRPr="00013746">
        <w:rPr>
          <w:rFonts w:cs="Arial"/>
        </w:rPr>
        <w:t>Person-Centred Care (PCC) in dementia care is a model of care founded on individuality, dignity, and biographical experiences of an individual, where therapeutic interventions are grounded on the preferences of the individual and may not be necessarily guided by conventional medical or institutional methods. The theoretical foundation that is most convincing to this strategy is the theory of personhood by Tom Kitwood according to which persons with dementia are always to be seen as individuals with a history, feelings and identities that cannot be lost due to their cognitive deficiency (</w:t>
      </w:r>
      <w:proofErr w:type="spellStart"/>
      <w:r w:rsidRPr="00013746">
        <w:rPr>
          <w:rFonts w:cs="Arial"/>
        </w:rPr>
        <w:t>Kitwood</w:t>
      </w:r>
      <w:proofErr w:type="spellEnd"/>
      <w:r w:rsidRPr="00013746">
        <w:rPr>
          <w:rFonts w:cs="Arial"/>
        </w:rPr>
        <w:t>, 1998). This stance challenges the paradigms of classic medicalisation and preconditions the relationality, communication, and respect as the most important pillars of the effective practice.</w:t>
      </w:r>
    </w:p>
    <w:p w14:paraId="2DBF0CAD" w14:textId="29FBA625" w:rsidR="007A2D08" w:rsidRPr="00013746" w:rsidRDefault="007A2D08" w:rsidP="007A2D08">
      <w:pPr>
        <w:rPr>
          <w:rFonts w:cs="Arial"/>
        </w:rPr>
      </w:pPr>
      <w:r w:rsidRPr="00013746">
        <w:rPr>
          <w:rFonts w:cs="Arial"/>
        </w:rPr>
        <w:t xml:space="preserve">Person-centred care (PCC) is effective in dementia settings, which is proved by empirical evidence (Blake et al., 2020). The model has been linked to the </w:t>
      </w:r>
      <w:proofErr w:type="gramStart"/>
      <w:r w:rsidRPr="00013746">
        <w:rPr>
          <w:rFonts w:cs="Arial"/>
        </w:rPr>
        <w:t>quality of life</w:t>
      </w:r>
      <w:proofErr w:type="gramEnd"/>
      <w:r w:rsidRPr="00013746">
        <w:rPr>
          <w:rFonts w:cs="Arial"/>
        </w:rPr>
        <w:t xml:space="preserve"> improvement, the decrease in behavioural distress, and the growth of the engagement in meaningful activity. By community-based models of PCC, where the care is often mediated by family members, </w:t>
      </w:r>
      <w:r w:rsidRPr="00013746">
        <w:rPr>
          <w:rFonts w:cs="Arial"/>
        </w:rPr>
        <w:lastRenderedPageBreak/>
        <w:t>support workers, and voluntary organisations, it is aimed to ensure that care plans are not purely medically oriented but also social, cultural and emotional in their orientation. As an example, personal preferences can be brought to everyday adaptations to routine to decrease anxiety and foster the feeling of stability in dementia patients.</w:t>
      </w:r>
    </w:p>
    <w:p w14:paraId="21B78B8E" w14:textId="346406F5" w:rsidR="007A2D08" w:rsidRPr="00013746" w:rsidRDefault="007A2D08" w:rsidP="007A2D08">
      <w:pPr>
        <w:rPr>
          <w:rFonts w:cs="Arial"/>
        </w:rPr>
      </w:pPr>
      <w:r w:rsidRPr="00013746">
        <w:rPr>
          <w:rFonts w:cs="Arial"/>
        </w:rPr>
        <w:t xml:space="preserve">Nonetheless, there are </w:t>
      </w:r>
      <w:proofErr w:type="gramStart"/>
      <w:r w:rsidRPr="00013746">
        <w:rPr>
          <w:rFonts w:cs="Arial"/>
        </w:rPr>
        <w:t>a number of</w:t>
      </w:r>
      <w:proofErr w:type="gramEnd"/>
      <w:r w:rsidRPr="00013746">
        <w:rPr>
          <w:rFonts w:cs="Arial"/>
        </w:rPr>
        <w:t xml:space="preserve"> barriers to ideal implementation of PCC. Insufficiency of adequate work force and financial resources and sporadic training opportunities erode the consistency and faithfulness of person-centred interventions (Lloyd et al., 2020). The conflict between efficiency and standardisation against personal choice will be a priority issue of several organisations and it has led to the loss of individualised care and a greater likelihood of depersonalisation.</w:t>
      </w:r>
    </w:p>
    <w:p w14:paraId="4504B8DE" w14:textId="4888C40D" w:rsidR="00FC3132" w:rsidRPr="00013746" w:rsidRDefault="007A2D08" w:rsidP="00FC3132">
      <w:pPr>
        <w:rPr>
          <w:rFonts w:cs="Arial"/>
        </w:rPr>
      </w:pPr>
      <w:r w:rsidRPr="00013746">
        <w:rPr>
          <w:rFonts w:cs="Arial"/>
        </w:rPr>
        <w:t xml:space="preserve">PCC in community dementia care would then not only need a philosophical position but also a strong structural backbone, sufficient resources, and a cultural change that sees an individual in each human being (Islam et al., 2025). </w:t>
      </w:r>
      <w:r w:rsidR="00FC3132" w:rsidRPr="00013746">
        <w:rPr>
          <w:rFonts w:cs="Arial"/>
        </w:rPr>
        <w:t xml:space="preserve">The model introduced by </w:t>
      </w:r>
      <w:proofErr w:type="spellStart"/>
      <w:r w:rsidR="00FC3132" w:rsidRPr="00013746">
        <w:rPr>
          <w:rFonts w:cs="Arial"/>
        </w:rPr>
        <w:t>Kitwood</w:t>
      </w:r>
      <w:proofErr w:type="spellEnd"/>
      <w:r w:rsidR="00FC3132" w:rsidRPr="00013746">
        <w:rPr>
          <w:rFonts w:cs="Arial"/>
        </w:rPr>
        <w:t xml:space="preserve"> provides a good theoretical background, although its practical implementation is based on the availability of competent staff, working relationships, and enabling policy conditions.</w:t>
      </w:r>
    </w:p>
    <w:p w14:paraId="52938BA2" w14:textId="1FC8F7A7" w:rsidR="00A650D3" w:rsidRPr="00013746" w:rsidRDefault="00A650D3" w:rsidP="00FC3132">
      <w:pPr>
        <w:rPr>
          <w:rFonts w:cs="Arial"/>
        </w:rPr>
      </w:pPr>
      <w:r w:rsidRPr="00013746">
        <w:rPr>
          <w:rFonts w:cs="Arial"/>
        </w:rPr>
        <w:t>Figure 1 below provides a visual framework that demonstrates the principles of Person-Centred Care, including values, behaviours, and outcomes relevant to dementia services.</w:t>
      </w:r>
    </w:p>
    <w:p w14:paraId="2D84FE3E" w14:textId="5BFB4637" w:rsidR="00A650D3" w:rsidRPr="00013746" w:rsidRDefault="00A650D3" w:rsidP="00FC3132">
      <w:pPr>
        <w:rPr>
          <w:rFonts w:cs="Arial"/>
          <w:noProof/>
        </w:rPr>
      </w:pPr>
      <w:r w:rsidRPr="00013746">
        <w:rPr>
          <w:rFonts w:cs="Arial"/>
          <w:noProof/>
        </w:rPr>
        <w:t xml:space="preserve">                            </w:t>
      </w:r>
      <w:r w:rsidRPr="00013746">
        <w:rPr>
          <w:rFonts w:cs="Arial"/>
          <w:noProof/>
        </w:rPr>
        <w:drawing>
          <wp:inline distT="0" distB="0" distL="0" distR="0" wp14:anchorId="5AE597DD" wp14:editId="49C84F38">
            <wp:extent cx="3560445" cy="3042285"/>
            <wp:effectExtent l="0" t="0" r="1905" b="5715"/>
            <wp:docPr id="1443525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60445" cy="3042285"/>
                    </a:xfrm>
                    <a:prstGeom prst="rect">
                      <a:avLst/>
                    </a:prstGeom>
                    <a:noFill/>
                  </pic:spPr>
                </pic:pic>
              </a:graphicData>
            </a:graphic>
          </wp:inline>
        </w:drawing>
      </w:r>
    </w:p>
    <w:p w14:paraId="228C9C2A" w14:textId="507572E3" w:rsidR="00A650D3" w:rsidRPr="00013746" w:rsidRDefault="00A650D3" w:rsidP="00A650D3">
      <w:pPr>
        <w:pStyle w:val="Caption"/>
        <w:jc w:val="center"/>
        <w:rPr>
          <w:rFonts w:cs="Arial"/>
          <w:b/>
          <w:bCs/>
          <w:i w:val="0"/>
          <w:iCs w:val="0"/>
        </w:rPr>
      </w:pPr>
      <w:r w:rsidRPr="00013746">
        <w:rPr>
          <w:rFonts w:cs="Arial"/>
          <w:b/>
          <w:bCs/>
          <w:i w:val="0"/>
          <w:iCs w:val="0"/>
        </w:rPr>
        <w:t xml:space="preserve">Figure </w:t>
      </w:r>
      <w:r w:rsidRPr="00013746">
        <w:rPr>
          <w:rFonts w:cs="Arial"/>
          <w:b/>
          <w:bCs/>
          <w:i w:val="0"/>
          <w:iCs w:val="0"/>
        </w:rPr>
        <w:fldChar w:fldCharType="begin"/>
      </w:r>
      <w:r w:rsidRPr="00013746">
        <w:rPr>
          <w:rFonts w:cs="Arial"/>
          <w:b/>
          <w:bCs/>
          <w:i w:val="0"/>
          <w:iCs w:val="0"/>
        </w:rPr>
        <w:instrText xml:space="preserve"> SEQ Figure \* ARABIC </w:instrText>
      </w:r>
      <w:r w:rsidRPr="00013746">
        <w:rPr>
          <w:rFonts w:cs="Arial"/>
          <w:b/>
          <w:bCs/>
          <w:i w:val="0"/>
          <w:iCs w:val="0"/>
        </w:rPr>
        <w:fldChar w:fldCharType="separate"/>
      </w:r>
      <w:r w:rsidRPr="00013746">
        <w:rPr>
          <w:rFonts w:cs="Arial"/>
          <w:b/>
          <w:bCs/>
          <w:i w:val="0"/>
          <w:iCs w:val="0"/>
          <w:noProof/>
        </w:rPr>
        <w:t>1</w:t>
      </w:r>
      <w:r w:rsidRPr="00013746">
        <w:rPr>
          <w:rFonts w:cs="Arial"/>
          <w:b/>
          <w:bCs/>
          <w:i w:val="0"/>
          <w:iCs w:val="0"/>
        </w:rPr>
        <w:fldChar w:fldCharType="end"/>
      </w:r>
      <w:r w:rsidRPr="00013746">
        <w:rPr>
          <w:rFonts w:cs="Arial"/>
          <w:b/>
          <w:bCs/>
          <w:i w:val="0"/>
          <w:iCs w:val="0"/>
        </w:rPr>
        <w:t>: Person-Centred Approaches</w:t>
      </w:r>
    </w:p>
    <w:p w14:paraId="3DD7C3DC" w14:textId="320A45CB" w:rsidR="00FC3132" w:rsidRPr="00013746" w:rsidRDefault="00FC3132" w:rsidP="00FC3132">
      <w:pPr>
        <w:pStyle w:val="Heading1"/>
        <w:rPr>
          <w:rFonts w:cs="Arial"/>
        </w:rPr>
      </w:pPr>
      <w:bookmarkStart w:id="3" w:name="_Toc209620296"/>
      <w:r w:rsidRPr="00013746">
        <w:rPr>
          <w:rFonts w:cs="Arial"/>
        </w:rPr>
        <w:lastRenderedPageBreak/>
        <w:t>Theoretical Foundations of Person-Centred Practice</w:t>
      </w:r>
      <w:bookmarkEnd w:id="3"/>
    </w:p>
    <w:p w14:paraId="041CDAAD" w14:textId="10EA233B" w:rsidR="00FC3132" w:rsidRPr="00013746" w:rsidRDefault="00FC3132" w:rsidP="00FC3132">
      <w:pPr>
        <w:rPr>
          <w:rFonts w:cs="Arial"/>
        </w:rPr>
      </w:pPr>
      <w:r w:rsidRPr="00013746">
        <w:rPr>
          <w:rFonts w:cs="Arial"/>
        </w:rPr>
        <w:t xml:space="preserve">Several theories form the background of the application of Person-Centred Care in dementia services. Among them, the Personhood Theory by Tom Kitwood stands out as one of the most effective, as it emphasizes the importance of treating people with dementia as people, and not as patients whose main characteristic is the loss of cognitive functions. </w:t>
      </w:r>
      <w:proofErr w:type="spellStart"/>
      <w:r w:rsidRPr="00013746">
        <w:rPr>
          <w:rFonts w:cs="Arial"/>
        </w:rPr>
        <w:t>Kitwood</w:t>
      </w:r>
      <w:proofErr w:type="spellEnd"/>
      <w:r w:rsidR="006B7B1F" w:rsidRPr="00013746">
        <w:rPr>
          <w:rFonts w:cs="Arial"/>
        </w:rPr>
        <w:t xml:space="preserve"> (1998)</w:t>
      </w:r>
      <w:r w:rsidRPr="00013746">
        <w:rPr>
          <w:rFonts w:cs="Arial"/>
        </w:rPr>
        <w:t xml:space="preserve"> has argued that it is possible to maintain identity and dignity through positive social interactions, empathy and respect. This, in practice, means that the care staff is supposed to focus on communication, identify personal histories, and customize routines to what is important to the individual. As an example, it can be beneficial to maintain a routine that is familiar to one every day or play preferred music to alleviate agitation and promote wellbeing.</w:t>
      </w:r>
    </w:p>
    <w:p w14:paraId="6351F69D" w14:textId="7A8F57DC" w:rsidR="00FC3132" w:rsidRPr="00013746" w:rsidRDefault="00FC3132" w:rsidP="00FC3132">
      <w:pPr>
        <w:rPr>
          <w:rFonts w:cs="Arial"/>
        </w:rPr>
      </w:pPr>
      <w:r w:rsidRPr="00013746">
        <w:rPr>
          <w:rFonts w:cs="Arial"/>
        </w:rPr>
        <w:t>The other applicable model is the Hierarchy of Needs, which is developed by Maslow and highlights that the human needs are categorised into physiological security to self-actualisation (</w:t>
      </w:r>
      <w:r w:rsidR="006B7B1F" w:rsidRPr="00013746">
        <w:rPr>
          <w:rFonts w:cs="Arial"/>
        </w:rPr>
        <w:t>Tan et al, 2025</w:t>
      </w:r>
      <w:r w:rsidRPr="00013746">
        <w:rPr>
          <w:rFonts w:cs="Arial"/>
        </w:rPr>
        <w:t>). In the application to dementia care, this theory implies that care is not effective when the basic needs (safety, nourishment, and comfort) are not satisfied. However, the higher needs such as belonging, esteem, and purpose are also equally important. Some of the needs that practitioners can satisfy, despite decreasing cognitive abilities, are supporting community involvement, sustaining family connections, and offering meaningful activity.</w:t>
      </w:r>
    </w:p>
    <w:p w14:paraId="17E8E8A3" w14:textId="5A6ECD1C" w:rsidR="00FC3132" w:rsidRPr="00013746" w:rsidRDefault="00FC3132" w:rsidP="00FC3132">
      <w:pPr>
        <w:rPr>
          <w:rFonts w:cs="Arial"/>
        </w:rPr>
      </w:pPr>
      <w:r w:rsidRPr="00013746">
        <w:rPr>
          <w:rFonts w:cs="Arial"/>
        </w:rPr>
        <w:t>Overall, these theories prove that Person-Centred Care is not just an ideal but a well-organized, evidence-based model that can be used to shape the daily practice in dementia services.</w:t>
      </w:r>
    </w:p>
    <w:p w14:paraId="7BCDAE14" w14:textId="56182AF3" w:rsidR="00FC3132" w:rsidRPr="00013746" w:rsidRDefault="00FC3132" w:rsidP="00FC3132">
      <w:pPr>
        <w:pStyle w:val="Heading1"/>
        <w:rPr>
          <w:rFonts w:cs="Arial"/>
        </w:rPr>
      </w:pPr>
      <w:bookmarkStart w:id="4" w:name="_Toc209620297"/>
      <w:r w:rsidRPr="00013746">
        <w:rPr>
          <w:rFonts w:cs="Arial"/>
        </w:rPr>
        <w:t>Ethical Responsibilities in Community Dementia Care</w:t>
      </w:r>
      <w:bookmarkEnd w:id="4"/>
    </w:p>
    <w:p w14:paraId="141C68AE" w14:textId="471274AE" w:rsidR="004802F3" w:rsidRPr="00013746" w:rsidRDefault="004802F3" w:rsidP="004802F3">
      <w:pPr>
        <w:rPr>
          <w:rFonts w:cs="Arial"/>
        </w:rPr>
      </w:pPr>
      <w:r w:rsidRPr="00013746">
        <w:rPr>
          <w:rFonts w:cs="Arial"/>
        </w:rPr>
        <w:t xml:space="preserve">The theoretical basis of Person-Centred Care in the context of dementia services is ethical principles, as they offer a means of guaranteeing that professional practice does not violate the human dignity, but at the same time, balances safety needs and individual autonomy. The most challenging one is autonomy since dementia can affect an individual ability to make fully informed decisions. </w:t>
      </w:r>
      <w:r w:rsidRPr="00013746">
        <w:rPr>
          <w:rFonts w:cs="Arial"/>
          <w:b/>
          <w:bCs/>
        </w:rPr>
        <w:t xml:space="preserve">Mental capacity act </w:t>
      </w:r>
      <w:r w:rsidR="006B7B1F" w:rsidRPr="00013746">
        <w:rPr>
          <w:rFonts w:cs="Arial"/>
          <w:b/>
          <w:bCs/>
        </w:rPr>
        <w:t>(</w:t>
      </w:r>
      <w:r w:rsidRPr="00013746">
        <w:rPr>
          <w:rFonts w:cs="Arial"/>
          <w:b/>
          <w:bCs/>
        </w:rPr>
        <w:t>2005</w:t>
      </w:r>
      <w:r w:rsidR="006B7B1F" w:rsidRPr="00013746">
        <w:rPr>
          <w:rFonts w:cs="Arial"/>
          <w:b/>
          <w:bCs/>
        </w:rPr>
        <w:t>)</w:t>
      </w:r>
      <w:r w:rsidRPr="00013746">
        <w:rPr>
          <w:rFonts w:cs="Arial"/>
        </w:rPr>
        <w:t xml:space="preserve"> provides legal direction by stating that the decisions should be made in the best interest of the individual, at the same time promoting the facilitation of choice where possible. As an example, a person might develop a situation where he cannot agree to a certain medical </w:t>
      </w:r>
      <w:proofErr w:type="gramStart"/>
      <w:r w:rsidRPr="00013746">
        <w:rPr>
          <w:rFonts w:cs="Arial"/>
        </w:rPr>
        <w:t>procedure, but</w:t>
      </w:r>
      <w:proofErr w:type="gramEnd"/>
      <w:r w:rsidRPr="00013746">
        <w:rPr>
          <w:rFonts w:cs="Arial"/>
        </w:rPr>
        <w:t xml:space="preserve"> can have preferences on what to eat or what to do every day.</w:t>
      </w:r>
    </w:p>
    <w:p w14:paraId="16A2517F" w14:textId="62220705" w:rsidR="004802F3" w:rsidRPr="00013746" w:rsidRDefault="004802F3" w:rsidP="004802F3">
      <w:pPr>
        <w:rPr>
          <w:rFonts w:cs="Arial"/>
        </w:rPr>
      </w:pPr>
      <w:r w:rsidRPr="00013746">
        <w:rPr>
          <w:rFonts w:cs="Arial"/>
        </w:rPr>
        <w:t>Non-maleficence compels practitioners to do what is harmful to the wellbeing of service users, whereas beneficence compels practitioners to do what will benefit them</w:t>
      </w:r>
      <w:r w:rsidR="006B7B1F" w:rsidRPr="00013746">
        <w:rPr>
          <w:rFonts w:cs="Arial"/>
        </w:rPr>
        <w:t xml:space="preserve"> (Vaughan et al, 2023)</w:t>
      </w:r>
      <w:r w:rsidRPr="00013746">
        <w:rPr>
          <w:rFonts w:cs="Arial"/>
        </w:rPr>
        <w:t xml:space="preserve">. </w:t>
      </w:r>
      <w:r w:rsidRPr="00013746">
        <w:rPr>
          <w:rFonts w:cs="Arial"/>
        </w:rPr>
        <w:lastRenderedPageBreak/>
        <w:t xml:space="preserve">Pharmacological management is especially critical in this regard since the relief of distress by the administration of antipsychotics should be weighed against the possibility of </w:t>
      </w:r>
      <w:proofErr w:type="spellStart"/>
      <w:r w:rsidRPr="00013746">
        <w:rPr>
          <w:rFonts w:cs="Arial"/>
        </w:rPr>
        <w:t>unfavorable</w:t>
      </w:r>
      <w:proofErr w:type="spellEnd"/>
      <w:r w:rsidRPr="00013746">
        <w:rPr>
          <w:rFonts w:cs="Arial"/>
        </w:rPr>
        <w:t xml:space="preserve"> side effects. Similarly, protection measures need to be effective to protect without creating unnecessary restraint on the freedom of the individual.</w:t>
      </w:r>
    </w:p>
    <w:p w14:paraId="393B17B6" w14:textId="210B24C1" w:rsidR="004802F3" w:rsidRPr="00013746" w:rsidRDefault="004802F3" w:rsidP="004802F3">
      <w:pPr>
        <w:rPr>
          <w:rFonts w:cs="Arial"/>
        </w:rPr>
      </w:pPr>
      <w:r w:rsidRPr="00013746">
        <w:rPr>
          <w:rFonts w:cs="Arial"/>
        </w:rPr>
        <w:t>Justice requires fair distribution of services and resources. Dementia patients, particularly those who are of minority or low-income status, often face inequalities in the diagnosis and care delivery</w:t>
      </w:r>
      <w:r w:rsidR="006B7B1F" w:rsidRPr="00013746">
        <w:rPr>
          <w:rFonts w:cs="Arial"/>
        </w:rPr>
        <w:t xml:space="preserve"> (Giebel et al, 2024)</w:t>
      </w:r>
      <w:r w:rsidRPr="00013746">
        <w:rPr>
          <w:rFonts w:cs="Arial"/>
        </w:rPr>
        <w:t>. An ethical approach based on person-centredness requires the encouragement of equity, the opposition to discriminatory actions, and the emphasis on the inclusive models of care.</w:t>
      </w:r>
    </w:p>
    <w:p w14:paraId="53C0DAFC" w14:textId="2B09788F" w:rsidR="00FC3132" w:rsidRPr="00013746" w:rsidRDefault="004802F3" w:rsidP="004802F3">
      <w:pPr>
        <w:rPr>
          <w:rFonts w:cs="Arial"/>
        </w:rPr>
      </w:pPr>
      <w:r w:rsidRPr="00013746">
        <w:rPr>
          <w:rFonts w:cs="Arial"/>
        </w:rPr>
        <w:t>Overall, the moral duty of dementia care implies a delicate balance of autonomy wherever possible, harm reduction where necessary, and equitable and compassionate care in all care settings in the community.</w:t>
      </w:r>
    </w:p>
    <w:p w14:paraId="6B2F1E75" w14:textId="3AC949CE" w:rsidR="004802F3" w:rsidRPr="00013746" w:rsidRDefault="004802F3" w:rsidP="004802F3">
      <w:pPr>
        <w:pStyle w:val="Heading1"/>
        <w:rPr>
          <w:rFonts w:cs="Arial"/>
        </w:rPr>
      </w:pPr>
      <w:bookmarkStart w:id="5" w:name="_Toc209620298"/>
      <w:r w:rsidRPr="00013746">
        <w:rPr>
          <w:rFonts w:cs="Arial"/>
        </w:rPr>
        <w:t>Collaborative Approaches to Dementia Support</w:t>
      </w:r>
      <w:bookmarkEnd w:id="5"/>
    </w:p>
    <w:p w14:paraId="0FFD9248" w14:textId="6FA07D39" w:rsidR="004802F3" w:rsidRPr="00013746" w:rsidRDefault="004802F3" w:rsidP="004802F3">
      <w:pPr>
        <w:rPr>
          <w:rFonts w:cs="Arial"/>
        </w:rPr>
      </w:pPr>
      <w:r w:rsidRPr="00013746">
        <w:rPr>
          <w:rFonts w:cs="Arial"/>
        </w:rPr>
        <w:t>Partnership in dementia care is inseparable since patients often require the help of a range of specialists and services</w:t>
      </w:r>
      <w:r w:rsidR="006B7B1F" w:rsidRPr="00013746">
        <w:rPr>
          <w:rFonts w:cs="Arial"/>
        </w:rPr>
        <w:t xml:space="preserve"> (Dupuis et al, 2012)</w:t>
      </w:r>
      <w:r w:rsidRPr="00013746">
        <w:rPr>
          <w:rFonts w:cs="Arial"/>
        </w:rPr>
        <w:t>. Due to effective cooperation, medical, social, and emotional needs are met in a coherent way. In the maintenance of quality of life, the contribution of general practitioners, community nurses, social workers, voluntary organisations, and family carers is imperative.</w:t>
      </w:r>
    </w:p>
    <w:p w14:paraId="1E797668" w14:textId="2B6B79F4" w:rsidR="004802F3" w:rsidRPr="00013746" w:rsidRDefault="004802F3" w:rsidP="004802F3">
      <w:pPr>
        <w:rPr>
          <w:rFonts w:cs="Arial"/>
        </w:rPr>
      </w:pPr>
      <w:r w:rsidRPr="00013746">
        <w:rPr>
          <w:rFonts w:cs="Arial"/>
        </w:rPr>
        <w:t>A good example of such collaboration is the introduction of multidisciplinary dementia pathways whereby the care plans are jointly developed to incorporate clinical treatment, community services, and support of the carers. This plan reduces redundancy, prevents lapses in services and provides uniformity within care environments. Voluntary organizations also provide access to social contact e.g. dementia cafes, peer-support networks thus supplementing the statutory services and reducing social isolation</w:t>
      </w:r>
      <w:r w:rsidR="006B7B1F" w:rsidRPr="00013746">
        <w:rPr>
          <w:rFonts w:cs="Arial"/>
        </w:rPr>
        <w:t xml:space="preserve"> (Innes et al, 2022)</w:t>
      </w:r>
      <w:r w:rsidRPr="00013746">
        <w:rPr>
          <w:rFonts w:cs="Arial"/>
        </w:rPr>
        <w:t>.</w:t>
      </w:r>
    </w:p>
    <w:p w14:paraId="6DA43FEE" w14:textId="77777777" w:rsidR="007A2D08" w:rsidRPr="00013746" w:rsidRDefault="004802F3" w:rsidP="007A2D08">
      <w:pPr>
        <w:rPr>
          <w:rFonts w:cs="Arial"/>
        </w:rPr>
      </w:pPr>
      <w:r w:rsidRPr="00013746">
        <w:rPr>
          <w:rFonts w:cs="Arial"/>
        </w:rPr>
        <w:t xml:space="preserve">Despite obvious benefits, there are still challenges. </w:t>
      </w:r>
      <w:r w:rsidR="007A2D08" w:rsidRPr="00013746">
        <w:rPr>
          <w:rFonts w:cs="Arial"/>
        </w:rPr>
        <w:t xml:space="preserve">The effectiveness of collaborative work can be reduced because of communication failures, professional hierarchies, and financial constraints that are built (Frost, 2005). When the systems are not transparent enough or when individual information is not adequately </w:t>
      </w:r>
      <w:proofErr w:type="gramStart"/>
      <w:r w:rsidR="007A2D08" w:rsidRPr="00013746">
        <w:rPr>
          <w:rFonts w:cs="Arial"/>
        </w:rPr>
        <w:t>taken into account</w:t>
      </w:r>
      <w:proofErr w:type="gramEnd"/>
      <w:r w:rsidR="007A2D08" w:rsidRPr="00013746">
        <w:rPr>
          <w:rFonts w:cs="Arial"/>
        </w:rPr>
        <w:t xml:space="preserve">, the family might feel excluded in the decision-making process. These obstacles can be reduced by creating an environment that is based on the principle of respect to each other, effective information sharing, and the acceptance of carers as equal partners.  </w:t>
      </w:r>
    </w:p>
    <w:p w14:paraId="51357F6D" w14:textId="77777777" w:rsidR="007A2D08" w:rsidRPr="00013746" w:rsidRDefault="007A2D08" w:rsidP="007A2D08">
      <w:pPr>
        <w:rPr>
          <w:rFonts w:cs="Arial"/>
        </w:rPr>
      </w:pPr>
    </w:p>
    <w:p w14:paraId="6FDEEBE0" w14:textId="0C665D14" w:rsidR="007A2D08" w:rsidRPr="00013746" w:rsidRDefault="007A2D08" w:rsidP="007A2D08">
      <w:pPr>
        <w:rPr>
          <w:rFonts w:cs="Arial"/>
        </w:rPr>
      </w:pPr>
      <w:r w:rsidRPr="00013746">
        <w:rPr>
          <w:rFonts w:cs="Arial"/>
        </w:rPr>
        <w:lastRenderedPageBreak/>
        <w:t>Finally, collaborative practices help to make care clinically and socially responsive. Through integration, more enduring and holistic services will be provided to the community-based dementia care.</w:t>
      </w:r>
    </w:p>
    <w:p w14:paraId="4C082EB8" w14:textId="73BE8AC7" w:rsidR="0047333A" w:rsidRPr="00013746" w:rsidRDefault="0047333A" w:rsidP="007A2D08">
      <w:pPr>
        <w:pStyle w:val="Heading1"/>
        <w:rPr>
          <w:rFonts w:cs="Arial"/>
        </w:rPr>
      </w:pPr>
      <w:bookmarkStart w:id="6" w:name="_Toc209620299"/>
      <w:r w:rsidRPr="00013746">
        <w:rPr>
          <w:rFonts w:cs="Arial"/>
        </w:rPr>
        <w:t>Policy and Legal Frameworks Shaping Dementia Care</w:t>
      </w:r>
      <w:bookmarkEnd w:id="6"/>
    </w:p>
    <w:p w14:paraId="3BCBDCB8" w14:textId="559CD437" w:rsidR="007A2D08" w:rsidRPr="00013746" w:rsidRDefault="007A2D08" w:rsidP="007A2D08">
      <w:pPr>
        <w:rPr>
          <w:rFonts w:cs="Arial"/>
        </w:rPr>
      </w:pPr>
      <w:r w:rsidRPr="00013746">
        <w:rPr>
          <w:rFonts w:cs="Arial"/>
        </w:rPr>
        <w:t xml:space="preserve">The policy and legislative framework of dementia care in the United Kingdom is comprised of a set of legislative and policy tools, which all support the principles of dignity, autonomy, and equal opportunity. The prime example is the Care Act (2014), in which the wellbeing is considered a priority under the statutory provisions and local authorities are obliged to engage individuals and their </w:t>
      </w:r>
      <w:proofErr w:type="spellStart"/>
      <w:r w:rsidRPr="00013746">
        <w:rPr>
          <w:rFonts w:cs="Arial"/>
        </w:rPr>
        <w:t>carers</w:t>
      </w:r>
      <w:proofErr w:type="spellEnd"/>
      <w:r w:rsidRPr="00013746">
        <w:rPr>
          <w:rFonts w:cs="Arial"/>
        </w:rPr>
        <w:t xml:space="preserve"> in the active process of developing the support plans. This jurisprudential disposition is in line with the ethos of Person-Centred Care, where autonomy and participation are the key factors.  </w:t>
      </w:r>
    </w:p>
    <w:p w14:paraId="0E1868C1" w14:textId="7C86258F" w:rsidR="007A2D08" w:rsidRPr="00013746" w:rsidRDefault="007A2D08" w:rsidP="007A2D08">
      <w:pPr>
        <w:rPr>
          <w:rFonts w:cs="Arial"/>
        </w:rPr>
      </w:pPr>
      <w:r w:rsidRPr="00013746">
        <w:rPr>
          <w:rFonts w:cs="Arial"/>
        </w:rPr>
        <w:t xml:space="preserve">The Mental Capacity Act (2005) having specific application to the care of dementia patients provides a sound model on how to make decisions when the affected person cannot decide on anything because of a problem. The Act requires the carers and service providers to support as far as possible maximum decision-making, and proxy decisions must be based on the values of the individual and his or her best interests. These procedural protections are aimed at safeguarding the agency of persons with impaired capacity.  </w:t>
      </w:r>
    </w:p>
    <w:p w14:paraId="3626EF5A" w14:textId="59776CFC" w:rsidR="007A2D08" w:rsidRPr="00013746" w:rsidRDefault="007A2D08" w:rsidP="007A2D08">
      <w:pPr>
        <w:rPr>
          <w:rFonts w:cs="Arial"/>
        </w:rPr>
      </w:pPr>
      <w:r w:rsidRPr="00013746">
        <w:rPr>
          <w:rFonts w:cs="Arial"/>
        </w:rPr>
        <w:t>The Equality Act (2010) also solidifies anti-discriminatory values because it imposes the duty on the services to make reasonable adjustments, thus alleviating the burden on individuals with dementia. This legislative requirement enhances equity and inclusion, particularly among the patients who represent different demographic groups.</w:t>
      </w:r>
    </w:p>
    <w:p w14:paraId="14E6E3D7" w14:textId="63C5CBC3" w:rsidR="0047333A" w:rsidRPr="00013746" w:rsidRDefault="0047333A" w:rsidP="0047333A">
      <w:pPr>
        <w:rPr>
          <w:rFonts w:cs="Arial"/>
        </w:rPr>
      </w:pPr>
      <w:r w:rsidRPr="00013746">
        <w:rPr>
          <w:rFonts w:cs="Arial"/>
        </w:rPr>
        <w:t>All these frameworks provide an in-depth legal and policy foundation of dementia care. However, their implementation ability will depend on the availability of adequate resources, delivery of regular training programmes and long-term organizational cultural commitment of all the concerned organisations.</w:t>
      </w:r>
    </w:p>
    <w:p w14:paraId="43E7BF65" w14:textId="6861507B" w:rsidR="0047333A" w:rsidRPr="00013746" w:rsidRDefault="0047333A" w:rsidP="0047333A">
      <w:pPr>
        <w:pStyle w:val="Heading1"/>
        <w:rPr>
          <w:rFonts w:cs="Arial"/>
        </w:rPr>
      </w:pPr>
      <w:bookmarkStart w:id="7" w:name="_Toc209620300"/>
      <w:r w:rsidRPr="00013746">
        <w:rPr>
          <w:rFonts w:cs="Arial"/>
        </w:rPr>
        <w:t>Strategies for Improving Dementia Services</w:t>
      </w:r>
      <w:bookmarkEnd w:id="7"/>
    </w:p>
    <w:p w14:paraId="48F2CA38" w14:textId="19DD7633" w:rsidR="00A650D3" w:rsidRPr="00013746" w:rsidRDefault="00A650D3" w:rsidP="00A650D3">
      <w:pPr>
        <w:rPr>
          <w:rFonts w:cs="Arial"/>
        </w:rPr>
      </w:pPr>
      <w:r w:rsidRPr="00013746">
        <w:rPr>
          <w:rFonts w:cs="Arial"/>
        </w:rPr>
        <w:t xml:space="preserve">A complex strategy that includes workforce development, innovative practices, and improved support networks is required to improve dementia care in community settings. To begin with, the specialised </w:t>
      </w:r>
      <w:r w:rsidR="001012AC" w:rsidRPr="00013746">
        <w:rPr>
          <w:rFonts w:cs="Arial"/>
        </w:rPr>
        <w:t>dementia training</w:t>
      </w:r>
      <w:r w:rsidRPr="00013746">
        <w:rPr>
          <w:rFonts w:cs="Arial"/>
        </w:rPr>
        <w:t xml:space="preserve"> should be expanded to cover all types of staff, such as general practitioners, care assistants and voluntary workers</w:t>
      </w:r>
      <w:r w:rsidR="001012AC" w:rsidRPr="00013746">
        <w:rPr>
          <w:rFonts w:cs="Arial"/>
        </w:rPr>
        <w:t xml:space="preserve"> (Scerri et al, 2017)</w:t>
      </w:r>
      <w:r w:rsidRPr="00013746">
        <w:rPr>
          <w:rFonts w:cs="Arial"/>
        </w:rPr>
        <w:t>. The focus on communication, empathy, and cultural competence will help to ensure the regular implementation of the principles of Person-Centred Care.</w:t>
      </w:r>
    </w:p>
    <w:p w14:paraId="530D1067" w14:textId="77F1D122" w:rsidR="00A650D3" w:rsidRPr="00013746" w:rsidRDefault="00A650D3" w:rsidP="00A650D3">
      <w:pPr>
        <w:rPr>
          <w:rFonts w:cs="Arial"/>
        </w:rPr>
      </w:pPr>
      <w:r w:rsidRPr="00013746">
        <w:rPr>
          <w:rFonts w:cs="Arial"/>
        </w:rPr>
        <w:lastRenderedPageBreak/>
        <w:t>Second, family carers must have strong support systems. The victims of dementia usually rely on family members who often have high stress levels and burnout. These burdens should be overcome by providing respite services, financial support, and planned carer education programmes.</w:t>
      </w:r>
    </w:p>
    <w:p w14:paraId="5017ECC2" w14:textId="6ECEC85A" w:rsidR="005E5CEB" w:rsidRPr="00013746" w:rsidRDefault="00A650D3" w:rsidP="005E5CEB">
      <w:pPr>
        <w:rPr>
          <w:rFonts w:cs="Arial"/>
        </w:rPr>
      </w:pPr>
      <w:r w:rsidRPr="00013746">
        <w:rPr>
          <w:rFonts w:cs="Arial"/>
        </w:rPr>
        <w:t xml:space="preserve">Third, there are opportunities to enhance safety and self-reliance through the introduction of digital and telecare technologies. </w:t>
      </w:r>
      <w:r w:rsidR="005E5CEB" w:rsidRPr="00013746">
        <w:rPr>
          <w:rFonts w:cs="Arial"/>
        </w:rPr>
        <w:t>The implementation of the technologies like GPS trackers, reminder systems, and virtual consultation platforms can help people with dementia spend more time at home, at the same time providing caregivers with increased confidence and healthcare professionals with access to the necessary information (Ray et al., 2019).</w:t>
      </w:r>
    </w:p>
    <w:p w14:paraId="53E12BC4" w14:textId="0DE90B47" w:rsidR="005E5CEB" w:rsidRPr="00013746" w:rsidRDefault="005E5CEB" w:rsidP="005E5CEB">
      <w:pPr>
        <w:rPr>
          <w:rFonts w:cs="Arial"/>
        </w:rPr>
      </w:pPr>
      <w:r w:rsidRPr="00013746">
        <w:rPr>
          <w:rFonts w:cs="Arial"/>
        </w:rPr>
        <w:t>Moreover, it is suggested to expand the area of community hubs and volunteer programs. The feeling of belonging is created by peer-support groups and localized memory services such as dementia cafes which reduce the impact of isolation by promoting the engagement in meaningful activities.</w:t>
      </w:r>
    </w:p>
    <w:p w14:paraId="52943384" w14:textId="17D3A3E5" w:rsidR="00A650D3" w:rsidRPr="00013746" w:rsidRDefault="005E5CEB" w:rsidP="00A650D3">
      <w:pPr>
        <w:rPr>
          <w:rFonts w:cs="Arial"/>
        </w:rPr>
      </w:pPr>
      <w:r w:rsidRPr="00013746">
        <w:rPr>
          <w:rFonts w:cs="Arial"/>
        </w:rPr>
        <w:t xml:space="preserve">The strategies are based on practicality and empirical </w:t>
      </w:r>
      <w:proofErr w:type="gramStart"/>
      <w:r w:rsidRPr="00013746">
        <w:rPr>
          <w:rFonts w:cs="Arial"/>
        </w:rPr>
        <w:t>evidence,</w:t>
      </w:r>
      <w:proofErr w:type="gramEnd"/>
      <w:r w:rsidRPr="00013746">
        <w:rPr>
          <w:rFonts w:cs="Arial"/>
        </w:rPr>
        <w:t xml:space="preserve"> however, their successful implementation is finally determined by the ability to overcome challenges associated with limited funding, shortage of workers, and regional diversity. </w:t>
      </w:r>
      <w:r w:rsidR="00A650D3" w:rsidRPr="00013746">
        <w:rPr>
          <w:rFonts w:cs="Arial"/>
        </w:rPr>
        <w:t xml:space="preserve">These issues need to be addressed </w:t>
      </w:r>
      <w:proofErr w:type="gramStart"/>
      <w:r w:rsidR="00A650D3" w:rsidRPr="00013746">
        <w:rPr>
          <w:rFonts w:cs="Arial"/>
        </w:rPr>
        <w:t>in order to</w:t>
      </w:r>
      <w:proofErr w:type="gramEnd"/>
      <w:r w:rsidR="00A650D3" w:rsidRPr="00013746">
        <w:rPr>
          <w:rFonts w:cs="Arial"/>
        </w:rPr>
        <w:t xml:space="preserve"> make dementia care more sustainable, equitable and responsive to the needs of the individual.</w:t>
      </w:r>
    </w:p>
    <w:p w14:paraId="6D7D2840" w14:textId="189AE02A" w:rsidR="00A650D3" w:rsidRPr="00013746" w:rsidRDefault="00A650D3" w:rsidP="00A650D3">
      <w:pPr>
        <w:pStyle w:val="Heading1"/>
        <w:rPr>
          <w:rFonts w:cs="Arial"/>
        </w:rPr>
      </w:pPr>
      <w:bookmarkStart w:id="8" w:name="_Toc209620301"/>
      <w:r w:rsidRPr="00013746">
        <w:rPr>
          <w:rFonts w:cs="Arial"/>
        </w:rPr>
        <w:t>Conclusion</w:t>
      </w:r>
      <w:bookmarkEnd w:id="8"/>
    </w:p>
    <w:p w14:paraId="6205990B" w14:textId="0F27F64B" w:rsidR="00A650D3" w:rsidRPr="00013746" w:rsidRDefault="00A650D3" w:rsidP="00A650D3">
      <w:pPr>
        <w:rPr>
          <w:rFonts w:cs="Arial"/>
        </w:rPr>
      </w:pPr>
      <w:r w:rsidRPr="00013746">
        <w:rPr>
          <w:rFonts w:cs="Arial"/>
        </w:rPr>
        <w:t xml:space="preserve">The report has discussed the significance of Person-Centred Care and Partnership Working in community-based dementia services in the United Kingdom. Person-Centred Care proved to be more dignified, wellbeing, and engaging as it acknowledges individuals based on their values and life experiences, but not only on the condition. Conceptual knowledge based on the Personhood Theory by </w:t>
      </w:r>
      <w:proofErr w:type="spellStart"/>
      <w:r w:rsidRPr="00013746">
        <w:rPr>
          <w:rFonts w:cs="Arial"/>
        </w:rPr>
        <w:t>Kitwood</w:t>
      </w:r>
      <w:proofErr w:type="spellEnd"/>
      <w:r w:rsidRPr="00013746">
        <w:rPr>
          <w:rFonts w:cs="Arial"/>
        </w:rPr>
        <w:t xml:space="preserve"> and the Hierarchy of Needs by Maslow demonstrated how the balance between emotional, social, and practical priorities in care should be. The ethical responsibilities, which are guided by such principles as autonomy, beneficence, non-maleficence, and justice, were discussed in relation to the decision-making in the Mental Capacity Act 2005.</w:t>
      </w:r>
    </w:p>
    <w:p w14:paraId="58E6C1E9" w14:textId="0B205492" w:rsidR="00A650D3" w:rsidRPr="00013746" w:rsidRDefault="00A650D3" w:rsidP="00A650D3">
      <w:pPr>
        <w:rPr>
          <w:rFonts w:cs="Arial"/>
        </w:rPr>
      </w:pPr>
      <w:r w:rsidRPr="00013746">
        <w:rPr>
          <w:rFonts w:cs="Arial"/>
        </w:rPr>
        <w:t>The report also showed that Partnership Working enhances the care of dementia by bringing together health, social care, voluntary organisations and families and recognises the difficulty in communication, resources and professional boundaries. There is a strong framework based on legislation and national policies, such as the Care Act 2014, Equality Act 2010, and the NHS Long Term Plan, but it is important to ensure a consistent implementation.</w:t>
      </w:r>
    </w:p>
    <w:p w14:paraId="100452B3" w14:textId="27A9DB31" w:rsidR="00A650D3" w:rsidRPr="00013746" w:rsidRDefault="00A650D3" w:rsidP="00A650D3">
      <w:pPr>
        <w:rPr>
          <w:rFonts w:cs="Arial"/>
        </w:rPr>
      </w:pPr>
      <w:r w:rsidRPr="00013746">
        <w:rPr>
          <w:rFonts w:cs="Arial"/>
        </w:rPr>
        <w:lastRenderedPageBreak/>
        <w:t xml:space="preserve">Strategies that were recommended to improve practice included provision of training, carer support, digital technology and community initiatives. Collectively, these results highlight the importance of ensuring that dementia care is person-centred and collaborative </w:t>
      </w:r>
      <w:proofErr w:type="gramStart"/>
      <w:r w:rsidRPr="00013746">
        <w:rPr>
          <w:rFonts w:cs="Arial"/>
        </w:rPr>
        <w:t>in order to</w:t>
      </w:r>
      <w:proofErr w:type="gramEnd"/>
      <w:r w:rsidRPr="00013746">
        <w:rPr>
          <w:rFonts w:cs="Arial"/>
        </w:rPr>
        <w:t xml:space="preserve"> provide equitable, sustainable, and responsive services in the future.</w:t>
      </w:r>
    </w:p>
    <w:p w14:paraId="7F7B8E5C" w14:textId="66408760" w:rsidR="00A650D3" w:rsidRPr="00013746" w:rsidRDefault="00A650D3" w:rsidP="00A650D3">
      <w:pPr>
        <w:rPr>
          <w:rFonts w:cs="Arial"/>
        </w:rPr>
      </w:pPr>
    </w:p>
    <w:p w14:paraId="5496617D" w14:textId="77777777" w:rsidR="00A650D3" w:rsidRPr="00013746" w:rsidRDefault="00A650D3">
      <w:pPr>
        <w:spacing w:line="278" w:lineRule="auto"/>
        <w:jc w:val="left"/>
        <w:rPr>
          <w:rFonts w:cs="Arial"/>
        </w:rPr>
      </w:pPr>
      <w:r w:rsidRPr="00013746">
        <w:rPr>
          <w:rFonts w:cs="Arial"/>
        </w:rPr>
        <w:br w:type="page"/>
      </w:r>
    </w:p>
    <w:p w14:paraId="3EE4AFFE" w14:textId="4A737C4E" w:rsidR="00A650D3" w:rsidRPr="00013746" w:rsidRDefault="00A650D3" w:rsidP="00A650D3">
      <w:pPr>
        <w:pStyle w:val="Heading1"/>
        <w:rPr>
          <w:rFonts w:cs="Arial"/>
        </w:rPr>
      </w:pPr>
      <w:bookmarkStart w:id="9" w:name="_Toc209620302"/>
      <w:r w:rsidRPr="00013746">
        <w:rPr>
          <w:rFonts w:cs="Arial"/>
        </w:rPr>
        <w:lastRenderedPageBreak/>
        <w:t>References</w:t>
      </w:r>
      <w:bookmarkEnd w:id="9"/>
    </w:p>
    <w:p w14:paraId="5DD509F0" w14:textId="77777777" w:rsidR="001F127D" w:rsidRPr="00013746" w:rsidRDefault="001F127D" w:rsidP="001012AC">
      <w:pPr>
        <w:ind w:left="720" w:hanging="720"/>
        <w:rPr>
          <w:rFonts w:cs="Arial"/>
        </w:rPr>
      </w:pPr>
      <w:r w:rsidRPr="00013746">
        <w:rPr>
          <w:rFonts w:cs="Arial"/>
        </w:rPr>
        <w:t>Blake, D., Berry, K. and Brown, L.J., 2020. A systematic review of the impact of person</w:t>
      </w:r>
      <w:r w:rsidRPr="00013746">
        <w:rPr>
          <w:rFonts w:ascii="Cambria Math" w:hAnsi="Cambria Math" w:cs="Cambria Math"/>
        </w:rPr>
        <w:t>‐</w:t>
      </w:r>
      <w:r w:rsidRPr="00013746">
        <w:rPr>
          <w:rFonts w:cs="Arial"/>
        </w:rPr>
        <w:t>centred care interventions on the behaviour of staff working in dementia care. </w:t>
      </w:r>
      <w:r w:rsidRPr="00013746">
        <w:rPr>
          <w:rFonts w:cs="Arial"/>
          <w:i/>
          <w:iCs/>
        </w:rPr>
        <w:t>Journal of Advanced Nursing</w:t>
      </w:r>
      <w:r w:rsidRPr="00013746">
        <w:rPr>
          <w:rFonts w:cs="Arial"/>
        </w:rPr>
        <w:t>, </w:t>
      </w:r>
      <w:r w:rsidRPr="00013746">
        <w:rPr>
          <w:rFonts w:cs="Arial"/>
          <w:i/>
          <w:iCs/>
        </w:rPr>
        <w:t>76</w:t>
      </w:r>
      <w:r w:rsidRPr="00013746">
        <w:rPr>
          <w:rFonts w:cs="Arial"/>
        </w:rPr>
        <w:t>(2), pp.426-444.</w:t>
      </w:r>
    </w:p>
    <w:p w14:paraId="50EB205E" w14:textId="77777777" w:rsidR="001F127D" w:rsidRPr="00013746" w:rsidRDefault="001F127D" w:rsidP="001012AC">
      <w:pPr>
        <w:ind w:left="720" w:hanging="720"/>
        <w:rPr>
          <w:rFonts w:cs="Arial"/>
        </w:rPr>
      </w:pPr>
      <w:r w:rsidRPr="00013746">
        <w:rPr>
          <w:rFonts w:cs="Arial"/>
        </w:rPr>
        <w:t xml:space="preserve">Care Act (2014) </w:t>
      </w:r>
      <w:r w:rsidRPr="00013746">
        <w:rPr>
          <w:rFonts w:cs="Arial"/>
          <w:i/>
          <w:iCs/>
        </w:rPr>
        <w:t xml:space="preserve">c.23. London: The Stationery Office. </w:t>
      </w:r>
      <w:hyperlink r:id="rId6" w:history="1">
        <w:r w:rsidRPr="00013746">
          <w:rPr>
            <w:rStyle w:val="Hyperlink"/>
            <w:rFonts w:cs="Arial"/>
          </w:rPr>
          <w:t>https://www.legislation.gov.uk/ukpga/2014/23/contents</w:t>
        </w:r>
      </w:hyperlink>
      <w:r w:rsidRPr="00013746">
        <w:rPr>
          <w:rFonts w:cs="Arial"/>
        </w:rPr>
        <w:t xml:space="preserve">   </w:t>
      </w:r>
    </w:p>
    <w:p w14:paraId="67458A5E" w14:textId="77777777" w:rsidR="001F127D" w:rsidRPr="00013746" w:rsidRDefault="001F127D" w:rsidP="001012AC">
      <w:pPr>
        <w:ind w:left="720" w:hanging="720"/>
        <w:rPr>
          <w:rFonts w:cs="Arial"/>
        </w:rPr>
      </w:pPr>
      <w:r w:rsidRPr="00013746">
        <w:rPr>
          <w:rFonts w:cs="Arial"/>
        </w:rPr>
        <w:t>Dupuis, S.L., Gillies, J., Carson, J., Whyte, C., Genoe, R., Loiselle, L. and Sadler, L., 2012. Moving beyond patient and client approaches: Mobilizing ‘authentic partnerships’ in dementia care, support and services. </w:t>
      </w:r>
      <w:r w:rsidRPr="00013746">
        <w:rPr>
          <w:rFonts w:cs="Arial"/>
          <w:i/>
          <w:iCs/>
        </w:rPr>
        <w:t>Dementia</w:t>
      </w:r>
      <w:r w:rsidRPr="00013746">
        <w:rPr>
          <w:rFonts w:cs="Arial"/>
        </w:rPr>
        <w:t>, </w:t>
      </w:r>
      <w:r w:rsidRPr="00013746">
        <w:rPr>
          <w:rFonts w:cs="Arial"/>
          <w:i/>
          <w:iCs/>
        </w:rPr>
        <w:t>11</w:t>
      </w:r>
      <w:r w:rsidRPr="00013746">
        <w:rPr>
          <w:rFonts w:cs="Arial"/>
        </w:rPr>
        <w:t>(4), pp.427-452.</w:t>
      </w:r>
    </w:p>
    <w:p w14:paraId="71DA1847" w14:textId="77777777" w:rsidR="001F127D" w:rsidRPr="00013746" w:rsidRDefault="001F127D" w:rsidP="001012AC">
      <w:pPr>
        <w:ind w:left="720" w:hanging="720"/>
        <w:rPr>
          <w:rFonts w:cs="Arial"/>
        </w:rPr>
      </w:pPr>
      <w:r w:rsidRPr="00013746">
        <w:rPr>
          <w:rFonts w:cs="Arial"/>
        </w:rPr>
        <w:t xml:space="preserve">Equality Act 2010. (2010) c.15. London: The Stationery Office. </w:t>
      </w:r>
      <w:hyperlink r:id="rId7" w:history="1">
        <w:r w:rsidRPr="00013746">
          <w:rPr>
            <w:rStyle w:val="Hyperlink"/>
            <w:rFonts w:cs="Arial"/>
          </w:rPr>
          <w:t>https://www.legislation.gov.uk/ukpga/2010/15/contents</w:t>
        </w:r>
      </w:hyperlink>
    </w:p>
    <w:p w14:paraId="56E25DB8" w14:textId="77777777" w:rsidR="001F127D" w:rsidRPr="00013746" w:rsidRDefault="001F127D" w:rsidP="001012AC">
      <w:pPr>
        <w:ind w:left="720" w:hanging="720"/>
        <w:rPr>
          <w:rFonts w:cs="Arial"/>
        </w:rPr>
      </w:pPr>
      <w:r w:rsidRPr="00013746">
        <w:rPr>
          <w:rFonts w:cs="Arial"/>
        </w:rPr>
        <w:t>Frost, N., 2005. </w:t>
      </w:r>
      <w:r w:rsidRPr="00013746">
        <w:rPr>
          <w:rFonts w:cs="Arial"/>
          <w:i/>
          <w:iCs/>
        </w:rPr>
        <w:t>Professionalism, partnership and joined-up thinking: A research review of front-line working with children and families</w:t>
      </w:r>
      <w:r w:rsidRPr="00013746">
        <w:rPr>
          <w:rFonts w:cs="Arial"/>
        </w:rPr>
        <w:t>. Research in practice.</w:t>
      </w:r>
    </w:p>
    <w:p w14:paraId="4532347C" w14:textId="77777777" w:rsidR="001F127D" w:rsidRPr="00013746" w:rsidRDefault="001F127D" w:rsidP="001012AC">
      <w:pPr>
        <w:ind w:left="720" w:hanging="720"/>
        <w:rPr>
          <w:rFonts w:cs="Arial"/>
        </w:rPr>
      </w:pPr>
      <w:r w:rsidRPr="00013746">
        <w:rPr>
          <w:rFonts w:cs="Arial"/>
        </w:rPr>
        <w:t>Giebel, C., Hanna, K., Watson, J., Faulkner, T., O’Connell, L., Smith, S. and Donnellan, W.J., 2024. A systematic review on inequalities in accessing and using community-based social care in dementia. </w:t>
      </w:r>
      <w:r w:rsidRPr="00013746">
        <w:rPr>
          <w:rFonts w:cs="Arial"/>
          <w:i/>
          <w:iCs/>
        </w:rPr>
        <w:t>International Psychogeriatrics</w:t>
      </w:r>
      <w:r w:rsidRPr="00013746">
        <w:rPr>
          <w:rFonts w:cs="Arial"/>
        </w:rPr>
        <w:t>, </w:t>
      </w:r>
      <w:r w:rsidRPr="00013746">
        <w:rPr>
          <w:rFonts w:cs="Arial"/>
          <w:i/>
          <w:iCs/>
        </w:rPr>
        <w:t>36</w:t>
      </w:r>
      <w:r w:rsidRPr="00013746">
        <w:rPr>
          <w:rFonts w:cs="Arial"/>
        </w:rPr>
        <w:t>(7), pp.540-563.</w:t>
      </w:r>
    </w:p>
    <w:p w14:paraId="32144E51" w14:textId="77777777" w:rsidR="001F127D" w:rsidRPr="00013746" w:rsidRDefault="001F127D" w:rsidP="001012AC">
      <w:pPr>
        <w:ind w:left="720" w:hanging="720"/>
        <w:rPr>
          <w:rFonts w:cs="Arial"/>
        </w:rPr>
      </w:pPr>
      <w:r w:rsidRPr="00013746">
        <w:rPr>
          <w:rFonts w:cs="Arial"/>
        </w:rPr>
        <w:t>Innes, A., Chesterton, L., Morris, L., Smith, S.K. and Bushell, S., 2022. Perspectives of people living with dementia and their care partners about the impact on social health when participating in a co</w:t>
      </w:r>
      <w:r w:rsidRPr="00013746">
        <w:rPr>
          <w:rFonts w:ascii="Cambria Math" w:hAnsi="Cambria Math" w:cs="Cambria Math"/>
        </w:rPr>
        <w:t>‐</w:t>
      </w:r>
      <w:r w:rsidRPr="00013746">
        <w:rPr>
          <w:rFonts w:cs="Arial"/>
        </w:rPr>
        <w:t>designed Dementia café. </w:t>
      </w:r>
      <w:r w:rsidRPr="00013746">
        <w:rPr>
          <w:rFonts w:cs="Arial"/>
          <w:i/>
          <w:iCs/>
        </w:rPr>
        <w:t>Health &amp; social Care in the community</w:t>
      </w:r>
      <w:r w:rsidRPr="00013746">
        <w:rPr>
          <w:rFonts w:cs="Arial"/>
        </w:rPr>
        <w:t>, </w:t>
      </w:r>
      <w:r w:rsidRPr="00013746">
        <w:rPr>
          <w:rFonts w:cs="Arial"/>
          <w:i/>
          <w:iCs/>
        </w:rPr>
        <w:t>30</w:t>
      </w:r>
      <w:r w:rsidRPr="00013746">
        <w:rPr>
          <w:rFonts w:cs="Arial"/>
        </w:rPr>
        <w:t xml:space="preserve">(4), </w:t>
      </w:r>
      <w:proofErr w:type="gramStart"/>
      <w:r w:rsidRPr="00013746">
        <w:rPr>
          <w:rFonts w:cs="Arial"/>
        </w:rPr>
        <w:t>pp.e</w:t>
      </w:r>
      <w:proofErr w:type="gramEnd"/>
      <w:r w:rsidRPr="00013746">
        <w:rPr>
          <w:rFonts w:cs="Arial"/>
        </w:rPr>
        <w:t>1375-e1383.</w:t>
      </w:r>
    </w:p>
    <w:p w14:paraId="500D4806" w14:textId="77777777" w:rsidR="001F127D" w:rsidRPr="00013746" w:rsidRDefault="001F127D" w:rsidP="001012AC">
      <w:pPr>
        <w:ind w:left="720" w:hanging="720"/>
        <w:rPr>
          <w:rFonts w:cs="Arial"/>
        </w:rPr>
      </w:pPr>
      <w:r w:rsidRPr="00013746">
        <w:rPr>
          <w:rFonts w:cs="Arial"/>
        </w:rPr>
        <w:t>Islam, A.A., 2025. Moral nexus of unmet needs and care in person</w:t>
      </w:r>
      <w:r w:rsidRPr="00013746">
        <w:rPr>
          <w:rFonts w:ascii="Cambria Math" w:hAnsi="Cambria Math" w:cs="Cambria Math"/>
        </w:rPr>
        <w:t>‐</w:t>
      </w:r>
      <w:r w:rsidRPr="00013746">
        <w:rPr>
          <w:rFonts w:cs="Arial"/>
        </w:rPr>
        <w:t>centred care for patients with advanced dementia in a multicultural society. </w:t>
      </w:r>
      <w:r w:rsidRPr="00013746">
        <w:rPr>
          <w:rFonts w:cs="Arial"/>
          <w:i/>
          <w:iCs/>
        </w:rPr>
        <w:t>Journal of Evaluation in Clinical Practice</w:t>
      </w:r>
      <w:r w:rsidRPr="00013746">
        <w:rPr>
          <w:rFonts w:cs="Arial"/>
        </w:rPr>
        <w:t>, </w:t>
      </w:r>
      <w:r w:rsidRPr="00013746">
        <w:rPr>
          <w:rFonts w:cs="Arial"/>
          <w:i/>
          <w:iCs/>
        </w:rPr>
        <w:t>31</w:t>
      </w:r>
      <w:r w:rsidRPr="00013746">
        <w:rPr>
          <w:rFonts w:cs="Arial"/>
        </w:rPr>
        <w:t>(2), p.e14095.</w:t>
      </w:r>
    </w:p>
    <w:p w14:paraId="2890FCC7" w14:textId="77777777" w:rsidR="001F127D" w:rsidRPr="00013746" w:rsidRDefault="001F127D" w:rsidP="001012AC">
      <w:pPr>
        <w:ind w:left="720" w:hanging="720"/>
        <w:rPr>
          <w:rFonts w:cs="Arial"/>
        </w:rPr>
      </w:pPr>
      <w:proofErr w:type="spellStart"/>
      <w:r w:rsidRPr="00013746">
        <w:rPr>
          <w:rFonts w:cs="Arial"/>
        </w:rPr>
        <w:t>Kitwood</w:t>
      </w:r>
      <w:proofErr w:type="spellEnd"/>
      <w:r w:rsidRPr="00013746">
        <w:rPr>
          <w:rFonts w:cs="Arial"/>
        </w:rPr>
        <w:t>, T., 1998. Toward a theory of dementia care: ethics and interaction. </w:t>
      </w:r>
      <w:r w:rsidRPr="00013746">
        <w:rPr>
          <w:rFonts w:cs="Arial"/>
          <w:i/>
          <w:iCs/>
        </w:rPr>
        <w:t>The Journal of clinical ethics</w:t>
      </w:r>
      <w:r w:rsidRPr="00013746">
        <w:rPr>
          <w:rFonts w:cs="Arial"/>
        </w:rPr>
        <w:t>, </w:t>
      </w:r>
      <w:r w:rsidRPr="00013746">
        <w:rPr>
          <w:rFonts w:cs="Arial"/>
          <w:i/>
          <w:iCs/>
        </w:rPr>
        <w:t>9</w:t>
      </w:r>
      <w:r w:rsidRPr="00013746">
        <w:rPr>
          <w:rFonts w:cs="Arial"/>
        </w:rPr>
        <w:t>(1), pp.23-34.</w:t>
      </w:r>
    </w:p>
    <w:p w14:paraId="5D3E15AA" w14:textId="77777777" w:rsidR="001F127D" w:rsidRPr="00013746" w:rsidRDefault="001F127D" w:rsidP="001012AC">
      <w:pPr>
        <w:ind w:left="720" w:hanging="720"/>
        <w:rPr>
          <w:rFonts w:cs="Arial"/>
        </w:rPr>
      </w:pPr>
      <w:r w:rsidRPr="00013746">
        <w:rPr>
          <w:rFonts w:cs="Arial"/>
        </w:rPr>
        <w:t xml:space="preserve">Lloyd, H.M., Ekman, I., Rogers, H.L., Raposo, V., Melo, P., Marinkovic, V.D., Buttigieg, S.C., </w:t>
      </w:r>
      <w:proofErr w:type="spellStart"/>
      <w:r w:rsidRPr="00013746">
        <w:rPr>
          <w:rFonts w:cs="Arial"/>
        </w:rPr>
        <w:t>Srulovici</w:t>
      </w:r>
      <w:proofErr w:type="spellEnd"/>
      <w:r w:rsidRPr="00013746">
        <w:rPr>
          <w:rFonts w:cs="Arial"/>
        </w:rPr>
        <w:t>, E., Lewandowski, R.A. and Britten, N., 2020. Supporting innovative person-centred care in financially constrained environments: the WE CARE exploratory health laboratory evaluation strategy. </w:t>
      </w:r>
      <w:r w:rsidRPr="00013746">
        <w:rPr>
          <w:rFonts w:cs="Arial"/>
          <w:i/>
          <w:iCs/>
        </w:rPr>
        <w:t>International Journal of Environmental Research and Public Health</w:t>
      </w:r>
      <w:r w:rsidRPr="00013746">
        <w:rPr>
          <w:rFonts w:cs="Arial"/>
        </w:rPr>
        <w:t>, </w:t>
      </w:r>
      <w:r w:rsidRPr="00013746">
        <w:rPr>
          <w:rFonts w:cs="Arial"/>
          <w:i/>
          <w:iCs/>
        </w:rPr>
        <w:t>17</w:t>
      </w:r>
      <w:r w:rsidRPr="00013746">
        <w:rPr>
          <w:rFonts w:cs="Arial"/>
        </w:rPr>
        <w:t>(9), p.3050.</w:t>
      </w:r>
    </w:p>
    <w:p w14:paraId="31D1FD84" w14:textId="77777777" w:rsidR="001F127D" w:rsidRPr="00013746" w:rsidRDefault="001F127D" w:rsidP="001012AC">
      <w:pPr>
        <w:ind w:left="720" w:hanging="720"/>
        <w:rPr>
          <w:rFonts w:cs="Arial"/>
        </w:rPr>
      </w:pPr>
      <w:r w:rsidRPr="00013746">
        <w:rPr>
          <w:rFonts w:cs="Arial"/>
        </w:rPr>
        <w:t xml:space="preserve">Mental Capacity Act (2005) c.9. London: The Stationery Office. </w:t>
      </w:r>
      <w:hyperlink r:id="rId8" w:history="1">
        <w:r w:rsidRPr="00013746">
          <w:rPr>
            <w:rStyle w:val="Hyperlink"/>
            <w:rFonts w:cs="Arial"/>
          </w:rPr>
          <w:t>https://www.legislation.gov.uk/ukpga/2005/9/contents</w:t>
        </w:r>
      </w:hyperlink>
      <w:r w:rsidRPr="00013746">
        <w:rPr>
          <w:rFonts w:cs="Arial"/>
        </w:rPr>
        <w:t xml:space="preserve"> </w:t>
      </w:r>
    </w:p>
    <w:p w14:paraId="5FF773DD" w14:textId="77777777" w:rsidR="001F127D" w:rsidRPr="00013746" w:rsidRDefault="001F127D" w:rsidP="001012AC">
      <w:pPr>
        <w:ind w:left="720" w:hanging="720"/>
        <w:rPr>
          <w:rFonts w:cs="Arial"/>
        </w:rPr>
      </w:pPr>
      <w:r w:rsidRPr="00013746">
        <w:rPr>
          <w:rFonts w:cs="Arial"/>
        </w:rPr>
        <w:lastRenderedPageBreak/>
        <w:t xml:space="preserve"> Mental Capacity Act 2005. (2005) c.9. London: The Stationery Office. </w:t>
      </w:r>
      <w:hyperlink r:id="rId9" w:history="1">
        <w:r w:rsidRPr="00013746">
          <w:rPr>
            <w:rStyle w:val="Hyperlink"/>
            <w:rFonts w:cs="Arial"/>
          </w:rPr>
          <w:t>https://www.legislation.gov.uk/ukpga/2005/9/contents</w:t>
        </w:r>
      </w:hyperlink>
      <w:r w:rsidRPr="00013746">
        <w:rPr>
          <w:rFonts w:cs="Arial"/>
        </w:rPr>
        <w:t xml:space="preserve"> </w:t>
      </w:r>
    </w:p>
    <w:p w14:paraId="3324C6FE" w14:textId="77777777" w:rsidR="001F127D" w:rsidRPr="00013746" w:rsidRDefault="001F127D" w:rsidP="001012AC">
      <w:pPr>
        <w:ind w:left="720" w:hanging="720"/>
        <w:rPr>
          <w:rFonts w:cs="Arial"/>
        </w:rPr>
      </w:pPr>
      <w:r w:rsidRPr="00013746">
        <w:rPr>
          <w:rFonts w:cs="Arial"/>
        </w:rPr>
        <w:t>Ray, P.P., Dash, D. and De, D., 2019. A systematic review and implementation of IoT-based pervasive sensor-enabled tracking system for dementia patients. </w:t>
      </w:r>
      <w:r w:rsidRPr="00013746">
        <w:rPr>
          <w:rFonts w:cs="Arial"/>
          <w:i/>
          <w:iCs/>
        </w:rPr>
        <w:t>Journal of medical systems</w:t>
      </w:r>
      <w:r w:rsidRPr="00013746">
        <w:rPr>
          <w:rFonts w:cs="Arial"/>
        </w:rPr>
        <w:t>, </w:t>
      </w:r>
      <w:r w:rsidRPr="00013746">
        <w:rPr>
          <w:rFonts w:cs="Arial"/>
          <w:i/>
          <w:iCs/>
        </w:rPr>
        <w:t>43</w:t>
      </w:r>
      <w:r w:rsidRPr="00013746">
        <w:rPr>
          <w:rFonts w:cs="Arial"/>
        </w:rPr>
        <w:t>(9), p.287.</w:t>
      </w:r>
    </w:p>
    <w:p w14:paraId="24F2D2B8" w14:textId="77777777" w:rsidR="001F127D" w:rsidRPr="00013746" w:rsidRDefault="001F127D" w:rsidP="001012AC">
      <w:pPr>
        <w:ind w:left="720" w:hanging="720"/>
        <w:rPr>
          <w:rFonts w:cs="Arial"/>
        </w:rPr>
      </w:pPr>
      <w:r w:rsidRPr="00013746">
        <w:rPr>
          <w:rFonts w:cs="Arial"/>
        </w:rPr>
        <w:t>Scerri, A., Innes, A. and Scerri, C., 2017. Dementia training programmes for staff working in general hospital settings–a systematic review of the literature. </w:t>
      </w:r>
      <w:r w:rsidRPr="00013746">
        <w:rPr>
          <w:rFonts w:cs="Arial"/>
          <w:i/>
          <w:iCs/>
        </w:rPr>
        <w:t>Aging &amp; Mental Health</w:t>
      </w:r>
      <w:r w:rsidRPr="00013746">
        <w:rPr>
          <w:rFonts w:cs="Arial"/>
        </w:rPr>
        <w:t>, </w:t>
      </w:r>
      <w:r w:rsidRPr="00013746">
        <w:rPr>
          <w:rFonts w:cs="Arial"/>
          <w:i/>
          <w:iCs/>
        </w:rPr>
        <w:t>21</w:t>
      </w:r>
      <w:r w:rsidRPr="00013746">
        <w:rPr>
          <w:rFonts w:cs="Arial"/>
        </w:rPr>
        <w:t>(8), pp.783-796.</w:t>
      </w:r>
    </w:p>
    <w:p w14:paraId="128AAB86" w14:textId="77777777" w:rsidR="001F127D" w:rsidRPr="00013746" w:rsidRDefault="001F127D" w:rsidP="001012AC">
      <w:pPr>
        <w:ind w:left="720" w:hanging="720"/>
        <w:rPr>
          <w:rFonts w:cs="Arial"/>
        </w:rPr>
      </w:pPr>
      <w:r w:rsidRPr="00013746">
        <w:rPr>
          <w:rFonts w:cs="Arial"/>
        </w:rPr>
        <w:t>Tan, K.H.C., Lee, S.E. and Tham, K.W., 2025. Developing a Residential Well-being Framework: A Holistic Approach Integrating the Residential Environment and Maslow's Hierarchy of Needs. </w:t>
      </w:r>
      <w:r w:rsidRPr="00013746">
        <w:rPr>
          <w:rFonts w:cs="Arial"/>
          <w:i/>
          <w:iCs/>
        </w:rPr>
        <w:t>Building and Environment</w:t>
      </w:r>
      <w:r w:rsidRPr="00013746">
        <w:rPr>
          <w:rFonts w:cs="Arial"/>
        </w:rPr>
        <w:t>, p.113552.</w:t>
      </w:r>
    </w:p>
    <w:p w14:paraId="6CE2DC83" w14:textId="77777777" w:rsidR="001F127D" w:rsidRPr="00013746" w:rsidRDefault="001F127D" w:rsidP="001012AC">
      <w:pPr>
        <w:ind w:left="720" w:hanging="720"/>
        <w:rPr>
          <w:rFonts w:cs="Arial"/>
        </w:rPr>
      </w:pPr>
      <w:r w:rsidRPr="00013746">
        <w:rPr>
          <w:rFonts w:cs="Arial"/>
        </w:rPr>
        <w:t>Tieu, M., Mudd, A., Conroy, T., Pinero de Plaza, A. and Kitson, A., 2022. The trouble with personhood and person</w:t>
      </w:r>
      <w:r w:rsidRPr="00013746">
        <w:rPr>
          <w:rFonts w:ascii="Cambria Math" w:hAnsi="Cambria Math" w:cs="Cambria Math"/>
        </w:rPr>
        <w:t>‐</w:t>
      </w:r>
      <w:r w:rsidRPr="00013746">
        <w:rPr>
          <w:rFonts w:cs="Arial"/>
        </w:rPr>
        <w:t>centred care. </w:t>
      </w:r>
      <w:r w:rsidRPr="00013746">
        <w:rPr>
          <w:rFonts w:cs="Arial"/>
          <w:i/>
          <w:iCs/>
        </w:rPr>
        <w:t>Nursing Philosophy</w:t>
      </w:r>
      <w:r w:rsidRPr="00013746">
        <w:rPr>
          <w:rFonts w:cs="Arial"/>
        </w:rPr>
        <w:t>, </w:t>
      </w:r>
      <w:r w:rsidRPr="00013746">
        <w:rPr>
          <w:rFonts w:cs="Arial"/>
          <w:i/>
          <w:iCs/>
        </w:rPr>
        <w:t>23</w:t>
      </w:r>
      <w:r w:rsidRPr="00013746">
        <w:rPr>
          <w:rFonts w:cs="Arial"/>
        </w:rPr>
        <w:t>(3), p.e12381.</w:t>
      </w:r>
    </w:p>
    <w:p w14:paraId="56328D91" w14:textId="77777777" w:rsidR="001F127D" w:rsidRPr="00013746" w:rsidRDefault="001F127D" w:rsidP="001012AC">
      <w:pPr>
        <w:ind w:left="720" w:hanging="720"/>
        <w:rPr>
          <w:rFonts w:cs="Arial"/>
        </w:rPr>
      </w:pPr>
      <w:r w:rsidRPr="00013746">
        <w:rPr>
          <w:rFonts w:cs="Arial"/>
        </w:rPr>
        <w:t xml:space="preserve">Vaughan, J., 2023. Ethical decision-making in the administration of ‘as </w:t>
      </w:r>
      <w:proofErr w:type="spellStart"/>
      <w:r w:rsidRPr="00013746">
        <w:rPr>
          <w:rFonts w:cs="Arial"/>
        </w:rPr>
        <w:t>required’antipsychotics</w:t>
      </w:r>
      <w:proofErr w:type="spellEnd"/>
      <w:r w:rsidRPr="00013746">
        <w:rPr>
          <w:rFonts w:cs="Arial"/>
        </w:rPr>
        <w:t xml:space="preserve"> to people with dementia in care homes. </w:t>
      </w:r>
      <w:r w:rsidRPr="00013746">
        <w:rPr>
          <w:rFonts w:cs="Arial"/>
          <w:i/>
          <w:iCs/>
        </w:rPr>
        <w:t>Nursing Older People</w:t>
      </w:r>
      <w:r w:rsidRPr="00013746">
        <w:rPr>
          <w:rFonts w:cs="Arial"/>
        </w:rPr>
        <w:t>, </w:t>
      </w:r>
      <w:r w:rsidRPr="00013746">
        <w:rPr>
          <w:rFonts w:cs="Arial"/>
          <w:i/>
          <w:iCs/>
        </w:rPr>
        <w:t>35</w:t>
      </w:r>
      <w:r w:rsidRPr="00013746">
        <w:rPr>
          <w:rFonts w:cs="Arial"/>
        </w:rPr>
        <w:t>(4).</w:t>
      </w:r>
    </w:p>
    <w:sectPr w:rsidR="001F127D" w:rsidRPr="00013746" w:rsidSect="00BB6D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132"/>
    <w:rsid w:val="00013746"/>
    <w:rsid w:val="0001468E"/>
    <w:rsid w:val="001012AC"/>
    <w:rsid w:val="001F127D"/>
    <w:rsid w:val="00377029"/>
    <w:rsid w:val="0047333A"/>
    <w:rsid w:val="004802F3"/>
    <w:rsid w:val="004D3D5C"/>
    <w:rsid w:val="005E5CEB"/>
    <w:rsid w:val="00635D77"/>
    <w:rsid w:val="006734A4"/>
    <w:rsid w:val="006B7B1F"/>
    <w:rsid w:val="006D2949"/>
    <w:rsid w:val="007A2D08"/>
    <w:rsid w:val="00942341"/>
    <w:rsid w:val="009450E0"/>
    <w:rsid w:val="00A650D3"/>
    <w:rsid w:val="00B52FA6"/>
    <w:rsid w:val="00BB6DA2"/>
    <w:rsid w:val="00C24C6B"/>
    <w:rsid w:val="00CD4F5A"/>
    <w:rsid w:val="00D223E8"/>
    <w:rsid w:val="00F9159F"/>
    <w:rsid w:val="00FC3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4A529A"/>
  <w15:chartTrackingRefBased/>
  <w15:docId w15:val="{BC4DA7DA-C9AE-4312-B4DC-B7A267BA6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746"/>
    <w:pPr>
      <w:spacing w:line="360" w:lineRule="auto"/>
      <w:jc w:val="both"/>
    </w:pPr>
    <w:rPr>
      <w:rFonts w:ascii="Arial" w:hAnsi="Arial"/>
      <w:sz w:val="22"/>
    </w:rPr>
  </w:style>
  <w:style w:type="paragraph" w:styleId="Heading1">
    <w:name w:val="heading 1"/>
    <w:basedOn w:val="Normal"/>
    <w:next w:val="Normal"/>
    <w:link w:val="Heading1Char"/>
    <w:uiPriority w:val="9"/>
    <w:qFormat/>
    <w:rsid w:val="00013746"/>
    <w:pPr>
      <w:keepNext/>
      <w:keepLines/>
      <w:spacing w:before="360" w:after="80"/>
      <w:outlineLvl w:val="0"/>
    </w:pPr>
    <w:rPr>
      <w:rFonts w:eastAsiaTheme="majorEastAsia" w:cstheme="majorBidi"/>
      <w:b/>
      <w:sz w:val="30"/>
      <w:szCs w:val="40"/>
    </w:rPr>
  </w:style>
  <w:style w:type="paragraph" w:styleId="Heading2">
    <w:name w:val="heading 2"/>
    <w:basedOn w:val="Normal"/>
    <w:next w:val="Normal"/>
    <w:link w:val="Heading2Char"/>
    <w:uiPriority w:val="9"/>
    <w:unhideWhenUsed/>
    <w:qFormat/>
    <w:rsid w:val="00D223E8"/>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semiHidden/>
    <w:unhideWhenUsed/>
    <w:qFormat/>
    <w:rsid w:val="00D223E8"/>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FC313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C313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C313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313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313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313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746"/>
    <w:rPr>
      <w:rFonts w:ascii="Arial" w:eastAsiaTheme="majorEastAsia" w:hAnsi="Arial" w:cstheme="majorBidi"/>
      <w:b/>
      <w:sz w:val="30"/>
      <w:szCs w:val="40"/>
    </w:rPr>
  </w:style>
  <w:style w:type="character" w:customStyle="1" w:styleId="Heading2Char">
    <w:name w:val="Heading 2 Char"/>
    <w:basedOn w:val="DefaultParagraphFont"/>
    <w:link w:val="Heading2"/>
    <w:uiPriority w:val="9"/>
    <w:rsid w:val="00D223E8"/>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semiHidden/>
    <w:rsid w:val="00D223E8"/>
    <w:rPr>
      <w:rFonts w:ascii="Times New Roman" w:eastAsiaTheme="majorEastAsia" w:hAnsi="Times New Roman" w:cstheme="majorBidi"/>
      <w:b/>
      <w:sz w:val="28"/>
      <w:szCs w:val="28"/>
    </w:rPr>
  </w:style>
  <w:style w:type="character" w:customStyle="1" w:styleId="Heading4Char">
    <w:name w:val="Heading 4 Char"/>
    <w:basedOn w:val="DefaultParagraphFont"/>
    <w:link w:val="Heading4"/>
    <w:uiPriority w:val="9"/>
    <w:semiHidden/>
    <w:rsid w:val="00FC31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1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132"/>
    <w:rPr>
      <w:rFonts w:eastAsiaTheme="majorEastAsia" w:cstheme="majorBidi"/>
      <w:color w:val="272727" w:themeColor="text1" w:themeTint="D8"/>
    </w:rPr>
  </w:style>
  <w:style w:type="paragraph" w:styleId="Title">
    <w:name w:val="Title"/>
    <w:basedOn w:val="Normal"/>
    <w:next w:val="Normal"/>
    <w:link w:val="TitleChar"/>
    <w:uiPriority w:val="10"/>
    <w:qFormat/>
    <w:rsid w:val="00FC31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13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132"/>
    <w:pPr>
      <w:spacing w:before="160"/>
      <w:jc w:val="center"/>
    </w:pPr>
    <w:rPr>
      <w:i/>
      <w:iCs/>
      <w:color w:val="404040" w:themeColor="text1" w:themeTint="BF"/>
    </w:rPr>
  </w:style>
  <w:style w:type="character" w:customStyle="1" w:styleId="QuoteChar">
    <w:name w:val="Quote Char"/>
    <w:basedOn w:val="DefaultParagraphFont"/>
    <w:link w:val="Quote"/>
    <w:uiPriority w:val="29"/>
    <w:rsid w:val="00FC3132"/>
    <w:rPr>
      <w:rFonts w:ascii="Times New Roman" w:hAnsi="Times New Roman"/>
      <w:i/>
      <w:iCs/>
      <w:color w:val="404040" w:themeColor="text1" w:themeTint="BF"/>
    </w:rPr>
  </w:style>
  <w:style w:type="paragraph" w:styleId="ListParagraph">
    <w:name w:val="List Paragraph"/>
    <w:basedOn w:val="Normal"/>
    <w:uiPriority w:val="34"/>
    <w:qFormat/>
    <w:rsid w:val="00FC3132"/>
    <w:pPr>
      <w:ind w:left="720"/>
      <w:contextualSpacing/>
    </w:pPr>
  </w:style>
  <w:style w:type="character" w:styleId="IntenseEmphasis">
    <w:name w:val="Intense Emphasis"/>
    <w:basedOn w:val="DefaultParagraphFont"/>
    <w:uiPriority w:val="21"/>
    <w:qFormat/>
    <w:rsid w:val="00FC3132"/>
    <w:rPr>
      <w:i/>
      <w:iCs/>
      <w:color w:val="0F4761" w:themeColor="accent1" w:themeShade="BF"/>
    </w:rPr>
  </w:style>
  <w:style w:type="paragraph" w:styleId="IntenseQuote">
    <w:name w:val="Intense Quote"/>
    <w:basedOn w:val="Normal"/>
    <w:next w:val="Normal"/>
    <w:link w:val="IntenseQuoteChar"/>
    <w:uiPriority w:val="30"/>
    <w:qFormat/>
    <w:rsid w:val="00FC31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132"/>
    <w:rPr>
      <w:rFonts w:ascii="Times New Roman" w:hAnsi="Times New Roman"/>
      <w:i/>
      <w:iCs/>
      <w:color w:val="0F4761" w:themeColor="accent1" w:themeShade="BF"/>
    </w:rPr>
  </w:style>
  <w:style w:type="character" w:styleId="IntenseReference">
    <w:name w:val="Intense Reference"/>
    <w:basedOn w:val="DefaultParagraphFont"/>
    <w:uiPriority w:val="32"/>
    <w:qFormat/>
    <w:rsid w:val="00FC3132"/>
    <w:rPr>
      <w:b/>
      <w:bCs/>
      <w:smallCaps/>
      <w:color w:val="0F4761" w:themeColor="accent1" w:themeShade="BF"/>
      <w:spacing w:val="5"/>
    </w:rPr>
  </w:style>
  <w:style w:type="paragraph" w:styleId="Caption">
    <w:name w:val="caption"/>
    <w:basedOn w:val="Normal"/>
    <w:next w:val="Normal"/>
    <w:uiPriority w:val="35"/>
    <w:unhideWhenUsed/>
    <w:qFormat/>
    <w:rsid w:val="00A650D3"/>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650D3"/>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A650D3"/>
    <w:pPr>
      <w:spacing w:after="100" w:line="259" w:lineRule="auto"/>
      <w:ind w:left="220"/>
      <w:jc w:val="left"/>
    </w:pPr>
    <w:rPr>
      <w:rFonts w:asciiTheme="minorHAnsi" w:eastAsiaTheme="minorEastAsia" w:hAnsiTheme="minorHAnsi" w:cs="Times New Roman"/>
      <w:kern w:val="0"/>
      <w:szCs w:val="22"/>
      <w:lang w:val="en-US"/>
      <w14:ligatures w14:val="none"/>
    </w:rPr>
  </w:style>
  <w:style w:type="paragraph" w:styleId="TOC1">
    <w:name w:val="toc 1"/>
    <w:basedOn w:val="Normal"/>
    <w:next w:val="Normal"/>
    <w:autoRedefine/>
    <w:uiPriority w:val="39"/>
    <w:unhideWhenUsed/>
    <w:rsid w:val="00A650D3"/>
    <w:pPr>
      <w:spacing w:after="100" w:line="259" w:lineRule="auto"/>
      <w:jc w:val="left"/>
    </w:pPr>
    <w:rPr>
      <w:rFonts w:asciiTheme="minorHAnsi" w:eastAsiaTheme="minorEastAsia" w:hAnsiTheme="minorHAnsi" w:cs="Times New Roman"/>
      <w:kern w:val="0"/>
      <w:szCs w:val="22"/>
      <w:lang w:val="en-US"/>
      <w14:ligatures w14:val="none"/>
    </w:rPr>
  </w:style>
  <w:style w:type="paragraph" w:styleId="TOC3">
    <w:name w:val="toc 3"/>
    <w:basedOn w:val="Normal"/>
    <w:next w:val="Normal"/>
    <w:autoRedefine/>
    <w:uiPriority w:val="39"/>
    <w:unhideWhenUsed/>
    <w:rsid w:val="00A650D3"/>
    <w:pPr>
      <w:spacing w:after="100" w:line="259" w:lineRule="auto"/>
      <w:ind w:left="440"/>
      <w:jc w:val="left"/>
    </w:pPr>
    <w:rPr>
      <w:rFonts w:asciiTheme="minorHAnsi" w:eastAsiaTheme="minorEastAsia" w:hAnsiTheme="minorHAnsi" w:cs="Times New Roman"/>
      <w:kern w:val="0"/>
      <w:szCs w:val="22"/>
      <w:lang w:val="en-US"/>
      <w14:ligatures w14:val="none"/>
    </w:rPr>
  </w:style>
  <w:style w:type="character" w:styleId="Hyperlink">
    <w:name w:val="Hyperlink"/>
    <w:basedOn w:val="DefaultParagraphFont"/>
    <w:uiPriority w:val="99"/>
    <w:unhideWhenUsed/>
    <w:rsid w:val="00A650D3"/>
    <w:rPr>
      <w:color w:val="467886" w:themeColor="hyperlink"/>
      <w:u w:val="single"/>
    </w:rPr>
  </w:style>
  <w:style w:type="character" w:styleId="UnresolvedMention">
    <w:name w:val="Unresolved Mention"/>
    <w:basedOn w:val="DefaultParagraphFont"/>
    <w:uiPriority w:val="99"/>
    <w:semiHidden/>
    <w:unhideWhenUsed/>
    <w:rsid w:val="006B7B1F"/>
    <w:rPr>
      <w:color w:val="605E5C"/>
      <w:shd w:val="clear" w:color="auto" w:fill="E1DFDD"/>
    </w:rPr>
  </w:style>
  <w:style w:type="paragraph" w:styleId="NoSpacing">
    <w:name w:val="No Spacing"/>
    <w:link w:val="NoSpacingChar"/>
    <w:uiPriority w:val="1"/>
    <w:qFormat/>
    <w:rsid w:val="00BB6DA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B6DA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legislation.gov.uk/ukpga/2014/23/content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05/9/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61CB4-40C0-48B6-92E3-B4F741822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3214</Words>
  <Characters>18323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Person-Centred Care and Partnership Working Report</dc:title>
  <dc:subject/>
  <dc:creator>01-134222-134</dc:creator>
  <cp:keywords/>
  <dc:description/>
  <cp:lastModifiedBy>Marie Andrews (2411716)</cp:lastModifiedBy>
  <cp:revision>3</cp:revision>
  <dcterms:created xsi:type="dcterms:W3CDTF">2025-11-16T21:07:00Z</dcterms:created>
  <dcterms:modified xsi:type="dcterms:W3CDTF">2025-11-16T21:13:00Z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a990ae43-9067-44c9-b15b-842c4554f786</vt:lpwstr>
  </property>
</Properties>
</file>