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t>         </w:t>
      </w:r>
    </w:p>
    <w:p w:rsidR="00561D7C" w:rsidRPr="00561D7C" w:rsidRDefault="00561D7C" w:rsidP="00561D7C">
      <w:pPr>
        <w:spacing w:before="240" w:after="240"/>
        <w:rPr>
          <w:rFonts w:ascii="Times New Roman" w:eastAsia="Times New Roman" w:hAnsi="Times New Roman" w:cs="Times New Roman"/>
        </w:rPr>
      </w:pPr>
      <w:r w:rsidRPr="00561D7C">
        <w:rPr>
          <w:rFonts w:ascii="Calibri" w:eastAsia="Times New Roman" w:hAnsi="Calibri" w:cs="Calibri"/>
          <w:color w:val="000000"/>
          <w:sz w:val="20"/>
          <w:szCs w:val="20"/>
        </w:rPr>
        <w:t>At the beginning of my Professional Teaching Experience (PTE 1), the pedagogical principles was a new subject to me. The pedagogical principles are important for educators and its framework to understand the outline of the whole system and pupils experiences. It is a crucial part of the education system and school life to establish coherence and order (Clark, 2005, Kahl and Venette, 2010). The current pedagogical principles focuses on the child as a whole, a more holistic view, a more humanistic approach (Milligan, 1997).  Johnson et al. (2009) suggests that educators are changing the way students think and process information, determining that academic knowledge is no longer enough and students need to learn more social skills and transferable skills. These methods are focused on the student and suggests it is preparing students for lifelong lessons (Chambers et al., 2013). </w:t>
      </w:r>
    </w:p>
    <w:p w:rsidR="00561D7C" w:rsidRPr="00561D7C" w:rsidRDefault="00561D7C" w:rsidP="00561D7C">
      <w:pPr>
        <w:spacing w:before="240" w:after="240"/>
        <w:rPr>
          <w:rFonts w:ascii="Times New Roman" w:eastAsia="Times New Roman" w:hAnsi="Times New Roman" w:cs="Times New Roman"/>
        </w:rPr>
      </w:pPr>
      <w:r w:rsidRPr="00561D7C">
        <w:rPr>
          <w:rFonts w:ascii="Calibri" w:eastAsia="Times New Roman" w:hAnsi="Calibri" w:cs="Calibri"/>
          <w:color w:val="000000"/>
          <w:sz w:val="20"/>
          <w:szCs w:val="20"/>
        </w:rPr>
        <w:t> </w:t>
      </w:r>
    </w:p>
    <w:p w:rsidR="00561D7C" w:rsidRPr="00561D7C" w:rsidRDefault="00561D7C" w:rsidP="00561D7C">
      <w:pPr>
        <w:spacing w:before="240" w:after="240"/>
        <w:rPr>
          <w:rFonts w:ascii="Times New Roman" w:eastAsia="Times New Roman" w:hAnsi="Times New Roman" w:cs="Times New Roman"/>
        </w:rPr>
      </w:pPr>
      <w:r w:rsidRPr="00561D7C">
        <w:rPr>
          <w:rFonts w:ascii="Calibri" w:eastAsia="Times New Roman" w:hAnsi="Calibri" w:cs="Calibri"/>
          <w:color w:val="000000"/>
          <w:sz w:val="20"/>
          <w:szCs w:val="20"/>
        </w:rPr>
        <w:t>Research suggests that within the classroom AFL (Assessment For Learning) is a cycle of where the learner is now, where is the learner going and how does the learner get there. Commonly, AFL is heavily linked with formative assessment; from a various of techniques it shapes the students learning. Questioning is an important feature within formative assessment, as is feedback, peer assessment and self-assessment. As John Hattie (2009) suggests, AFL provides the learner with a clearer vision of how their learning appears, AFL supports the learners understanding of what their work should look like and how they can achieve greater standards.</w:t>
      </w:r>
    </w:p>
    <w:p w:rsidR="00561D7C" w:rsidRPr="00561D7C" w:rsidRDefault="00561D7C" w:rsidP="00561D7C">
      <w:pPr>
        <w:spacing w:before="240" w:after="240"/>
        <w:rPr>
          <w:rFonts w:ascii="Times New Roman" w:eastAsia="Times New Roman" w:hAnsi="Times New Roman" w:cs="Times New Roman"/>
        </w:rPr>
      </w:pPr>
      <w:r w:rsidRPr="00561D7C">
        <w:rPr>
          <w:rFonts w:ascii="Calibri" w:eastAsia="Times New Roman" w:hAnsi="Calibri" w:cs="Calibri"/>
          <w:color w:val="000000"/>
          <w:sz w:val="20"/>
          <w:szCs w:val="20"/>
        </w:rPr>
        <w:t>Within the classroom, I find one of the most effective techniques of AFL is peer assessing. The students seem to be more willing to engage in the task or more willing to improve their work if their peers have assessed it. To conquer this, research suggests that students may take advantage of the opportunity to talk to their peers and will not be a reliable source to have feedback on a piece of work, but it can be countered by getting feedback from more than one peer (Cho et al., 2006). Mentor feedback of my observed lessons suggest a strength in the methods of Assessment For Learning (AFL) that I employed when supporting individual learners.</w:t>
      </w:r>
    </w:p>
    <w:p w:rsidR="00561D7C" w:rsidRPr="00561D7C" w:rsidRDefault="00561D7C" w:rsidP="00561D7C">
      <w:pPr>
        <w:spacing w:before="240" w:after="240"/>
        <w:rPr>
          <w:rFonts w:ascii="Times New Roman" w:eastAsia="Times New Roman" w:hAnsi="Times New Roman" w:cs="Times New Roman"/>
        </w:rPr>
      </w:pPr>
      <w:r w:rsidRPr="00561D7C">
        <w:rPr>
          <w:rFonts w:ascii="Calibri" w:eastAsia="Times New Roman" w:hAnsi="Calibri" w:cs="Calibri"/>
          <w:color w:val="000000"/>
          <w:sz w:val="20"/>
          <w:szCs w:val="20"/>
        </w:rPr>
        <w:t> </w:t>
      </w:r>
    </w:p>
    <w:p w:rsidR="00561D7C" w:rsidRPr="00561D7C" w:rsidRDefault="00561D7C" w:rsidP="00561D7C">
      <w:pPr>
        <w:spacing w:before="240" w:after="240"/>
        <w:rPr>
          <w:rFonts w:ascii="Times New Roman" w:eastAsia="Times New Roman" w:hAnsi="Times New Roman" w:cs="Times New Roman"/>
        </w:rPr>
      </w:pPr>
      <w:r w:rsidRPr="00561D7C">
        <w:rPr>
          <w:rFonts w:ascii="Calibri" w:eastAsia="Times New Roman" w:hAnsi="Calibri" w:cs="Calibri"/>
          <w:color w:val="000000"/>
          <w:sz w:val="20"/>
          <w:szCs w:val="20"/>
        </w:rPr>
        <w:t>The teaching and learning toolkit (Education Endowment Foundation) gives available synopsis of educational research in the hope of informing teachers on how to use various resources for the benefits of the outcome of learning and supporting individual learners, especially for the deprived and young community. The Toolkit presents a summary of various approaches used to improve teaching and learning regarding Cost of implementation; strength of evidence and the correlation to impact on attainment; and month impact of additional progress made by learners are summarised. Education Endowment Foundation summarises the evidence of AFL as high impact (with an additional 8 months impact of progress made by students) for very low cost, based on moderate evidence.  </w:t>
      </w:r>
    </w:p>
    <w:p w:rsidR="00561D7C" w:rsidRPr="00561D7C" w:rsidRDefault="00561D7C" w:rsidP="00561D7C">
      <w:pPr>
        <w:spacing w:before="240" w:after="240"/>
        <w:rPr>
          <w:rFonts w:ascii="Times New Roman" w:eastAsia="Times New Roman" w:hAnsi="Times New Roman" w:cs="Times New Roman"/>
        </w:rPr>
      </w:pPr>
      <w:r w:rsidRPr="00561D7C">
        <w:rPr>
          <w:rFonts w:ascii="Calibri" w:eastAsia="Times New Roman" w:hAnsi="Calibri" w:cs="Calibri"/>
          <w:color w:val="000000"/>
          <w:sz w:val="20"/>
          <w:szCs w:val="20"/>
        </w:rPr>
        <w:t>Feedback has an important role in the classroom, feedback is information provided to the learner about its progress and what goals need to be set. The aim of feedback is to focus on the improvement of the learning, to allow the student to progress and to constantly improve. It can be through verbal or written methods; from the teacher or a student taking on the teacher role as peer assessment.</w:t>
      </w:r>
    </w:p>
    <w:p w:rsidR="00561D7C" w:rsidRPr="00561D7C" w:rsidRDefault="00561D7C" w:rsidP="00561D7C">
      <w:pPr>
        <w:shd w:val="clear" w:color="auto" w:fill="FFFFFF"/>
        <w:rPr>
          <w:rFonts w:ascii="Times New Roman" w:eastAsia="Times New Roman" w:hAnsi="Times New Roman" w:cs="Times New Roman"/>
        </w:rPr>
      </w:pPr>
      <w:r w:rsidRPr="00561D7C">
        <w:rPr>
          <w:rFonts w:ascii="Calibri" w:eastAsia="Times New Roman" w:hAnsi="Calibri" w:cs="Calibri"/>
          <w:color w:val="000000"/>
          <w:sz w:val="20"/>
          <w:szCs w:val="20"/>
        </w:rPr>
        <w:t>Research illustrating the coloration between AFL and progress suggests that feedback has a positive and effective impact on the student’s progress and standards of achievement. (Baron, 1988), suggests that negative feedback can have a negative impact on the students learning, thus meaning it is important to understand the child in a holistic manner and to understand the individual’s needs. Some studies investigated the relationship between feedback, pupil progress and attainment shows a positive correlation (Christenson et al., 2012), suggesting an impact on all age groups focussing particularly on its effects in mainly English and Mathematics. Detailed feedback is an effective classroom strategy for minimising the gap in educational attainment, particularly when the feedback concentrates on an individual's current performance and progress (Olde Bekkink et al., 2012).  Supporting this is the research illustrating the positive impact of AFL and feedback progress (Black and Wiliam, 1998; Hattie &amp; Timperley, 2007).  </w:t>
      </w:r>
    </w:p>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lastRenderedPageBreak/>
        <w:t>Research evidence about feedback was part of the rationale for Assessment for Learning (AfL). One evaluation of AfL indicated an impact of half of a GCSE grade per student per subject is achievable, which would be in line with the wider evidence about feedback. Feedback redirects the students actions to achieve a goal. It can be verbal or written. Providing feedback can encourage and support further effort.</w:t>
      </w:r>
    </w:p>
    <w:p w:rsidR="00561D7C" w:rsidRPr="00561D7C" w:rsidRDefault="00561D7C" w:rsidP="00561D7C">
      <w:pPr>
        <w:spacing w:before="260" w:after="280"/>
        <w:rPr>
          <w:rFonts w:ascii="Times New Roman" w:eastAsia="Times New Roman" w:hAnsi="Times New Roman" w:cs="Times New Roman"/>
        </w:rPr>
      </w:pPr>
      <w:r w:rsidRPr="00561D7C">
        <w:rPr>
          <w:rFonts w:ascii="Calibri" w:eastAsia="Times New Roman" w:hAnsi="Calibri" w:cs="Calibri"/>
          <w:color w:val="000000"/>
          <w:sz w:val="20"/>
          <w:szCs w:val="20"/>
        </w:rPr>
        <w:t>When considering the strength of the validity and generalisation of the literature it’s important to consider the strengths and limitations of the study designs. Countless amounts of research has been conducted to explore the effects of feedback. Educational research studies establish a positive impact and the purpose of feedback is to improve the results of the learning in literacy, numeracy and prior knowledge (Tournaki, 2003). As indicated prior, feedback and AFL are heavily linked to formative assessment; the improvement and success is far greater if implemented consistently over a period of time. (Akers et al., 2014, Black and Wiliam, 1998).  </w:t>
      </w:r>
    </w:p>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t>The development and implementation of feedback are greatly emphasised in the current curriculum, the cost of implementing good feedback is at a low cost. To deliver effective feedback is a challenge, efficient feedback is accurate, precise and fair. Implementing feedback ties into Donaldson’s (2015) four purposes of a confident, healthy learner and an ambitious learner. Feedback links with prior knowledge and how to improve on so, it is essential to compare what they have done wrong with how to improve. Leading on from effective feedback has to be specific in order for the student to acknowledge exactly what they have done wrong and how specifically they can improve. Through provided feedback and receiving feedback, the teachers' professional development is also occurring, whilst it is important to provide feedback, the method of how you do it is a personal choice. </w:t>
      </w:r>
    </w:p>
    <w:p w:rsidR="00561D7C" w:rsidRPr="00561D7C" w:rsidRDefault="00561D7C" w:rsidP="00561D7C">
      <w:pPr>
        <w:rPr>
          <w:rFonts w:ascii="Times New Roman" w:eastAsia="Times New Roman" w:hAnsi="Times New Roman" w:cs="Times New Roman"/>
        </w:rPr>
      </w:pPr>
    </w:p>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t>Leading from feedback, in my own professional practice, I found that feedback has an essential role to play in the classroom. I identified that feedback is constant throughout the lesson and in each lesson, but feedback appears in different manners. I use peer feedback often, (see appendix 3), through conducting my own research into this and through implementing different methods of feedback, I found that peer feedback is a crucial method for the students. As seen in (appendix 3), I used peer feedback in order for the students to receive critical feedback and how can their peers improve. By allowing the students to view their peers work and to critically mark their work, it gives students a sense of importance and independence (Black and Wiliam, 1998). </w:t>
      </w:r>
    </w:p>
    <w:p w:rsidR="00561D7C" w:rsidRPr="00561D7C" w:rsidRDefault="00561D7C" w:rsidP="00561D7C">
      <w:pPr>
        <w:rPr>
          <w:rFonts w:ascii="Times New Roman" w:eastAsia="Times New Roman" w:hAnsi="Times New Roman" w:cs="Times New Roman"/>
        </w:rPr>
      </w:pPr>
    </w:p>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t>The benefits of peer feedback are endless, by providing the students an opportunity to give constructive feedback; the teacher is allowing the students to engage in one others learning and thus allows a more understanding and gratitude for their work. By allowing students to communicate about the task, then there is a more purposeful conversations and communication occurring (Richardson &amp; Swan, 2003). Students and the classroom have a more civilised environment and a sense of community (Corgan, Hammer, Margolies, &amp; Crossley, 2004).</w:t>
      </w:r>
    </w:p>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t>As AFL is highly emphasised, cross curricular responsibilities are also important. It is crucial to give a task a sense of meaning, students will appreciate a task more if it will help them in the real world. From a holistic perspective, cross-curricular ensures that the content of the teaching delves into many skills in a valuable and meaningful way (Byrne and Brodie, 2012). This coheres with Donaldson’s report (2015), that the focus is on the child as an individual and their individual needs; meaning the focus being on the child's creativeness, physical ability and social development.</w:t>
      </w:r>
    </w:p>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t>The benefit of a cross-curricular approach is that students gain an understanding and unity between different subjects; a connection between the different brands of knowledge (</w:t>
      </w:r>
      <w:hyperlink r:id="rId4" w:anchor="bib0040" w:history="1">
        <w:r w:rsidRPr="00561D7C">
          <w:rPr>
            <w:rFonts w:ascii="Calibri" w:eastAsia="Times New Roman" w:hAnsi="Calibri" w:cs="Calibri"/>
            <w:color w:val="000000"/>
            <w:sz w:val="20"/>
            <w:szCs w:val="20"/>
          </w:rPr>
          <w:t>Dugast-Portes, 1997</w:t>
        </w:r>
      </w:hyperlink>
      <w:r w:rsidRPr="00561D7C">
        <w:rPr>
          <w:rFonts w:ascii="Calibri" w:eastAsia="Times New Roman" w:hAnsi="Calibri" w:cs="Calibri"/>
          <w:color w:val="000000"/>
          <w:sz w:val="20"/>
          <w:szCs w:val="20"/>
        </w:rPr>
        <w:t>). A cross-curriculum approach desires an understanding that knowledge should be shared across all subjects and not isolated to one subject (Naval et al,. 2003), these are established as learning areas.</w:t>
      </w:r>
    </w:p>
    <w:p w:rsidR="00561D7C" w:rsidRPr="00561D7C" w:rsidRDefault="00561D7C" w:rsidP="00561D7C">
      <w:pPr>
        <w:rPr>
          <w:rFonts w:ascii="Times New Roman" w:eastAsia="Times New Roman" w:hAnsi="Times New Roman" w:cs="Times New Roman"/>
        </w:rPr>
      </w:pPr>
    </w:p>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t xml:space="preserve">As shown in (appendix 4), the purpose of this is to teach the students about real life events. The use of numeracy and digital competence is evident, the purpose is to teach students at a young age about what to expect after education or when starting a career. The purpose of the task was to understand the meaning of tax and national insurance, to ensure all students understand deductions of someone's wage after tax and what to expect from a payslip. When planning my lessons, I ensure that I have enough resources to scaffold the students as it is a complex topic. Also, to support this (see appendix 6), students are learning about what is a bank statement and what goes on a bank statement. The students engaged very well with such a difficult topic at such a young age, the students communicated well and all eager to answer. Being a real life topic, it </w:t>
      </w:r>
      <w:r w:rsidRPr="00561D7C">
        <w:rPr>
          <w:rFonts w:ascii="Calibri" w:eastAsia="Times New Roman" w:hAnsi="Calibri" w:cs="Calibri"/>
          <w:color w:val="000000"/>
          <w:sz w:val="20"/>
          <w:szCs w:val="20"/>
        </w:rPr>
        <w:lastRenderedPageBreak/>
        <w:t xml:space="preserve">allows the tasks to have authenticity, it allows the students that knowledge of what to expect when in their own career. This is a prime example of how cross-curricular is implemented, leading on from this (see appendix 5), in this modern world the internet and technology is at a fast growing pace. Therefore, internet safety is vital to teach in schools at a young age. Internet safety, of course is in the DCF framework under the citizenship category, which links into cross-curricular. Internet safety is progressively fundamental providing the rate of the number of children accessing the internet (Holloway et al., [ </w:t>
      </w:r>
      <w:hyperlink r:id="rId5" w:anchor="bib18" w:history="1">
        <w:r w:rsidRPr="00561D7C">
          <w:rPr>
            <w:rFonts w:ascii="Calibri" w:eastAsia="Times New Roman" w:hAnsi="Calibri" w:cs="Calibri"/>
            <w:color w:val="000000"/>
            <w:sz w:val="20"/>
            <w:szCs w:val="20"/>
          </w:rPr>
          <w:t>18</w:t>
        </w:r>
      </w:hyperlink>
      <w:r w:rsidRPr="00561D7C">
        <w:rPr>
          <w:rFonts w:ascii="Calibri" w:eastAsia="Times New Roman" w:hAnsi="Calibri" w:cs="Calibri"/>
          <w:color w:val="000000"/>
          <w:sz w:val="20"/>
          <w:szCs w:val="20"/>
        </w:rPr>
        <w:t>] ). With all three examples, it is important to educate children about real life matters. All specific subjects are important, but alone they cannot secure the capable knowledge, ability or skills to be an ethical, informed citizen (Donaldson 2015). As part of my own practice and the placement school I am in, I feel that the cross-curriculum approach is emphasised. Therefore, I am encouraged and influenced to teach in the same manner. To improve my own practice and to improve my links to the cross-curricular, I need to work collaboratively with different departments, such as the Science department. </w:t>
      </w:r>
    </w:p>
    <w:p w:rsidR="00561D7C" w:rsidRPr="00561D7C" w:rsidRDefault="00561D7C" w:rsidP="00561D7C">
      <w:pPr>
        <w:rPr>
          <w:rFonts w:ascii="Times New Roman" w:eastAsia="Times New Roman" w:hAnsi="Times New Roman" w:cs="Times New Roman"/>
        </w:rPr>
      </w:pPr>
    </w:p>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t>Having an opportunity to teach within a pioneer school which has developed a new curriculum where the emphasis has been to embed cross-curricular elements and to thus develop transferable skills among adolescents. This has given me an opportunity to work with other departments such as Science to work on a space project. In the science lesson, students will perform the experiment, in the IT lesson students will document their findings. As ICT is the core to the new Digital Competence Framework, it is important for other subjects to work closely. The benefits of this is that students are working on a project as a whole and not just for that one subject. It allows students to work on a project from different perspectives.</w:t>
      </w:r>
    </w:p>
    <w:p w:rsidR="00561D7C" w:rsidRPr="00561D7C" w:rsidRDefault="00561D7C" w:rsidP="00561D7C">
      <w:pPr>
        <w:rPr>
          <w:rFonts w:ascii="Times New Roman" w:eastAsia="Times New Roman" w:hAnsi="Times New Roman" w:cs="Times New Roman"/>
        </w:rPr>
      </w:pPr>
    </w:p>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t>As research suggests, cross-curricular can be implemented to support the learning of students with different abilities. The method combines one or more subject and can bring together a vast amount of different theories.These subjects can use the same theme, the same topics or experiences (Hayes 2010). Cross-curricular enhances various skills rather than subject knowledge alone. This approach is becoming an increasingly popular approach, that connect subject knowledge, the know-how and understanding from different subjects.This can notify an augment pedagogy that will boost the learning as a whole and allows to explore and discover a diverse range of knowledge and understanding (Savage 2011). This perception suggests that this type of teaching originated from a constructivist point of view; where the learning is approached by doing and participation. This pedagogical principle can be initiated by a range of methods that will ensure the development of the child's creativity, exploration and artistry; developing the child holistically and fundamental life skills. This alone drives the ambition and excitement of the new curriculum and especially working collaboratively with the cross-curriculum. </w:t>
      </w:r>
    </w:p>
    <w:p w:rsidR="00561D7C" w:rsidRPr="00561D7C" w:rsidRDefault="00561D7C" w:rsidP="00561D7C">
      <w:pPr>
        <w:rPr>
          <w:rFonts w:ascii="Times New Roman" w:eastAsia="Times New Roman" w:hAnsi="Times New Roman" w:cs="Times New Roman"/>
        </w:rPr>
      </w:pPr>
    </w:p>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t>Cross-curricular learning aims to develop interchangeable skills that students use over many subjects, to focus on skills is vital if we want children and young adults with a balanced education (Tate 1994). Some suggest that it is not adequate to leave the education system with grades alone, young people need to leave school with the understanding of how to use their knowledge in society (Morrison 1994).</w:t>
      </w:r>
    </w:p>
    <w:p w:rsidR="00561D7C" w:rsidRPr="00561D7C" w:rsidRDefault="00561D7C" w:rsidP="00561D7C">
      <w:pPr>
        <w:spacing w:after="240"/>
        <w:rPr>
          <w:rFonts w:ascii="Times New Roman" w:eastAsia="Times New Roman" w:hAnsi="Times New Roman" w:cs="Times New Roman"/>
        </w:rPr>
      </w:pPr>
    </w:p>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t>To build on previous knowledge is a key aspect of my own teaching, some research suggests that learning is a result of constantly building on previous knowledge (Piaget, 1954; Vygotsky, 1978). Piaget (1954) implies the intellectual state of the child, proposing that children learn more by constantly adding knowledge to the schemas; learning through play. Thus meaning, we expand our understanding of new knowledge by remembering prior knowledge and logic (Piaget, 1954).</w:t>
      </w:r>
    </w:p>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t xml:space="preserve">Building on the students prior knowledge is a vital part of the learning journey, it affects how the students connect with the work and materials (Moos and Azevedo, 2008, Ozuru et al., 2009). From the teachers point of view, previous knowledge can also rattle the teacher to deliver the lesson accurately (Roschelle, 1995). Furthermore, it can affect planning lessons as we need to push ourselves in order to push the higher ability students to achieve even higher (Biswas, 2007, Seel and Dinter, 1995). Saying this, if students do not have the capability to retract prior knowledge and find it difficult to build on previous knowledge, then there can be an issue to build on new knowledge (Dochy, Moerkerke, and Marten, 1996). Adding to the benefits of building on previous knowledge, some psychologists’ suggest that building on previous knowledge can have a positive impact on the memory and how we store information (Clarke et al.,2005, Cobos-Moyano et al., 2009). Regarding enthusiasm and motivation of the child, studies show that it has a great affect on learning new </w:t>
      </w:r>
      <w:r w:rsidRPr="00561D7C">
        <w:rPr>
          <w:rFonts w:ascii="Calibri" w:eastAsia="Times New Roman" w:hAnsi="Calibri" w:cs="Calibri"/>
          <w:color w:val="000000"/>
          <w:sz w:val="20"/>
          <w:szCs w:val="20"/>
        </w:rPr>
        <w:lastRenderedPageBreak/>
        <w:t>knowledge and skills (Jong and Joolingen, 1998, Mitchell et al., 2005). Also, previous knowledge is crucial to learning new things and applying to other subjects (Cohen and Levinthal, 1990).</w:t>
      </w:r>
    </w:p>
    <w:p w:rsidR="00561D7C" w:rsidRPr="00561D7C" w:rsidRDefault="00561D7C" w:rsidP="00561D7C">
      <w:pPr>
        <w:rPr>
          <w:rFonts w:ascii="Times New Roman" w:eastAsia="Times New Roman" w:hAnsi="Times New Roman" w:cs="Times New Roman"/>
        </w:rPr>
      </w:pPr>
    </w:p>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t>As seen in (appendix 7), I created a GCSE exam question for a year 9 class. Most of the information in the exam question is past knowledge, with some they would have learnt in that lesson. This was my starter task and it was a chance to examine what the students remembered and if they can build on that previous knowledge to answer new questions. It was not a test as such but a chance to test if students could carry the previous knowledge and apply it to the lesson. As suspected, most students could apply this theory and was able to recall knowledge and apply it to their work. To carry this forward, I could possibly add more resources or scaffold more in order for the students who could not recall that memory and apply it to the work. </w:t>
      </w:r>
    </w:p>
    <w:p w:rsidR="00561D7C" w:rsidRPr="00561D7C" w:rsidRDefault="00561D7C" w:rsidP="00561D7C">
      <w:pPr>
        <w:rPr>
          <w:rFonts w:ascii="Times New Roman" w:eastAsia="Times New Roman" w:hAnsi="Times New Roman" w:cs="Times New Roman"/>
        </w:rPr>
      </w:pPr>
    </w:p>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t>As for (appendix 8), a Kahoot quiz is very popular with the students, a Kahoot quiz is an online quiz where every student are involved. This particular quiz had 10 questions, with an answering time of 20 seconds each, as it is live I can see from my device who had the answers correct and incorrect. The very first Kahoot quiz I conducted, I had feedback off my mentor, which was to explain the question and answer after each question for those who had it incorrect to understand. Following the advice given, I done so, after each question I explained the question and answer. Kahoot is an effective method to calculate students' level of understanding of the topic, it is also effective to use Kahoot as a competitive method. Research suggests that there is a strong connection between learning and the use of competition (Burguillo, 2010). Competition in a lesson can motivate the students to engage in the task by the opportunity to be the best and to succeed more than peers (Burguillo, 2010). Saying this, a Kahoot quiz isolates the students and restricts them to work independently, as research suggests group or paired work is much more effective method of learning and building on previous knowledge (Johnson et al., 1981). I believe Kahoot is a great way to get the students involved with their learning, but it can isolate some students and can have an impact on a child's self-esteem.</w:t>
      </w:r>
    </w:p>
    <w:p w:rsidR="00561D7C" w:rsidRPr="00561D7C" w:rsidRDefault="00561D7C" w:rsidP="00561D7C">
      <w:pPr>
        <w:rPr>
          <w:rFonts w:ascii="Times New Roman" w:eastAsia="Times New Roman" w:hAnsi="Times New Roman" w:cs="Times New Roman"/>
        </w:rPr>
      </w:pPr>
    </w:p>
    <w:p w:rsidR="00561D7C" w:rsidRPr="00561D7C" w:rsidRDefault="00561D7C" w:rsidP="00561D7C">
      <w:pPr>
        <w:rPr>
          <w:rFonts w:ascii="Times New Roman" w:eastAsia="Times New Roman" w:hAnsi="Times New Roman" w:cs="Times New Roman"/>
        </w:rPr>
      </w:pPr>
      <w:r w:rsidRPr="00561D7C">
        <w:rPr>
          <w:rFonts w:ascii="Calibri" w:eastAsia="Times New Roman" w:hAnsi="Calibri" w:cs="Calibri"/>
          <w:color w:val="000000"/>
          <w:sz w:val="20"/>
          <w:szCs w:val="20"/>
        </w:rPr>
        <w:t>For my further development, I feel that I need to support the lower ability students more; it is difficult to build on previous knowledge in a mixed ability class as some students do not have the capability and understanding to do so (Dochy, Moerkerke, and Marten, 1996). By reflecting on my own lessons and receiving feedback from my mentor, I feel that I can improve on the following; I need to create more resources in order to scaffold the lower ability students; my explaining of tasks needs to be more clear; I need to create extension tasks for the higher ability students and plan my questioning in order to ask the most effective questions. This will lead me to successfully implement the pedagogical principles in my lessons. My experience in the classroom has educated me to always have an extension task and to always have a backup resources if students do not understand your explanation.</w:t>
      </w:r>
    </w:p>
    <w:p w:rsidR="00561D7C" w:rsidRPr="00561D7C" w:rsidRDefault="00561D7C" w:rsidP="00561D7C">
      <w:pPr>
        <w:spacing w:after="240"/>
        <w:rPr>
          <w:rFonts w:ascii="Times New Roman" w:eastAsia="Times New Roman" w:hAnsi="Times New Roman" w:cs="Times New Roman"/>
        </w:rPr>
      </w:pPr>
      <w:r w:rsidRPr="00561D7C">
        <w:rPr>
          <w:rFonts w:ascii="Times New Roman" w:eastAsia="Times New Roman" w:hAnsi="Times New Roman" w:cs="Times New Roman"/>
        </w:rPr>
        <w:br/>
      </w:r>
      <w:r w:rsidRPr="00561D7C">
        <w:rPr>
          <w:rFonts w:ascii="Times New Roman" w:eastAsia="Times New Roman" w:hAnsi="Times New Roman" w:cs="Times New Roman"/>
        </w:rPr>
        <w:br/>
      </w:r>
      <w:r w:rsidRPr="00561D7C">
        <w:rPr>
          <w:rFonts w:ascii="Times New Roman" w:eastAsia="Times New Roman" w:hAnsi="Times New Roman" w:cs="Times New Roman"/>
        </w:rPr>
        <w:br/>
      </w:r>
      <w:r w:rsidRPr="00561D7C">
        <w:rPr>
          <w:rFonts w:ascii="Times New Roman" w:eastAsia="Times New Roman" w:hAnsi="Times New Roman" w:cs="Times New Roman"/>
        </w:rPr>
        <w:br/>
      </w:r>
      <w:r w:rsidRPr="00561D7C">
        <w:rPr>
          <w:rFonts w:ascii="Times New Roman" w:eastAsia="Times New Roman" w:hAnsi="Times New Roman" w:cs="Times New Roman"/>
        </w:rPr>
        <w:br/>
      </w:r>
      <w:r w:rsidRPr="00561D7C">
        <w:rPr>
          <w:rFonts w:ascii="Times New Roman" w:eastAsia="Times New Roman" w:hAnsi="Times New Roman" w:cs="Times New Roman"/>
        </w:rPr>
        <w:br/>
      </w:r>
      <w:r w:rsidRPr="00561D7C">
        <w:rPr>
          <w:rFonts w:ascii="Times New Roman" w:eastAsia="Times New Roman" w:hAnsi="Times New Roman" w:cs="Times New Roman"/>
        </w:rPr>
        <w:br/>
      </w:r>
      <w:r w:rsidRPr="00561D7C">
        <w:rPr>
          <w:rFonts w:ascii="Times New Roman" w:eastAsia="Times New Roman" w:hAnsi="Times New Roman" w:cs="Times New Roman"/>
        </w:rPr>
        <w:br/>
      </w:r>
      <w:r w:rsidRPr="00561D7C">
        <w:rPr>
          <w:rFonts w:ascii="Times New Roman" w:eastAsia="Times New Roman" w:hAnsi="Times New Roman" w:cs="Times New Roman"/>
        </w:rPr>
        <w:br/>
      </w:r>
      <w:r w:rsidRPr="00561D7C">
        <w:rPr>
          <w:rFonts w:ascii="Times New Roman" w:eastAsia="Times New Roman" w:hAnsi="Times New Roman" w:cs="Times New Roman"/>
        </w:rPr>
        <w:br/>
      </w:r>
      <w:r w:rsidRPr="00561D7C">
        <w:rPr>
          <w:rFonts w:ascii="Times New Roman" w:eastAsia="Times New Roman" w:hAnsi="Times New Roman" w:cs="Times New Roman"/>
        </w:rPr>
        <w:br/>
      </w:r>
      <w:r w:rsidRPr="00561D7C">
        <w:rPr>
          <w:rFonts w:ascii="Times New Roman" w:eastAsia="Times New Roman" w:hAnsi="Times New Roman" w:cs="Times New Roman"/>
        </w:rPr>
        <w:br/>
      </w:r>
    </w:p>
    <w:p w:rsidR="00561D7C" w:rsidRPr="00561D7C" w:rsidRDefault="00561D7C" w:rsidP="00561D7C">
      <w:pPr>
        <w:spacing w:before="280" w:after="80"/>
        <w:outlineLvl w:val="2"/>
        <w:rPr>
          <w:rFonts w:ascii="Times New Roman" w:eastAsia="Times New Roman" w:hAnsi="Times New Roman" w:cs="Times New Roman"/>
          <w:b/>
          <w:bCs/>
          <w:sz w:val="27"/>
          <w:szCs w:val="27"/>
        </w:rPr>
      </w:pPr>
      <w:r w:rsidRPr="00561D7C">
        <w:rPr>
          <w:rFonts w:ascii="Calibri" w:eastAsia="Times New Roman" w:hAnsi="Calibri" w:cs="Calibri"/>
          <w:color w:val="000000"/>
          <w:sz w:val="20"/>
          <w:szCs w:val="20"/>
        </w:rPr>
        <w:t> </w:t>
      </w:r>
    </w:p>
    <w:p w:rsidR="00561D7C" w:rsidRPr="00561D7C" w:rsidRDefault="00561D7C" w:rsidP="00561D7C">
      <w:pPr>
        <w:spacing w:before="260" w:after="280"/>
        <w:rPr>
          <w:rFonts w:ascii="Times New Roman" w:eastAsia="Times New Roman" w:hAnsi="Times New Roman" w:cs="Times New Roman"/>
        </w:rPr>
      </w:pPr>
      <w:r w:rsidRPr="00561D7C">
        <w:rPr>
          <w:rFonts w:ascii="Calibri" w:eastAsia="Times New Roman" w:hAnsi="Calibri" w:cs="Calibri"/>
          <w:color w:val="000000"/>
          <w:sz w:val="20"/>
          <w:szCs w:val="20"/>
        </w:rPr>
        <w:t> </w:t>
      </w:r>
    </w:p>
    <w:p w:rsidR="00561D7C" w:rsidRPr="00561D7C" w:rsidRDefault="00561D7C" w:rsidP="00561D7C">
      <w:pPr>
        <w:spacing w:before="260" w:after="280"/>
        <w:rPr>
          <w:rFonts w:ascii="Times New Roman" w:eastAsia="Times New Roman" w:hAnsi="Times New Roman" w:cs="Times New Roman"/>
        </w:rPr>
      </w:pPr>
      <w:r w:rsidRPr="00561D7C">
        <w:rPr>
          <w:rFonts w:ascii="Calibri" w:eastAsia="Times New Roman" w:hAnsi="Calibri" w:cs="Calibri"/>
          <w:color w:val="000000"/>
          <w:sz w:val="20"/>
          <w:szCs w:val="20"/>
        </w:rPr>
        <w:t> </w:t>
      </w:r>
    </w:p>
    <w:p w:rsidR="00561D7C" w:rsidRPr="00561D7C" w:rsidRDefault="00561D7C" w:rsidP="00561D7C">
      <w:pPr>
        <w:spacing w:before="260" w:after="280"/>
        <w:rPr>
          <w:rFonts w:ascii="Times New Roman" w:eastAsia="Times New Roman" w:hAnsi="Times New Roman" w:cs="Times New Roman"/>
        </w:rPr>
      </w:pPr>
      <w:r w:rsidRPr="00561D7C">
        <w:rPr>
          <w:rFonts w:ascii="Calibri" w:eastAsia="Times New Roman" w:hAnsi="Calibri" w:cs="Calibri"/>
          <w:color w:val="000000"/>
          <w:sz w:val="20"/>
          <w:szCs w:val="20"/>
        </w:rPr>
        <w:lastRenderedPageBreak/>
        <w:t> </w:t>
      </w:r>
    </w:p>
    <w:p w:rsidR="00561D7C" w:rsidRPr="00561D7C" w:rsidRDefault="00561D7C" w:rsidP="00561D7C">
      <w:pPr>
        <w:spacing w:before="260" w:after="280"/>
        <w:rPr>
          <w:rFonts w:ascii="Times New Roman" w:eastAsia="Times New Roman" w:hAnsi="Times New Roman" w:cs="Times New Roman"/>
        </w:rPr>
      </w:pPr>
      <w:r w:rsidRPr="00561D7C">
        <w:rPr>
          <w:rFonts w:ascii="Calibri" w:eastAsia="Times New Roman" w:hAnsi="Calibri" w:cs="Calibri"/>
          <w:color w:val="000000"/>
          <w:sz w:val="20"/>
          <w:szCs w:val="20"/>
        </w:rPr>
        <w:t> </w:t>
      </w:r>
    </w:p>
    <w:p w:rsidR="00561D7C" w:rsidRPr="00561D7C" w:rsidRDefault="00561D7C" w:rsidP="00561D7C">
      <w:pPr>
        <w:spacing w:before="260" w:after="280"/>
        <w:rPr>
          <w:rFonts w:ascii="Times New Roman" w:eastAsia="Times New Roman" w:hAnsi="Times New Roman" w:cs="Times New Roman"/>
        </w:rPr>
      </w:pPr>
      <w:r w:rsidRPr="00561D7C">
        <w:rPr>
          <w:rFonts w:ascii="Calibri" w:eastAsia="Times New Roman" w:hAnsi="Calibri" w:cs="Calibri"/>
          <w:color w:val="000000"/>
          <w:sz w:val="20"/>
          <w:szCs w:val="20"/>
        </w:rPr>
        <w:t> </w:t>
      </w:r>
    </w:p>
    <w:p w:rsidR="00561D7C" w:rsidRPr="00561D7C" w:rsidRDefault="00561D7C" w:rsidP="00561D7C">
      <w:pPr>
        <w:spacing w:before="260" w:after="280"/>
        <w:rPr>
          <w:rFonts w:ascii="Times New Roman" w:eastAsia="Times New Roman" w:hAnsi="Times New Roman" w:cs="Times New Roman"/>
        </w:rPr>
      </w:pPr>
      <w:r w:rsidRPr="00561D7C">
        <w:rPr>
          <w:rFonts w:ascii="Calibri" w:eastAsia="Times New Roman" w:hAnsi="Calibri" w:cs="Calibri"/>
          <w:color w:val="000000"/>
          <w:sz w:val="20"/>
          <w:szCs w:val="20"/>
        </w:rPr>
        <w:t> </w:t>
      </w:r>
    </w:p>
    <w:p w:rsidR="00561D7C" w:rsidRPr="00561D7C" w:rsidRDefault="00561D7C" w:rsidP="00561D7C">
      <w:pPr>
        <w:rPr>
          <w:rFonts w:ascii="Times New Roman" w:eastAsia="Times New Roman" w:hAnsi="Times New Roman" w:cs="Times New Roman"/>
        </w:rPr>
      </w:pPr>
    </w:p>
    <w:p w:rsidR="0006235D" w:rsidRDefault="00561D7C">
      <w:bookmarkStart w:id="0" w:name="_GoBack"/>
      <w:bookmarkEnd w:id="0"/>
    </w:p>
    <w:sectPr w:rsidR="0006235D" w:rsidSect="007A5C54">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D7C"/>
    <w:rsid w:val="00561D7C"/>
    <w:rsid w:val="007A5C54"/>
    <w:rsid w:val="00C16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CCFC4CEE-9B52-F546-B3EA-3F532BE79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561D7C"/>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61D7C"/>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561D7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561D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914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eb-b-ebscohost-com.ezproxy.uwtsd.ac.uk/ehost/detail/detail?vid=0&amp;sid=018c720c-668d-48b3-b49d-c2834a8f8180%40sessionmgr101&amp;bdata=JnNpdGU9ZWhvc3QtbGl2ZQ%3d%3d" TargetMode="External"/><Relationship Id="rId4" Type="http://schemas.openxmlformats.org/officeDocument/2006/relationships/hyperlink" Target="https://www-sciencedirect-com.ezproxy.uwtsd.ac.uk/science/article/pii/S08830355120006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2717</Words>
  <Characters>15492</Characters>
  <Application>Microsoft Office Word</Application>
  <DocSecurity>0</DocSecurity>
  <Lines>129</Lines>
  <Paragraphs>36</Paragraphs>
  <ScaleCrop>false</ScaleCrop>
  <Company/>
  <LinksUpToDate>false</LinksUpToDate>
  <CharactersWithSpaces>18173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Rose (1903564)</dc:creator>
  <cp:keywords/>
  <dc:description/>
  <cp:lastModifiedBy>Jack Rose (1903564)</cp:lastModifiedBy>
  <cp:revision>1</cp:revision>
  <dcterms:created xsi:type="dcterms:W3CDTF">2020-01-05T20:22:00Z</dcterms:created>
  <dcterms:modified xsi:type="dcterms:W3CDTF">2020-01-05T20:23:00Z</dcterms:modified>
</cp:coreProperties>
</file>