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B84F72" w14:textId="3450C0F2" w:rsidR="00265DD8" w:rsidRDefault="00265DD8">
      <w:r>
        <w:rPr>
          <w:noProof/>
        </w:rPr>
        <mc:AlternateContent>
          <mc:Choice Requires="wps">
            <w:drawing>
              <wp:anchor distT="0" distB="0" distL="114300" distR="114300" simplePos="0" relativeHeight="251663360" behindDoc="0" locked="0" layoutInCell="1" allowOverlap="1" wp14:anchorId="66DD2B67" wp14:editId="35B59AF6">
                <wp:simplePos x="0" y="0"/>
                <wp:positionH relativeFrom="margin">
                  <wp:align>right</wp:align>
                </wp:positionH>
                <wp:positionV relativeFrom="paragraph">
                  <wp:posOffset>-245110</wp:posOffset>
                </wp:positionV>
                <wp:extent cx="1032934" cy="245533"/>
                <wp:effectExtent l="0" t="0" r="0" b="2540"/>
                <wp:wrapNone/>
                <wp:docPr id="5" name="Text Box 5"/>
                <wp:cNvGraphicFramePr/>
                <a:graphic xmlns:a="http://schemas.openxmlformats.org/drawingml/2006/main">
                  <a:graphicData uri="http://schemas.microsoft.com/office/word/2010/wordprocessingShape">
                    <wps:wsp>
                      <wps:cNvSpPr txBox="1"/>
                      <wps:spPr>
                        <a:xfrm>
                          <a:off x="0" y="0"/>
                          <a:ext cx="1032934" cy="245533"/>
                        </a:xfrm>
                        <a:prstGeom prst="rect">
                          <a:avLst/>
                        </a:prstGeom>
                        <a:solidFill>
                          <a:schemeClr val="accent5">
                            <a:lumMod val="40000"/>
                            <a:lumOff val="60000"/>
                          </a:schemeClr>
                        </a:solidFill>
                        <a:ln w="6350">
                          <a:noFill/>
                        </a:ln>
                      </wps:spPr>
                      <wps:txbx>
                        <w:txbxContent>
                          <w:p w14:paraId="76EFC0EA" w14:textId="540E279C" w:rsidR="00265DD8" w:rsidRDefault="00265DD8">
                            <w:r>
                              <w:t>30</w:t>
                            </w:r>
                            <w:r w:rsidR="00B64481">
                              <w:t>77</w:t>
                            </w:r>
                            <w:r>
                              <w:t xml:space="preserve"> Words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DD2B67" id="_x0000_t202" coordsize="21600,21600" o:spt="202" path="m,l,21600r21600,l21600,xe">
                <v:stroke joinstyle="miter"/>
                <v:path gradientshapeok="t" o:connecttype="rect"/>
              </v:shapetype>
              <v:shape id="Text Box 5" o:spid="_x0000_s1026" type="#_x0000_t202" style="position:absolute;margin-left:30.15pt;margin-top:-19.3pt;width:81.35pt;height:19.3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" fillcolor="#bdd6ee [1304]" stroked="f" strokeweight=".5pt">
                <v:textbox>
                  <w:txbxContent>
                    <w:p w14:paraId="76EFC0EA" w14:textId="540E279C" w:rsidR="00265DD8" w:rsidRDefault="00265DD8">
                      <w:r>
                        <w:t>30</w:t>
                      </w:r>
                      <w:r w:rsidR="00B64481">
                        <w:t>77</w:t>
                      </w:r>
                      <w:r>
                        <w:t xml:space="preserve"> Words</w:t>
                      </w:r>
                    </w:p>
                  </w:txbxContent>
                </v:textbox>
                <w10:wrap anchorx="margin"/>
              </v:shape>
            </w:pict>
          </mc:Fallback>
        </mc:AlternateContent>
      </w:r>
      <w:r>
        <w:rPr>
          <w:noProof/>
        </w:rPr>
        <mc:AlternateContent>
          <mc:Choice Requires="wps">
            <w:drawing>
              <wp:anchor distT="0" distB="0" distL="114300" distR="114300" simplePos="0" relativeHeight="251662336" behindDoc="0" locked="0" layoutInCell="1" allowOverlap="1" wp14:anchorId="7AC6B70F" wp14:editId="4DBCA688">
                <wp:simplePos x="0" y="0"/>
                <wp:positionH relativeFrom="margin">
                  <wp:align>center</wp:align>
                </wp:positionH>
                <wp:positionV relativeFrom="paragraph">
                  <wp:posOffset>-288290</wp:posOffset>
                </wp:positionV>
                <wp:extent cx="897255" cy="279400"/>
                <wp:effectExtent l="0" t="0" r="0" b="6350"/>
                <wp:wrapNone/>
                <wp:docPr id="4" name="Text Box 4"/>
                <wp:cNvGraphicFramePr/>
                <a:graphic xmlns:a="http://schemas.openxmlformats.org/drawingml/2006/main">
                  <a:graphicData uri="http://schemas.microsoft.com/office/word/2010/wordprocessingShape">
                    <wps:wsp>
                      <wps:cNvSpPr txBox="1"/>
                      <wps:spPr>
                        <a:xfrm>
                          <a:off x="0" y="0"/>
                          <a:ext cx="897255" cy="279400"/>
                        </a:xfrm>
                        <a:prstGeom prst="rect">
                          <a:avLst/>
                        </a:prstGeom>
                        <a:solidFill>
                          <a:schemeClr val="accent5">
                            <a:lumMod val="40000"/>
                            <a:lumOff val="60000"/>
                          </a:schemeClr>
                        </a:solidFill>
                        <a:ln w="6350">
                          <a:noFill/>
                        </a:ln>
                      </wps:spPr>
                      <wps:txbx>
                        <w:txbxContent>
                          <w:p w14:paraId="405C03AE" w14:textId="53C81091" w:rsidR="00265DD8" w:rsidRDefault="00265DD8">
                            <w:r>
                              <w:t>ECEY4001/C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C6B70F" id="Text Box 4" o:spid="_x0000_s1027" type="#_x0000_t202" style="position:absolute;margin-left:0;margin-top:-22.7pt;width:70.65pt;height:22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" fillcolor="#bdd6ee [1304]" stroked="f" strokeweight=".5pt">
                <v:textbox>
                  <w:txbxContent>
                    <w:p w14:paraId="405C03AE" w14:textId="53C81091" w:rsidR="00265DD8" w:rsidRDefault="00265DD8">
                      <w:r>
                        <w:t>ECEY4001/C</w:t>
                      </w:r>
                    </w:p>
                  </w:txbxContent>
                </v:textbox>
                <w10:wrap anchorx="margin"/>
              </v:shape>
            </w:pict>
          </mc:Fallback>
        </mc:AlternateContent>
      </w:r>
      <w:r>
        <w:rPr>
          <w:noProof/>
        </w:rPr>
        <mc:AlternateContent>
          <mc:Choice Requires="wps">
            <w:drawing>
              <wp:anchor distT="0" distB="0" distL="114300" distR="114300" simplePos="0" relativeHeight="251661312" behindDoc="0" locked="0" layoutInCell="1" allowOverlap="1" wp14:anchorId="206A46BD" wp14:editId="10F1F4D3">
                <wp:simplePos x="0" y="0"/>
                <wp:positionH relativeFrom="margin">
                  <wp:align>left</wp:align>
                </wp:positionH>
                <wp:positionV relativeFrom="paragraph">
                  <wp:posOffset>-254000</wp:posOffset>
                </wp:positionV>
                <wp:extent cx="1109133" cy="2540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109133" cy="254000"/>
                        </a:xfrm>
                        <a:prstGeom prst="rect">
                          <a:avLst/>
                        </a:prstGeom>
                        <a:solidFill>
                          <a:schemeClr val="accent5">
                            <a:lumMod val="40000"/>
                            <a:lumOff val="60000"/>
                          </a:schemeClr>
                        </a:solidFill>
                        <a:ln w="6350">
                          <a:noFill/>
                        </a:ln>
                      </wps:spPr>
                      <wps:txbx>
                        <w:txbxContent>
                          <w:p w14:paraId="27C1B88D" w14:textId="5452541C" w:rsidR="00265DD8" w:rsidRDefault="00265DD8">
                            <w:r>
                              <w:t>2216688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06A46BD" id="Text Box 3" o:spid="_x0000_s1028" type="#_x0000_t202" style="position:absolute;margin-left:0;margin-top:-20pt;width:87.35pt;height:20pt;z-index:25166131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" fillcolor="#bdd6ee [1304]" stroked="f" strokeweight=".5pt">
                <v:textbox>
                  <w:txbxContent>
                    <w:p w14:paraId="27C1B88D" w14:textId="5452541C" w:rsidR="00265DD8" w:rsidRDefault="00265DD8">
                      <w:r>
                        <w:t>2216688</w:t>
                      </w:r>
                    </w:p>
                  </w:txbxContent>
                </v:textbox>
                <w10:wrap anchorx="margin"/>
              </v:shape>
            </w:pict>
          </mc:Fallback>
        </mc:AlternateContent>
      </w:r>
      <w:r>
        <w:rPr>
          <w:noProof/>
        </w:rPr>
        <mc:AlternateContent>
          <mc:Choice Requires="wps">
            <w:drawing>
              <wp:anchor distT="0" distB="0" distL="114300" distR="114300" simplePos="0" relativeHeight="251659264" behindDoc="0" locked="0" layoutInCell="1" allowOverlap="1" wp14:anchorId="2A2B89A7" wp14:editId="50A42C12">
                <wp:simplePos x="0" y="0"/>
                <wp:positionH relativeFrom="margin">
                  <wp:align>center</wp:align>
                </wp:positionH>
                <wp:positionV relativeFrom="paragraph">
                  <wp:posOffset>-405976</wp:posOffset>
                </wp:positionV>
                <wp:extent cx="6515100" cy="9304655"/>
                <wp:effectExtent l="0" t="0" r="19050" b="10795"/>
                <wp:wrapNone/>
                <wp:docPr id="1" name="Rectangle 1"/>
                <wp:cNvGraphicFramePr/>
                <a:graphic xmlns:a="http://schemas.openxmlformats.org/drawingml/2006/main">
                  <a:graphicData uri="http://schemas.microsoft.com/office/word/2010/wordprocessingShape">
                    <wps:wsp>
                      <wps:cNvSpPr/>
                      <wps:spPr>
                        <a:xfrm>
                          <a:off x="0" y="0"/>
                          <a:ext cx="6515100" cy="9304655"/>
                        </a:xfrm>
                        <a:prstGeom prst="rect">
                          <a:avLst/>
                        </a:prstGeom>
                        <a:solidFill>
                          <a:schemeClr val="accent5">
                            <a:lumMod val="40000"/>
                            <a:lumOff val="60000"/>
                          </a:schemeClr>
                        </a:solidFill>
                        <a:ln>
                          <a:solidFill>
                            <a:schemeClr val="accent5">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B5E39D" id="Rectangle 1" o:spid="_x0000_s1026" style="position:absolute;margin-left:0;margin-top:-31.95pt;width:513pt;height:732.6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" fillcolor="#bdd6ee [1304]" strokecolor="#bdd6ee [1304]" strokeweight="1pt">
                <w10:wrap anchorx="margin"/>
              </v:rect>
            </w:pict>
          </mc:Fallback>
        </mc:AlternateContent>
      </w:r>
    </w:p>
    <w:p w14:paraId="470BD741" w14:textId="5AA50535" w:rsidR="00265DD8" w:rsidRDefault="00AD1D78">
      <w:r>
        <w:rPr>
          <w:noProof/>
        </w:rPr>
        <mc:AlternateContent>
          <mc:Choice Requires="wps">
            <w:drawing>
              <wp:anchor distT="0" distB="0" distL="114300" distR="114300" simplePos="0" relativeHeight="251665408" behindDoc="0" locked="0" layoutInCell="1" allowOverlap="1" wp14:anchorId="07C5AADC" wp14:editId="297FEE02">
                <wp:simplePos x="0" y="0"/>
                <wp:positionH relativeFrom="column">
                  <wp:posOffset>3843867</wp:posOffset>
                </wp:positionH>
                <wp:positionV relativeFrom="paragraph">
                  <wp:posOffset>6648450</wp:posOffset>
                </wp:positionV>
                <wp:extent cx="1252643" cy="609600"/>
                <wp:effectExtent l="0" t="0" r="24130" b="19050"/>
                <wp:wrapNone/>
                <wp:docPr id="7" name="Text Box 7"/>
                <wp:cNvGraphicFramePr/>
                <a:graphic xmlns:a="http://schemas.openxmlformats.org/drawingml/2006/main">
                  <a:graphicData uri="http://schemas.microsoft.com/office/word/2010/wordprocessingShape">
                    <wps:wsp>
                      <wps:cNvSpPr txBox="1"/>
                      <wps:spPr>
                        <a:xfrm>
                          <a:off x="0" y="0"/>
                          <a:ext cx="1252643" cy="609600"/>
                        </a:xfrm>
                        <a:prstGeom prst="rect">
                          <a:avLst/>
                        </a:prstGeom>
                        <a:solidFill>
                          <a:schemeClr val="lt1"/>
                        </a:solidFill>
                        <a:ln w="6350">
                          <a:solidFill>
                            <a:prstClr val="black"/>
                          </a:solidFill>
                        </a:ln>
                      </wps:spPr>
                      <wps:txbx>
                        <w:txbxContent>
                          <w:p w14:paraId="307DC004" w14:textId="59A49072" w:rsidR="00AD1D78" w:rsidRDefault="00AD1D78">
                            <w:r>
                              <w:t xml:space="preserve">Leaf Transitions </w:t>
                            </w:r>
                            <w:r w:rsidR="007C49F0">
                              <w:t>–</w:t>
                            </w:r>
                            <w:r>
                              <w:t xml:space="preserve"> </w:t>
                            </w:r>
                            <w:proofErr w:type="spellStart"/>
                            <w:r w:rsidR="007C49F0">
                              <w:t>istock</w:t>
                            </w:r>
                            <w:proofErr w:type="spellEnd"/>
                            <w:r w:rsidR="007C49F0">
                              <w:t xml:space="preserve"> Images </w:t>
                            </w:r>
                            <w:r w:rsidR="00CA4353">
                              <w:t>(2017)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C5AADC" id="Text Box 7" o:spid="_x0000_s1029" type="#_x0000_t202" style="position:absolute;margin-left:302.65pt;margin-top:523.5pt;width:98.65pt;height:4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" fillcolor="white [3201]" strokeweight=".5pt">
                <v:textbox>
                  <w:txbxContent>
                    <w:p w14:paraId="307DC004" w14:textId="59A49072" w:rsidR="00AD1D78" w:rsidRDefault="00AD1D78">
                      <w:r>
                        <w:t xml:space="preserve">Leaf Transitions </w:t>
                      </w:r>
                      <w:r w:rsidR="007C49F0">
                        <w:t>–</w:t>
                      </w:r>
                      <w:r>
                        <w:t xml:space="preserve"> </w:t>
                      </w:r>
                      <w:proofErr w:type="spellStart"/>
                      <w:r w:rsidR="007C49F0">
                        <w:t>istock</w:t>
                      </w:r>
                      <w:proofErr w:type="spellEnd"/>
                      <w:r w:rsidR="007C49F0">
                        <w:t xml:space="preserve"> Images </w:t>
                      </w:r>
                      <w:r w:rsidR="00CA4353">
                        <w:t>(2017)</w:t>
                      </w:r>
                    </w:p>
                  </w:txbxContent>
                </v:textbox>
              </v:shape>
            </w:pict>
          </mc:Fallback>
        </mc:AlternateContent>
      </w:r>
      <w:r>
        <w:rPr>
          <w:noProof/>
        </w:rPr>
        <w:drawing>
          <wp:anchor distT="0" distB="0" distL="114300" distR="114300" simplePos="0" relativeHeight="251664384" behindDoc="0" locked="0" layoutInCell="1" allowOverlap="1" wp14:anchorId="72044EDB" wp14:editId="73132940">
            <wp:simplePos x="0" y="0"/>
            <wp:positionH relativeFrom="margin">
              <wp:align>center</wp:align>
            </wp:positionH>
            <wp:positionV relativeFrom="paragraph">
              <wp:posOffset>3583305</wp:posOffset>
            </wp:positionV>
            <wp:extent cx="4514850" cy="2981325"/>
            <wp:effectExtent l="0" t="0" r="0"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14850" cy="2981325"/>
                    </a:xfrm>
                    <a:prstGeom prst="rect">
                      <a:avLst/>
                    </a:prstGeom>
                    <a:noFill/>
                  </pic:spPr>
                </pic:pic>
              </a:graphicData>
            </a:graphic>
            <wp14:sizeRelH relativeFrom="page">
              <wp14:pctWidth>0</wp14:pctWidth>
            </wp14:sizeRelH>
            <wp14:sizeRelV relativeFrom="page">
              <wp14:pctHeight>0</wp14:pctHeight>
            </wp14:sizeRelV>
          </wp:anchor>
        </w:drawing>
      </w:r>
      <w:r w:rsidR="00265DD8">
        <w:rPr>
          <w:noProof/>
        </w:rPr>
        <mc:AlternateContent>
          <mc:Choice Requires="wps">
            <w:drawing>
              <wp:anchor distT="0" distB="0" distL="114300" distR="114300" simplePos="0" relativeHeight="251660288" behindDoc="0" locked="0" layoutInCell="1" allowOverlap="1" wp14:anchorId="743CFF31" wp14:editId="3F628F0E">
                <wp:simplePos x="0" y="0"/>
                <wp:positionH relativeFrom="margin">
                  <wp:posOffset>685165</wp:posOffset>
                </wp:positionH>
                <wp:positionV relativeFrom="paragraph">
                  <wp:posOffset>10160</wp:posOffset>
                </wp:positionV>
                <wp:extent cx="4445000" cy="2895600"/>
                <wp:effectExtent l="0" t="0" r="0" b="0"/>
                <wp:wrapNone/>
                <wp:docPr id="2" name="Text Box 2"/>
                <wp:cNvGraphicFramePr/>
                <a:graphic xmlns:a="http://schemas.openxmlformats.org/drawingml/2006/main">
                  <a:graphicData uri="http://schemas.microsoft.com/office/word/2010/wordprocessingShape">
                    <wps:wsp>
                      <wps:cNvSpPr txBox="1"/>
                      <wps:spPr>
                        <a:xfrm>
                          <a:off x="0" y="0"/>
                          <a:ext cx="4445000" cy="2895600"/>
                        </a:xfrm>
                        <a:prstGeom prst="rect">
                          <a:avLst/>
                        </a:prstGeom>
                        <a:solidFill>
                          <a:schemeClr val="accent5">
                            <a:lumMod val="40000"/>
                            <a:lumOff val="60000"/>
                          </a:schemeClr>
                        </a:solidFill>
                        <a:ln w="6350">
                          <a:noFill/>
                        </a:ln>
                      </wps:spPr>
                      <wps:txbx>
                        <w:txbxContent>
                          <w:p w14:paraId="55FD9DF7" w14:textId="77777777" w:rsidR="00265DD8" w:rsidRPr="00265DD8" w:rsidRDefault="00265DD8" w:rsidP="00265DD8">
                            <w:pPr>
                              <w:jc w:val="center"/>
                              <w:rPr>
                                <w:rFonts w:ascii="Arial" w:hAnsi="Arial" w:cs="Arial"/>
                                <w:b/>
                                <w:bCs/>
                                <w:sz w:val="72"/>
                                <w:szCs w:val="72"/>
                              </w:rPr>
                            </w:pPr>
                            <w:r w:rsidRPr="00265DD8">
                              <w:rPr>
                                <w:rFonts w:ascii="Arial" w:hAnsi="Arial" w:cs="Arial"/>
                                <w:b/>
                                <w:bCs/>
                                <w:sz w:val="72"/>
                                <w:szCs w:val="72"/>
                              </w:rPr>
                              <w:t>A Guide to Transitions: An Early Years Practitioners Handbook</w:t>
                            </w:r>
                          </w:p>
                          <w:p w14:paraId="4AC05B0F" w14:textId="77777777" w:rsidR="00265DD8" w:rsidRDefault="00265D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43CFF31" id="Text Box 2" o:spid="_x0000_s1030" type="#_x0000_t202" style="position:absolute;margin-left:53.95pt;margin-top:.8pt;width:350pt;height:228pt;z-index:2516602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" fillcolor="#bdd6ee [1304]" stroked="f" strokeweight=".5pt">
                <v:textbox>
                  <w:txbxContent>
                    <w:p w14:paraId="55FD9DF7" w14:textId="77777777" w:rsidR="00265DD8" w:rsidRPr="00265DD8" w:rsidRDefault="00265DD8" w:rsidP="00265DD8">
                      <w:pPr>
                        <w:jc w:val="center"/>
                        <w:rPr>
                          <w:rFonts w:ascii="Arial" w:hAnsi="Arial" w:cs="Arial"/>
                          <w:b/>
                          <w:bCs/>
                          <w:sz w:val="72"/>
                          <w:szCs w:val="72"/>
                        </w:rPr>
                      </w:pPr>
                      <w:r w:rsidRPr="00265DD8">
                        <w:rPr>
                          <w:rFonts w:ascii="Arial" w:hAnsi="Arial" w:cs="Arial"/>
                          <w:b/>
                          <w:bCs/>
                          <w:sz w:val="72"/>
                          <w:szCs w:val="72"/>
                        </w:rPr>
                        <w:t>A Guide to Transitions: An Early Years Practitioners Handbook</w:t>
                      </w:r>
                    </w:p>
                    <w:p w14:paraId="4AC05B0F" w14:textId="77777777" w:rsidR="00265DD8" w:rsidRDefault="00265DD8"/>
                  </w:txbxContent>
                </v:textbox>
                <w10:wrap anchorx="margin"/>
              </v:shape>
            </w:pict>
          </mc:Fallback>
        </mc:AlternateContent>
      </w:r>
      <w:r w:rsidR="00265DD8">
        <w:br w:type="page"/>
      </w:r>
    </w:p>
    <w:p w14:paraId="39F5411F" w14:textId="159E6CB2" w:rsidR="00265DD8" w:rsidRPr="00265DD8" w:rsidRDefault="00265DD8" w:rsidP="00265DD8">
      <w:pPr>
        <w:jc w:val="center"/>
        <w:rPr>
          <w:rFonts w:cstheme="minorHAnsi"/>
          <w:b/>
          <w:bCs/>
          <w:sz w:val="44"/>
          <w:szCs w:val="44"/>
          <w:u w:val="single"/>
        </w:rPr>
      </w:pPr>
      <w:r w:rsidRPr="00265DD8">
        <w:rPr>
          <w:rFonts w:cstheme="minorHAnsi"/>
          <w:b/>
          <w:bCs/>
          <w:sz w:val="44"/>
          <w:szCs w:val="44"/>
          <w:u w:val="single"/>
        </w:rPr>
        <w:lastRenderedPageBreak/>
        <w:t>Contents</w:t>
      </w:r>
    </w:p>
    <w:p w14:paraId="52CA8DBE" w14:textId="30701D22" w:rsidR="00265DD8" w:rsidRDefault="00265DD8" w:rsidP="00265DD8">
      <w:pPr>
        <w:rPr>
          <w:rFonts w:cstheme="minorHAnsi"/>
          <w:b/>
          <w:bCs/>
          <w:sz w:val="44"/>
          <w:szCs w:val="44"/>
        </w:rPr>
      </w:pPr>
      <w:r w:rsidRPr="00630618">
        <w:rPr>
          <w:rFonts w:cstheme="minorHAnsi"/>
          <w:b/>
          <w:bCs/>
          <w:sz w:val="44"/>
          <w:szCs w:val="44"/>
          <w:shd w:val="clear" w:color="auto" w:fill="CC66FF"/>
        </w:rPr>
        <w:t>How to use this handbook</w:t>
      </w:r>
      <w:r w:rsidR="00630618" w:rsidRPr="00630618">
        <w:rPr>
          <w:rFonts w:cstheme="minorHAnsi"/>
          <w:b/>
          <w:bCs/>
          <w:sz w:val="44"/>
          <w:szCs w:val="44"/>
          <w:shd w:val="clear" w:color="auto" w:fill="CC66FF"/>
        </w:rPr>
        <w:t xml:space="preserve">                     Page 3</w:t>
      </w:r>
      <w:r w:rsidR="0048302E">
        <w:rPr>
          <w:rFonts w:cstheme="minorHAnsi"/>
          <w:b/>
          <w:bCs/>
          <w:sz w:val="44"/>
          <w:szCs w:val="44"/>
          <w:shd w:val="clear" w:color="auto" w:fill="CC66FF"/>
        </w:rPr>
        <w:t xml:space="preserve">    </w:t>
      </w:r>
      <w:r w:rsidR="00630618" w:rsidRPr="00630618">
        <w:rPr>
          <w:rFonts w:cstheme="minorHAnsi"/>
          <w:b/>
          <w:bCs/>
          <w:sz w:val="44"/>
          <w:szCs w:val="44"/>
          <w:shd w:val="clear" w:color="auto" w:fill="CC66FF"/>
        </w:rPr>
        <w:t xml:space="preserve">                                  </w:t>
      </w:r>
    </w:p>
    <w:p w14:paraId="47D2FDDD" w14:textId="77777777" w:rsidR="00265DD8" w:rsidRPr="00265DD8" w:rsidRDefault="00265DD8" w:rsidP="00265DD8">
      <w:pPr>
        <w:rPr>
          <w:rFonts w:cstheme="minorHAnsi"/>
          <w:b/>
          <w:bCs/>
          <w:sz w:val="44"/>
          <w:szCs w:val="44"/>
        </w:rPr>
      </w:pPr>
    </w:p>
    <w:p w14:paraId="3FAC9082" w14:textId="3E298612" w:rsidR="00265DD8" w:rsidRDefault="00265DD8" w:rsidP="0048302E">
      <w:pPr>
        <w:shd w:val="clear" w:color="auto" w:fill="BDD6EE" w:themeFill="accent5" w:themeFillTint="66"/>
        <w:rPr>
          <w:rFonts w:cstheme="minorHAnsi"/>
          <w:b/>
          <w:bCs/>
          <w:sz w:val="44"/>
          <w:szCs w:val="44"/>
        </w:rPr>
      </w:pPr>
      <w:r w:rsidRPr="00265DD8">
        <w:rPr>
          <w:rFonts w:cstheme="minorHAnsi"/>
          <w:b/>
          <w:bCs/>
          <w:sz w:val="44"/>
          <w:szCs w:val="44"/>
        </w:rPr>
        <w:t>Introduction</w:t>
      </w:r>
      <w:r w:rsidR="00630618">
        <w:rPr>
          <w:rFonts w:cstheme="minorHAnsi"/>
          <w:b/>
          <w:bCs/>
          <w:sz w:val="44"/>
          <w:szCs w:val="44"/>
        </w:rPr>
        <w:t xml:space="preserve">                                              Pages 4-5</w:t>
      </w:r>
    </w:p>
    <w:p w14:paraId="37E712BE" w14:textId="77777777" w:rsidR="00265DD8" w:rsidRPr="00265DD8" w:rsidRDefault="00265DD8" w:rsidP="00265DD8">
      <w:pPr>
        <w:rPr>
          <w:rFonts w:cstheme="minorHAnsi"/>
          <w:b/>
          <w:bCs/>
          <w:sz w:val="44"/>
          <w:szCs w:val="44"/>
        </w:rPr>
      </w:pPr>
    </w:p>
    <w:p w14:paraId="5A30A6F0" w14:textId="7B22732B" w:rsidR="00265DD8" w:rsidRDefault="00265DD8" w:rsidP="0048302E">
      <w:pPr>
        <w:shd w:val="clear" w:color="auto" w:fill="A8D08D" w:themeFill="accent6" w:themeFillTint="99"/>
        <w:rPr>
          <w:rFonts w:cstheme="minorHAnsi"/>
          <w:b/>
          <w:bCs/>
          <w:sz w:val="44"/>
          <w:szCs w:val="44"/>
        </w:rPr>
      </w:pPr>
      <w:r w:rsidRPr="00265DD8">
        <w:rPr>
          <w:rFonts w:cstheme="minorHAnsi"/>
          <w:b/>
          <w:bCs/>
          <w:sz w:val="44"/>
          <w:szCs w:val="44"/>
        </w:rPr>
        <w:t>The needs of the child</w:t>
      </w:r>
      <w:r w:rsidR="00630618">
        <w:rPr>
          <w:rFonts w:cstheme="minorHAnsi"/>
          <w:b/>
          <w:bCs/>
          <w:sz w:val="44"/>
          <w:szCs w:val="44"/>
        </w:rPr>
        <w:t xml:space="preserve">                            Pages 6-8</w:t>
      </w:r>
    </w:p>
    <w:p w14:paraId="02006AE8" w14:textId="77777777" w:rsidR="00265DD8" w:rsidRPr="00265DD8" w:rsidRDefault="00265DD8" w:rsidP="00265DD8">
      <w:pPr>
        <w:rPr>
          <w:rFonts w:cstheme="minorHAnsi"/>
          <w:b/>
          <w:bCs/>
          <w:sz w:val="44"/>
          <w:szCs w:val="44"/>
        </w:rPr>
      </w:pPr>
    </w:p>
    <w:p w14:paraId="17812B9E" w14:textId="651E82D2" w:rsidR="00265DD8" w:rsidRDefault="00265DD8" w:rsidP="0048302E">
      <w:pPr>
        <w:shd w:val="clear" w:color="auto" w:fill="FF99CC"/>
        <w:rPr>
          <w:rFonts w:cstheme="minorHAnsi"/>
          <w:b/>
          <w:bCs/>
          <w:sz w:val="44"/>
          <w:szCs w:val="44"/>
        </w:rPr>
      </w:pPr>
      <w:r w:rsidRPr="00265DD8">
        <w:rPr>
          <w:rFonts w:cstheme="minorHAnsi"/>
          <w:b/>
          <w:bCs/>
          <w:sz w:val="44"/>
          <w:szCs w:val="44"/>
        </w:rPr>
        <w:t>The role of the adult</w:t>
      </w:r>
      <w:r w:rsidR="0048302E">
        <w:rPr>
          <w:rFonts w:cstheme="minorHAnsi"/>
          <w:b/>
          <w:bCs/>
          <w:sz w:val="44"/>
          <w:szCs w:val="44"/>
        </w:rPr>
        <w:t xml:space="preserve">                               Pages 9-10</w:t>
      </w:r>
    </w:p>
    <w:p w14:paraId="7D8D7A50" w14:textId="77777777" w:rsidR="00265DD8" w:rsidRPr="00265DD8" w:rsidRDefault="00265DD8" w:rsidP="00265DD8">
      <w:pPr>
        <w:rPr>
          <w:rFonts w:cstheme="minorHAnsi"/>
          <w:b/>
          <w:bCs/>
          <w:sz w:val="44"/>
          <w:szCs w:val="44"/>
        </w:rPr>
      </w:pPr>
    </w:p>
    <w:p w14:paraId="51730B7D" w14:textId="5A89F9ED" w:rsidR="00265DD8" w:rsidRDefault="00265DD8" w:rsidP="0048302E">
      <w:pPr>
        <w:shd w:val="clear" w:color="auto" w:fill="FFD966" w:themeFill="accent4" w:themeFillTint="99"/>
        <w:rPr>
          <w:rFonts w:cstheme="minorHAnsi"/>
          <w:b/>
          <w:bCs/>
          <w:sz w:val="44"/>
          <w:szCs w:val="44"/>
        </w:rPr>
      </w:pPr>
      <w:r w:rsidRPr="00265DD8">
        <w:rPr>
          <w:rFonts w:cstheme="minorHAnsi"/>
          <w:b/>
          <w:bCs/>
          <w:sz w:val="44"/>
          <w:szCs w:val="44"/>
        </w:rPr>
        <w:t>Interventions</w:t>
      </w:r>
      <w:r w:rsidR="0048302E">
        <w:rPr>
          <w:rFonts w:cstheme="minorHAnsi"/>
          <w:b/>
          <w:bCs/>
          <w:sz w:val="44"/>
          <w:szCs w:val="44"/>
        </w:rPr>
        <w:t xml:space="preserve">                                            Page 11</w:t>
      </w:r>
    </w:p>
    <w:p w14:paraId="335052F0" w14:textId="77777777" w:rsidR="00265DD8" w:rsidRPr="00265DD8" w:rsidRDefault="00265DD8" w:rsidP="00265DD8">
      <w:pPr>
        <w:rPr>
          <w:rFonts w:cstheme="minorHAnsi"/>
          <w:b/>
          <w:bCs/>
          <w:sz w:val="44"/>
          <w:szCs w:val="44"/>
        </w:rPr>
      </w:pPr>
    </w:p>
    <w:p w14:paraId="458C9200" w14:textId="24B6258B" w:rsidR="00265DD8" w:rsidRDefault="00265DD8" w:rsidP="0048302E">
      <w:pPr>
        <w:shd w:val="clear" w:color="auto" w:fill="F4B083" w:themeFill="accent2" w:themeFillTint="99"/>
        <w:rPr>
          <w:rFonts w:cstheme="minorHAnsi"/>
          <w:b/>
          <w:bCs/>
          <w:sz w:val="44"/>
          <w:szCs w:val="44"/>
        </w:rPr>
      </w:pPr>
      <w:r w:rsidRPr="00265DD8">
        <w:rPr>
          <w:rFonts w:cstheme="minorHAnsi"/>
          <w:b/>
          <w:bCs/>
          <w:sz w:val="44"/>
          <w:szCs w:val="44"/>
        </w:rPr>
        <w:t>Partnerships</w:t>
      </w:r>
      <w:r w:rsidR="0048302E">
        <w:rPr>
          <w:rFonts w:cstheme="minorHAnsi"/>
          <w:b/>
          <w:bCs/>
          <w:sz w:val="44"/>
          <w:szCs w:val="44"/>
        </w:rPr>
        <w:t xml:space="preserve">                                             Pages 12-13</w:t>
      </w:r>
    </w:p>
    <w:p w14:paraId="7D78E396" w14:textId="77777777" w:rsidR="00265DD8" w:rsidRPr="00265DD8" w:rsidRDefault="00265DD8" w:rsidP="00265DD8">
      <w:pPr>
        <w:rPr>
          <w:rFonts w:cstheme="minorHAnsi"/>
          <w:b/>
          <w:bCs/>
          <w:sz w:val="44"/>
          <w:szCs w:val="44"/>
        </w:rPr>
      </w:pPr>
    </w:p>
    <w:p w14:paraId="3CC9F0CD" w14:textId="1411B803" w:rsidR="00265DD8" w:rsidRDefault="00265DD8" w:rsidP="0048302E">
      <w:pPr>
        <w:shd w:val="clear" w:color="auto" w:fill="99FF99"/>
        <w:rPr>
          <w:rFonts w:cstheme="minorHAnsi"/>
          <w:b/>
          <w:bCs/>
          <w:sz w:val="44"/>
          <w:szCs w:val="44"/>
        </w:rPr>
      </w:pPr>
      <w:r w:rsidRPr="00265DD8">
        <w:rPr>
          <w:rFonts w:cstheme="minorHAnsi"/>
          <w:b/>
          <w:bCs/>
          <w:sz w:val="44"/>
          <w:szCs w:val="44"/>
        </w:rPr>
        <w:t>Proposed outcomes</w:t>
      </w:r>
      <w:r w:rsidR="0048302E">
        <w:rPr>
          <w:rFonts w:cstheme="minorHAnsi"/>
          <w:b/>
          <w:bCs/>
          <w:sz w:val="44"/>
          <w:szCs w:val="44"/>
        </w:rPr>
        <w:t xml:space="preserve">                               Page 14</w:t>
      </w:r>
    </w:p>
    <w:p w14:paraId="593287A8" w14:textId="77777777" w:rsidR="00265DD8" w:rsidRPr="00265DD8" w:rsidRDefault="00265DD8" w:rsidP="00265DD8">
      <w:pPr>
        <w:rPr>
          <w:rFonts w:cstheme="minorHAnsi"/>
          <w:b/>
          <w:bCs/>
          <w:sz w:val="44"/>
          <w:szCs w:val="44"/>
        </w:rPr>
      </w:pPr>
    </w:p>
    <w:p w14:paraId="2A27CA68" w14:textId="1B3A410B" w:rsidR="00265DD8" w:rsidRPr="00265DD8" w:rsidRDefault="00265DD8" w:rsidP="0048302E">
      <w:pPr>
        <w:shd w:val="clear" w:color="auto" w:fill="9CC2E5" w:themeFill="accent5" w:themeFillTint="99"/>
        <w:rPr>
          <w:rFonts w:cstheme="minorHAnsi"/>
          <w:b/>
          <w:bCs/>
          <w:sz w:val="44"/>
          <w:szCs w:val="44"/>
        </w:rPr>
      </w:pPr>
      <w:r w:rsidRPr="00265DD8">
        <w:rPr>
          <w:rFonts w:cstheme="minorHAnsi"/>
          <w:b/>
          <w:bCs/>
          <w:sz w:val="44"/>
          <w:szCs w:val="44"/>
        </w:rPr>
        <w:t>Reference list</w:t>
      </w:r>
      <w:r w:rsidR="0048302E">
        <w:rPr>
          <w:rFonts w:cstheme="minorHAnsi"/>
          <w:b/>
          <w:bCs/>
          <w:sz w:val="44"/>
          <w:szCs w:val="44"/>
        </w:rPr>
        <w:t xml:space="preserve">                                           Pages 15-16</w:t>
      </w:r>
    </w:p>
    <w:p w14:paraId="79BC95C5" w14:textId="77777777" w:rsidR="00265DD8" w:rsidRDefault="00265DD8" w:rsidP="00265DD8">
      <w:pPr>
        <w:rPr>
          <w:rFonts w:cstheme="minorHAnsi"/>
          <w:b/>
          <w:bCs/>
          <w:sz w:val="28"/>
          <w:szCs w:val="28"/>
          <w:u w:val="single"/>
        </w:rPr>
      </w:pPr>
    </w:p>
    <w:p w14:paraId="1562633D" w14:textId="028B2595" w:rsidR="005010CD" w:rsidRDefault="005010CD"/>
    <w:p w14:paraId="2F2D67AC" w14:textId="7BEF0135" w:rsidR="00265DD8" w:rsidRDefault="00265DD8"/>
    <w:p w14:paraId="1B0E494A" w14:textId="0E1E5941" w:rsidR="00265DD8" w:rsidRDefault="00265DD8"/>
    <w:p w14:paraId="3D52BD06" w14:textId="59082D9A" w:rsidR="00265DD8" w:rsidRPr="00B64481" w:rsidRDefault="00265DD8">
      <w:pPr>
        <w:rPr>
          <w:rFonts w:ascii="Arial" w:hAnsi="Arial" w:cs="Arial"/>
          <w:b/>
          <w:bCs/>
          <w:color w:val="000000" w:themeColor="text1"/>
          <w:sz w:val="32"/>
          <w:szCs w:val="32"/>
          <w:u w:val="single"/>
        </w:rPr>
      </w:pPr>
      <w:r w:rsidRPr="00B64481">
        <w:rPr>
          <w:rFonts w:ascii="Arial" w:hAnsi="Arial" w:cs="Arial"/>
          <w:b/>
          <w:bCs/>
          <w:color w:val="000000" w:themeColor="text1"/>
          <w:sz w:val="32"/>
          <w:szCs w:val="32"/>
          <w:u w:val="single"/>
        </w:rPr>
        <w:lastRenderedPageBreak/>
        <w:t>How to use this handbook</w:t>
      </w:r>
    </w:p>
    <w:p w14:paraId="34D45160" w14:textId="77777777" w:rsidR="00630618" w:rsidRPr="00630618" w:rsidRDefault="00265DD8" w:rsidP="00265DD8">
      <w:pPr>
        <w:rPr>
          <w:rFonts w:ascii="Arial" w:hAnsi="Arial" w:cs="Arial"/>
          <w:sz w:val="32"/>
          <w:szCs w:val="32"/>
        </w:rPr>
      </w:pPr>
      <w:r w:rsidRPr="00630618">
        <w:rPr>
          <w:rFonts w:ascii="Arial" w:hAnsi="Arial" w:cs="Arial"/>
          <w:sz w:val="32"/>
          <w:szCs w:val="32"/>
        </w:rPr>
        <w:t>A handbook is a book that gives details on a particular theme. This handbook will provide key workers within the early years’ workforce with a thorough comprehension of their role and responsibilities when it comes to the vitality of effective communication for children’s development and learning during transitions.</w:t>
      </w:r>
    </w:p>
    <w:p w14:paraId="71B137BC" w14:textId="77777777" w:rsidR="00630618" w:rsidRPr="00630618" w:rsidRDefault="00265DD8" w:rsidP="00265DD8">
      <w:pPr>
        <w:rPr>
          <w:rFonts w:ascii="Arial" w:hAnsi="Arial" w:cs="Arial"/>
          <w:sz w:val="32"/>
          <w:szCs w:val="32"/>
        </w:rPr>
      </w:pPr>
      <w:r w:rsidRPr="00630618">
        <w:rPr>
          <w:rFonts w:ascii="Arial" w:hAnsi="Arial" w:cs="Arial"/>
          <w:sz w:val="32"/>
          <w:szCs w:val="32"/>
        </w:rPr>
        <w:t xml:space="preserve">Bresler et al (2001) discuss Piaget’s view that practitioners have the responsibility to educate children, this includes educating them on their morals and values. This handbook is aimed at any professional working within the early years’ workforce and provides them with valuable information regarding child development and transitions. </w:t>
      </w:r>
    </w:p>
    <w:p w14:paraId="10373242" w14:textId="26143E92" w:rsidR="00265DD8" w:rsidRPr="00630618" w:rsidRDefault="00265DD8" w:rsidP="00265DD8">
      <w:pPr>
        <w:rPr>
          <w:rFonts w:ascii="Arial" w:hAnsi="Arial" w:cs="Arial"/>
          <w:sz w:val="32"/>
          <w:szCs w:val="32"/>
        </w:rPr>
      </w:pPr>
      <w:r w:rsidRPr="00630618">
        <w:rPr>
          <w:rFonts w:ascii="Arial" w:hAnsi="Arial" w:cs="Arial"/>
          <w:sz w:val="32"/>
          <w:szCs w:val="32"/>
        </w:rPr>
        <w:t>Professionals can use this handbook as a guide to support them in improving their knowledge and understanding of transitions. This handbook will improve the quality of effective communication between early years professionals and children. This handbook will look at various theories that are often related to transitions. Lindon (2012) suggests that early year’s practitioners should attempt to understand the various theories that have affected child development. The handbook will show practitioners how they can ensure that children’s transitions are smooth.</w:t>
      </w:r>
    </w:p>
    <w:p w14:paraId="29CA637C" w14:textId="6EEF7834" w:rsidR="00265DD8" w:rsidRDefault="00265DD8">
      <w:pPr>
        <w:rPr>
          <w:b/>
          <w:bCs/>
          <w:u w:val="single"/>
        </w:rPr>
      </w:pPr>
    </w:p>
    <w:p w14:paraId="73E365B6" w14:textId="75C1FD03" w:rsidR="00630618" w:rsidRDefault="00630618">
      <w:pPr>
        <w:rPr>
          <w:b/>
          <w:bCs/>
          <w:u w:val="single"/>
        </w:rPr>
      </w:pPr>
    </w:p>
    <w:p w14:paraId="2E144CB5" w14:textId="5BCF95E4" w:rsidR="00630618" w:rsidRDefault="00630618">
      <w:pPr>
        <w:rPr>
          <w:b/>
          <w:bCs/>
          <w:u w:val="single"/>
        </w:rPr>
      </w:pPr>
    </w:p>
    <w:p w14:paraId="45B63960" w14:textId="7AC3E0C7" w:rsidR="00630618" w:rsidRDefault="00630618">
      <w:pPr>
        <w:rPr>
          <w:b/>
          <w:bCs/>
          <w:u w:val="single"/>
        </w:rPr>
      </w:pPr>
    </w:p>
    <w:p w14:paraId="47932861" w14:textId="7380F544" w:rsidR="00630618" w:rsidRDefault="00630618">
      <w:pPr>
        <w:rPr>
          <w:b/>
          <w:bCs/>
          <w:u w:val="single"/>
        </w:rPr>
      </w:pPr>
    </w:p>
    <w:p w14:paraId="354E1E5A" w14:textId="10EF24DC" w:rsidR="00630618" w:rsidRDefault="00630618">
      <w:pPr>
        <w:rPr>
          <w:b/>
          <w:bCs/>
          <w:u w:val="single"/>
        </w:rPr>
      </w:pPr>
    </w:p>
    <w:p w14:paraId="4165CE4F" w14:textId="79A883FD" w:rsidR="00630618" w:rsidRDefault="00630618">
      <w:pPr>
        <w:rPr>
          <w:b/>
          <w:bCs/>
          <w:u w:val="single"/>
        </w:rPr>
      </w:pPr>
    </w:p>
    <w:p w14:paraId="50DC7233" w14:textId="341600F2" w:rsidR="00630618" w:rsidRDefault="00630618">
      <w:pPr>
        <w:rPr>
          <w:b/>
          <w:bCs/>
          <w:u w:val="single"/>
        </w:rPr>
      </w:pPr>
    </w:p>
    <w:p w14:paraId="4B2F0567" w14:textId="65EF10D0" w:rsidR="00630618" w:rsidRDefault="00630618">
      <w:pPr>
        <w:rPr>
          <w:b/>
          <w:bCs/>
          <w:u w:val="single"/>
        </w:rPr>
      </w:pPr>
    </w:p>
    <w:p w14:paraId="1F64F7F2" w14:textId="2571407D" w:rsidR="00630618" w:rsidRDefault="00630618" w:rsidP="00630618">
      <w:pPr>
        <w:rPr>
          <w:rFonts w:ascii="Arial" w:hAnsi="Arial" w:cs="Arial"/>
          <w:b/>
          <w:bCs/>
          <w:sz w:val="32"/>
          <w:szCs w:val="32"/>
          <w:u w:val="single"/>
        </w:rPr>
      </w:pPr>
      <w:r w:rsidRPr="00630618">
        <w:rPr>
          <w:rFonts w:ascii="Arial" w:hAnsi="Arial" w:cs="Arial"/>
          <w:b/>
          <w:bCs/>
          <w:sz w:val="32"/>
          <w:szCs w:val="32"/>
          <w:u w:val="single"/>
        </w:rPr>
        <w:lastRenderedPageBreak/>
        <w:t>Introduction</w:t>
      </w:r>
    </w:p>
    <w:p w14:paraId="04C3C093" w14:textId="77777777" w:rsidR="00630618" w:rsidRPr="00630618" w:rsidRDefault="00630618" w:rsidP="00630618">
      <w:pPr>
        <w:rPr>
          <w:rFonts w:ascii="Arial" w:hAnsi="Arial" w:cs="Arial"/>
          <w:b/>
          <w:bCs/>
          <w:sz w:val="32"/>
          <w:szCs w:val="32"/>
          <w:u w:val="single"/>
        </w:rPr>
      </w:pPr>
    </w:p>
    <w:p w14:paraId="5E9E0E42" w14:textId="77777777" w:rsidR="00630618" w:rsidRPr="00B64481" w:rsidRDefault="00630618" w:rsidP="00630618">
      <w:pPr>
        <w:rPr>
          <w:rFonts w:ascii="Arial" w:hAnsi="Arial" w:cs="Arial"/>
          <w:b/>
          <w:bCs/>
          <w:sz w:val="32"/>
          <w:szCs w:val="32"/>
          <w:u w:val="single"/>
        </w:rPr>
      </w:pPr>
      <w:r w:rsidRPr="00B64481">
        <w:rPr>
          <w:rFonts w:ascii="Arial" w:hAnsi="Arial" w:cs="Arial"/>
          <w:b/>
          <w:bCs/>
          <w:color w:val="000000" w:themeColor="text1"/>
          <w:sz w:val="32"/>
          <w:szCs w:val="32"/>
          <w:u w:val="single"/>
        </w:rPr>
        <w:t>Transitions</w:t>
      </w:r>
    </w:p>
    <w:p w14:paraId="1EDD124E" w14:textId="77777777" w:rsidR="00630618" w:rsidRDefault="00630618" w:rsidP="00630618">
      <w:pPr>
        <w:rPr>
          <w:rFonts w:ascii="Arial" w:hAnsi="Arial" w:cs="Arial"/>
          <w:sz w:val="32"/>
          <w:szCs w:val="32"/>
        </w:rPr>
      </w:pPr>
      <w:r w:rsidRPr="00630618">
        <w:rPr>
          <w:rFonts w:ascii="Arial" w:hAnsi="Arial" w:cs="Arial"/>
          <w:sz w:val="32"/>
          <w:szCs w:val="32"/>
        </w:rPr>
        <w:t xml:space="preserve">A transition is a motion from one position to another. Brooker (2008) gives a definition of transitions as a quality in children and adults lives in all aspects of society. There are a variety of different transitions that children experience. Children’s transitions between different settings should be seen as a voyage so that they can progress and develop. </w:t>
      </w:r>
    </w:p>
    <w:p w14:paraId="7199F61A" w14:textId="77777777" w:rsidR="00630618" w:rsidRDefault="00630618" w:rsidP="00630618">
      <w:pPr>
        <w:rPr>
          <w:rFonts w:ascii="Arial" w:hAnsi="Arial" w:cs="Arial"/>
          <w:sz w:val="32"/>
          <w:szCs w:val="32"/>
        </w:rPr>
      </w:pPr>
      <w:r w:rsidRPr="00630618">
        <w:rPr>
          <w:rFonts w:ascii="Arial" w:hAnsi="Arial" w:cs="Arial"/>
          <w:sz w:val="32"/>
          <w:szCs w:val="32"/>
        </w:rPr>
        <w:t xml:space="preserve">Transitions consist of ongoing changes, this may be changes from one location to another or a change of structure such as from Nursery to Reception. Trodd (2013) states that if a child has a smooth transition into reception by knowing their teacher, then they are less likely to be at a disadvantage. Nursery is not compulsory and therefore the transition to be reception may be daunting. Being at home is one of the places children will feel most secure as this is where they spend majority their time. Lindon (2012) implies that when children spend time in another setting other than their home, they form relationships with their carer. </w:t>
      </w:r>
    </w:p>
    <w:p w14:paraId="7095F5E8" w14:textId="2213EDE4" w:rsidR="00630618" w:rsidRPr="00630618" w:rsidRDefault="00630618" w:rsidP="00630618">
      <w:pPr>
        <w:rPr>
          <w:rFonts w:ascii="Arial" w:hAnsi="Arial" w:cs="Arial"/>
          <w:sz w:val="32"/>
          <w:szCs w:val="32"/>
        </w:rPr>
      </w:pPr>
      <w:r w:rsidRPr="00630618">
        <w:rPr>
          <w:rFonts w:ascii="Arial" w:hAnsi="Arial" w:cs="Arial"/>
          <w:sz w:val="32"/>
          <w:szCs w:val="32"/>
        </w:rPr>
        <w:t>The adjustment from nursery to reception will require children to adapt to new experiences and environments. At this early age, children may find it difficult to discuss their feelings, particularly to unfamiliar faces. Early years practitioners should understand transitions and the effect they have on children so that they are able to offer the most support for the child and ensure that they continue to develop.</w:t>
      </w:r>
    </w:p>
    <w:p w14:paraId="4407AFC1" w14:textId="655AA778" w:rsidR="00630618" w:rsidRPr="00630618" w:rsidRDefault="00630618" w:rsidP="00630618">
      <w:pPr>
        <w:rPr>
          <w:rFonts w:ascii="Arial" w:hAnsi="Arial" w:cs="Arial"/>
          <w:sz w:val="32"/>
          <w:szCs w:val="32"/>
        </w:rPr>
      </w:pPr>
      <w:r w:rsidRPr="00630618">
        <w:rPr>
          <w:rFonts w:ascii="Arial" w:hAnsi="Arial" w:cs="Arial"/>
          <w:sz w:val="32"/>
          <w:szCs w:val="32"/>
        </w:rPr>
        <w:t xml:space="preserve">There are two distinct types of transition. Horizontal and vertical. Vertical transitions relate to the key changes within a child’s life and indicate a child is moving upwards. Horizontal transitions relate to the less significant changes within a child life, this may consist of regular consistent events. There are </w:t>
      </w:r>
      <w:r w:rsidRPr="00630618">
        <w:rPr>
          <w:rFonts w:ascii="Arial" w:hAnsi="Arial" w:cs="Arial"/>
          <w:sz w:val="32"/>
          <w:szCs w:val="32"/>
        </w:rPr>
        <w:lastRenderedPageBreak/>
        <w:t>also changes outside of education settings that may alter children’s development. These are known as education associated transitions. They can mould children’s experiences and tend to comprise of social changes and be less formal.</w:t>
      </w:r>
    </w:p>
    <w:p w14:paraId="5817B104" w14:textId="77777777" w:rsidR="00630618" w:rsidRDefault="00630618" w:rsidP="00630618">
      <w:pPr>
        <w:rPr>
          <w:rFonts w:ascii="Arial" w:hAnsi="Arial" w:cs="Arial"/>
          <w:sz w:val="32"/>
          <w:szCs w:val="32"/>
        </w:rPr>
      </w:pPr>
      <w:r w:rsidRPr="00630618">
        <w:rPr>
          <w:rFonts w:ascii="Arial" w:hAnsi="Arial" w:cs="Arial"/>
          <w:sz w:val="32"/>
          <w:szCs w:val="32"/>
        </w:rPr>
        <w:t xml:space="preserve">Whilst children are developing, they will experience a variety of different transitions. Children may experience just one or multiple different transitions at one time. Transitions are ongoing and therefore it is of high importance to ensure that early year’s practitioners support not only children but also their parents, guardians, carers, or families. </w:t>
      </w:r>
    </w:p>
    <w:p w14:paraId="75EE5D4C" w14:textId="3A833F14" w:rsidR="00630618" w:rsidRPr="00630618" w:rsidRDefault="00630618" w:rsidP="00630618">
      <w:pPr>
        <w:rPr>
          <w:rFonts w:ascii="Arial" w:hAnsi="Arial" w:cs="Arial"/>
          <w:sz w:val="32"/>
          <w:szCs w:val="32"/>
        </w:rPr>
      </w:pPr>
      <w:r w:rsidRPr="00630618">
        <w:rPr>
          <w:rFonts w:ascii="Arial" w:hAnsi="Arial" w:cs="Arial"/>
          <w:sz w:val="32"/>
          <w:szCs w:val="32"/>
        </w:rPr>
        <w:t>It may be an emotional time for children whilst they develop, therefore it is vital that practitioners support them during this process. Nutbrown (2008) explained how the significance of emotional needs and social development was established during the war in 1941.</w:t>
      </w:r>
    </w:p>
    <w:p w14:paraId="547E12D0" w14:textId="237DF2F7" w:rsidR="00630618" w:rsidRPr="00630618" w:rsidRDefault="00630618" w:rsidP="00630618">
      <w:pPr>
        <w:rPr>
          <w:rFonts w:ascii="Arial" w:hAnsi="Arial" w:cs="Arial"/>
          <w:sz w:val="32"/>
          <w:szCs w:val="32"/>
        </w:rPr>
      </w:pPr>
      <w:r w:rsidRPr="00630618">
        <w:rPr>
          <w:rFonts w:ascii="Arial" w:hAnsi="Arial" w:cs="Arial"/>
          <w:sz w:val="32"/>
          <w:szCs w:val="32"/>
        </w:rPr>
        <w:t>Every individual child is different therefore it is important for practitioners to remain open minded and be adaptable.</w:t>
      </w:r>
    </w:p>
    <w:p w14:paraId="3FA957E7" w14:textId="7FBBA21D" w:rsidR="00630618" w:rsidRDefault="00630618">
      <w:pPr>
        <w:rPr>
          <w:b/>
          <w:bCs/>
          <w:u w:val="single"/>
        </w:rPr>
      </w:pPr>
    </w:p>
    <w:p w14:paraId="5C473B21" w14:textId="77777777" w:rsidR="00630618" w:rsidRDefault="00630618">
      <w:pPr>
        <w:rPr>
          <w:b/>
          <w:bCs/>
          <w:u w:val="single"/>
        </w:rPr>
      </w:pPr>
      <w:r>
        <w:rPr>
          <w:b/>
          <w:bCs/>
          <w:u w:val="single"/>
        </w:rPr>
        <w:br w:type="page"/>
      </w:r>
    </w:p>
    <w:p w14:paraId="21ABE0FC" w14:textId="77777777" w:rsidR="00630618" w:rsidRPr="00630618" w:rsidRDefault="00630618" w:rsidP="00630618">
      <w:pPr>
        <w:rPr>
          <w:rFonts w:ascii="Arial" w:hAnsi="Arial" w:cs="Arial"/>
          <w:b/>
          <w:bCs/>
          <w:sz w:val="32"/>
          <w:szCs w:val="32"/>
          <w:u w:val="single"/>
        </w:rPr>
      </w:pPr>
      <w:r w:rsidRPr="00630618">
        <w:rPr>
          <w:rFonts w:ascii="Arial" w:hAnsi="Arial" w:cs="Arial"/>
          <w:b/>
          <w:bCs/>
          <w:sz w:val="32"/>
          <w:szCs w:val="32"/>
          <w:u w:val="single"/>
        </w:rPr>
        <w:lastRenderedPageBreak/>
        <w:t>The needs of the child</w:t>
      </w:r>
    </w:p>
    <w:p w14:paraId="22271683" w14:textId="77777777" w:rsidR="00630618" w:rsidRDefault="00630618" w:rsidP="00630618">
      <w:pPr>
        <w:rPr>
          <w:rFonts w:ascii="Arial" w:hAnsi="Arial" w:cs="Arial"/>
          <w:sz w:val="32"/>
          <w:szCs w:val="32"/>
        </w:rPr>
      </w:pPr>
      <w:r w:rsidRPr="00630618">
        <w:rPr>
          <w:rFonts w:ascii="Arial" w:hAnsi="Arial" w:cs="Arial"/>
          <w:sz w:val="32"/>
          <w:szCs w:val="32"/>
        </w:rPr>
        <w:t xml:space="preserve">It is important that practitioners take a holistic approach when supporting children during transitions. A holistic approach requires practitioners to look at all aspects of a child, it focuses on what children need to recognise to be effective communicators. To ensure that children are being supported effectively during a transition, practitioners should attempt to understand children. </w:t>
      </w:r>
    </w:p>
    <w:p w14:paraId="59E2F152" w14:textId="33C831B1" w:rsidR="00630618" w:rsidRPr="00630618" w:rsidRDefault="00630618" w:rsidP="00630618">
      <w:pPr>
        <w:rPr>
          <w:rFonts w:ascii="Arial" w:hAnsi="Arial" w:cs="Arial"/>
          <w:sz w:val="32"/>
          <w:szCs w:val="32"/>
        </w:rPr>
      </w:pPr>
      <w:r w:rsidRPr="00630618">
        <w:rPr>
          <w:rFonts w:ascii="Arial" w:hAnsi="Arial" w:cs="Arial"/>
          <w:sz w:val="32"/>
          <w:szCs w:val="32"/>
        </w:rPr>
        <w:t xml:space="preserve">Every child is different and subsequently, every child’s needs are different. To support children, practitioners need to be able to listen to children’s interests and understand what makes them think the way that they do. Nutbrown and Clough (2014) suggest that practitioners should attempt to understand the history of early childhood as it shows an establishment to their work. There are various theories that have influenced society’s policies and practice on child development. </w:t>
      </w:r>
    </w:p>
    <w:p w14:paraId="595AFABF" w14:textId="77777777" w:rsidR="00630618" w:rsidRDefault="00630618" w:rsidP="00630618">
      <w:pPr>
        <w:rPr>
          <w:rFonts w:ascii="Arial" w:hAnsi="Arial" w:cs="Arial"/>
          <w:sz w:val="32"/>
          <w:szCs w:val="32"/>
        </w:rPr>
      </w:pPr>
      <w:r w:rsidRPr="00630618">
        <w:rPr>
          <w:rFonts w:ascii="Arial" w:hAnsi="Arial" w:cs="Arial"/>
          <w:sz w:val="32"/>
          <w:szCs w:val="32"/>
        </w:rPr>
        <w:t xml:space="preserve">Maslow’s Hierarchy of Need is an important model to use when considering children’s transitions. Maslow’s model suggests that human needs can be placed into a hierarchy. To progress into the higher levels of needs, the lowest needs must be completed first. The model implies that to be the best individual that a child can be, they must first have met all their basic human needs. These needs need to be considered when relating to transitions because if a child does not have access to the most basic needs such as food and water, they may not feel safe or secure and consequently will be improbable that they can form relationships. Smidt (2015) states that each of a child’s relationships matter. This makes it unlikely that children can then progress and achieve their full potential. </w:t>
      </w:r>
    </w:p>
    <w:p w14:paraId="7250C575" w14:textId="204D87AF" w:rsidR="00630618" w:rsidRPr="00630618" w:rsidRDefault="00630618" w:rsidP="00630618">
      <w:pPr>
        <w:rPr>
          <w:rFonts w:ascii="Arial" w:hAnsi="Arial" w:cs="Arial"/>
          <w:sz w:val="32"/>
          <w:szCs w:val="32"/>
        </w:rPr>
      </w:pPr>
      <w:r w:rsidRPr="00630618">
        <w:rPr>
          <w:rFonts w:ascii="Arial" w:hAnsi="Arial" w:cs="Arial"/>
          <w:sz w:val="32"/>
          <w:szCs w:val="32"/>
        </w:rPr>
        <w:t>Whilst meeting the basic needs of children is significant, it is also of substantial importance that practitioners understand that psychological requirements of the children also need to be met. Maslow’s Hierarchy of need has influenced school policy.</w:t>
      </w:r>
    </w:p>
    <w:p w14:paraId="5DB5A728" w14:textId="77777777" w:rsidR="00630618" w:rsidRDefault="00630618" w:rsidP="00630618">
      <w:pPr>
        <w:rPr>
          <w:rFonts w:ascii="Arial" w:hAnsi="Arial" w:cs="Arial"/>
          <w:sz w:val="32"/>
          <w:szCs w:val="32"/>
        </w:rPr>
      </w:pPr>
      <w:r w:rsidRPr="00630618">
        <w:rPr>
          <w:rFonts w:ascii="Arial" w:hAnsi="Arial" w:cs="Arial"/>
          <w:sz w:val="32"/>
          <w:szCs w:val="32"/>
        </w:rPr>
        <w:lastRenderedPageBreak/>
        <w:t xml:space="preserve">Communication is the exchange of information through a variety of medium. For practitioners, communication is key. It allows relationships to be made with different people. It may be troublesome to communicate with children. This may be due to children not having much experience with social interaction or practitioners being unfamiliar to them and them subsequently feeling anxious or worried. Smidt (2015) implies how all children are educated through their interactions with others, whether this be peers of adults. </w:t>
      </w:r>
    </w:p>
    <w:p w14:paraId="46B1711F" w14:textId="77777777" w:rsidR="00630618" w:rsidRDefault="00630618" w:rsidP="00630618">
      <w:pPr>
        <w:rPr>
          <w:rFonts w:ascii="Arial" w:hAnsi="Arial" w:cs="Arial"/>
          <w:sz w:val="32"/>
          <w:szCs w:val="32"/>
        </w:rPr>
      </w:pPr>
      <w:r w:rsidRPr="00630618">
        <w:rPr>
          <w:rFonts w:ascii="Arial" w:hAnsi="Arial" w:cs="Arial"/>
          <w:sz w:val="32"/>
          <w:szCs w:val="32"/>
        </w:rPr>
        <w:t xml:space="preserve">Children may also struggle with communication and may be nonverbal. Practitioners should attempt to read body language or listen to changes in tone. Some children may experience barriers such as having additional learning needs or being hearing impaired. Scarlett et al (2005) explains how some disabilities or learning difficulties have an impact on how children play and therefore on how they learn. It is imperative that practitioners support these children and attempt to build relationships with them even if communication is difficult. </w:t>
      </w:r>
    </w:p>
    <w:p w14:paraId="0A3B93A8" w14:textId="0796FE96" w:rsidR="00630618" w:rsidRDefault="00630618" w:rsidP="00630618">
      <w:pPr>
        <w:rPr>
          <w:rFonts w:ascii="Arial" w:hAnsi="Arial" w:cs="Arial"/>
          <w:sz w:val="32"/>
          <w:szCs w:val="32"/>
        </w:rPr>
      </w:pPr>
      <w:r w:rsidRPr="00630618">
        <w:rPr>
          <w:rFonts w:ascii="Arial" w:hAnsi="Arial" w:cs="Arial"/>
          <w:sz w:val="32"/>
          <w:szCs w:val="32"/>
        </w:rPr>
        <w:t xml:space="preserve">Guerra and Sanders (2016) suggest how children’s relationships play a key role in their development. If children are experiencing transitions, this may make them less likely to communicate. </w:t>
      </w:r>
    </w:p>
    <w:p w14:paraId="478D021D" w14:textId="77777777" w:rsidR="00630618" w:rsidRDefault="00630618" w:rsidP="00630618">
      <w:pPr>
        <w:rPr>
          <w:rFonts w:ascii="Arial" w:hAnsi="Arial" w:cs="Arial"/>
          <w:sz w:val="32"/>
          <w:szCs w:val="32"/>
        </w:rPr>
      </w:pPr>
      <w:r w:rsidRPr="00630618">
        <w:rPr>
          <w:rFonts w:ascii="Arial" w:hAnsi="Arial" w:cs="Arial"/>
          <w:sz w:val="32"/>
          <w:szCs w:val="32"/>
        </w:rPr>
        <w:t xml:space="preserve">It is imperative that practitioners can recognise if child is nervous or anxious so that they are able to use strategies or techniques to help the child overcome their fears. </w:t>
      </w:r>
    </w:p>
    <w:p w14:paraId="1FB3FE36" w14:textId="2A9C4197" w:rsidR="00630618" w:rsidRPr="00630618" w:rsidRDefault="00630618" w:rsidP="00630618">
      <w:pPr>
        <w:rPr>
          <w:rFonts w:ascii="Arial" w:hAnsi="Arial" w:cs="Arial"/>
          <w:sz w:val="32"/>
          <w:szCs w:val="32"/>
        </w:rPr>
      </w:pPr>
      <w:r w:rsidRPr="00630618">
        <w:rPr>
          <w:rFonts w:ascii="Arial" w:hAnsi="Arial" w:cs="Arial"/>
          <w:sz w:val="32"/>
          <w:szCs w:val="32"/>
        </w:rPr>
        <w:t xml:space="preserve">Practitioners must understand the importance of listening, so they are able to be effective communicators. Brooker (2008) places emphasis on listening to children and how that should be a central way of assessment. Practitioners should be able to listen to children so they can assemble enough information about each child and their needs. Open communication allows room for questions to be asked, therefore a practitioner should be flexible. </w:t>
      </w:r>
    </w:p>
    <w:p w14:paraId="572C15E3" w14:textId="77777777" w:rsidR="00630618" w:rsidRPr="00630618" w:rsidRDefault="00630618" w:rsidP="00630618">
      <w:pPr>
        <w:rPr>
          <w:rFonts w:ascii="Arial" w:hAnsi="Arial" w:cs="Arial"/>
          <w:sz w:val="32"/>
          <w:szCs w:val="32"/>
        </w:rPr>
      </w:pPr>
      <w:r w:rsidRPr="00630618">
        <w:rPr>
          <w:rFonts w:ascii="Arial" w:hAnsi="Arial" w:cs="Arial"/>
          <w:sz w:val="32"/>
          <w:szCs w:val="32"/>
        </w:rPr>
        <w:lastRenderedPageBreak/>
        <w:t>Observations allow practitioners to understand what steps should be taken to ensure all the needs of each child are met. Manion (2018) states that observations create genuine and realistic findings. Continuous observations enable practitioners to assess tasks that the children have undertaken and ensure that they are benefiting the children’s needs. These observations can be informal or formal as both provide insight to what certifies the development of each child.</w:t>
      </w:r>
    </w:p>
    <w:p w14:paraId="24C6F542" w14:textId="2C308328" w:rsidR="00630618" w:rsidRDefault="00630618">
      <w:pPr>
        <w:rPr>
          <w:b/>
          <w:bCs/>
          <w:u w:val="single"/>
        </w:rPr>
      </w:pPr>
    </w:p>
    <w:p w14:paraId="5C245598" w14:textId="77777777" w:rsidR="00630618" w:rsidRDefault="00630618">
      <w:pPr>
        <w:rPr>
          <w:b/>
          <w:bCs/>
          <w:u w:val="single"/>
        </w:rPr>
      </w:pPr>
      <w:r>
        <w:rPr>
          <w:b/>
          <w:bCs/>
          <w:u w:val="single"/>
        </w:rPr>
        <w:br w:type="page"/>
      </w:r>
    </w:p>
    <w:p w14:paraId="0C534379" w14:textId="77777777" w:rsidR="00630618" w:rsidRPr="00630618" w:rsidRDefault="00630618" w:rsidP="00630618">
      <w:pPr>
        <w:rPr>
          <w:rFonts w:ascii="Arial" w:hAnsi="Arial" w:cs="Arial"/>
          <w:b/>
          <w:bCs/>
          <w:sz w:val="32"/>
          <w:szCs w:val="32"/>
          <w:u w:val="single"/>
        </w:rPr>
      </w:pPr>
      <w:r w:rsidRPr="00630618">
        <w:rPr>
          <w:rFonts w:ascii="Arial" w:hAnsi="Arial" w:cs="Arial"/>
          <w:b/>
          <w:bCs/>
          <w:sz w:val="32"/>
          <w:szCs w:val="32"/>
          <w:u w:val="single"/>
        </w:rPr>
        <w:lastRenderedPageBreak/>
        <w:t>Role of the adult</w:t>
      </w:r>
    </w:p>
    <w:p w14:paraId="71503E30" w14:textId="77777777" w:rsidR="00630618" w:rsidRPr="00630618" w:rsidRDefault="00630618" w:rsidP="00630618">
      <w:pPr>
        <w:rPr>
          <w:rFonts w:ascii="Arial" w:hAnsi="Arial" w:cs="Arial"/>
          <w:sz w:val="32"/>
          <w:szCs w:val="32"/>
        </w:rPr>
      </w:pPr>
      <w:r w:rsidRPr="00630618">
        <w:rPr>
          <w:rFonts w:ascii="Arial" w:hAnsi="Arial" w:cs="Arial"/>
          <w:sz w:val="32"/>
          <w:szCs w:val="32"/>
        </w:rPr>
        <w:t>There are a variety of responsibilities for early years practitioners. Effective planning based on observations should ensure that each child is supported and each of their needs are met. Pound (2006) identified that observations were a frequent element in many theorists work on children’s development. Planning enables practitioners to ensure that children are continuously developing. When planning, it is important for practitioners to remain interchangeable as a child’s mood may impact a task. This relates back to the idea that practitioners should remain flexible and adaptable. If a child is struggling with a particular task, it may be useful to discuss this with parents as they may be able to offer insight as to why this may be happening.</w:t>
      </w:r>
    </w:p>
    <w:p w14:paraId="633C2C8E" w14:textId="77777777" w:rsidR="00630618" w:rsidRDefault="00630618" w:rsidP="00630618">
      <w:pPr>
        <w:rPr>
          <w:rFonts w:ascii="Arial" w:hAnsi="Arial" w:cs="Arial"/>
          <w:sz w:val="32"/>
          <w:szCs w:val="32"/>
        </w:rPr>
      </w:pPr>
      <w:r w:rsidRPr="00630618">
        <w:rPr>
          <w:rFonts w:ascii="Arial" w:hAnsi="Arial" w:cs="Arial"/>
          <w:sz w:val="32"/>
          <w:szCs w:val="32"/>
        </w:rPr>
        <w:t xml:space="preserve">Excellent communication helps to prepare families and children for the next steps in their life. Sensitivity is key as children’s transitions are emotional for both the child and their family. Lindon (2012) sate that practitioners can only supply quality work if they have an attentive relationship to a child. Children’s independence should be encouraged. Forming close relationships with the families of the child creates a trust between the child and a practitioner. Reggio Emilia discusses how schools are made of relationships and teachers should be thought of as researchers. </w:t>
      </w:r>
    </w:p>
    <w:p w14:paraId="2E6EB159" w14:textId="4FAAB705" w:rsidR="00630618" w:rsidRPr="00630618" w:rsidRDefault="00630618" w:rsidP="00630618">
      <w:pPr>
        <w:rPr>
          <w:rFonts w:ascii="Arial" w:hAnsi="Arial" w:cs="Arial"/>
          <w:sz w:val="32"/>
          <w:szCs w:val="32"/>
        </w:rPr>
      </w:pPr>
      <w:r w:rsidRPr="00630618">
        <w:rPr>
          <w:rFonts w:ascii="Arial" w:hAnsi="Arial" w:cs="Arial"/>
          <w:sz w:val="32"/>
          <w:szCs w:val="32"/>
        </w:rPr>
        <w:t xml:space="preserve">Taking the time to ask questions and listen to a child’s likes or dislikes allows a practitioner to further understand them and form a better relationship with them. Petrie (2011) suggests that listening is a central skill for early years practitioners to have. If a child feels welcomed and respected, they are more likely to develop further. If practitioners have a good relationship with a child’s parent. A child is more likely to be trusting of them. </w:t>
      </w:r>
    </w:p>
    <w:p w14:paraId="67966B30"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Every child should be included, no child should be disadvantaged for any reason. Transitions can be a challenging </w:t>
      </w:r>
      <w:r w:rsidRPr="00630618">
        <w:rPr>
          <w:rFonts w:ascii="Arial" w:hAnsi="Arial" w:cs="Arial"/>
          <w:sz w:val="32"/>
          <w:szCs w:val="32"/>
        </w:rPr>
        <w:lastRenderedPageBreak/>
        <w:t xml:space="preserve">time for children; therefore, practitioners should continue to treat everyone equally and give each child the support they need. </w:t>
      </w:r>
    </w:p>
    <w:p w14:paraId="109AF1B3"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There are alternating views on childhood. One is where children are seen as vulnerable and should be protected. The other view is that childhood is an experience about discovery and adults should simply support them. </w:t>
      </w:r>
    </w:p>
    <w:p w14:paraId="23370AAA"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Bowlby developed a model which explained the relationship between children and their key carer. MacKay et al (2010) discussed the effects of quality of parent/ guardian interactions and academic development and achievement. They later discussed that the interactions between parents and children led to better cognitive engagement. Ainsworth further developed Bowlby’s theory and described the strange situation study. Ainsworth set out to observe the attachment that parents/ carers had with children. </w:t>
      </w:r>
    </w:p>
    <w:p w14:paraId="11A0DCCC"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Practitioners should encourage both children and their families to see transitions in a positive light. Practitioners should function as role models and show children that transitions are not something to be afraid of. </w:t>
      </w:r>
    </w:p>
    <w:p w14:paraId="7BFCCC24" w14:textId="390CD391" w:rsidR="00630618" w:rsidRDefault="00630618">
      <w:pPr>
        <w:rPr>
          <w:b/>
          <w:bCs/>
          <w:u w:val="single"/>
        </w:rPr>
      </w:pPr>
    </w:p>
    <w:p w14:paraId="3C1D2290" w14:textId="77777777" w:rsidR="00630618" w:rsidRDefault="00630618">
      <w:pPr>
        <w:rPr>
          <w:b/>
          <w:bCs/>
          <w:u w:val="single"/>
        </w:rPr>
      </w:pPr>
      <w:r>
        <w:rPr>
          <w:b/>
          <w:bCs/>
          <w:u w:val="single"/>
        </w:rPr>
        <w:br w:type="page"/>
      </w:r>
    </w:p>
    <w:p w14:paraId="6A6BDB96" w14:textId="77777777" w:rsidR="00630618" w:rsidRPr="00630618" w:rsidRDefault="00630618" w:rsidP="00630618">
      <w:pPr>
        <w:rPr>
          <w:rFonts w:ascii="Arial" w:hAnsi="Arial" w:cs="Arial"/>
          <w:b/>
          <w:bCs/>
          <w:sz w:val="32"/>
          <w:szCs w:val="32"/>
          <w:u w:val="single"/>
        </w:rPr>
      </w:pPr>
      <w:r w:rsidRPr="00630618">
        <w:rPr>
          <w:rFonts w:ascii="Arial" w:hAnsi="Arial" w:cs="Arial"/>
          <w:b/>
          <w:bCs/>
          <w:sz w:val="32"/>
          <w:szCs w:val="32"/>
          <w:u w:val="single"/>
        </w:rPr>
        <w:lastRenderedPageBreak/>
        <w:t>Interventions</w:t>
      </w:r>
    </w:p>
    <w:p w14:paraId="46D3F65D"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Interventions are activities that assist in smooth transitions. Trodd (2013) suggests that practitioners have a responsibility to ensure a child’s transition is smooth. Interventions should be suited to each child so that each child can benefit from them. Communication between practitioners and parents and families is vital. Dunlop and Fabian (2002) imply that effective communication creates the best transition process. Children should feel valued and supported. Practitioners must be committed to securing the best transition process for the child. Communicating with parents at handover, provides parents with information on key events that have happened that day. These discussions build on the relationship between parents and practitioners. </w:t>
      </w:r>
    </w:p>
    <w:p w14:paraId="3656BFE7" w14:textId="300BD777" w:rsidR="00630618" w:rsidRDefault="00630618" w:rsidP="00630618">
      <w:pPr>
        <w:rPr>
          <w:rFonts w:ascii="Arial" w:hAnsi="Arial" w:cs="Arial"/>
          <w:sz w:val="32"/>
          <w:szCs w:val="32"/>
        </w:rPr>
      </w:pPr>
      <w:r w:rsidRPr="00630618">
        <w:rPr>
          <w:rFonts w:ascii="Arial" w:hAnsi="Arial" w:cs="Arial"/>
          <w:sz w:val="32"/>
          <w:szCs w:val="32"/>
        </w:rPr>
        <w:t>There is an emphasis placed on the importance of play within an early year setting. Play means different things to different people. Scarlett et al (2005) explain that it can be complicated to define play. Children continuously learn through play. The Welsh Government (2014) states how they invest substantial value on play. Children learn important skills such as listening and taking turns by taking part in activities. School work should reflect home life. Observations and evaluations indicate how a child will best develop and where they thrive.</w:t>
      </w:r>
    </w:p>
    <w:p w14:paraId="5155B397" w14:textId="77777777" w:rsidR="00630618" w:rsidRDefault="00630618">
      <w:pPr>
        <w:rPr>
          <w:rFonts w:ascii="Arial" w:hAnsi="Arial" w:cs="Arial"/>
          <w:sz w:val="32"/>
          <w:szCs w:val="32"/>
        </w:rPr>
      </w:pPr>
      <w:r>
        <w:rPr>
          <w:rFonts w:ascii="Arial" w:hAnsi="Arial" w:cs="Arial"/>
          <w:sz w:val="32"/>
          <w:szCs w:val="32"/>
        </w:rPr>
        <w:br w:type="page"/>
      </w:r>
    </w:p>
    <w:p w14:paraId="686E1589" w14:textId="77777777" w:rsidR="00630618" w:rsidRPr="00630618" w:rsidRDefault="00630618" w:rsidP="00630618">
      <w:pPr>
        <w:rPr>
          <w:rFonts w:ascii="Arial" w:hAnsi="Arial" w:cs="Arial"/>
          <w:b/>
          <w:bCs/>
          <w:sz w:val="32"/>
          <w:szCs w:val="32"/>
          <w:u w:val="single"/>
        </w:rPr>
      </w:pPr>
      <w:r w:rsidRPr="00630618">
        <w:rPr>
          <w:rFonts w:ascii="Arial" w:hAnsi="Arial" w:cs="Arial"/>
          <w:b/>
          <w:bCs/>
          <w:sz w:val="32"/>
          <w:szCs w:val="32"/>
          <w:u w:val="single"/>
        </w:rPr>
        <w:lastRenderedPageBreak/>
        <w:t>Partnerships</w:t>
      </w:r>
    </w:p>
    <w:p w14:paraId="59E8481A" w14:textId="77777777" w:rsidR="00630618" w:rsidRDefault="00630618" w:rsidP="00630618">
      <w:pPr>
        <w:rPr>
          <w:rFonts w:ascii="Arial" w:hAnsi="Arial" w:cs="Arial"/>
          <w:sz w:val="32"/>
          <w:szCs w:val="32"/>
        </w:rPr>
      </w:pPr>
      <w:r w:rsidRPr="00630618">
        <w:rPr>
          <w:rFonts w:ascii="Arial" w:hAnsi="Arial" w:cs="Arial"/>
          <w:sz w:val="32"/>
          <w:szCs w:val="32"/>
        </w:rPr>
        <w:t>Partnerships are a vital part in a child’s life and assist in ensuring that the child is supported. It is important to take into consideration that there are various influences in a child’s life, these factors may impact a child’s development and how this may impact their transitions.</w:t>
      </w:r>
    </w:p>
    <w:p w14:paraId="1EF8AD05" w14:textId="77777777" w:rsidR="00630618" w:rsidRDefault="00630618" w:rsidP="00630618">
      <w:pPr>
        <w:rPr>
          <w:rFonts w:ascii="Arial" w:hAnsi="Arial" w:cs="Arial"/>
          <w:sz w:val="32"/>
          <w:szCs w:val="32"/>
        </w:rPr>
      </w:pPr>
      <w:r w:rsidRPr="00630618">
        <w:rPr>
          <w:rFonts w:ascii="Arial" w:hAnsi="Arial" w:cs="Arial"/>
          <w:sz w:val="32"/>
          <w:szCs w:val="32"/>
        </w:rPr>
        <w:t xml:space="preserve">Everything surrounding each child must suit the best needs of that child. Nutbrown and Clough (2014) explain Dewey’s ideas and his belief of a child-centred education. Dewey’s ideas are supported by Bronfenbrenner’s ecological system which describes how a child is central and how a child’s relationships effect their development. Dunlop and Fabian (2002) discuss how the ecological model demonstrates that consistent communication and positive relationships between practitioners and families creates the best environment. </w:t>
      </w:r>
    </w:p>
    <w:p w14:paraId="623D13D7" w14:textId="3CE10139" w:rsidR="00630618" w:rsidRDefault="00630618" w:rsidP="00630618">
      <w:pPr>
        <w:rPr>
          <w:rFonts w:ascii="Arial" w:hAnsi="Arial" w:cs="Arial"/>
          <w:sz w:val="32"/>
          <w:szCs w:val="32"/>
        </w:rPr>
      </w:pPr>
      <w:r w:rsidRPr="00630618">
        <w:rPr>
          <w:rFonts w:ascii="Arial" w:hAnsi="Arial" w:cs="Arial"/>
          <w:sz w:val="32"/>
          <w:szCs w:val="32"/>
        </w:rPr>
        <w:t xml:space="preserve">Bronfenbrenner’s theory has the child at the centre. Followed by the microsystem which includes the family and school. Next is the mesosystem and exosystem which includes the extended family and neighbours. After that, there is the macrosystem which describes the attitudes and cultures that affect the child. Lastly is the chronosystem which describes the environmental changes that have occurred over a person’s life. Education/ childcare is a secondary form of socialisation, it is what welcomes them to society. </w:t>
      </w:r>
    </w:p>
    <w:p w14:paraId="5074CF68" w14:textId="42EF2089" w:rsidR="00D4722B" w:rsidRPr="00630618" w:rsidRDefault="00D4722B" w:rsidP="00630618">
      <w:pPr>
        <w:rPr>
          <w:rFonts w:ascii="Arial" w:hAnsi="Arial" w:cs="Arial"/>
          <w:sz w:val="32"/>
          <w:szCs w:val="32"/>
        </w:rPr>
      </w:pPr>
      <w:r>
        <w:rPr>
          <w:noProof/>
        </w:rPr>
        <w:lastRenderedPageBreak/>
        <mc:AlternateContent>
          <mc:Choice Requires="wps">
            <w:drawing>
              <wp:anchor distT="0" distB="0" distL="114300" distR="114300" simplePos="0" relativeHeight="251666432" behindDoc="0" locked="0" layoutInCell="1" allowOverlap="1" wp14:anchorId="6ABFF2EC" wp14:editId="20673C64">
                <wp:simplePos x="0" y="0"/>
                <wp:positionH relativeFrom="column">
                  <wp:posOffset>3344333</wp:posOffset>
                </wp:positionH>
                <wp:positionV relativeFrom="paragraph">
                  <wp:posOffset>245532</wp:posOffset>
                </wp:positionV>
                <wp:extent cx="1447800" cy="745067"/>
                <wp:effectExtent l="0" t="0" r="19050" b="17145"/>
                <wp:wrapNone/>
                <wp:docPr id="9" name="Text Box 9"/>
                <wp:cNvGraphicFramePr/>
                <a:graphic xmlns:a="http://schemas.openxmlformats.org/drawingml/2006/main">
                  <a:graphicData uri="http://schemas.microsoft.com/office/word/2010/wordprocessingShape">
                    <wps:wsp>
                      <wps:cNvSpPr txBox="1"/>
                      <wps:spPr>
                        <a:xfrm>
                          <a:off x="0" y="0"/>
                          <a:ext cx="1447800" cy="745067"/>
                        </a:xfrm>
                        <a:prstGeom prst="rect">
                          <a:avLst/>
                        </a:prstGeom>
                        <a:solidFill>
                          <a:schemeClr val="lt1"/>
                        </a:solidFill>
                        <a:ln w="6350">
                          <a:solidFill>
                            <a:prstClr val="black"/>
                          </a:solidFill>
                        </a:ln>
                      </wps:spPr>
                      <wps:txbx>
                        <w:txbxContent>
                          <w:p w14:paraId="0A55BBE9" w14:textId="1289FAFD" w:rsidR="00D4722B" w:rsidRDefault="00A9785E">
                            <w:r>
                              <w:t>Bronfenbrenner’s Ecological model – ResearchGate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ABFF2EC" id="Text Box 9" o:spid="_x0000_s1031" type="#_x0000_t202" style="position:absolute;margin-left:263.35pt;margin-top:19.35pt;width:114pt;height:58.6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" fillcolor="white [3201]" strokeweight=".5pt">
                <v:textbox>
                  <w:txbxContent>
                    <w:p w14:paraId="0A55BBE9" w14:textId="1289FAFD" w:rsidR="00D4722B" w:rsidRDefault="00A9785E">
                      <w:r>
                        <w:t>Bronfenbrenner’s Ecological model – ResearchGate (2016)</w:t>
                      </w:r>
                    </w:p>
                  </w:txbxContent>
                </v:textbox>
              </v:shape>
            </w:pict>
          </mc:Fallback>
        </mc:AlternateContent>
      </w:r>
      <w:r>
        <w:rPr>
          <w:noProof/>
        </w:rPr>
        <w:drawing>
          <wp:inline distT="0" distB="0" distL="0" distR="0" wp14:anchorId="3CC8F38B" wp14:editId="07E7EEF2">
            <wp:extent cx="2709629" cy="2667000"/>
            <wp:effectExtent l="0" t="0" r="0" b="0"/>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20381" cy="2677583"/>
                    </a:xfrm>
                    <a:prstGeom prst="rect">
                      <a:avLst/>
                    </a:prstGeom>
                    <a:noFill/>
                    <a:ln>
                      <a:noFill/>
                    </a:ln>
                  </pic:spPr>
                </pic:pic>
              </a:graphicData>
            </a:graphic>
          </wp:inline>
        </w:drawing>
      </w:r>
    </w:p>
    <w:p w14:paraId="5C2F0E99"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During the younger years of a child life, practitioners can help identify if they need to involve any other agencies into a child’s life. Observations allow the best analysis and evaluation to be made which identifies where a child may need more support during their transitions. It can be useful for observations to be done discretely and sensitively so that a child does not feel uncomfortable or nervous. Involving other agencies that are related to a child’s life such as speech and language therapists, social workers, or certain health professionals, allows the best plans to be put into place for the child. Dunhill (2009) implies that different professionals provide children with alternative values and qualities. It is important that practitioners follow the policies and procedures put in place in their establishment. They should also obtain permission from the child’s parents before involving any outside agency. Good and effective communication between the various agencies ensures a smooth transition for children. </w:t>
      </w:r>
    </w:p>
    <w:p w14:paraId="6A1F89C0" w14:textId="77777777" w:rsidR="00630618" w:rsidRDefault="00630618" w:rsidP="00630618">
      <w:pPr>
        <w:rPr>
          <w:rFonts w:ascii="Arial" w:hAnsi="Arial" w:cs="Arial"/>
          <w:sz w:val="32"/>
          <w:szCs w:val="32"/>
        </w:rPr>
      </w:pPr>
      <w:r w:rsidRPr="00630618">
        <w:rPr>
          <w:rFonts w:ascii="Arial" w:hAnsi="Arial" w:cs="Arial"/>
          <w:sz w:val="32"/>
          <w:szCs w:val="32"/>
        </w:rPr>
        <w:t xml:space="preserve">Practitioners’ ought to collaborate with parents and communicate effectively so they also feel supported during their child’s transition. Consistent communication establishes a level of trust and respect. Dunhill (2009) describes how to be a quality early years professional, you should depend on communicating with children, their parents, and their families. </w:t>
      </w:r>
      <w:r w:rsidRPr="00630618">
        <w:rPr>
          <w:rFonts w:ascii="Arial" w:hAnsi="Arial" w:cs="Arial"/>
          <w:sz w:val="32"/>
          <w:szCs w:val="32"/>
        </w:rPr>
        <w:lastRenderedPageBreak/>
        <w:t xml:space="preserve">Informing parents of their child’s development, achievements and where they need support is advantageous. </w:t>
      </w:r>
    </w:p>
    <w:p w14:paraId="144FE837" w14:textId="537E5740" w:rsidR="00630618" w:rsidRDefault="00630618" w:rsidP="00630618">
      <w:pPr>
        <w:rPr>
          <w:rFonts w:ascii="Arial" w:hAnsi="Arial" w:cs="Arial"/>
          <w:sz w:val="32"/>
          <w:szCs w:val="32"/>
        </w:rPr>
      </w:pPr>
      <w:r w:rsidRPr="00630618">
        <w:rPr>
          <w:rFonts w:ascii="Arial" w:hAnsi="Arial" w:cs="Arial"/>
          <w:sz w:val="32"/>
          <w:szCs w:val="32"/>
        </w:rPr>
        <w:t>Practitioners should educate parents on what extra support they can have and how they can get help for the child. Parents should have a heavy involvement in the transition process as they best know their child. Practitioners should recognise that the transition process is also an emotional time for the parents of a child and should be sensitive towards them during this process. As Vygotsky described, a child is shaped by their family.</w:t>
      </w:r>
    </w:p>
    <w:p w14:paraId="30E60499" w14:textId="77777777" w:rsidR="00630618" w:rsidRDefault="00630618">
      <w:pPr>
        <w:rPr>
          <w:rFonts w:ascii="Arial" w:hAnsi="Arial" w:cs="Arial"/>
          <w:sz w:val="32"/>
          <w:szCs w:val="32"/>
        </w:rPr>
      </w:pPr>
      <w:r>
        <w:rPr>
          <w:rFonts w:ascii="Arial" w:hAnsi="Arial" w:cs="Arial"/>
          <w:sz w:val="32"/>
          <w:szCs w:val="32"/>
        </w:rPr>
        <w:br w:type="page"/>
      </w:r>
    </w:p>
    <w:p w14:paraId="3A8D64A7" w14:textId="77777777" w:rsidR="00630618" w:rsidRPr="00630618" w:rsidRDefault="00630618" w:rsidP="00630618">
      <w:pPr>
        <w:rPr>
          <w:rFonts w:ascii="Arial" w:hAnsi="Arial" w:cs="Arial"/>
          <w:b/>
          <w:bCs/>
          <w:sz w:val="32"/>
          <w:szCs w:val="32"/>
          <w:u w:val="single"/>
        </w:rPr>
      </w:pPr>
      <w:r w:rsidRPr="00630618">
        <w:rPr>
          <w:rFonts w:ascii="Arial" w:hAnsi="Arial" w:cs="Arial"/>
          <w:b/>
          <w:bCs/>
          <w:sz w:val="32"/>
          <w:szCs w:val="32"/>
          <w:u w:val="single"/>
        </w:rPr>
        <w:lastRenderedPageBreak/>
        <w:t xml:space="preserve">Proposed outcomes </w:t>
      </w:r>
    </w:p>
    <w:p w14:paraId="00E17955" w14:textId="77777777" w:rsidR="00630618" w:rsidRDefault="00630618" w:rsidP="00630618">
      <w:pPr>
        <w:rPr>
          <w:rFonts w:ascii="Arial" w:hAnsi="Arial" w:cs="Arial"/>
          <w:sz w:val="32"/>
          <w:szCs w:val="32"/>
        </w:rPr>
      </w:pPr>
      <w:r w:rsidRPr="00630618">
        <w:rPr>
          <w:rFonts w:ascii="Arial" w:hAnsi="Arial" w:cs="Arial"/>
          <w:sz w:val="32"/>
          <w:szCs w:val="32"/>
        </w:rPr>
        <w:t xml:space="preserve">A child who is developing and happy is prominent. All children are different, and observations assist in indicating where they may need help and what the next steps may be. Petrie (2011) explains that if practitioners can help children by identifying where they need help, they are working effectively. Observations can help practitioners to plan. Both parents, guardians and children should be emotionally supported. Bresler et al (2001) implied that Susan Isaacs took the view that a child’s development relates directly to their emotional progress. A trusting child shows a positive transition. </w:t>
      </w:r>
    </w:p>
    <w:p w14:paraId="29DC1425" w14:textId="77777777" w:rsidR="00630618" w:rsidRDefault="00630618" w:rsidP="00630618">
      <w:pPr>
        <w:rPr>
          <w:rFonts w:ascii="Arial" w:hAnsi="Arial" w:cs="Arial"/>
          <w:sz w:val="32"/>
          <w:szCs w:val="32"/>
        </w:rPr>
      </w:pPr>
      <w:r w:rsidRPr="00630618">
        <w:rPr>
          <w:rFonts w:ascii="Arial" w:hAnsi="Arial" w:cs="Arial"/>
          <w:sz w:val="32"/>
          <w:szCs w:val="32"/>
        </w:rPr>
        <w:t xml:space="preserve">Glenny and Roaf (2008) state that during their analysis of communication between professionals, some were able to encourage positive changes for parents and children. However, they also noted that some practitioners were not successful in doing this and did the opposite. Good practice exhibits an understanding of the gravity of transitions and how they impact a child’s life. </w:t>
      </w:r>
    </w:p>
    <w:p w14:paraId="5D5B3FD2" w14:textId="64F86F8B" w:rsidR="00630618" w:rsidRPr="00630618" w:rsidRDefault="00630618" w:rsidP="00630618">
      <w:pPr>
        <w:rPr>
          <w:rFonts w:ascii="Arial" w:hAnsi="Arial" w:cs="Arial"/>
          <w:sz w:val="32"/>
          <w:szCs w:val="32"/>
        </w:rPr>
      </w:pPr>
      <w:r w:rsidRPr="00630618">
        <w:rPr>
          <w:rFonts w:ascii="Arial" w:hAnsi="Arial" w:cs="Arial"/>
          <w:sz w:val="32"/>
          <w:szCs w:val="32"/>
        </w:rPr>
        <w:t>A practitioner should look at the emotions of a child and from their observations should look at whether a child is settled and if they have a level of independence. A practitioner should also reflect on if a child is able to build relationships with peers or other practitioners or other professional agencies that may be involved in their life. Vygotsky described the importance of social interactions. Pound (2006) described Vygotsky’s work and the importance he placed on how social factors influence their development. This relates to the importance of pretend play and children’s communication whilst doing this. Froebel discussed how play was essential for development. Pound (2006) stated that Froebel was known for implying that play is a child’s work.</w:t>
      </w:r>
    </w:p>
    <w:p w14:paraId="10AC3D60" w14:textId="77777777" w:rsidR="00630618" w:rsidRDefault="00630618" w:rsidP="00630618">
      <w:pPr>
        <w:rPr>
          <w:rFonts w:cstheme="minorHAnsi"/>
          <w:sz w:val="28"/>
          <w:szCs w:val="28"/>
        </w:rPr>
      </w:pPr>
    </w:p>
    <w:p w14:paraId="7EA322E3" w14:textId="77777777" w:rsidR="00630618" w:rsidRPr="00630618" w:rsidRDefault="00630618" w:rsidP="00630618">
      <w:pPr>
        <w:rPr>
          <w:rFonts w:ascii="Arial" w:hAnsi="Arial" w:cs="Arial"/>
          <w:sz w:val="32"/>
          <w:szCs w:val="32"/>
        </w:rPr>
      </w:pPr>
    </w:p>
    <w:p w14:paraId="4B7E86E0" w14:textId="77777777" w:rsidR="00630618" w:rsidRPr="00630618" w:rsidRDefault="00630618" w:rsidP="00630618">
      <w:pPr>
        <w:rPr>
          <w:rFonts w:ascii="Arial" w:hAnsi="Arial" w:cs="Arial"/>
          <w:b/>
          <w:bCs/>
          <w:sz w:val="32"/>
          <w:szCs w:val="32"/>
          <w:u w:val="single"/>
        </w:rPr>
      </w:pPr>
      <w:r w:rsidRPr="00630618">
        <w:rPr>
          <w:rFonts w:ascii="Arial" w:hAnsi="Arial" w:cs="Arial"/>
          <w:b/>
          <w:bCs/>
          <w:sz w:val="32"/>
          <w:szCs w:val="32"/>
          <w:u w:val="single"/>
        </w:rPr>
        <w:lastRenderedPageBreak/>
        <w:t>Reference List</w:t>
      </w:r>
    </w:p>
    <w:p w14:paraId="50091804"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Bresler et al. (2001). </w:t>
      </w:r>
      <w:r w:rsidRPr="00630618">
        <w:rPr>
          <w:rFonts w:ascii="Arial" w:hAnsi="Arial" w:cs="Arial"/>
          <w:i/>
          <w:iCs/>
          <w:sz w:val="32"/>
          <w:szCs w:val="32"/>
        </w:rPr>
        <w:t>Fifty Modern Thinkers on Education: From Piaget to the Present</w:t>
      </w:r>
      <w:r w:rsidRPr="00630618">
        <w:rPr>
          <w:rFonts w:ascii="Arial" w:hAnsi="Arial" w:cs="Arial"/>
          <w:sz w:val="32"/>
          <w:szCs w:val="32"/>
        </w:rPr>
        <w:t xml:space="preserve">. London: Routledge. </w:t>
      </w:r>
    </w:p>
    <w:p w14:paraId="07EB26BA"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Brooker, L. (2008). </w:t>
      </w:r>
      <w:r w:rsidRPr="00630618">
        <w:rPr>
          <w:rFonts w:ascii="Arial" w:hAnsi="Arial" w:cs="Arial"/>
          <w:i/>
          <w:iCs/>
          <w:sz w:val="32"/>
          <w:szCs w:val="32"/>
        </w:rPr>
        <w:t>Supporting Transitions in the Early Years</w:t>
      </w:r>
      <w:r w:rsidRPr="00630618">
        <w:rPr>
          <w:rFonts w:ascii="Arial" w:hAnsi="Arial" w:cs="Arial"/>
          <w:sz w:val="32"/>
          <w:szCs w:val="32"/>
        </w:rPr>
        <w:t>. Maidenhead: McGraw-Hill education.</w:t>
      </w:r>
    </w:p>
    <w:p w14:paraId="633955CE"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Dunhill, A. et al. (2009). </w:t>
      </w:r>
      <w:r w:rsidRPr="00630618">
        <w:rPr>
          <w:rFonts w:ascii="Arial" w:hAnsi="Arial" w:cs="Arial"/>
          <w:i/>
          <w:iCs/>
          <w:sz w:val="32"/>
          <w:szCs w:val="32"/>
        </w:rPr>
        <w:t>Effective Communication and engagement with children and young people, their families, and carers.</w:t>
      </w:r>
      <w:r w:rsidRPr="00630618">
        <w:rPr>
          <w:rFonts w:ascii="Arial" w:hAnsi="Arial" w:cs="Arial"/>
          <w:sz w:val="32"/>
          <w:szCs w:val="32"/>
        </w:rPr>
        <w:t xml:space="preserve"> Exeter: Learning Matters. </w:t>
      </w:r>
    </w:p>
    <w:p w14:paraId="299DAE6F"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Dunlop, A. and Fabian, H. (2002). </w:t>
      </w:r>
      <w:r w:rsidRPr="00630618">
        <w:rPr>
          <w:rFonts w:ascii="Arial" w:hAnsi="Arial" w:cs="Arial"/>
          <w:i/>
          <w:iCs/>
          <w:sz w:val="32"/>
          <w:szCs w:val="32"/>
        </w:rPr>
        <w:t>Transitions in the Early Years: Debating Continuity and Progression for Children in Early Education</w:t>
      </w:r>
      <w:r w:rsidRPr="00630618">
        <w:rPr>
          <w:rFonts w:ascii="Arial" w:hAnsi="Arial" w:cs="Arial"/>
          <w:sz w:val="32"/>
          <w:szCs w:val="32"/>
        </w:rPr>
        <w:t xml:space="preserve">. </w:t>
      </w:r>
    </w:p>
    <w:p w14:paraId="21398FB3"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Glenny, G. and Roaf, C. (2008). </w:t>
      </w:r>
      <w:r w:rsidRPr="00630618">
        <w:rPr>
          <w:rFonts w:ascii="Arial" w:hAnsi="Arial" w:cs="Arial"/>
          <w:i/>
          <w:iCs/>
          <w:sz w:val="32"/>
          <w:szCs w:val="32"/>
        </w:rPr>
        <w:t>Multiprofessional Communication: Making Systems Work for Children</w:t>
      </w:r>
      <w:r w:rsidRPr="00630618">
        <w:rPr>
          <w:rFonts w:ascii="Arial" w:hAnsi="Arial" w:cs="Arial"/>
          <w:sz w:val="32"/>
          <w:szCs w:val="32"/>
        </w:rPr>
        <w:t>. Maidenhead: Open University Press.</w:t>
      </w:r>
    </w:p>
    <w:p w14:paraId="384A826C" w14:textId="77777777" w:rsidR="00630618" w:rsidRDefault="00630618" w:rsidP="00630618">
      <w:pPr>
        <w:rPr>
          <w:rFonts w:ascii="Arial" w:hAnsi="Arial" w:cs="Arial"/>
          <w:sz w:val="32"/>
          <w:szCs w:val="32"/>
        </w:rPr>
      </w:pPr>
      <w:r w:rsidRPr="00630618">
        <w:rPr>
          <w:rFonts w:ascii="Arial" w:hAnsi="Arial" w:cs="Arial"/>
          <w:sz w:val="32"/>
          <w:szCs w:val="32"/>
        </w:rPr>
        <w:t xml:space="preserve">Guerra, A. and Sanders, K. (2016). </w:t>
      </w:r>
      <w:r w:rsidRPr="00630618">
        <w:rPr>
          <w:rFonts w:ascii="Arial" w:hAnsi="Arial" w:cs="Arial"/>
          <w:i/>
          <w:iCs/>
          <w:sz w:val="32"/>
          <w:szCs w:val="32"/>
        </w:rPr>
        <w:t xml:space="preserve">The Culture of Child Care: attachment, peers, and quality in diverse communities. </w:t>
      </w:r>
      <w:r w:rsidRPr="00630618">
        <w:rPr>
          <w:rFonts w:ascii="Arial" w:hAnsi="Arial" w:cs="Arial"/>
          <w:sz w:val="32"/>
          <w:szCs w:val="32"/>
        </w:rPr>
        <w:t>New York: Oxford University Press.</w:t>
      </w:r>
    </w:p>
    <w:p w14:paraId="7C025D22" w14:textId="2BD16D7A" w:rsidR="00E2181C" w:rsidRPr="00630618" w:rsidRDefault="00E2181C" w:rsidP="00630618">
      <w:pPr>
        <w:rPr>
          <w:rFonts w:ascii="Arial" w:hAnsi="Arial" w:cs="Arial"/>
          <w:sz w:val="32"/>
          <w:szCs w:val="32"/>
        </w:rPr>
      </w:pPr>
      <w:proofErr w:type="spellStart"/>
      <w:r>
        <w:rPr>
          <w:rFonts w:ascii="Arial" w:hAnsi="Arial" w:cs="Arial"/>
          <w:sz w:val="32"/>
          <w:szCs w:val="32"/>
        </w:rPr>
        <w:t>Istock</w:t>
      </w:r>
      <w:proofErr w:type="spellEnd"/>
      <w:r>
        <w:rPr>
          <w:rFonts w:ascii="Arial" w:hAnsi="Arial" w:cs="Arial"/>
          <w:sz w:val="32"/>
          <w:szCs w:val="32"/>
        </w:rPr>
        <w:t xml:space="preserve"> Images (2017) </w:t>
      </w:r>
      <w:r w:rsidRPr="00B64481">
        <w:rPr>
          <w:rFonts w:ascii="Arial" w:hAnsi="Arial" w:cs="Arial"/>
          <w:i/>
          <w:iCs/>
          <w:sz w:val="32"/>
          <w:szCs w:val="32"/>
        </w:rPr>
        <w:t>Leaf</w:t>
      </w:r>
      <w:r w:rsidR="00B64481" w:rsidRPr="00B64481">
        <w:rPr>
          <w:rFonts w:ascii="Arial" w:hAnsi="Arial" w:cs="Arial"/>
          <w:i/>
          <w:iCs/>
          <w:sz w:val="32"/>
          <w:szCs w:val="32"/>
        </w:rPr>
        <w:t xml:space="preserve"> transitions</w:t>
      </w:r>
      <w:r w:rsidR="00B64481">
        <w:rPr>
          <w:rFonts w:ascii="Arial" w:hAnsi="Arial" w:cs="Arial"/>
          <w:sz w:val="32"/>
          <w:szCs w:val="32"/>
        </w:rPr>
        <w:t>. [online image] Available at:</w:t>
      </w:r>
      <w:r w:rsidR="00B64481" w:rsidRPr="00B64481">
        <w:rPr>
          <w:rFonts w:ascii="Arial" w:hAnsi="Arial" w:cs="Arial"/>
          <w:sz w:val="32"/>
          <w:szCs w:val="32"/>
        </w:rPr>
        <w:t xml:space="preserve"> </w:t>
      </w:r>
      <w:hyperlink r:id="rId8" w:history="1">
        <w:r w:rsidR="00B64481" w:rsidRPr="00B64481">
          <w:rPr>
            <w:rStyle w:val="Hyperlink"/>
            <w:rFonts w:ascii="Arial" w:hAnsi="Arial" w:cs="Arial"/>
            <w:sz w:val="32"/>
            <w:szCs w:val="32"/>
          </w:rPr>
          <w:t>Autumn Maple Leaf Transition Stock Photo - Download Image Now - Season, Leaf, Autumn - iStock (istockphoto.com)</w:t>
        </w:r>
      </w:hyperlink>
    </w:p>
    <w:p w14:paraId="1D7A2C26"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Lindon, J. (2012). </w:t>
      </w:r>
      <w:r w:rsidRPr="00630618">
        <w:rPr>
          <w:rFonts w:ascii="Arial" w:hAnsi="Arial" w:cs="Arial"/>
          <w:i/>
          <w:iCs/>
          <w:sz w:val="32"/>
          <w:szCs w:val="32"/>
        </w:rPr>
        <w:t>Understanding Child Development: 0-8 Years.</w:t>
      </w:r>
      <w:r w:rsidRPr="00630618">
        <w:rPr>
          <w:rFonts w:ascii="Arial" w:hAnsi="Arial" w:cs="Arial"/>
          <w:sz w:val="32"/>
          <w:szCs w:val="32"/>
        </w:rPr>
        <w:t xml:space="preserve"> 3</w:t>
      </w:r>
      <w:r w:rsidRPr="00630618">
        <w:rPr>
          <w:rFonts w:ascii="Arial" w:hAnsi="Arial" w:cs="Arial"/>
          <w:sz w:val="32"/>
          <w:szCs w:val="32"/>
          <w:vertAlign w:val="superscript"/>
        </w:rPr>
        <w:t>rd</w:t>
      </w:r>
      <w:r w:rsidRPr="00630618">
        <w:rPr>
          <w:rFonts w:ascii="Arial" w:hAnsi="Arial" w:cs="Arial"/>
          <w:sz w:val="32"/>
          <w:szCs w:val="32"/>
        </w:rPr>
        <w:t xml:space="preserve"> Edition. London: Hodder Education. </w:t>
      </w:r>
    </w:p>
    <w:p w14:paraId="72FC6925"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MacKay, T. et al. (2010). </w:t>
      </w:r>
      <w:r w:rsidRPr="00630618">
        <w:rPr>
          <w:rFonts w:ascii="Arial" w:hAnsi="Arial" w:cs="Arial"/>
          <w:i/>
          <w:iCs/>
          <w:sz w:val="32"/>
          <w:szCs w:val="32"/>
        </w:rPr>
        <w:t>From attachment to attainment: The impact of nurture groups on academic achievement,</w:t>
      </w:r>
      <w:r w:rsidRPr="00630618">
        <w:rPr>
          <w:rFonts w:ascii="Arial" w:hAnsi="Arial" w:cs="Arial"/>
          <w:sz w:val="32"/>
          <w:szCs w:val="32"/>
        </w:rPr>
        <w:t xml:space="preserve"> </w:t>
      </w:r>
      <w:r w:rsidRPr="00630618">
        <w:rPr>
          <w:rFonts w:ascii="Arial" w:hAnsi="Arial" w:cs="Arial"/>
          <w:i/>
          <w:iCs/>
          <w:sz w:val="32"/>
          <w:szCs w:val="32"/>
        </w:rPr>
        <w:t>Educational &amp; Child Psychology</w:t>
      </w:r>
      <w:r w:rsidRPr="00630618">
        <w:rPr>
          <w:rFonts w:ascii="Arial" w:hAnsi="Arial" w:cs="Arial"/>
          <w:sz w:val="32"/>
          <w:szCs w:val="32"/>
        </w:rPr>
        <w:t xml:space="preserve">, 27, 3, pp. 100-110. Available at:  </w:t>
      </w:r>
      <w:hyperlink r:id="rId9" w:history="1">
        <w:r w:rsidRPr="00630618">
          <w:rPr>
            <w:rStyle w:val="Hyperlink"/>
            <w:rFonts w:ascii="Arial" w:hAnsi="Arial" w:cs="Arial"/>
            <w:sz w:val="32"/>
            <w:szCs w:val="32"/>
          </w:rPr>
          <w:t>http://search.ebscohost.com/login.aspx?direct=true&amp;db=eue&amp;AN=53291257&amp;site=ehost-live</w:t>
        </w:r>
      </w:hyperlink>
      <w:r w:rsidRPr="00630618">
        <w:rPr>
          <w:rFonts w:ascii="Arial" w:hAnsi="Arial" w:cs="Arial"/>
          <w:sz w:val="32"/>
          <w:szCs w:val="32"/>
        </w:rPr>
        <w:t xml:space="preserve"> (Accessed: 2nd</w:t>
      </w:r>
      <w:r w:rsidRPr="00630618">
        <w:rPr>
          <w:rFonts w:ascii="Arial" w:hAnsi="Arial" w:cs="Arial"/>
          <w:sz w:val="32"/>
          <w:szCs w:val="32"/>
          <w:vertAlign w:val="superscript"/>
        </w:rPr>
        <w:t>th</w:t>
      </w:r>
      <w:r w:rsidRPr="00630618">
        <w:rPr>
          <w:rFonts w:ascii="Arial" w:hAnsi="Arial" w:cs="Arial"/>
          <w:sz w:val="32"/>
          <w:szCs w:val="32"/>
        </w:rPr>
        <w:t xml:space="preserve"> December 2022).</w:t>
      </w:r>
    </w:p>
    <w:p w14:paraId="585AAB3F"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Manion, L. and Morrison, K. (2018). </w:t>
      </w:r>
      <w:r w:rsidRPr="00630618">
        <w:rPr>
          <w:rFonts w:ascii="Arial" w:hAnsi="Arial" w:cs="Arial"/>
          <w:i/>
          <w:iCs/>
          <w:sz w:val="32"/>
          <w:szCs w:val="32"/>
        </w:rPr>
        <w:t>Research Methods in Education</w:t>
      </w:r>
      <w:r w:rsidRPr="00630618">
        <w:rPr>
          <w:rFonts w:ascii="Arial" w:hAnsi="Arial" w:cs="Arial"/>
          <w:sz w:val="32"/>
          <w:szCs w:val="32"/>
        </w:rPr>
        <w:t>. 8</w:t>
      </w:r>
      <w:r w:rsidRPr="00630618">
        <w:rPr>
          <w:rFonts w:ascii="Arial" w:hAnsi="Arial" w:cs="Arial"/>
          <w:sz w:val="32"/>
          <w:szCs w:val="32"/>
          <w:vertAlign w:val="superscript"/>
        </w:rPr>
        <w:t>th</w:t>
      </w:r>
      <w:r w:rsidRPr="00630618">
        <w:rPr>
          <w:rFonts w:ascii="Arial" w:hAnsi="Arial" w:cs="Arial"/>
          <w:sz w:val="32"/>
          <w:szCs w:val="32"/>
        </w:rPr>
        <w:t xml:space="preserve"> Edition. London: Routledge. </w:t>
      </w:r>
    </w:p>
    <w:p w14:paraId="29688500" w14:textId="0BF3F3D9" w:rsidR="00630618" w:rsidRPr="00630618" w:rsidRDefault="00630618" w:rsidP="00630618">
      <w:pPr>
        <w:rPr>
          <w:rFonts w:ascii="Arial" w:hAnsi="Arial" w:cs="Arial"/>
          <w:sz w:val="32"/>
          <w:szCs w:val="32"/>
        </w:rPr>
      </w:pPr>
      <w:r w:rsidRPr="00630618">
        <w:rPr>
          <w:rFonts w:ascii="Arial" w:hAnsi="Arial" w:cs="Arial"/>
          <w:sz w:val="32"/>
          <w:szCs w:val="32"/>
        </w:rPr>
        <w:lastRenderedPageBreak/>
        <w:t xml:space="preserve">Nutbrown, C. (2008). </w:t>
      </w:r>
      <w:r w:rsidRPr="00630618">
        <w:rPr>
          <w:rFonts w:ascii="Arial" w:hAnsi="Arial" w:cs="Arial"/>
          <w:i/>
          <w:iCs/>
          <w:sz w:val="32"/>
          <w:szCs w:val="32"/>
        </w:rPr>
        <w:t>Early Childhood Education: History, Philosophy and Experience.</w:t>
      </w:r>
      <w:r w:rsidRPr="00630618">
        <w:rPr>
          <w:rFonts w:ascii="Arial" w:hAnsi="Arial" w:cs="Arial"/>
          <w:sz w:val="32"/>
          <w:szCs w:val="32"/>
        </w:rPr>
        <w:t xml:space="preserve"> Los Angeles: SAGE Publications. </w:t>
      </w:r>
    </w:p>
    <w:p w14:paraId="29C3272B"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Nutbrown, C. and Clough, P. (2014). </w:t>
      </w:r>
      <w:r w:rsidRPr="00630618">
        <w:rPr>
          <w:rFonts w:ascii="Arial" w:hAnsi="Arial" w:cs="Arial"/>
          <w:i/>
          <w:iCs/>
          <w:sz w:val="32"/>
          <w:szCs w:val="32"/>
        </w:rPr>
        <w:t>Early Childhood Education: History, Philosophy and Experience.</w:t>
      </w:r>
      <w:r w:rsidRPr="00630618">
        <w:rPr>
          <w:rFonts w:ascii="Arial" w:hAnsi="Arial" w:cs="Arial"/>
          <w:sz w:val="32"/>
          <w:szCs w:val="32"/>
        </w:rPr>
        <w:t xml:space="preserve"> London: SAGE Publications. </w:t>
      </w:r>
    </w:p>
    <w:p w14:paraId="3EC2721D"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Petrie, P. (2011). </w:t>
      </w:r>
      <w:r w:rsidRPr="00630618">
        <w:rPr>
          <w:rFonts w:ascii="Arial" w:hAnsi="Arial" w:cs="Arial"/>
          <w:i/>
          <w:iCs/>
          <w:sz w:val="32"/>
          <w:szCs w:val="32"/>
        </w:rPr>
        <w:t>Communication Skills for Working with Children and Young People: Introducing Social Pedagogy</w:t>
      </w:r>
      <w:r w:rsidRPr="00630618">
        <w:rPr>
          <w:rFonts w:ascii="Arial" w:hAnsi="Arial" w:cs="Arial"/>
          <w:sz w:val="32"/>
          <w:szCs w:val="32"/>
        </w:rPr>
        <w:t>. 3</w:t>
      </w:r>
      <w:r w:rsidRPr="00630618">
        <w:rPr>
          <w:rFonts w:ascii="Arial" w:hAnsi="Arial" w:cs="Arial"/>
          <w:sz w:val="32"/>
          <w:szCs w:val="32"/>
          <w:vertAlign w:val="superscript"/>
        </w:rPr>
        <w:t>rd</w:t>
      </w:r>
      <w:r w:rsidRPr="00630618">
        <w:rPr>
          <w:rFonts w:ascii="Arial" w:hAnsi="Arial" w:cs="Arial"/>
          <w:sz w:val="32"/>
          <w:szCs w:val="32"/>
        </w:rPr>
        <w:t xml:space="preserve"> Edition. </w:t>
      </w:r>
    </w:p>
    <w:p w14:paraId="44A0A60A" w14:textId="77777777" w:rsidR="00630618" w:rsidRDefault="00630618" w:rsidP="00630618">
      <w:pPr>
        <w:rPr>
          <w:rFonts w:ascii="Arial" w:hAnsi="Arial" w:cs="Arial"/>
          <w:sz w:val="32"/>
          <w:szCs w:val="32"/>
        </w:rPr>
      </w:pPr>
      <w:r w:rsidRPr="00630618">
        <w:rPr>
          <w:rFonts w:ascii="Arial" w:hAnsi="Arial" w:cs="Arial"/>
          <w:sz w:val="32"/>
          <w:szCs w:val="32"/>
        </w:rPr>
        <w:t xml:space="preserve">Pound, L. (2006). </w:t>
      </w:r>
      <w:r w:rsidRPr="00630618">
        <w:rPr>
          <w:rFonts w:ascii="Arial" w:hAnsi="Arial" w:cs="Arial"/>
          <w:i/>
          <w:iCs/>
          <w:sz w:val="32"/>
          <w:szCs w:val="32"/>
        </w:rPr>
        <w:t>How Children Learn</w:t>
      </w:r>
      <w:r w:rsidRPr="00630618">
        <w:rPr>
          <w:rFonts w:ascii="Arial" w:hAnsi="Arial" w:cs="Arial"/>
          <w:sz w:val="32"/>
          <w:szCs w:val="32"/>
        </w:rPr>
        <w:t>. London: Practical Pre School-Books.</w:t>
      </w:r>
    </w:p>
    <w:p w14:paraId="73940509" w14:textId="63560202" w:rsidR="00A9785E" w:rsidRPr="00630618" w:rsidRDefault="00A9785E" w:rsidP="00630618">
      <w:pPr>
        <w:rPr>
          <w:rFonts w:ascii="Arial" w:hAnsi="Arial" w:cs="Arial"/>
          <w:sz w:val="32"/>
          <w:szCs w:val="32"/>
        </w:rPr>
      </w:pPr>
      <w:r>
        <w:rPr>
          <w:rFonts w:ascii="Arial" w:hAnsi="Arial" w:cs="Arial"/>
          <w:sz w:val="32"/>
          <w:szCs w:val="32"/>
        </w:rPr>
        <w:t>Research Gate (2016) online image. Available at:</w:t>
      </w:r>
      <w:r w:rsidR="009F456A">
        <w:rPr>
          <w:rFonts w:ascii="Arial" w:hAnsi="Arial" w:cs="Arial"/>
          <w:sz w:val="32"/>
          <w:szCs w:val="32"/>
        </w:rPr>
        <w:t xml:space="preserve"> </w:t>
      </w:r>
      <w:hyperlink r:id="rId10" w:history="1">
        <w:r w:rsidR="009F456A">
          <w:rPr>
            <w:rStyle w:val="Hyperlink"/>
          </w:rPr>
          <w:t>Bronfenbrenner's ecological model. Diagram by Joel Gibbs based on... | Download Scientific Diagram (researchgate.net)</w:t>
        </w:r>
      </w:hyperlink>
    </w:p>
    <w:p w14:paraId="620EAFDD"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Scarlett, G. et al. (2005). </w:t>
      </w:r>
      <w:r w:rsidRPr="00630618">
        <w:rPr>
          <w:rFonts w:ascii="Arial" w:hAnsi="Arial" w:cs="Arial"/>
          <w:i/>
          <w:iCs/>
          <w:sz w:val="32"/>
          <w:szCs w:val="32"/>
        </w:rPr>
        <w:t>Children’s Play</w:t>
      </w:r>
      <w:r w:rsidRPr="00630618">
        <w:rPr>
          <w:rFonts w:ascii="Arial" w:hAnsi="Arial" w:cs="Arial"/>
          <w:sz w:val="32"/>
          <w:szCs w:val="32"/>
        </w:rPr>
        <w:t>. California: SAGE Publications.</w:t>
      </w:r>
    </w:p>
    <w:p w14:paraId="687D9024"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Smidt, S. (2015). </w:t>
      </w:r>
      <w:r w:rsidRPr="00630618">
        <w:rPr>
          <w:rFonts w:ascii="Arial" w:hAnsi="Arial" w:cs="Arial"/>
          <w:i/>
          <w:iCs/>
          <w:sz w:val="32"/>
          <w:szCs w:val="32"/>
        </w:rPr>
        <w:t>Observing Young Children: The Role of Observation and Assessment in Early Childhood Settings</w:t>
      </w:r>
      <w:r w:rsidRPr="00630618">
        <w:rPr>
          <w:rFonts w:ascii="Arial" w:hAnsi="Arial" w:cs="Arial"/>
          <w:sz w:val="32"/>
          <w:szCs w:val="32"/>
        </w:rPr>
        <w:t>. 2</w:t>
      </w:r>
      <w:r w:rsidRPr="00630618">
        <w:rPr>
          <w:rFonts w:ascii="Arial" w:hAnsi="Arial" w:cs="Arial"/>
          <w:sz w:val="32"/>
          <w:szCs w:val="32"/>
          <w:vertAlign w:val="superscript"/>
        </w:rPr>
        <w:t>nd</w:t>
      </w:r>
      <w:r w:rsidRPr="00630618">
        <w:rPr>
          <w:rFonts w:ascii="Arial" w:hAnsi="Arial" w:cs="Arial"/>
          <w:sz w:val="32"/>
          <w:szCs w:val="32"/>
        </w:rPr>
        <w:t xml:space="preserve"> Edition. London: Routledge.</w:t>
      </w:r>
    </w:p>
    <w:p w14:paraId="340FB3A2"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Trodd, L. (2012). </w:t>
      </w:r>
      <w:r w:rsidRPr="00630618">
        <w:rPr>
          <w:rFonts w:ascii="Arial" w:hAnsi="Arial" w:cs="Arial"/>
          <w:i/>
          <w:iCs/>
          <w:sz w:val="32"/>
          <w:szCs w:val="32"/>
        </w:rPr>
        <w:t>Transitions in the Early Years: Working with Children and Families.</w:t>
      </w:r>
      <w:r w:rsidRPr="00630618">
        <w:rPr>
          <w:rFonts w:ascii="Arial" w:hAnsi="Arial" w:cs="Arial"/>
          <w:sz w:val="32"/>
          <w:szCs w:val="32"/>
        </w:rPr>
        <w:t xml:space="preserve"> London: SAGE Publications.</w:t>
      </w:r>
    </w:p>
    <w:p w14:paraId="596B1FAC"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Welsh Government (2014) </w:t>
      </w:r>
      <w:r w:rsidRPr="00630618">
        <w:rPr>
          <w:rFonts w:ascii="Arial" w:hAnsi="Arial" w:cs="Arial"/>
          <w:i/>
          <w:iCs/>
          <w:sz w:val="32"/>
          <w:szCs w:val="32"/>
        </w:rPr>
        <w:t>Wales- A Play Friendly Country: Statutory Guidance.</w:t>
      </w:r>
      <w:r w:rsidRPr="00630618">
        <w:rPr>
          <w:rFonts w:ascii="Arial" w:hAnsi="Arial" w:cs="Arial"/>
          <w:sz w:val="32"/>
          <w:szCs w:val="32"/>
        </w:rPr>
        <w:t xml:space="preserve"> Available at: </w:t>
      </w:r>
      <w:hyperlink r:id="rId11" w:anchor=":~:text=The%20Welsh%20Government%20places%20great%20value%20on%20play,enjoyment%20of%20life%20and%20contributes%20to%20their%20well-being." w:history="1">
        <w:r w:rsidRPr="00630618">
          <w:rPr>
            <w:rStyle w:val="Hyperlink"/>
            <w:rFonts w:ascii="Arial" w:hAnsi="Arial" w:cs="Arial"/>
            <w:sz w:val="32"/>
            <w:szCs w:val="32"/>
          </w:rPr>
          <w:t>Wales: a play friendly country (gov.wales)</w:t>
        </w:r>
      </w:hyperlink>
      <w:r w:rsidRPr="00630618">
        <w:rPr>
          <w:rFonts w:ascii="Arial" w:hAnsi="Arial" w:cs="Arial"/>
          <w:sz w:val="32"/>
          <w:szCs w:val="32"/>
        </w:rPr>
        <w:t>. (Accessed 2</w:t>
      </w:r>
      <w:r w:rsidRPr="00630618">
        <w:rPr>
          <w:rFonts w:ascii="Arial" w:hAnsi="Arial" w:cs="Arial"/>
          <w:sz w:val="32"/>
          <w:szCs w:val="32"/>
          <w:vertAlign w:val="superscript"/>
        </w:rPr>
        <w:t>nd</w:t>
      </w:r>
      <w:r w:rsidRPr="00630618">
        <w:rPr>
          <w:rFonts w:ascii="Arial" w:hAnsi="Arial" w:cs="Arial"/>
          <w:sz w:val="32"/>
          <w:szCs w:val="32"/>
        </w:rPr>
        <w:t xml:space="preserve"> December 2022).</w:t>
      </w:r>
    </w:p>
    <w:p w14:paraId="7DAAF0CF" w14:textId="77777777" w:rsidR="00630618" w:rsidRPr="00DA76D9" w:rsidRDefault="00630618" w:rsidP="00630618">
      <w:pPr>
        <w:rPr>
          <w:rFonts w:cstheme="minorHAnsi"/>
          <w:sz w:val="32"/>
          <w:szCs w:val="32"/>
        </w:rPr>
      </w:pPr>
    </w:p>
    <w:p w14:paraId="465117D3" w14:textId="77777777" w:rsidR="00630618" w:rsidRPr="00630618" w:rsidRDefault="00630618" w:rsidP="00630618">
      <w:pPr>
        <w:rPr>
          <w:rFonts w:ascii="Arial" w:hAnsi="Arial" w:cs="Arial"/>
          <w:b/>
          <w:bCs/>
          <w:sz w:val="32"/>
          <w:szCs w:val="32"/>
          <w:u w:val="single"/>
        </w:rPr>
      </w:pPr>
    </w:p>
    <w:sectPr w:rsidR="00630618" w:rsidRPr="0063061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F6B6FE" w14:textId="77777777" w:rsidR="00265DD8" w:rsidRDefault="00265DD8" w:rsidP="00265DD8">
      <w:pPr>
        <w:spacing w:after="0" w:line="240" w:lineRule="auto"/>
      </w:pPr>
      <w:r>
        <w:separator/>
      </w:r>
    </w:p>
  </w:endnote>
  <w:endnote w:type="continuationSeparator" w:id="0">
    <w:p w14:paraId="32A3CBE9" w14:textId="77777777" w:rsidR="00265DD8" w:rsidRDefault="00265DD8" w:rsidP="00265D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5126275"/>
      <w:docPartObj>
        <w:docPartGallery w:val="Page Numbers (Bottom of Page)"/>
        <w:docPartUnique/>
      </w:docPartObj>
    </w:sdtPr>
    <w:sdtEndPr>
      <w:rPr>
        <w:noProof/>
        <w:color w:val="000000" w:themeColor="text1"/>
      </w:rPr>
    </w:sdtEndPr>
    <w:sdtContent>
      <w:p w14:paraId="4F72AB4C" w14:textId="2AB19468" w:rsidR="00265DD8" w:rsidRPr="00265DD8" w:rsidRDefault="00265DD8">
        <w:pPr>
          <w:pStyle w:val="Footer"/>
          <w:jc w:val="right"/>
          <w:rPr>
            <w:color w:val="000000" w:themeColor="text1"/>
          </w:rPr>
        </w:pPr>
        <w:r w:rsidRPr="00265DD8">
          <w:rPr>
            <w:color w:val="000000" w:themeColor="text1"/>
          </w:rPr>
          <w:fldChar w:fldCharType="begin"/>
        </w:r>
        <w:r w:rsidRPr="00265DD8">
          <w:rPr>
            <w:color w:val="000000" w:themeColor="text1"/>
          </w:rPr>
          <w:instrText xml:space="preserve"> PAGE   \* MERGEFORMAT </w:instrText>
        </w:r>
        <w:r w:rsidRPr="00265DD8">
          <w:rPr>
            <w:color w:val="000000" w:themeColor="text1"/>
          </w:rPr>
          <w:fldChar w:fldCharType="separate"/>
        </w:r>
        <w:r w:rsidRPr="00265DD8">
          <w:rPr>
            <w:noProof/>
            <w:color w:val="000000" w:themeColor="text1"/>
          </w:rPr>
          <w:t>2</w:t>
        </w:r>
        <w:r w:rsidRPr="00265DD8">
          <w:rPr>
            <w:noProof/>
            <w:color w:val="000000" w:themeColor="text1"/>
          </w:rPr>
          <w:fldChar w:fldCharType="end"/>
        </w:r>
      </w:p>
    </w:sdtContent>
  </w:sdt>
  <w:p w14:paraId="2B88EF7F" w14:textId="77777777" w:rsidR="00265DD8" w:rsidRPr="00265DD8" w:rsidRDefault="00265DD8">
    <w:pPr>
      <w:pStyle w:val="Footer"/>
      <w:rPr>
        <w:color w:val="000000" w:themeColor="tex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A6A752" w14:textId="77777777" w:rsidR="00265DD8" w:rsidRDefault="00265DD8" w:rsidP="00265DD8">
      <w:pPr>
        <w:spacing w:after="0" w:line="240" w:lineRule="auto"/>
      </w:pPr>
      <w:r>
        <w:separator/>
      </w:r>
    </w:p>
  </w:footnote>
  <w:footnote w:type="continuationSeparator" w:id="0">
    <w:p w14:paraId="5DD46431" w14:textId="77777777" w:rsidR="00265DD8" w:rsidRDefault="00265DD8" w:rsidP="00265DD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DD8"/>
    <w:rsid w:val="00265DD8"/>
    <w:rsid w:val="0048302E"/>
    <w:rsid w:val="005010CD"/>
    <w:rsid w:val="00630618"/>
    <w:rsid w:val="007C49F0"/>
    <w:rsid w:val="009F456A"/>
    <w:rsid w:val="00A9785E"/>
    <w:rsid w:val="00AD1D78"/>
    <w:rsid w:val="00B64481"/>
    <w:rsid w:val="00CA4353"/>
    <w:rsid w:val="00D4722B"/>
    <w:rsid w:val="00E218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A9A11C8"/>
  <w15:chartTrackingRefBased/>
  <w15:docId w15:val="{C9540A37-07CA-490A-B1AB-AB6631F53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5DD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5D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5DD8"/>
  </w:style>
  <w:style w:type="paragraph" w:styleId="Footer">
    <w:name w:val="footer"/>
    <w:basedOn w:val="Normal"/>
    <w:link w:val="FooterChar"/>
    <w:uiPriority w:val="99"/>
    <w:unhideWhenUsed/>
    <w:rsid w:val="00265D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5DD8"/>
  </w:style>
  <w:style w:type="character" w:styleId="Hyperlink">
    <w:name w:val="Hyperlink"/>
    <w:basedOn w:val="DefaultParagraphFont"/>
    <w:uiPriority w:val="99"/>
    <w:unhideWhenUsed/>
    <w:rsid w:val="0063061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stockphoto.com/photo/autumn-maple-leaf-transition-gm841292120-137192035"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gov.wales/sites/default/files/publications/2019-07/wales-a-play-friendly-country.pdf" TargetMode="External"/><Relationship Id="rId5" Type="http://schemas.openxmlformats.org/officeDocument/2006/relationships/endnotes" Target="endnotes.xml"/><Relationship Id="rId10" Type="http://schemas.openxmlformats.org/officeDocument/2006/relationships/hyperlink" Target="https://www.researchgate.net/figure/Bronfenbrenners-ecological-model-Diagram-by-Joel-Gibbs-based-on-Bronfenbrenners-1979_fig1_311843438" TargetMode="External"/><Relationship Id="rId4" Type="http://schemas.openxmlformats.org/officeDocument/2006/relationships/footnotes" Target="footnotes.xml"/><Relationship Id="rId9" Type="http://schemas.openxmlformats.org/officeDocument/2006/relationships/hyperlink" Target="http://search.ebscohost.com/login.aspx?direct=true&amp;db=eue&amp;AN=53291257&amp;site=ehost-liv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17</Pages>
  <Words>3195</Words>
  <Characters>18213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Hopkins</dc:creator>
  <cp:keywords/>
  <dc:description/>
  <cp:lastModifiedBy>Meg Hopkins</cp:lastModifiedBy>
  <cp:revision>9</cp:revision>
  <dcterms:created xsi:type="dcterms:W3CDTF">2022-12-04T23:22:00Z</dcterms:created>
  <dcterms:modified xsi:type="dcterms:W3CDTF">2022-12-04T23:59:00Z</dcterms:modified>
</cp:coreProperties>
</file>