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71667B" w14:textId="52AD13F5"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         </w:t>
      </w:r>
      <w:r>
        <w:rPr>
          <w:rFonts w:ascii="Times New Roman" w:hAnsi="Times New Roman" w:cs="Times New Roman"/>
        </w:rPr>
        <w:t xml:space="preserve">                                                  </w:t>
      </w:r>
      <w:r w:rsidRPr="009F29CB">
        <w:rPr>
          <w:rFonts w:ascii="Times New Roman" w:hAnsi="Times New Roman" w:cs="Times New Roman"/>
        </w:rPr>
        <w:t xml:space="preserve"> Module Code: SJSI5018</w:t>
      </w:r>
    </w:p>
    <w:p w14:paraId="3F757684"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r>
      <w:r w:rsidRPr="009F29CB">
        <w:rPr>
          <w:rFonts w:ascii="Times New Roman" w:hAnsi="Times New Roman" w:cs="Times New Roman"/>
        </w:rPr>
        <w:tab/>
      </w:r>
      <w:r w:rsidRPr="009F29CB">
        <w:rPr>
          <w:rFonts w:ascii="Times New Roman" w:hAnsi="Times New Roman" w:cs="Times New Roman"/>
        </w:rPr>
        <w:tab/>
      </w:r>
      <w:r w:rsidRPr="009F29CB">
        <w:rPr>
          <w:rFonts w:ascii="Times New Roman" w:hAnsi="Times New Roman" w:cs="Times New Roman"/>
        </w:rPr>
        <w:tab/>
        <w:t xml:space="preserve">        Assignment Number: 1</w:t>
      </w:r>
    </w:p>
    <w:p w14:paraId="18508D22"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r>
      <w:r w:rsidRPr="009F29CB">
        <w:rPr>
          <w:rFonts w:ascii="Times New Roman" w:hAnsi="Times New Roman" w:cs="Times New Roman"/>
        </w:rPr>
        <w:tab/>
      </w:r>
      <w:r w:rsidRPr="009F29CB">
        <w:rPr>
          <w:rFonts w:ascii="Times New Roman" w:hAnsi="Times New Roman" w:cs="Times New Roman"/>
        </w:rPr>
        <w:tab/>
      </w:r>
      <w:r w:rsidRPr="009F29CB">
        <w:rPr>
          <w:rFonts w:ascii="Times New Roman" w:hAnsi="Times New Roman" w:cs="Times New Roman"/>
        </w:rPr>
        <w:tab/>
        <w:t xml:space="preserve">        Student Number: 1704013</w:t>
      </w:r>
    </w:p>
    <w:p w14:paraId="65430965"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Choose a group in society and consider how they have had to engage with the ‘politics of recognition’ in order to seek greater equity in the last 50 years. </w:t>
      </w:r>
    </w:p>
    <w:p w14:paraId="57CC62CC" w14:textId="77777777" w:rsidR="009F29CB" w:rsidRPr="009F29CB" w:rsidRDefault="009F29CB" w:rsidP="009F29CB">
      <w:pPr>
        <w:spacing w:line="360" w:lineRule="auto"/>
        <w:jc w:val="both"/>
        <w:rPr>
          <w:rFonts w:ascii="Times New Roman" w:hAnsi="Times New Roman" w:cs="Times New Roman"/>
          <w:u w:val="single"/>
        </w:rPr>
      </w:pPr>
      <w:r w:rsidRPr="009F29CB">
        <w:rPr>
          <w:rFonts w:ascii="Times New Roman" w:hAnsi="Times New Roman" w:cs="Times New Roman"/>
          <w:u w:val="single"/>
        </w:rPr>
        <w:t>Introduction</w:t>
      </w:r>
    </w:p>
    <w:p w14:paraId="56F716A8"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This assignment is going to exploring the history about black minorities settling in the United Kingdom within the last fifty years, how they came to be in the UK and what challenges they have faced. It will trace their history back to the first Windrush generation that was invited to settle in the UK in 1948 following WWII, the UK suffered enormously struggling to rebuild the economy and expand the welfare state from the impact the war; From extreme debt to fuel shortages and a large financial crisis all that was restricting the UK from recovery (Jr and B, 2016). Wilkinson (2019) states that due to the state of the British economy following the war, the UK Government sought help and invited Caribbean nationals to settle in Britain in order to help rebuild the economy. After Britain had suffered such great loss, large vessels were sent from Britain to the Caribbean to collect anyone who was interested in accepting the invitation to start a new life in the UK. The most famous of these vessels to arrive in post-war ravaged Britain was in Tilbury Docks on 22nd of June 1948, carrying the first 492 Caribbean immigrant workers. Today this is described as an iconic moment in black British history as they helped to contribute, rebuild and transform British life (Jukes, 2008).</w:t>
      </w:r>
    </w:p>
    <w:p w14:paraId="602D101C" w14:textId="77777777" w:rsidR="009F29CB" w:rsidRPr="009F29CB" w:rsidRDefault="009F29CB" w:rsidP="009F29CB">
      <w:pPr>
        <w:spacing w:line="360" w:lineRule="auto"/>
        <w:jc w:val="both"/>
        <w:rPr>
          <w:rFonts w:ascii="Times New Roman" w:hAnsi="Times New Roman" w:cs="Times New Roman"/>
          <w:u w:val="single"/>
        </w:rPr>
      </w:pPr>
      <w:r w:rsidRPr="009F29CB">
        <w:rPr>
          <w:rFonts w:ascii="Times New Roman" w:hAnsi="Times New Roman" w:cs="Times New Roman"/>
          <w:u w:val="single"/>
        </w:rPr>
        <w:t>Main Body</w:t>
      </w:r>
    </w:p>
    <w:p w14:paraId="3BCFDD49" w14:textId="437B4D29"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From the </w:t>
      </w:r>
      <w:r w:rsidRPr="009F29CB">
        <w:rPr>
          <w:rFonts w:ascii="Times New Roman" w:hAnsi="Times New Roman" w:cs="Times New Roman"/>
        </w:rPr>
        <w:t>mid-1900s</w:t>
      </w:r>
      <w:r w:rsidRPr="009F29CB">
        <w:rPr>
          <w:rFonts w:ascii="Times New Roman" w:hAnsi="Times New Roman" w:cs="Times New Roman"/>
        </w:rPr>
        <w:t xml:space="preserve"> onwards, immigrants continued to relocate to Britain in search of a new life as for most of the 1900s, Britain held no immigration laws, meaning that they were welcome to move to the country, evolving the UK into a thriving multi-ethnic country (Panayi, 1999). Levy and Smart (2002) believe that Britain was not a welcoming country for immigrants during this time many experienced poor quality of life being housed in overcrowded urban rundown areas, often being taken </w:t>
      </w:r>
      <w:r w:rsidRPr="009F29CB">
        <w:rPr>
          <w:rFonts w:ascii="Times New Roman" w:hAnsi="Times New Roman" w:cs="Times New Roman"/>
        </w:rPr>
        <w:t>advantage</w:t>
      </w:r>
      <w:r w:rsidRPr="009F29CB">
        <w:rPr>
          <w:rFonts w:ascii="Times New Roman" w:hAnsi="Times New Roman" w:cs="Times New Roman"/>
        </w:rPr>
        <w:t xml:space="preserve"> of by greedy employers who would employ ‘illegal’ immigrants for very little pay. Due to their limited English language they could not complain about low pay, harsh working conditions or unfair employment.  Levy and Smart (2002) continue that immigrant families were not originally brought to Britain, only individuals, which meant many had to leave their loved ones behind. They were only allowed areas of employment and they were required to keep this job for 3 years. Many employers took advantage of as many workers feared being sent back to refugee camps, so they worked unconditionally. Early men and woman migrant workers were exploited heavily in Britain as they needed employment and would work for a low wage. Employment ranged from working as casual cheap labourers, manufactures and gardeners whilst for woman work involved being a maid, nanny, cleaner or as a sex </w:t>
      </w:r>
      <w:r w:rsidRPr="009F29CB">
        <w:rPr>
          <w:rFonts w:ascii="Times New Roman" w:hAnsi="Times New Roman" w:cs="Times New Roman"/>
        </w:rPr>
        <w:lastRenderedPageBreak/>
        <w:t>worker, as well as several other aspects of employment which aimed to demands of more privileged Britons (McDowell, 2013).</w:t>
      </w:r>
    </w:p>
    <w:p w14:paraId="30690E90" w14:textId="3923DC34"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The Empire Windrush is the most </w:t>
      </w:r>
      <w:r w:rsidRPr="009F29CB">
        <w:rPr>
          <w:rFonts w:ascii="Times New Roman" w:hAnsi="Times New Roman" w:cs="Times New Roman"/>
        </w:rPr>
        <w:t>well-known</w:t>
      </w:r>
      <w:r w:rsidRPr="009F29CB">
        <w:rPr>
          <w:rFonts w:ascii="Times New Roman" w:hAnsi="Times New Roman" w:cs="Times New Roman"/>
        </w:rPr>
        <w:t xml:space="preserve"> ship to arrive in Britain carrying migrant workers, however the first ship to arrive in Britain the previous year was the </w:t>
      </w:r>
      <w:proofErr w:type="spellStart"/>
      <w:r w:rsidRPr="009F29CB">
        <w:rPr>
          <w:rFonts w:ascii="Times New Roman" w:hAnsi="Times New Roman" w:cs="Times New Roman"/>
        </w:rPr>
        <w:t>Ormande</w:t>
      </w:r>
      <w:proofErr w:type="spellEnd"/>
      <w:r w:rsidRPr="009F29CB">
        <w:rPr>
          <w:rFonts w:ascii="Times New Roman" w:hAnsi="Times New Roman" w:cs="Times New Roman"/>
        </w:rPr>
        <w:t xml:space="preserve"> in 1947, carrying 110 Jamaican workers and 10 stowaways. Britain’s labour shortage was estimated at 1,346,000 following the end of the war (Searle, 2013). Searle (2013) states The Windrush received the most attention from the Birmingham Mail with the headline on their arrival stating, ’Jamaicans Seeking Work in Britain’. Due to the blitz and destruction there was a severe shortage of housing as slums were being cleared and the council house scheme was beginning to take effect in Britain. Many landlords began discriminating against migrants looking for house by posting signs in their windows stating ‘No blacks, no Irish, no dogs’. Due to the rise in racial tensions throughout Britain and the racial discrimination some experience lead to the Notting Riots in London in 1958. The Notting Riots lasted for an entire week and included racial violence where groups of up to 400 people were attacking black residents in their own homes throughout Notting Hill and Nottingham’s urban areas creating severe racial tension (Schofield and Jones, 2019). Unknown (2020) states that there were no fatalities reported throughout the Notting Hill riots. However, there were a large number of arrests and it is argued that the Macmillan Government attempted to suppress the incident as the police reported it as ‘widespread street disturbances’ rather than racial riots as it was clear there was a lot of ill feeling and racial discrimination between black and white residents. </w:t>
      </w:r>
    </w:p>
    <w:p w14:paraId="49608A5F" w14:textId="7AB6FD12"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Racial tension continued to rise in Britain during the 1960s such as in places like Middlesbrough and London. Middlesbrough saw a rise in Pakistani residents settling, </w:t>
      </w:r>
      <w:r w:rsidRPr="009F29CB">
        <w:rPr>
          <w:rFonts w:ascii="Times New Roman" w:hAnsi="Times New Roman" w:cs="Times New Roman"/>
        </w:rPr>
        <w:t>most of</w:t>
      </w:r>
      <w:r w:rsidRPr="009F29CB">
        <w:rPr>
          <w:rFonts w:ascii="Times New Roman" w:hAnsi="Times New Roman" w:cs="Times New Roman"/>
        </w:rPr>
        <w:t xml:space="preserve"> them men over women earning their living with factory work, labourer work and other establishments (Panayi, 2020). Panayi (2020) continues that as time went on many Pakistanis were in the position to establish their own small businesses and purchase their own homes with the goal of earning as much money as possible to send home to their families. Cannon street in Middlesbrough was known to have the worst slums and in 1961 a young lad was stabbed, and an Arab man was arrested. The following day a mob attacked a café owned by an English woman and her Pakistani husband throwing bricks and setting a table on fire. The chaos continued as the mob turned on police throwing bricks and violently attacking them resulting in a mob of 500 strong white rioters in Middlesbrough. Consequently, many black residents had to leave the area during rioting for their own safety. </w:t>
      </w:r>
    </w:p>
    <w:p w14:paraId="17A9331C"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Due to the rise in other minorities settling in Britain, which caused further race related riots and destructive behaviour, the UK Government was prompted to create the Race Relations Act in 1965 (The Race Relations Act 1965) The act outlawed any form of racial discrimination in any public place, meaning that racial behaviour of any kind is prohibited regardless of colour, race, ethnic or national origins to protect those who decided to stay in Britain. The Race Relations Act 1965 led to the creation </w:t>
      </w:r>
      <w:r w:rsidRPr="009F29CB">
        <w:rPr>
          <w:rFonts w:ascii="Times New Roman" w:hAnsi="Times New Roman" w:cs="Times New Roman"/>
        </w:rPr>
        <w:lastRenderedPageBreak/>
        <w:t xml:space="preserve">of the First Report of the Race Relations Board (1966-1977), a committee that was established in England, Wales and Scotland to assess and attempt to resolve racial discrimination disputes. They only had the authority to mediate disputes under the Race Reactions Act 1965, many disputes came under discrimination in a public place or with housing tenancy agreements between tenant and landlord. </w:t>
      </w:r>
    </w:p>
    <w:p w14:paraId="511A6F6B"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Racial discrimination continued into the 1980s, seeing many riots throughout Britain, particularly involving black youths as years of racial discrimination, exhausted resources, harassment, anger, frustration and poor quality of life reached its peak (Jefferson, 2011). In 1981, there was a call for urgent action on tackling racial discrimination disorders in Brixton in London, and particularly in urban parts of the UK (Jenkins and </w:t>
      </w:r>
      <w:proofErr w:type="spellStart"/>
      <w:r w:rsidRPr="009F29CB">
        <w:rPr>
          <w:rFonts w:ascii="Times New Roman" w:hAnsi="Times New Roman" w:cs="Times New Roman"/>
        </w:rPr>
        <w:t>Solomos</w:t>
      </w:r>
      <w:proofErr w:type="spellEnd"/>
      <w:r w:rsidRPr="009F29CB">
        <w:rPr>
          <w:rFonts w:ascii="Times New Roman" w:hAnsi="Times New Roman" w:cs="Times New Roman"/>
        </w:rPr>
        <w:t xml:space="preserve">, 1989). Jenkins and </w:t>
      </w:r>
      <w:proofErr w:type="spellStart"/>
      <w:r w:rsidRPr="009F29CB">
        <w:rPr>
          <w:rFonts w:ascii="Times New Roman" w:hAnsi="Times New Roman" w:cs="Times New Roman"/>
        </w:rPr>
        <w:t>Solomos</w:t>
      </w:r>
      <w:proofErr w:type="spellEnd"/>
      <w:r w:rsidRPr="009F29CB">
        <w:rPr>
          <w:rFonts w:ascii="Times New Roman" w:hAnsi="Times New Roman" w:cs="Times New Roman"/>
        </w:rPr>
        <w:t xml:space="preserve"> (1989) continue that during this time there was limited action in the pursuit of racial justice and instead of dealing with the root of the problem, the government instead chose to provide police with more resources such as training and equipment to deal with racial discrimination in urban areas. The 1980s are known to have had some of the fiercest racial and industrial disputes in the UK due to wholesale de-industrialisation and mass unemployment amongst youths, especially young black youths who on top of mass unemployment had to deal with forever growing racial discrimination (Jefferson, 2011). The St Pauls riot in Bristol in 1980 kickstarted following years of racial harassment. Police raided a café that was a place for black youths to meet as the section was cornered off for 2 hours a mass crowd gathered of black youths (some white) and they began attacking police and their vehicles. The police severely unprepared for the attack and outnumbered; the police called for reinforcements and the result of the riot was 130 arrests and 91 charges of minor offences (Unknown, 1981).  Rioting also occurred in Tottenham, London in 1985 following the death of a black individual by the hands of police. This is said to have sparked a chain of major disturbances and tensions between police and the black community over the past few decades, particularly in poor and deprived areas in Britain, following years of racial discrimination and injustice (Jefferson, 2011). </w:t>
      </w:r>
    </w:p>
    <w:p w14:paraId="7E314930"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Racial harassment and behaviour have continued throughout areas of Britain for many decades The Institute of Race Relations documented that between 1970 and 2003, 124 racially motivated murders have taken place. Within the space of a year 53,090 racial incidents were reported to police across England and Wales; 7887 were racist common assaults as figures of a British crime survey show (Cottle, 2005). A now famous racial hate crime that changed the course of race related crime is the unjustified murder of eighteen-year-old Stephen Lawrence in London 1993. Lawrence was at a bus stop with a friend when his friend simply shouted to Lawrence asking if he could see the bus, which caught the attention of a gang of 4-5 white youths on the opposite side of the road (Macpherson, 1999). Macpherson (1999) continues that one youth shouted ‘What, what nigger?’ and the group of youths quickly attacked Lawrence stabbing him twice, and he still manged to fight for life by standing and moving 130 yards before he sadly collapsed and died from his fatal injuries. Lawrence’s friend ran to his parents for help during the attack and the youths ran off. Lawrence’s parents gained supporters </w:t>
      </w:r>
      <w:r w:rsidRPr="009F29CB">
        <w:rPr>
          <w:rFonts w:ascii="Times New Roman" w:hAnsi="Times New Roman" w:cs="Times New Roman"/>
        </w:rPr>
        <w:lastRenderedPageBreak/>
        <w:t>campaigning for justice for their son and themselves. At the time, there was less media coverage than available today, however they managed to get their voice heard, demanding justice, by many eventually expanding the seriousness of the case (Cathcart, 2000). Cottle (2005) states that initially when the case was in the Criminal Justice System there were two police inquiries and reviews, a crown prosecution and private prosecution, coroners public inquest, trial proceedings and a public inquiry that was authorized by New Labour Home Secretary. However, all these events did not take place until four years after the murder. With a long delay in attempting to acquire any justice for Lawrence and his family lead to the Sir William Macpherson report. The report established that within this unjustified racial attack on Lawrence, the case showed police incompetence and institutional racism playing a part within the police force (Macpherson, 1999). Cottle (2005) continues that the report was designed to reform police practice regarding any racial discrimination by increasing the recruitment of ethnic minorities and introducing social improvement methods to tackle the institutional racism that became publicly acknowledged in British society for the first time and incorporated many institutions. Commons Select Committee (2020) states in 1998, Sir William Macpherson chaired the Lawrence inquiry making 70 recommendations to the Government, police services and other stakeholders, also accusing the Metropolitan police of institutional racism. The Metropolitan police apologized for failing to respond and investigate the murder promptly and professionally. The Macpherson report was published in 1999, with Macpherson recommending that progress from the report within the criminal justice system and other organisations be monitored on performance. The number of racially motivated incidents should be recorded to ensure that there is fair and equal treatment for all ethnic groups. There has been some progress over time. (Commons Select Committee, 2020).</w:t>
      </w:r>
    </w:p>
    <w:p w14:paraId="43D1B72A"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Recent protesting and debates regarding racial discrimination and equality have continued to grow into the 2000s. Now with social media platforms and 24-hour constant connection across the globe society is more connected than ever before, giving so many the opportunity to protest and let their thoughts and values be seen by millions. In 2013, three black American women posted a now famous hashtag on the social media platform Twitter which stated #BlackLivesMatter.  This was as a form of protest in response to a neighbourhood watch captain George Zimmerman being found not guilty and acquitted for shooting an unarmed African American teenager Trayvon Martin (Tilery, 2018). Zimmerman was patrolling in Sanford, Florida on neighbourhood watch when he rang 911 to report a ‘suspicious person’ in the neighbourhood. Zimmerman was instructed not to leave his vehicle or approach Martin, instructions that he ignored and left his vehicle to approach Martin, neighbours reported hearing gunshots. Zimmerman stated he shot Martin in self-defence, but the police report reads that Martin was bleeding from his nose and the back of his head (Research, 2020). Garza (2014) states that the Black Lives Matter (BLM) hashtag gained a lot of attention in 2013. Police reform advocates used this to express their opinions and feelings regarding high profile cases of police treatment of African American men and woman which resulted in a fatality. The fast growing BLM movement </w:t>
      </w:r>
      <w:r w:rsidRPr="009F29CB">
        <w:rPr>
          <w:rFonts w:ascii="Times New Roman" w:hAnsi="Times New Roman" w:cs="Times New Roman"/>
        </w:rPr>
        <w:lastRenderedPageBreak/>
        <w:t xml:space="preserve">sparked more outrage of police actions towards African Americans in 2014 when another African American teenager, Michael Brown, was shot and killed by Darren Wilson, a white police officer in Ferguson Missouri, whilst he was completely unarmed (Bonilla and Rosa 2015). Witness accounts about the case varied and a thorough investigation took place re-interviewing witnesses to establish any inconsistencies in their version of events for the most accurate results. The decision was made that Wilson did not commit any prosecutable violations under federal law, however an unarmed 18 year old African American was now dead from at least 8 gunshot wounds as Wilson had fired 12 shots at unarmed Brown (Department of Justice, 2015). </w:t>
      </w:r>
    </w:p>
    <w:p w14:paraId="5F6CA27E" w14:textId="77777777" w:rsidR="009F29CB" w:rsidRPr="009F29CB" w:rsidRDefault="009F29CB" w:rsidP="009F29CB">
      <w:pPr>
        <w:spacing w:line="360" w:lineRule="auto"/>
        <w:ind w:firstLine="720"/>
        <w:jc w:val="both"/>
        <w:rPr>
          <w:rFonts w:ascii="Times New Roman" w:hAnsi="Times New Roman" w:cs="Times New Roman"/>
        </w:rPr>
      </w:pPr>
      <w:r w:rsidRPr="009F29CB">
        <w:rPr>
          <w:rFonts w:ascii="Times New Roman" w:hAnsi="Times New Roman" w:cs="Times New Roman"/>
        </w:rPr>
        <w:t xml:space="preserve">The BLM movement is evolving and forever growing into a powerful statement across the globe that expresses racial profiling with the criminal justice system failing to uphold the basic treatment of equality amongst white and black individuals; the claim being that law enforcement uses excessive force and that more fatalities occur amongst black individuals than white and officers are rarely convicted, even if the death wasn’t justified  (The Sentencing Project, 2015). </w:t>
      </w:r>
      <w:proofErr w:type="spellStart"/>
      <w:r w:rsidRPr="009F29CB">
        <w:rPr>
          <w:rFonts w:ascii="Times New Roman" w:hAnsi="Times New Roman" w:cs="Times New Roman"/>
        </w:rPr>
        <w:t>DeGue</w:t>
      </w:r>
      <w:proofErr w:type="spellEnd"/>
      <w:r w:rsidRPr="009F29CB">
        <w:rPr>
          <w:rFonts w:ascii="Times New Roman" w:hAnsi="Times New Roman" w:cs="Times New Roman"/>
        </w:rPr>
        <w:t xml:space="preserve">, Fowler and Calkins (2016) state that widespread research is limited regarding the police using excessive force, particularly occurring amongst people of different minorities in the US. Nationwide protests became more apparent in 2015 with the BLM movement as protesters questioned issues of race and social inequality, but also the risk to black minorities who are vulnerable with a high risk of mental illness. The fact that the term lethal force is used stresses the risks that face police in the field, but the use of lethal force is only deemed necessary when police of members of the public are in immediate potentially life-threatening danger. </w:t>
      </w:r>
      <w:proofErr w:type="spellStart"/>
      <w:r w:rsidRPr="009F29CB">
        <w:rPr>
          <w:rFonts w:ascii="Times New Roman" w:hAnsi="Times New Roman" w:cs="Times New Roman"/>
        </w:rPr>
        <w:t>DeGue</w:t>
      </w:r>
      <w:proofErr w:type="spellEnd"/>
      <w:r w:rsidRPr="009F29CB">
        <w:rPr>
          <w:rFonts w:ascii="Times New Roman" w:hAnsi="Times New Roman" w:cs="Times New Roman"/>
        </w:rPr>
        <w:t xml:space="preserve">, Fowler and Calkins (2016) continue that recent data shows that police using lethal force as legal intervention has resulted in a 45% increase in fatalities between 1999 and 2013, with most of this percentage being from black minorities. The original #BlackLivesMatter hashtag in 2013 was a call of action to investigate anti-black racism within the criminal justice system with both on and offline activists coming together in a large social movement. The original anti-racism hashtag soon was challenged by a new hashtag stating #AllLivesMatter (ALM) (Gallagher, Reagan, </w:t>
      </w:r>
      <w:proofErr w:type="spellStart"/>
      <w:r w:rsidRPr="009F29CB">
        <w:rPr>
          <w:rFonts w:ascii="Times New Roman" w:hAnsi="Times New Roman" w:cs="Times New Roman"/>
        </w:rPr>
        <w:t>Danforth</w:t>
      </w:r>
      <w:proofErr w:type="spellEnd"/>
      <w:r w:rsidRPr="009F29CB">
        <w:rPr>
          <w:rFonts w:ascii="Times New Roman" w:hAnsi="Times New Roman" w:cs="Times New Roman"/>
        </w:rPr>
        <w:t xml:space="preserve"> and </w:t>
      </w:r>
      <w:proofErr w:type="spellStart"/>
      <w:r w:rsidRPr="009F29CB">
        <w:rPr>
          <w:rFonts w:ascii="Times New Roman" w:hAnsi="Times New Roman" w:cs="Times New Roman"/>
        </w:rPr>
        <w:t>Dodds</w:t>
      </w:r>
      <w:proofErr w:type="spellEnd"/>
      <w:r w:rsidRPr="009F29CB">
        <w:rPr>
          <w:rFonts w:ascii="Times New Roman" w:hAnsi="Times New Roman" w:cs="Times New Roman"/>
        </w:rPr>
        <w:t xml:space="preserve">, 2018). Gallagher, Reagan, </w:t>
      </w:r>
      <w:proofErr w:type="spellStart"/>
      <w:r w:rsidRPr="009F29CB">
        <w:rPr>
          <w:rFonts w:ascii="Times New Roman" w:hAnsi="Times New Roman" w:cs="Times New Roman"/>
        </w:rPr>
        <w:t>Danforth</w:t>
      </w:r>
      <w:proofErr w:type="spellEnd"/>
      <w:r w:rsidRPr="009F29CB">
        <w:rPr>
          <w:rFonts w:ascii="Times New Roman" w:hAnsi="Times New Roman" w:cs="Times New Roman"/>
        </w:rPr>
        <w:t xml:space="preserve"> and </w:t>
      </w:r>
      <w:proofErr w:type="spellStart"/>
      <w:r w:rsidRPr="009F29CB">
        <w:rPr>
          <w:rFonts w:ascii="Times New Roman" w:hAnsi="Times New Roman" w:cs="Times New Roman"/>
        </w:rPr>
        <w:t>Dodds</w:t>
      </w:r>
      <w:proofErr w:type="spellEnd"/>
      <w:r w:rsidRPr="009F29CB">
        <w:rPr>
          <w:rFonts w:ascii="Times New Roman" w:hAnsi="Times New Roman" w:cs="Times New Roman"/>
        </w:rPr>
        <w:t xml:space="preserve">, (2018) continue that the statement ALM calls for equal attention to all lives but the BLM movement states this derails the purpose of BLM. Research shows that ALM has received far less attention as it can be perceived as ‘race neutral’ or ‘colour blind’ to racial inequalities that the ALM hashtag are seemingly evading race discrimination being a factor in police shooting unarmed black individuals and using excessive force. </w:t>
      </w:r>
    </w:p>
    <w:p w14:paraId="65A2AC9D"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As previously stated, many immigrants were invited to settle in the UK to help re-build its broken economy. Between 1948-1973 an estimated nearly 600,000 commonwealth citizens came to settle in Britain and call it their home. However, in late 2017, the media began reports stating members of the Windrush Generation were being denied public services, being detained at UK borders, being removed from the UK or being denied re-access (House of Commons, 2020). Williams (2020) believes that the Windrush generation have been treated terribly by Britain as they were invited here to settle for </w:t>
      </w:r>
      <w:r w:rsidRPr="009F29CB">
        <w:rPr>
          <w:rFonts w:ascii="Times New Roman" w:hAnsi="Times New Roman" w:cs="Times New Roman"/>
        </w:rPr>
        <w:lastRenderedPageBreak/>
        <w:t xml:space="preserve">the rest of their lives by the Government. Although the 1971 Immigration Act confirmed they had legal rights to reside in Britain, they were provided with no documentation of citizenship as proof of their status. Williams (2020) continues that as time has passed immigration laws have changed around the Windrush generation with them completely unaware, and with a complete disregard for their lives in the UK. Home Office officials were made aware by the media of what was happening to some of the Windrush Generation but failed to act quickly to resolve the issue (Freedom from Torture, 2020). The law that changed everything for the Windrush generation was the Hostile Environment Policy (2012) that was designed to make life difficult for illegal immigrants in the UK so that they would voluntarily leave. This involved public survives conducting ID checks and if UK citizenship could not be proved, the services of NHS healthcare and state benefits would be refused or discontinued. The ID checks included private lettings also and if these ID checks were refused by any organisation, extreme fines of up to £10,000 were in place. In 2013 members of the Windrush Generation received letters stating they had no legal right to live in the UK and were being treated as illegal immigrants. This resulted in some losing their homes, jobs and income and being at risk of deportation from the UK (Freedom </w:t>
      </w:r>
      <w:proofErr w:type="gramStart"/>
      <w:r w:rsidRPr="009F29CB">
        <w:rPr>
          <w:rFonts w:ascii="Times New Roman" w:hAnsi="Times New Roman" w:cs="Times New Roman"/>
        </w:rPr>
        <w:t>From</w:t>
      </w:r>
      <w:proofErr w:type="gramEnd"/>
      <w:r w:rsidRPr="009F29CB">
        <w:rPr>
          <w:rFonts w:ascii="Times New Roman" w:hAnsi="Times New Roman" w:cs="Times New Roman"/>
        </w:rPr>
        <w:t xml:space="preserve"> Torture, 2020). Gower (2020) states that the Home Office eventually responded to the Windrush scandal in 2018 for wrongly detaining or removing those who were rightly here from the Windrush generation. They are currently attempting to put measures in place such as issuing correct documents of status to citizens, established the Windrush taskforce to support those eligible for compensation and UK residency, and issuing compensation to those wrongly affected by negligence within the Home Office. Many of these corrections are still in progress as those affected from the Windrush generation need to apply to see if they are eligible for legal UK status and any compensation, they are entitled to. Unfortunately for some of those affected, the Home Office’s slow response is too little too late as some have already passed away before their case can be resolved and no amount of compensation can justify that (Gower, 2020). </w:t>
      </w:r>
    </w:p>
    <w:p w14:paraId="2CC4F201" w14:textId="77777777" w:rsidR="009F29CB" w:rsidRPr="009F29CB" w:rsidRDefault="009F29CB" w:rsidP="009F29CB">
      <w:pPr>
        <w:spacing w:line="360" w:lineRule="auto"/>
        <w:jc w:val="both"/>
        <w:rPr>
          <w:rFonts w:ascii="Times New Roman" w:hAnsi="Times New Roman" w:cs="Times New Roman"/>
          <w:u w:val="single"/>
        </w:rPr>
      </w:pPr>
      <w:r w:rsidRPr="009F29CB">
        <w:rPr>
          <w:rFonts w:ascii="Times New Roman" w:hAnsi="Times New Roman" w:cs="Times New Roman"/>
          <w:u w:val="single"/>
        </w:rPr>
        <w:t>Conclusion</w:t>
      </w:r>
    </w:p>
    <w:p w14:paraId="1A84EA94" w14:textId="09C34DB3"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When the UK Government invited the Windrush Generation to settle in Britain in 1948, it was the Government’s obligation to arrange the correct documentation as proof of status in order to have the right to remain without dispute or life changing consequences. When the Windrush Generation arrived, as previously stated, they were taken advantage of and treated appallingly with no protection in place at the time. Racial discrimination and tension have been apparent in the UK over the last several decades from evidence of extreme race related riots and protesting. Although the Government introduced the Race Relations Act (1965) in order to reduce racial discrimination in Britain, this law did not protect those of the Windrush Generation from future failings of a Government not safeguarding their British status when they introduced the Hostile Environment Policy in 2012. It appears that the policy and legislation to </w:t>
      </w:r>
      <w:r w:rsidRPr="009F29CB">
        <w:rPr>
          <w:rFonts w:ascii="Times New Roman" w:hAnsi="Times New Roman" w:cs="Times New Roman"/>
        </w:rPr>
        <w:t>protect</w:t>
      </w:r>
      <w:r w:rsidRPr="009F29CB">
        <w:rPr>
          <w:rFonts w:ascii="Times New Roman" w:hAnsi="Times New Roman" w:cs="Times New Roman"/>
        </w:rPr>
        <w:t xml:space="preserve"> the rights of the Windrush Generation were an </w:t>
      </w:r>
      <w:r w:rsidRPr="009F29CB">
        <w:rPr>
          <w:rFonts w:ascii="Times New Roman" w:hAnsi="Times New Roman" w:cs="Times New Roman"/>
        </w:rPr>
        <w:t>afterthought</w:t>
      </w:r>
      <w:r w:rsidRPr="009F29CB">
        <w:rPr>
          <w:rFonts w:ascii="Times New Roman" w:hAnsi="Times New Roman" w:cs="Times New Roman"/>
        </w:rPr>
        <w:t xml:space="preserve"> by the Government </w:t>
      </w:r>
      <w:r w:rsidRPr="009F29CB">
        <w:rPr>
          <w:rFonts w:ascii="Times New Roman" w:hAnsi="Times New Roman" w:cs="Times New Roman"/>
        </w:rPr>
        <w:lastRenderedPageBreak/>
        <w:t xml:space="preserve">and it continues to this day. Due to the recent treatment of the Windrush Generation, some already lost their lives before their case was handled and this cannot be rectified. </w:t>
      </w:r>
    </w:p>
    <w:p w14:paraId="7827FDEA" w14:textId="262B2B89"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ab/>
        <w:t xml:space="preserve">Rioting and protesting regarding racial rights, inequalities and discrimination can be justified to a degree as it is evident that a lot of mistreatment has been experienced by ethnic minorities.  Evidence of institutional racism as recent as the 1990s following the Stephen Lawrence case was poorly handled and neglected by the criminal justice system for four years. This again seems to have been an </w:t>
      </w:r>
      <w:r w:rsidRPr="009F29CB">
        <w:rPr>
          <w:rFonts w:ascii="Times New Roman" w:hAnsi="Times New Roman" w:cs="Times New Roman"/>
        </w:rPr>
        <w:t>afterthought</w:t>
      </w:r>
      <w:r w:rsidRPr="009F29CB">
        <w:rPr>
          <w:rFonts w:ascii="Times New Roman" w:hAnsi="Times New Roman" w:cs="Times New Roman"/>
        </w:rPr>
        <w:t xml:space="preserve"> and could be perceived as ‘not as important’ during its time. Racial tension and disputes have continued for many decades and continue with the recent BLM movement. They believe they have the right to have their voices heard and it seems that vocal, physical and online forms of protest are they only ways for them to act to express their outrage in relation to inequality and social injustice within British society.</w:t>
      </w:r>
    </w:p>
    <w:p w14:paraId="3144E528" w14:textId="77777777" w:rsidR="009F29CB" w:rsidRPr="009F29CB" w:rsidRDefault="009F29CB" w:rsidP="009F29CB">
      <w:pPr>
        <w:spacing w:line="360" w:lineRule="auto"/>
        <w:jc w:val="both"/>
        <w:rPr>
          <w:rFonts w:ascii="Times New Roman" w:hAnsi="Times New Roman" w:cs="Times New Roman"/>
        </w:rPr>
      </w:pPr>
    </w:p>
    <w:p w14:paraId="3B17FFC8" w14:textId="77777777" w:rsidR="009F29CB" w:rsidRPr="009F29CB" w:rsidRDefault="009F29CB" w:rsidP="009F29CB">
      <w:pPr>
        <w:spacing w:line="360" w:lineRule="auto"/>
        <w:jc w:val="both"/>
        <w:rPr>
          <w:rFonts w:ascii="Times New Roman" w:hAnsi="Times New Roman" w:cs="Times New Roman"/>
        </w:rPr>
      </w:pPr>
    </w:p>
    <w:p w14:paraId="22BC63BD" w14:textId="77777777" w:rsidR="009F29CB" w:rsidRPr="009F29CB" w:rsidRDefault="009F29CB" w:rsidP="009F29CB">
      <w:pPr>
        <w:spacing w:line="360" w:lineRule="auto"/>
        <w:jc w:val="both"/>
        <w:rPr>
          <w:rFonts w:ascii="Times New Roman" w:hAnsi="Times New Roman" w:cs="Times New Roman"/>
        </w:rPr>
      </w:pPr>
    </w:p>
    <w:p w14:paraId="304B1976" w14:textId="77777777" w:rsidR="009F29CB" w:rsidRPr="009F29CB" w:rsidRDefault="009F29CB" w:rsidP="009F29CB">
      <w:pPr>
        <w:spacing w:line="360" w:lineRule="auto"/>
        <w:jc w:val="both"/>
        <w:rPr>
          <w:rFonts w:ascii="Times New Roman" w:hAnsi="Times New Roman" w:cs="Times New Roman"/>
        </w:rPr>
      </w:pPr>
    </w:p>
    <w:p w14:paraId="4C1C8880" w14:textId="77777777" w:rsidR="009F29CB" w:rsidRPr="009F29CB" w:rsidRDefault="009F29CB" w:rsidP="009F29CB">
      <w:pPr>
        <w:spacing w:line="360" w:lineRule="auto"/>
        <w:jc w:val="both"/>
        <w:rPr>
          <w:rFonts w:ascii="Times New Roman" w:hAnsi="Times New Roman" w:cs="Times New Roman"/>
        </w:rPr>
      </w:pPr>
    </w:p>
    <w:p w14:paraId="7DAD7F06" w14:textId="77777777" w:rsidR="009F29CB" w:rsidRPr="009F29CB" w:rsidRDefault="009F29CB" w:rsidP="009F29CB">
      <w:pPr>
        <w:spacing w:line="360" w:lineRule="auto"/>
        <w:jc w:val="both"/>
        <w:rPr>
          <w:rFonts w:ascii="Times New Roman" w:hAnsi="Times New Roman" w:cs="Times New Roman"/>
        </w:rPr>
      </w:pPr>
    </w:p>
    <w:p w14:paraId="03EEF1EF" w14:textId="77777777" w:rsidR="009F29CB" w:rsidRPr="009F29CB" w:rsidRDefault="009F29CB" w:rsidP="009F29CB">
      <w:pPr>
        <w:spacing w:line="360" w:lineRule="auto"/>
        <w:jc w:val="both"/>
        <w:rPr>
          <w:rFonts w:ascii="Times New Roman" w:hAnsi="Times New Roman" w:cs="Times New Roman"/>
        </w:rPr>
      </w:pPr>
    </w:p>
    <w:p w14:paraId="00C40EE8" w14:textId="77777777" w:rsidR="009F29CB" w:rsidRPr="009F29CB" w:rsidRDefault="009F29CB" w:rsidP="009F29CB">
      <w:pPr>
        <w:spacing w:line="360" w:lineRule="auto"/>
        <w:jc w:val="both"/>
        <w:rPr>
          <w:rFonts w:ascii="Times New Roman" w:hAnsi="Times New Roman" w:cs="Times New Roman"/>
        </w:rPr>
      </w:pPr>
    </w:p>
    <w:p w14:paraId="7C7C8CC8" w14:textId="77777777" w:rsidR="009F29CB" w:rsidRPr="009F29CB" w:rsidRDefault="009F29CB" w:rsidP="009F29CB">
      <w:pPr>
        <w:spacing w:line="360" w:lineRule="auto"/>
        <w:jc w:val="both"/>
        <w:rPr>
          <w:rFonts w:ascii="Times New Roman" w:hAnsi="Times New Roman" w:cs="Times New Roman"/>
        </w:rPr>
      </w:pPr>
    </w:p>
    <w:p w14:paraId="5131BED5" w14:textId="77777777" w:rsidR="009F29CB" w:rsidRPr="009F29CB" w:rsidRDefault="009F29CB" w:rsidP="009F29CB">
      <w:pPr>
        <w:spacing w:line="360" w:lineRule="auto"/>
        <w:jc w:val="both"/>
        <w:rPr>
          <w:rFonts w:ascii="Times New Roman" w:hAnsi="Times New Roman" w:cs="Times New Roman"/>
        </w:rPr>
      </w:pPr>
    </w:p>
    <w:p w14:paraId="7C72BF3A" w14:textId="77777777" w:rsidR="009F29CB" w:rsidRPr="009F29CB" w:rsidRDefault="009F29CB" w:rsidP="009F29CB">
      <w:pPr>
        <w:spacing w:line="360" w:lineRule="auto"/>
        <w:jc w:val="both"/>
        <w:rPr>
          <w:rFonts w:ascii="Times New Roman" w:hAnsi="Times New Roman" w:cs="Times New Roman"/>
        </w:rPr>
      </w:pPr>
    </w:p>
    <w:p w14:paraId="591F09B5" w14:textId="77777777" w:rsidR="009F29CB" w:rsidRPr="009F29CB" w:rsidRDefault="009F29CB" w:rsidP="009F29CB">
      <w:pPr>
        <w:spacing w:line="360" w:lineRule="auto"/>
        <w:jc w:val="both"/>
        <w:rPr>
          <w:rFonts w:ascii="Times New Roman" w:hAnsi="Times New Roman" w:cs="Times New Roman"/>
        </w:rPr>
      </w:pPr>
    </w:p>
    <w:p w14:paraId="16C4457D" w14:textId="77777777" w:rsidR="009F29CB" w:rsidRPr="009F29CB" w:rsidRDefault="009F29CB" w:rsidP="009F29CB">
      <w:pPr>
        <w:spacing w:line="360" w:lineRule="auto"/>
        <w:jc w:val="both"/>
        <w:rPr>
          <w:rFonts w:ascii="Times New Roman" w:hAnsi="Times New Roman" w:cs="Times New Roman"/>
        </w:rPr>
      </w:pPr>
    </w:p>
    <w:p w14:paraId="02AA92FF" w14:textId="77777777" w:rsidR="009F29CB" w:rsidRPr="009F29CB" w:rsidRDefault="009F29CB" w:rsidP="009F29CB">
      <w:pPr>
        <w:spacing w:line="360" w:lineRule="auto"/>
        <w:jc w:val="both"/>
        <w:rPr>
          <w:rFonts w:ascii="Times New Roman" w:hAnsi="Times New Roman" w:cs="Times New Roman"/>
        </w:rPr>
      </w:pPr>
    </w:p>
    <w:p w14:paraId="64D5F828" w14:textId="77777777" w:rsidR="009F29CB" w:rsidRPr="009F29CB" w:rsidRDefault="009F29CB" w:rsidP="009F29CB">
      <w:pPr>
        <w:spacing w:line="360" w:lineRule="auto"/>
        <w:jc w:val="both"/>
        <w:rPr>
          <w:rFonts w:ascii="Times New Roman" w:hAnsi="Times New Roman" w:cs="Times New Roman"/>
        </w:rPr>
      </w:pPr>
    </w:p>
    <w:p w14:paraId="7F9E0739" w14:textId="77777777" w:rsidR="009F29CB" w:rsidRPr="009F29CB" w:rsidRDefault="009F29CB" w:rsidP="009F29CB">
      <w:pPr>
        <w:spacing w:line="360" w:lineRule="auto"/>
        <w:jc w:val="both"/>
        <w:rPr>
          <w:rFonts w:ascii="Times New Roman" w:hAnsi="Times New Roman" w:cs="Times New Roman"/>
        </w:rPr>
      </w:pPr>
    </w:p>
    <w:p w14:paraId="6C880DBD" w14:textId="77777777" w:rsidR="009F29CB" w:rsidRPr="009F29CB" w:rsidRDefault="009F29CB" w:rsidP="009F29CB">
      <w:pPr>
        <w:spacing w:line="360" w:lineRule="auto"/>
        <w:jc w:val="both"/>
        <w:rPr>
          <w:rFonts w:ascii="Times New Roman" w:hAnsi="Times New Roman" w:cs="Times New Roman"/>
        </w:rPr>
      </w:pPr>
    </w:p>
    <w:p w14:paraId="3A840B90" w14:textId="77777777" w:rsidR="009F29CB" w:rsidRPr="009F29CB" w:rsidRDefault="009F29CB" w:rsidP="009F29CB">
      <w:pPr>
        <w:spacing w:line="360" w:lineRule="auto"/>
        <w:jc w:val="both"/>
        <w:rPr>
          <w:rFonts w:ascii="Times New Roman" w:hAnsi="Times New Roman" w:cs="Times New Roman"/>
        </w:rPr>
      </w:pPr>
    </w:p>
    <w:p w14:paraId="76BC6F8C" w14:textId="77777777" w:rsidR="009F29CB" w:rsidRPr="009F29CB" w:rsidRDefault="009F29CB" w:rsidP="009F29CB">
      <w:pPr>
        <w:spacing w:line="360" w:lineRule="auto"/>
        <w:jc w:val="both"/>
        <w:rPr>
          <w:rFonts w:ascii="Times New Roman" w:hAnsi="Times New Roman" w:cs="Times New Roman"/>
        </w:rPr>
      </w:pPr>
    </w:p>
    <w:p w14:paraId="36103EB4" w14:textId="77777777" w:rsidR="009F29CB" w:rsidRPr="009F29CB" w:rsidRDefault="009F29CB" w:rsidP="009F29CB">
      <w:pPr>
        <w:spacing w:line="360" w:lineRule="auto"/>
        <w:jc w:val="both"/>
        <w:rPr>
          <w:rFonts w:ascii="Times New Roman" w:hAnsi="Times New Roman" w:cs="Times New Roman"/>
        </w:rPr>
      </w:pPr>
    </w:p>
    <w:p w14:paraId="28424826" w14:textId="77777777" w:rsidR="009F29CB" w:rsidRPr="009F29CB" w:rsidRDefault="009F29CB" w:rsidP="009F29CB">
      <w:pPr>
        <w:spacing w:line="360" w:lineRule="auto"/>
        <w:jc w:val="both"/>
        <w:rPr>
          <w:rFonts w:ascii="Times New Roman" w:hAnsi="Times New Roman" w:cs="Times New Roman"/>
          <w:u w:val="single"/>
        </w:rPr>
      </w:pPr>
      <w:r w:rsidRPr="009F29CB">
        <w:rPr>
          <w:rFonts w:ascii="Times New Roman" w:hAnsi="Times New Roman" w:cs="Times New Roman"/>
          <w:u w:val="single"/>
        </w:rPr>
        <w:t>References</w:t>
      </w:r>
    </w:p>
    <w:p w14:paraId="11D69B98"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Commons Select Committee, (2020). The Macpherson Report: Twenty Years </w:t>
      </w:r>
      <w:proofErr w:type="gramStart"/>
      <w:r w:rsidRPr="009F29CB">
        <w:rPr>
          <w:rFonts w:ascii="Times New Roman" w:hAnsi="Times New Roman" w:cs="Times New Roman"/>
        </w:rPr>
        <w:t>On</w:t>
      </w:r>
      <w:proofErr w:type="gramEnd"/>
      <w:r w:rsidRPr="009F29CB">
        <w:rPr>
          <w:rFonts w:ascii="Times New Roman" w:hAnsi="Times New Roman" w:cs="Times New Roman"/>
        </w:rPr>
        <w:t xml:space="preserve"> Inquiry Launched - News From Parliament. [online] UK Parliament. Available at: &lt;https://www.parliament.uk/business/committees/committees-a-z/commons-select/home-affairs-committee/news-parliament-2017/macpherson-launch-17-19/&gt; [Accessed 20 July 2020].</w:t>
      </w:r>
    </w:p>
    <w:p w14:paraId="711BDC20"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Cottle, S., (2005). Mediatized public crisis and civil society renewal: The racist murder of Stephen Lawrence. Crime, Media, Culture: An International Journal, [online] 1(1), pp.49-71. Available at: &lt;http://file:///C:/Users/Charlotte/Downloads/CMCArt.pdf&gt; [Accessed 19 July 2020].</w:t>
      </w:r>
    </w:p>
    <w:p w14:paraId="54D8A385" w14:textId="77777777" w:rsidR="009F29CB" w:rsidRPr="009F29CB" w:rsidRDefault="009F29CB" w:rsidP="009F29CB">
      <w:pPr>
        <w:spacing w:line="360" w:lineRule="auto"/>
        <w:jc w:val="both"/>
        <w:rPr>
          <w:rFonts w:ascii="Times New Roman" w:hAnsi="Times New Roman" w:cs="Times New Roman"/>
        </w:rPr>
      </w:pPr>
      <w:proofErr w:type="spellStart"/>
      <w:r w:rsidRPr="009F29CB">
        <w:rPr>
          <w:rFonts w:ascii="Times New Roman" w:hAnsi="Times New Roman" w:cs="Times New Roman"/>
        </w:rPr>
        <w:t>DeGue</w:t>
      </w:r>
      <w:proofErr w:type="spellEnd"/>
      <w:r w:rsidRPr="009F29CB">
        <w:rPr>
          <w:rFonts w:ascii="Times New Roman" w:hAnsi="Times New Roman" w:cs="Times New Roman"/>
        </w:rPr>
        <w:t>, S., Fowler, K. and Calkins, C., (2016). Deaths Due to Use of Lethal Force by Law Enforcement. American Journal of Preventive Medicine, [online] 51(5), pp. S173-S187. Available at: &lt;https://www.ncbi.nlm.nih.gov/pmc/articles/PMC6080222/&gt; [Accessed 22 July 2020].</w:t>
      </w:r>
    </w:p>
    <w:p w14:paraId="160614BD"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Department of Justice, (2015). DEPARTMENT OF JUSTICE REPORT REGARDING THE CRIMINAL INVESTIGATION INTO THE SHOOTING DEATH OF MICHAEL BROWN BY FERGUSON, MISSOURI POLICE OFFICER DARREN WILSON. [</w:t>
      </w:r>
      <w:proofErr w:type="spellStart"/>
      <w:r w:rsidRPr="009F29CB">
        <w:rPr>
          <w:rFonts w:ascii="Times New Roman" w:hAnsi="Times New Roman" w:cs="Times New Roman"/>
        </w:rPr>
        <w:t>ebook</w:t>
      </w:r>
      <w:proofErr w:type="spellEnd"/>
      <w:r w:rsidRPr="009F29CB">
        <w:rPr>
          <w:rFonts w:ascii="Times New Roman" w:hAnsi="Times New Roman" w:cs="Times New Roman"/>
        </w:rPr>
        <w:t>] Missouri: Department of Justice, pp.1-10. Available at: &lt;https://www.justice.gov/sites/default/files/opa/press-releases/attachments/2015/03/04/doj_report_on_shooting_of_michael_brown_1.pdf&gt; [Accessed 21 July 2020].</w:t>
      </w:r>
    </w:p>
    <w:p w14:paraId="02564DF6"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First Report of the Race Relations Board 1966-1977.</w:t>
      </w:r>
    </w:p>
    <w:p w14:paraId="43F98BCB"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Freedom </w:t>
      </w:r>
      <w:proofErr w:type="gramStart"/>
      <w:r w:rsidRPr="009F29CB">
        <w:rPr>
          <w:rFonts w:ascii="Times New Roman" w:hAnsi="Times New Roman" w:cs="Times New Roman"/>
        </w:rPr>
        <w:t>From</w:t>
      </w:r>
      <w:proofErr w:type="gramEnd"/>
      <w:r w:rsidRPr="009F29CB">
        <w:rPr>
          <w:rFonts w:ascii="Times New Roman" w:hAnsi="Times New Roman" w:cs="Times New Roman"/>
        </w:rPr>
        <w:t xml:space="preserve"> Torture, (2020). Windrush And </w:t>
      </w:r>
      <w:proofErr w:type="gramStart"/>
      <w:r w:rsidRPr="009F29CB">
        <w:rPr>
          <w:rFonts w:ascii="Times New Roman" w:hAnsi="Times New Roman" w:cs="Times New Roman"/>
        </w:rPr>
        <w:t>The</w:t>
      </w:r>
      <w:proofErr w:type="gramEnd"/>
      <w:r w:rsidRPr="009F29CB">
        <w:rPr>
          <w:rFonts w:ascii="Times New Roman" w:hAnsi="Times New Roman" w:cs="Times New Roman"/>
        </w:rPr>
        <w:t xml:space="preserve"> Hostile Environment: All You Need To Know. [online] How the Windrush scandal revealed wider problems with the way the Home Office treats immigrants and asylum seekers. Available at: &lt;https://www.freedomfromtorture.org/news/windrush-and-the-hostile-environment-all-you-need-to-know?/news/windrush-and-the-hostile-environment-all-you-need-to-know?utm_campaign=windrush-article&amp;utm_source=fftmisc&amp;utm_medium=paid+social&amp;gclid=CjwKCAjwsO_4BRBBEiwAyagRTRL115U-V4Io22CDSx7X20v4u6XERJH_R92niSmxciBxxBFL-70_JxoCrzAQAvD_BwE&gt; [Accessed 25 July 2020].</w:t>
      </w:r>
    </w:p>
    <w:p w14:paraId="5774B1C8"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Gallagher, R., Reagan, A., </w:t>
      </w:r>
      <w:proofErr w:type="spellStart"/>
      <w:r w:rsidRPr="009F29CB">
        <w:rPr>
          <w:rFonts w:ascii="Times New Roman" w:hAnsi="Times New Roman" w:cs="Times New Roman"/>
        </w:rPr>
        <w:t>Danforth</w:t>
      </w:r>
      <w:proofErr w:type="spellEnd"/>
      <w:r w:rsidRPr="009F29CB">
        <w:rPr>
          <w:rFonts w:ascii="Times New Roman" w:hAnsi="Times New Roman" w:cs="Times New Roman"/>
        </w:rPr>
        <w:t xml:space="preserve">, C. and </w:t>
      </w:r>
      <w:proofErr w:type="spellStart"/>
      <w:r w:rsidRPr="009F29CB">
        <w:rPr>
          <w:rFonts w:ascii="Times New Roman" w:hAnsi="Times New Roman" w:cs="Times New Roman"/>
        </w:rPr>
        <w:t>Dodds</w:t>
      </w:r>
      <w:proofErr w:type="spellEnd"/>
      <w:r w:rsidRPr="009F29CB">
        <w:rPr>
          <w:rFonts w:ascii="Times New Roman" w:hAnsi="Times New Roman" w:cs="Times New Roman"/>
        </w:rPr>
        <w:t>, P., (2018). Divergent discourse between protests and counter-protests: #BlackLivesMatter and #AllLivesMatter. PLOS ONE, [online] 13(4), pp.1-6. Available at: &lt;https://journals.plos.org/plosone/article/file?id=10.1371/journal.pone.0195644&amp;type=printable&gt; [Accessed 23 July 2020].</w:t>
      </w:r>
    </w:p>
    <w:p w14:paraId="32D517A1"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lastRenderedPageBreak/>
        <w:t xml:space="preserve">Gower, M., 2020. Windrush Generation: Government Action To 'Right </w:t>
      </w:r>
      <w:proofErr w:type="gramStart"/>
      <w:r w:rsidRPr="009F29CB">
        <w:rPr>
          <w:rFonts w:ascii="Times New Roman" w:hAnsi="Times New Roman" w:cs="Times New Roman"/>
        </w:rPr>
        <w:t>The</w:t>
      </w:r>
      <w:proofErr w:type="gramEnd"/>
      <w:r w:rsidRPr="009F29CB">
        <w:rPr>
          <w:rFonts w:ascii="Times New Roman" w:hAnsi="Times New Roman" w:cs="Times New Roman"/>
        </w:rPr>
        <w:t xml:space="preserve"> Wrongs'. [</w:t>
      </w:r>
      <w:proofErr w:type="spellStart"/>
      <w:r w:rsidRPr="009F29CB">
        <w:rPr>
          <w:rFonts w:ascii="Times New Roman" w:hAnsi="Times New Roman" w:cs="Times New Roman"/>
        </w:rPr>
        <w:t>ebook</w:t>
      </w:r>
      <w:proofErr w:type="spellEnd"/>
      <w:r w:rsidRPr="009F29CB">
        <w:rPr>
          <w:rFonts w:ascii="Times New Roman" w:hAnsi="Times New Roman" w:cs="Times New Roman"/>
        </w:rPr>
        <w:t>] London: House of Commons, pp.1-10. Available at: &lt;https://commonslibrary.parliament.uk/research-briefings/cbp-8779/&gt; [Accessed 26 July 2020].</w:t>
      </w:r>
    </w:p>
    <w:p w14:paraId="33F84A64"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House of Commons, (2020). Windrush Generation </w:t>
      </w:r>
      <w:proofErr w:type="gramStart"/>
      <w:r w:rsidRPr="009F29CB">
        <w:rPr>
          <w:rFonts w:ascii="Times New Roman" w:hAnsi="Times New Roman" w:cs="Times New Roman"/>
        </w:rPr>
        <w:t>And</w:t>
      </w:r>
      <w:proofErr w:type="gramEnd"/>
      <w:r w:rsidRPr="009F29CB">
        <w:rPr>
          <w:rFonts w:ascii="Times New Roman" w:hAnsi="Times New Roman" w:cs="Times New Roman"/>
        </w:rPr>
        <w:t xml:space="preserve"> The Home Office. [</w:t>
      </w:r>
      <w:proofErr w:type="spellStart"/>
      <w:r w:rsidRPr="009F29CB">
        <w:rPr>
          <w:rFonts w:ascii="Times New Roman" w:hAnsi="Times New Roman" w:cs="Times New Roman"/>
        </w:rPr>
        <w:t>ebook</w:t>
      </w:r>
      <w:proofErr w:type="spellEnd"/>
      <w:r w:rsidRPr="009F29CB">
        <w:rPr>
          <w:rFonts w:ascii="Times New Roman" w:hAnsi="Times New Roman" w:cs="Times New Roman"/>
        </w:rPr>
        <w:t>] London: House of Commons, pp.1-7. Available at: &lt;https://publications.parliament.uk/pa/cm201719/cmselect/cmpubacc/1518/1518.pdf&gt; [Accessed 25 July 2020].</w:t>
      </w:r>
    </w:p>
    <w:p w14:paraId="574A9C11"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Jefferson, T., 2012. Policing the riots: from Bristol and Brixton to Tottenham, via Toxteth, Handsworth, etc. Centre for Crime and Justice Studies, [online] 82, pp.1-2. Available at: &lt;https://www.crimeandjustice.org.uk/sites/crimeandjustice.org.uk/files/09627251.2012.670995.pdf&gt; [Accessed 15 July 2020].</w:t>
      </w:r>
    </w:p>
    <w:p w14:paraId="64522BCA"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Jenkins, R. and </w:t>
      </w:r>
      <w:proofErr w:type="spellStart"/>
      <w:r w:rsidRPr="009F29CB">
        <w:rPr>
          <w:rFonts w:ascii="Times New Roman" w:hAnsi="Times New Roman" w:cs="Times New Roman"/>
        </w:rPr>
        <w:t>Solomos</w:t>
      </w:r>
      <w:proofErr w:type="spellEnd"/>
      <w:r w:rsidRPr="009F29CB">
        <w:rPr>
          <w:rFonts w:ascii="Times New Roman" w:hAnsi="Times New Roman" w:cs="Times New Roman"/>
        </w:rPr>
        <w:t xml:space="preserve">, J., (1989). Racism </w:t>
      </w:r>
      <w:proofErr w:type="gramStart"/>
      <w:r w:rsidRPr="009F29CB">
        <w:rPr>
          <w:rFonts w:ascii="Times New Roman" w:hAnsi="Times New Roman" w:cs="Times New Roman"/>
        </w:rPr>
        <w:t>And</w:t>
      </w:r>
      <w:proofErr w:type="gramEnd"/>
      <w:r w:rsidRPr="009F29CB">
        <w:rPr>
          <w:rFonts w:ascii="Times New Roman" w:hAnsi="Times New Roman" w:cs="Times New Roman"/>
        </w:rPr>
        <w:t xml:space="preserve"> Equal Opportunity Policies In The 1980S. 2nd ed. Cambridge: Cambridge University Press, pp.1-5.</w:t>
      </w:r>
    </w:p>
    <w:p w14:paraId="3F66C8A3"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Jr, C. and B, D., (2016). From Left to Right: The Paradox of Kingsley Amis' Views of University Education in Post-World War II Britain. Journal of Philosophy &amp; History of Education, [online] 66, pp.24-28. Available at: &lt;https://web.b.ebscohost.com/ehost/pdfviewer/pdfviewer?vid=3&amp;sid=ef6e97a9-7d36-42d4-960c-3b47e22db279%40pdc-v-sessmgr06&gt; [Accessed 7 July 2020].</w:t>
      </w:r>
    </w:p>
    <w:p w14:paraId="652BF067"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Jukes, E., (2008). The Oxford Companion to Black British History. The Oxford Companion to Black British History, [online] 22(3), pp.55-56. Available at: &lt;https://search-proquest-com.ezproxy.uwtsd.ac.uk/docview/215214738/abstract/3871B046096D4726PQ/1?accountid=130472&gt; [Accessed 7 July 2020].</w:t>
      </w:r>
    </w:p>
    <w:p w14:paraId="61B27B6E"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Levy, R. and Smart, D., (2002). Multicultural Britain. Cheltenham: Nelson Thornes, pp.68-74.</w:t>
      </w:r>
    </w:p>
    <w:p w14:paraId="173606E7"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Macpherson, W., (1999). THE STEPHEN LAWRENCE INQUIRY. [</w:t>
      </w:r>
      <w:proofErr w:type="spellStart"/>
      <w:r w:rsidRPr="009F29CB">
        <w:rPr>
          <w:rFonts w:ascii="Times New Roman" w:hAnsi="Times New Roman" w:cs="Times New Roman"/>
        </w:rPr>
        <w:t>ebook</w:t>
      </w:r>
      <w:proofErr w:type="spellEnd"/>
      <w:r w:rsidRPr="009F29CB">
        <w:rPr>
          <w:rFonts w:ascii="Times New Roman" w:hAnsi="Times New Roman" w:cs="Times New Roman"/>
        </w:rPr>
        <w:t>] London: UK Government, pp.1-24. Available at: &lt;https://assets.publishing.service.gov.uk/government/uploads/system/uploads/attachment_data/file/277111/4262.pdf&gt; [Accessed 19 July 2020].</w:t>
      </w:r>
    </w:p>
    <w:p w14:paraId="0EB37A87"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McDowell, L., (2013). Working Lives: Gender, Migration </w:t>
      </w:r>
      <w:proofErr w:type="gramStart"/>
      <w:r w:rsidRPr="009F29CB">
        <w:rPr>
          <w:rFonts w:ascii="Times New Roman" w:hAnsi="Times New Roman" w:cs="Times New Roman"/>
        </w:rPr>
        <w:t>And</w:t>
      </w:r>
      <w:proofErr w:type="gramEnd"/>
      <w:r w:rsidRPr="009F29CB">
        <w:rPr>
          <w:rFonts w:ascii="Times New Roman" w:hAnsi="Times New Roman" w:cs="Times New Roman"/>
        </w:rPr>
        <w:t xml:space="preserve"> Employment In Britain, 1945-2007. 1st ed. West Sussex: Wiley &amp; Blackwell, pp.1-5.</w:t>
      </w:r>
    </w:p>
    <w:p w14:paraId="16703FC6"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Panayi, P., 1999. The Impact </w:t>
      </w:r>
      <w:proofErr w:type="gramStart"/>
      <w:r w:rsidRPr="009F29CB">
        <w:rPr>
          <w:rFonts w:ascii="Times New Roman" w:hAnsi="Times New Roman" w:cs="Times New Roman"/>
        </w:rPr>
        <w:t>Of</w:t>
      </w:r>
      <w:proofErr w:type="gramEnd"/>
      <w:r w:rsidRPr="009F29CB">
        <w:rPr>
          <w:rFonts w:ascii="Times New Roman" w:hAnsi="Times New Roman" w:cs="Times New Roman"/>
        </w:rPr>
        <w:t xml:space="preserve"> Immigration. Manchester: Manchester University Press, pp.1-8.</w:t>
      </w:r>
    </w:p>
    <w:p w14:paraId="6B4B4147"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Panayi, P., 2020. Middlesbrough 96</w:t>
      </w:r>
      <w:proofErr w:type="gramStart"/>
      <w:r w:rsidRPr="009F29CB">
        <w:rPr>
          <w:rFonts w:ascii="Times New Roman" w:hAnsi="Times New Roman" w:cs="Times New Roman"/>
        </w:rPr>
        <w:t>I :</w:t>
      </w:r>
      <w:proofErr w:type="gramEnd"/>
      <w:r w:rsidRPr="009F29CB">
        <w:rPr>
          <w:rFonts w:ascii="Times New Roman" w:hAnsi="Times New Roman" w:cs="Times New Roman"/>
        </w:rPr>
        <w:t xml:space="preserve"> a British race  riot of the I 96Os?. Social History, [online] 16(2), pp.139-144. Available at: &lt;https://www.jstor.org/stable/pdf/4285925.pdf&gt; [Accessed 11 July 2020].</w:t>
      </w:r>
    </w:p>
    <w:p w14:paraId="41144365"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lastRenderedPageBreak/>
        <w:t>Research, C., 2020. Trayvon Martin Shooting Fast Facts. [online] CNN. Available at: &lt;https://edition.cnn.com/2013/06/05/us/trayvon-martin-shooting-fast-facts/index.html&gt; [Accessed 20 July 2020].</w:t>
      </w:r>
    </w:p>
    <w:p w14:paraId="416A443F" w14:textId="77777777" w:rsidR="009F29CB" w:rsidRPr="009F29CB" w:rsidRDefault="009F29CB" w:rsidP="009F29CB">
      <w:pPr>
        <w:spacing w:line="360" w:lineRule="auto"/>
        <w:jc w:val="both"/>
        <w:rPr>
          <w:rFonts w:ascii="Times New Roman" w:hAnsi="Times New Roman" w:cs="Times New Roman"/>
        </w:rPr>
      </w:pPr>
      <w:proofErr w:type="spellStart"/>
      <w:r w:rsidRPr="009F29CB">
        <w:rPr>
          <w:rFonts w:ascii="Times New Roman" w:hAnsi="Times New Roman" w:cs="Times New Roman"/>
        </w:rPr>
        <w:t>Schofeild</w:t>
      </w:r>
      <w:proofErr w:type="spellEnd"/>
      <w:r w:rsidRPr="009F29CB">
        <w:rPr>
          <w:rFonts w:ascii="Times New Roman" w:hAnsi="Times New Roman" w:cs="Times New Roman"/>
        </w:rPr>
        <w:t>, C. and Jones, B., (2019). “Whatever Community Is, This Is Not It”: Notting Hill and the Reconstruction of “Race” in Britain after 19581. Journal of British Studies, [online] 58(1), pp.143-152. Available at: &lt;https://ueaeprints.uea.ac.uk/id/eprint/67591/4/Accepted_manuscript.pdf&gt; [Accessed 11 July 2020].</w:t>
      </w:r>
    </w:p>
    <w:p w14:paraId="24C8F476"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Searle, K., (2013). ‘Mixing of the </w:t>
      </w:r>
      <w:proofErr w:type="spellStart"/>
      <w:r w:rsidRPr="009F29CB">
        <w:rPr>
          <w:rFonts w:ascii="Times New Roman" w:hAnsi="Times New Roman" w:cs="Times New Roman"/>
        </w:rPr>
        <w:t>unmixables</w:t>
      </w:r>
      <w:proofErr w:type="spellEnd"/>
      <w:r w:rsidRPr="009F29CB">
        <w:rPr>
          <w:rFonts w:ascii="Times New Roman" w:hAnsi="Times New Roman" w:cs="Times New Roman"/>
        </w:rPr>
        <w:t>’: the 1949 Causeway Green ‘riots’ in Birmingham. Race &amp; Class, [online] 54(3), pp.44-64. Available at: &lt;https://journals-sagepub-com.ezproxy.uwtsd.ac.uk/doi/pdf/10.1177/0306396812464015&gt; [Accessed 11 July 2020].</w:t>
      </w:r>
    </w:p>
    <w:p w14:paraId="4C5728F6"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The Race Relations Act 1965. 73.</w:t>
      </w:r>
    </w:p>
    <w:p w14:paraId="46CB33E4"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The Sentencing Project, (2015). [</w:t>
      </w:r>
      <w:proofErr w:type="spellStart"/>
      <w:r w:rsidRPr="009F29CB">
        <w:rPr>
          <w:rFonts w:ascii="Times New Roman" w:hAnsi="Times New Roman" w:cs="Times New Roman"/>
        </w:rPr>
        <w:t>ebook</w:t>
      </w:r>
      <w:proofErr w:type="spellEnd"/>
      <w:r w:rsidRPr="009F29CB">
        <w:rPr>
          <w:rFonts w:ascii="Times New Roman" w:hAnsi="Times New Roman" w:cs="Times New Roman"/>
        </w:rPr>
        <w:t>] Washington: The Sentencing Project, pp.1-8. Available at: &lt;https://sentencingproject.org/wp-content/uploads/2015/11/Black-Lives-Matter.pdf&gt; [Accessed 22 July 2020].</w:t>
      </w:r>
    </w:p>
    <w:p w14:paraId="7C929973"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Tillery, A., (2018). What Kind </w:t>
      </w:r>
      <w:proofErr w:type="gramStart"/>
      <w:r w:rsidRPr="009F29CB">
        <w:rPr>
          <w:rFonts w:ascii="Times New Roman" w:hAnsi="Times New Roman" w:cs="Times New Roman"/>
        </w:rPr>
        <w:t>Of</w:t>
      </w:r>
      <w:proofErr w:type="gramEnd"/>
      <w:r w:rsidRPr="009F29CB">
        <w:rPr>
          <w:rFonts w:ascii="Times New Roman" w:hAnsi="Times New Roman" w:cs="Times New Roman"/>
        </w:rPr>
        <w:t xml:space="preserve"> Movement Is Black Lives Matter? The View </w:t>
      </w:r>
      <w:proofErr w:type="gramStart"/>
      <w:r w:rsidRPr="009F29CB">
        <w:rPr>
          <w:rFonts w:ascii="Times New Roman" w:hAnsi="Times New Roman" w:cs="Times New Roman"/>
        </w:rPr>
        <w:t>From</w:t>
      </w:r>
      <w:proofErr w:type="gramEnd"/>
      <w:r w:rsidRPr="009F29CB">
        <w:rPr>
          <w:rFonts w:ascii="Times New Roman" w:hAnsi="Times New Roman" w:cs="Times New Roman"/>
        </w:rPr>
        <w:t xml:space="preserve"> Twitter. [</w:t>
      </w:r>
      <w:proofErr w:type="spellStart"/>
      <w:r w:rsidRPr="009F29CB">
        <w:rPr>
          <w:rFonts w:ascii="Times New Roman" w:hAnsi="Times New Roman" w:cs="Times New Roman"/>
        </w:rPr>
        <w:t>ebook</w:t>
      </w:r>
      <w:proofErr w:type="spellEnd"/>
      <w:r w:rsidRPr="009F29CB">
        <w:rPr>
          <w:rFonts w:ascii="Times New Roman" w:hAnsi="Times New Roman" w:cs="Times New Roman"/>
        </w:rPr>
        <w:t>] Unknown: ResearchGate, pp.1-8. Available at: &lt;https://www.researchgate.net/publication/323019189_What_Kind_of_Movement_is_Black_Lives_Matter_The_View_from_Twitter&gt; [Accessed 20 July 2020].</w:t>
      </w:r>
    </w:p>
    <w:p w14:paraId="1F15D900"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Unknown, 1981. The 'riots'. Race &amp; Class, [online] 23(2-3), pp.223-232. Available at: &lt;https://journals.sagepub.com/doi/10.1177/030639688102300207&gt; [Accessed 15 July 2020].</w:t>
      </w:r>
    </w:p>
    <w:p w14:paraId="2432912B"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Unknown, 2020. 'Neighbours Are </w:t>
      </w:r>
      <w:proofErr w:type="gramStart"/>
      <w:r w:rsidRPr="009F29CB">
        <w:rPr>
          <w:rFonts w:ascii="Times New Roman" w:hAnsi="Times New Roman" w:cs="Times New Roman"/>
        </w:rPr>
        <w:t>The</w:t>
      </w:r>
      <w:proofErr w:type="gramEnd"/>
      <w:r w:rsidRPr="009F29CB">
        <w:rPr>
          <w:rFonts w:ascii="Times New Roman" w:hAnsi="Times New Roman" w:cs="Times New Roman"/>
        </w:rPr>
        <w:t xml:space="preserve"> Worst People To Live Beside' The 1958 Notting Hill Riots As Dramatic Spectacle, Drama As Analysis | Literary London Society. [online] Literarylondon.org. Available at: &lt;http://literarylondon.org/the-literary-london-journal/archive-of-the-literary-london-journal/issue-8-1/neighbours-are-the-worst-people-to-live-beside-the-1958-notting-hill-riots-as-dramatic-spectacle-drama-as-analysis/&gt; [Accessed 11 July 2020].</w:t>
      </w:r>
    </w:p>
    <w:p w14:paraId="42F7F2FE" w14:textId="77777777"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 xml:space="preserve">Wilkinson, B., (2019). Jamaica welcomes compensation for Windrush generation. The </w:t>
      </w:r>
      <w:proofErr w:type="spellStart"/>
      <w:r w:rsidRPr="009F29CB">
        <w:rPr>
          <w:rFonts w:ascii="Times New Roman" w:hAnsi="Times New Roman" w:cs="Times New Roman"/>
        </w:rPr>
        <w:t>Newyork</w:t>
      </w:r>
      <w:proofErr w:type="spellEnd"/>
      <w:r w:rsidRPr="009F29CB">
        <w:rPr>
          <w:rFonts w:ascii="Times New Roman" w:hAnsi="Times New Roman" w:cs="Times New Roman"/>
        </w:rPr>
        <w:t xml:space="preserve"> Amsterdam News, [online] 110(16), pp.1-2. Available at: &lt;https://web.a.ebscohost.com/ehost/pdfviewer/pdfviewer?vid=1&amp;sid=3a00243d-7412-4d3f-8557-3b3b9b7b8d42%40sdc-v-sessmgr02&gt; [Accessed 7 July 2020].</w:t>
      </w:r>
    </w:p>
    <w:p w14:paraId="3D31C1FB" w14:textId="048FB763" w:rsidR="009F29CB" w:rsidRPr="009F29CB" w:rsidRDefault="009F29CB" w:rsidP="009F29CB">
      <w:pPr>
        <w:spacing w:line="360" w:lineRule="auto"/>
        <w:jc w:val="both"/>
        <w:rPr>
          <w:rFonts w:ascii="Times New Roman" w:hAnsi="Times New Roman" w:cs="Times New Roman"/>
        </w:rPr>
      </w:pPr>
      <w:r w:rsidRPr="009F29CB">
        <w:rPr>
          <w:rFonts w:ascii="Times New Roman" w:hAnsi="Times New Roman" w:cs="Times New Roman"/>
        </w:rPr>
        <w:t>Williams, W., 2020. Windrush Lessons Learned Review. [</w:t>
      </w:r>
      <w:proofErr w:type="spellStart"/>
      <w:r w:rsidRPr="009F29CB">
        <w:rPr>
          <w:rFonts w:ascii="Times New Roman" w:hAnsi="Times New Roman" w:cs="Times New Roman"/>
        </w:rPr>
        <w:t>ebook</w:t>
      </w:r>
      <w:proofErr w:type="spellEnd"/>
      <w:r w:rsidRPr="009F29CB">
        <w:rPr>
          <w:rFonts w:ascii="Times New Roman" w:hAnsi="Times New Roman" w:cs="Times New Roman"/>
        </w:rPr>
        <w:t>] London: House of Commons, pp.1-11. Available at:</w:t>
      </w:r>
      <w:r w:rsidRPr="009F29CB">
        <w:rPr>
          <w:rFonts w:ascii="Times New Roman" w:hAnsi="Times New Roman" w:cs="Times New Roman"/>
        </w:rPr>
        <w:t xml:space="preserve"> </w:t>
      </w:r>
      <w:r w:rsidRPr="009F29CB">
        <w:rPr>
          <w:rFonts w:ascii="Times New Roman" w:hAnsi="Times New Roman" w:cs="Times New Roman"/>
        </w:rPr>
        <w:t>&lt;https://assets.publishing.service.gov.uk/government/uploads/system/uploads/attachment_data/file/874022/6.5577_HO_Windrush_Lessons_Learned_Review_WEB_v2.pdf&gt; [Accessed 25 July 2020].</w:t>
      </w:r>
    </w:p>
    <w:p w14:paraId="05DB89EE" w14:textId="38EB8D81" w:rsidR="00BB2D2A" w:rsidRDefault="009F29CB" w:rsidP="009F29CB">
      <w:r>
        <w:lastRenderedPageBreak/>
        <w:tab/>
      </w:r>
    </w:p>
    <w:sectPr w:rsidR="00BB2D2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B85360" w14:textId="77777777" w:rsidR="00010BAF" w:rsidRDefault="00010BAF" w:rsidP="009F29CB">
      <w:pPr>
        <w:spacing w:after="0" w:line="240" w:lineRule="auto"/>
      </w:pPr>
      <w:r>
        <w:separator/>
      </w:r>
    </w:p>
  </w:endnote>
  <w:endnote w:type="continuationSeparator" w:id="0">
    <w:p w14:paraId="530C8B23" w14:textId="77777777" w:rsidR="00010BAF" w:rsidRDefault="00010BAF" w:rsidP="009F2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87BF13" w14:textId="77777777" w:rsidR="009F29CB" w:rsidRDefault="009F29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2070772"/>
      <w:docPartObj>
        <w:docPartGallery w:val="Page Numbers (Bottom of Page)"/>
        <w:docPartUnique/>
      </w:docPartObj>
    </w:sdtPr>
    <w:sdtEndPr>
      <w:rPr>
        <w:noProof/>
      </w:rPr>
    </w:sdtEndPr>
    <w:sdtContent>
      <w:p w14:paraId="5BA881DF" w14:textId="79D494E0" w:rsidR="009F29CB" w:rsidRDefault="009F29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026529" w14:textId="77777777" w:rsidR="009F29CB" w:rsidRDefault="009F29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57865" w14:textId="77777777" w:rsidR="009F29CB" w:rsidRDefault="009F2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2E3AFD" w14:textId="77777777" w:rsidR="00010BAF" w:rsidRDefault="00010BAF" w:rsidP="009F29CB">
      <w:pPr>
        <w:spacing w:after="0" w:line="240" w:lineRule="auto"/>
      </w:pPr>
      <w:r>
        <w:separator/>
      </w:r>
    </w:p>
  </w:footnote>
  <w:footnote w:type="continuationSeparator" w:id="0">
    <w:p w14:paraId="4ED18892" w14:textId="77777777" w:rsidR="00010BAF" w:rsidRDefault="00010BAF" w:rsidP="009F29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791ECB" w14:textId="77777777" w:rsidR="009F29CB" w:rsidRDefault="009F29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C21ADE" w14:textId="77777777" w:rsidR="009F29CB" w:rsidRDefault="009F29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7270C9" w14:textId="77777777" w:rsidR="009F29CB" w:rsidRDefault="009F29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9CB"/>
    <w:rsid w:val="00010BAF"/>
    <w:rsid w:val="003C197E"/>
    <w:rsid w:val="009F29CB"/>
    <w:rsid w:val="00F6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41C9C6"/>
  <w15:chartTrackingRefBased/>
  <w15:docId w15:val="{D6205962-9DCF-430A-87B8-32DBF68AD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29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29CB"/>
    <w:rPr>
      <w:rFonts w:ascii="Segoe UI" w:hAnsi="Segoe UI" w:cs="Segoe UI"/>
      <w:sz w:val="18"/>
      <w:szCs w:val="18"/>
    </w:rPr>
  </w:style>
  <w:style w:type="paragraph" w:styleId="Header">
    <w:name w:val="header"/>
    <w:basedOn w:val="Normal"/>
    <w:link w:val="HeaderChar"/>
    <w:uiPriority w:val="99"/>
    <w:unhideWhenUsed/>
    <w:rsid w:val="009F2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9CB"/>
  </w:style>
  <w:style w:type="paragraph" w:styleId="Footer">
    <w:name w:val="footer"/>
    <w:basedOn w:val="Normal"/>
    <w:link w:val="FooterChar"/>
    <w:uiPriority w:val="99"/>
    <w:unhideWhenUsed/>
    <w:rsid w:val="009F2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4240</Words>
  <Characters>24173</Characters>
  <Application>Microsoft Office Word</Application>
  <DocSecurity>0</DocSecurity>
  <Lines>201</Lines>
  <Paragraphs>56</Paragraphs>
  <ScaleCrop>false</ScaleCrop>
  <Company/>
  <LinksUpToDate>false</LinksUpToDate>
  <CharactersWithSpaces>28357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1</cp:revision>
  <dcterms:created xsi:type="dcterms:W3CDTF">2020-07-27T17:16:00Z</dcterms:created>
  <dcterms:modified xsi:type="dcterms:W3CDTF">2020-07-27T17:23:00Z</dcterms:modified>
</cp:coreProperties>
</file>