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355BAC" w14:textId="09AAFCDF" w:rsidR="006E5929" w:rsidRPr="001A7078" w:rsidRDefault="006E5929" w:rsidP="00070BA9">
      <w:pPr>
        <w:spacing w:line="360" w:lineRule="auto"/>
        <w:jc w:val="both"/>
        <w:rPr>
          <w:rFonts w:asciiTheme="minorBidi" w:hAnsiTheme="minorBidi"/>
        </w:rPr>
      </w:pPr>
    </w:p>
    <w:p w14:paraId="0BDA85A2" w14:textId="1B904130" w:rsidR="00070BA9" w:rsidRPr="001A7078" w:rsidRDefault="0005486D" w:rsidP="0005486D">
      <w:pPr>
        <w:spacing w:line="360" w:lineRule="auto"/>
        <w:jc w:val="center"/>
        <w:rPr>
          <w:rFonts w:asciiTheme="minorBidi" w:hAnsiTheme="minorBidi"/>
        </w:rPr>
      </w:pPr>
      <w:r w:rsidRPr="001A7078">
        <w:rPr>
          <w:rFonts w:asciiTheme="minorBidi" w:hAnsiTheme="minorBidi"/>
          <w:noProof/>
        </w:rPr>
        <w:drawing>
          <wp:inline distT="0" distB="0" distL="0" distR="0" wp14:anchorId="7A8841F1" wp14:editId="5BE72EFA">
            <wp:extent cx="2957534" cy="1079500"/>
            <wp:effectExtent l="0" t="0" r="0" b="6350"/>
            <wp:docPr id="726354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6413" t="12793" r="8080" b="12481"/>
                    <a:stretch>
                      <a:fillRect/>
                    </a:stretch>
                  </pic:blipFill>
                  <pic:spPr bwMode="auto">
                    <a:xfrm>
                      <a:off x="0" y="0"/>
                      <a:ext cx="2999188" cy="1094704"/>
                    </a:xfrm>
                    <a:prstGeom prst="rect">
                      <a:avLst/>
                    </a:prstGeom>
                    <a:noFill/>
                    <a:ln>
                      <a:noFill/>
                    </a:ln>
                    <a:extLst>
                      <a:ext uri="{53640926-AAD7-44D8-BBD7-CCE9431645EC}">
                        <a14:shadowObscured xmlns:a14="http://schemas.microsoft.com/office/drawing/2010/main"/>
                      </a:ext>
                    </a:extLst>
                  </pic:spPr>
                </pic:pic>
              </a:graphicData>
            </a:graphic>
          </wp:inline>
        </w:drawing>
      </w:r>
    </w:p>
    <w:p w14:paraId="1A1DFD84" w14:textId="77777777" w:rsidR="0005486D" w:rsidRPr="001A7078" w:rsidRDefault="0005486D" w:rsidP="00070BA9">
      <w:pPr>
        <w:spacing w:line="360" w:lineRule="auto"/>
        <w:jc w:val="both"/>
        <w:rPr>
          <w:rFonts w:asciiTheme="minorBidi" w:hAnsiTheme="minorBidi"/>
        </w:rPr>
      </w:pPr>
    </w:p>
    <w:p w14:paraId="34159861" w14:textId="24FE41A9" w:rsidR="0005486D" w:rsidRPr="001A7078" w:rsidRDefault="0005486D" w:rsidP="00070BA9">
      <w:pPr>
        <w:spacing w:line="360" w:lineRule="auto"/>
        <w:jc w:val="both"/>
        <w:rPr>
          <w:rFonts w:asciiTheme="minorBidi" w:hAnsiTheme="minorBidi"/>
          <w:b/>
          <w:bCs/>
        </w:rPr>
      </w:pPr>
      <w:r w:rsidRPr="001A7078">
        <w:rPr>
          <w:rFonts w:asciiTheme="minorBidi" w:hAnsiTheme="minorBidi"/>
          <w:b/>
          <w:bCs/>
        </w:rPr>
        <w:t>Student Name:</w:t>
      </w:r>
      <w:r w:rsidR="00A557AB">
        <w:rPr>
          <w:rFonts w:asciiTheme="minorBidi" w:hAnsiTheme="minorBidi"/>
          <w:b/>
          <w:bCs/>
        </w:rPr>
        <w:t xml:space="preserve"> Misbah Khatoon</w:t>
      </w:r>
    </w:p>
    <w:p w14:paraId="04492033" w14:textId="2DF004B6" w:rsidR="0005486D" w:rsidRPr="001A7078" w:rsidRDefault="0005486D" w:rsidP="00070BA9">
      <w:pPr>
        <w:spacing w:line="360" w:lineRule="auto"/>
        <w:jc w:val="both"/>
        <w:rPr>
          <w:rFonts w:asciiTheme="minorBidi" w:hAnsiTheme="minorBidi"/>
          <w:b/>
          <w:bCs/>
        </w:rPr>
      </w:pPr>
      <w:r w:rsidRPr="001A7078">
        <w:rPr>
          <w:rFonts w:asciiTheme="minorBidi" w:hAnsiTheme="minorBidi"/>
          <w:b/>
          <w:bCs/>
        </w:rPr>
        <w:t>Student ID:</w:t>
      </w:r>
      <w:r w:rsidR="00A557AB">
        <w:rPr>
          <w:rFonts w:asciiTheme="minorBidi" w:hAnsiTheme="minorBidi"/>
          <w:b/>
          <w:bCs/>
        </w:rPr>
        <w:t xml:space="preserve"> 2425425</w:t>
      </w:r>
    </w:p>
    <w:p w14:paraId="7329E749" w14:textId="4485EB6D" w:rsidR="0005486D" w:rsidRPr="001A7078" w:rsidRDefault="0005486D" w:rsidP="00070BA9">
      <w:pPr>
        <w:spacing w:line="360" w:lineRule="auto"/>
        <w:jc w:val="both"/>
        <w:rPr>
          <w:rFonts w:asciiTheme="minorBidi" w:hAnsiTheme="minorBidi"/>
          <w:b/>
          <w:bCs/>
        </w:rPr>
      </w:pPr>
      <w:r w:rsidRPr="001A7078">
        <w:rPr>
          <w:rFonts w:asciiTheme="minorBidi" w:hAnsiTheme="minorBidi"/>
          <w:b/>
          <w:bCs/>
        </w:rPr>
        <w:t xml:space="preserve">Module: </w:t>
      </w:r>
      <w:r w:rsidR="006914A0" w:rsidRPr="001A7078">
        <w:rPr>
          <w:rFonts w:asciiTheme="minorBidi" w:hAnsiTheme="minorBidi"/>
          <w:b/>
          <w:bCs/>
        </w:rPr>
        <w:t>Psychology in Health and Social Care_LCHS4010</w:t>
      </w:r>
    </w:p>
    <w:p w14:paraId="6F989DE0" w14:textId="111968D4" w:rsidR="0005486D" w:rsidRPr="001A7078" w:rsidRDefault="0005486D" w:rsidP="00070BA9">
      <w:pPr>
        <w:spacing w:line="360" w:lineRule="auto"/>
        <w:jc w:val="both"/>
        <w:rPr>
          <w:rFonts w:asciiTheme="minorBidi" w:hAnsiTheme="minorBidi"/>
          <w:b/>
          <w:bCs/>
        </w:rPr>
      </w:pPr>
      <w:r w:rsidRPr="001A7078">
        <w:rPr>
          <w:rFonts w:asciiTheme="minorBidi" w:hAnsiTheme="minorBidi"/>
          <w:b/>
          <w:bCs/>
        </w:rPr>
        <w:t xml:space="preserve">Assignment Title: </w:t>
      </w:r>
      <w:r w:rsidR="006914A0" w:rsidRPr="001A7078">
        <w:rPr>
          <w:rFonts w:asciiTheme="minorBidi" w:hAnsiTheme="minorBidi"/>
          <w:b/>
          <w:bCs/>
        </w:rPr>
        <w:t>Assignment 2</w:t>
      </w:r>
      <w:r w:rsidR="000220CE">
        <w:rPr>
          <w:rFonts w:asciiTheme="minorBidi" w:hAnsiTheme="minorBidi"/>
          <w:b/>
          <w:bCs/>
        </w:rPr>
        <w:t xml:space="preserve"> </w:t>
      </w:r>
      <w:r w:rsidR="000A5153" w:rsidRPr="001A7078">
        <w:rPr>
          <w:rFonts w:asciiTheme="minorBidi" w:hAnsiTheme="minorBidi"/>
          <w:b/>
          <w:bCs/>
        </w:rPr>
        <w:t xml:space="preserve">Written </w:t>
      </w:r>
      <w:r w:rsidR="006914A0" w:rsidRPr="001A7078">
        <w:rPr>
          <w:rFonts w:asciiTheme="minorBidi" w:hAnsiTheme="minorBidi"/>
          <w:b/>
          <w:bCs/>
        </w:rPr>
        <w:t>Task</w:t>
      </w:r>
    </w:p>
    <w:p w14:paraId="320A52C4" w14:textId="19F09AF1" w:rsidR="0005486D" w:rsidRPr="001A7078" w:rsidRDefault="0005486D" w:rsidP="00070BA9">
      <w:pPr>
        <w:spacing w:line="360" w:lineRule="auto"/>
        <w:jc w:val="both"/>
        <w:rPr>
          <w:rFonts w:asciiTheme="minorBidi" w:hAnsiTheme="minorBidi"/>
          <w:b/>
          <w:bCs/>
        </w:rPr>
      </w:pPr>
      <w:r w:rsidRPr="001A7078">
        <w:rPr>
          <w:rFonts w:asciiTheme="minorBidi" w:hAnsiTheme="minorBidi"/>
          <w:b/>
          <w:bCs/>
        </w:rPr>
        <w:t xml:space="preserve">Wordcounts: 1,500 words </w:t>
      </w:r>
    </w:p>
    <w:p w14:paraId="6C057F16" w14:textId="77777777" w:rsidR="0005486D" w:rsidRPr="001A7078" w:rsidRDefault="0005486D" w:rsidP="00070BA9">
      <w:pPr>
        <w:spacing w:line="360" w:lineRule="auto"/>
        <w:jc w:val="both"/>
        <w:rPr>
          <w:rFonts w:asciiTheme="minorBidi" w:hAnsiTheme="minorBidi"/>
        </w:rPr>
      </w:pPr>
    </w:p>
    <w:p w14:paraId="25BBB241" w14:textId="77777777" w:rsidR="00070BA9" w:rsidRPr="001A7078" w:rsidRDefault="00070BA9" w:rsidP="00070BA9">
      <w:pPr>
        <w:spacing w:line="360" w:lineRule="auto"/>
        <w:jc w:val="both"/>
        <w:rPr>
          <w:rFonts w:asciiTheme="minorBidi" w:hAnsiTheme="minorBidi"/>
        </w:rPr>
      </w:pPr>
    </w:p>
    <w:p w14:paraId="480B0FEC" w14:textId="77777777" w:rsidR="00070BA9" w:rsidRPr="001A7078" w:rsidRDefault="00070BA9" w:rsidP="00070BA9">
      <w:pPr>
        <w:spacing w:line="360" w:lineRule="auto"/>
        <w:jc w:val="both"/>
        <w:rPr>
          <w:rFonts w:asciiTheme="minorBidi" w:hAnsiTheme="minorBidi"/>
        </w:rPr>
      </w:pPr>
    </w:p>
    <w:p w14:paraId="11EE3FEB" w14:textId="77777777" w:rsidR="00070BA9" w:rsidRPr="001A7078" w:rsidRDefault="00070BA9" w:rsidP="00070BA9">
      <w:pPr>
        <w:spacing w:line="360" w:lineRule="auto"/>
        <w:jc w:val="both"/>
        <w:rPr>
          <w:rFonts w:asciiTheme="minorBidi" w:hAnsiTheme="minorBidi"/>
        </w:rPr>
      </w:pPr>
    </w:p>
    <w:p w14:paraId="145C330E" w14:textId="77777777" w:rsidR="00070BA9" w:rsidRPr="001A7078" w:rsidRDefault="00070BA9" w:rsidP="00070BA9">
      <w:pPr>
        <w:spacing w:line="360" w:lineRule="auto"/>
        <w:jc w:val="both"/>
        <w:rPr>
          <w:rFonts w:asciiTheme="minorBidi" w:hAnsiTheme="minorBidi"/>
        </w:rPr>
      </w:pPr>
    </w:p>
    <w:p w14:paraId="3EE67530" w14:textId="77777777" w:rsidR="00070BA9" w:rsidRPr="001A7078" w:rsidRDefault="00070BA9" w:rsidP="00070BA9">
      <w:pPr>
        <w:spacing w:line="360" w:lineRule="auto"/>
        <w:jc w:val="both"/>
        <w:rPr>
          <w:rFonts w:asciiTheme="minorBidi" w:hAnsiTheme="minorBidi"/>
        </w:rPr>
      </w:pPr>
    </w:p>
    <w:p w14:paraId="3E9C02B9" w14:textId="77777777" w:rsidR="00070BA9" w:rsidRDefault="00070BA9" w:rsidP="00070BA9">
      <w:pPr>
        <w:spacing w:line="360" w:lineRule="auto"/>
        <w:jc w:val="both"/>
        <w:rPr>
          <w:rFonts w:asciiTheme="minorBidi" w:hAnsiTheme="minorBidi"/>
        </w:rPr>
      </w:pPr>
    </w:p>
    <w:p w14:paraId="140D1BF5" w14:textId="77777777" w:rsidR="002E4E36" w:rsidRDefault="002E4E36" w:rsidP="00070BA9">
      <w:pPr>
        <w:spacing w:line="360" w:lineRule="auto"/>
        <w:jc w:val="both"/>
        <w:rPr>
          <w:rFonts w:asciiTheme="minorBidi" w:hAnsiTheme="minorBidi"/>
        </w:rPr>
      </w:pPr>
    </w:p>
    <w:p w14:paraId="6460BA53" w14:textId="77777777" w:rsidR="002E4E36" w:rsidRDefault="002E4E36" w:rsidP="00070BA9">
      <w:pPr>
        <w:spacing w:line="360" w:lineRule="auto"/>
        <w:jc w:val="both"/>
        <w:rPr>
          <w:rFonts w:asciiTheme="minorBidi" w:hAnsiTheme="minorBidi"/>
        </w:rPr>
      </w:pPr>
    </w:p>
    <w:p w14:paraId="3692ED62" w14:textId="77777777" w:rsidR="002E4E36" w:rsidRPr="001A7078" w:rsidRDefault="002E4E36" w:rsidP="00070BA9">
      <w:pPr>
        <w:spacing w:line="360" w:lineRule="auto"/>
        <w:jc w:val="both"/>
        <w:rPr>
          <w:rFonts w:asciiTheme="minorBidi" w:hAnsiTheme="minorBidi"/>
        </w:rPr>
      </w:pPr>
    </w:p>
    <w:p w14:paraId="511A281A" w14:textId="77777777" w:rsidR="00070BA9" w:rsidRDefault="00070BA9" w:rsidP="00070BA9">
      <w:pPr>
        <w:spacing w:line="360" w:lineRule="auto"/>
        <w:jc w:val="both"/>
        <w:rPr>
          <w:rFonts w:asciiTheme="minorBidi" w:hAnsiTheme="minorBidi"/>
        </w:rPr>
      </w:pPr>
    </w:p>
    <w:p w14:paraId="5CF9DA9D" w14:textId="77777777" w:rsidR="000220CE" w:rsidRPr="001A7078" w:rsidRDefault="000220CE" w:rsidP="00070BA9">
      <w:pPr>
        <w:spacing w:line="360" w:lineRule="auto"/>
        <w:jc w:val="both"/>
        <w:rPr>
          <w:rFonts w:asciiTheme="minorBidi" w:hAnsiTheme="minorBidi"/>
        </w:rPr>
      </w:pPr>
    </w:p>
    <w:p w14:paraId="018BA007" w14:textId="77777777" w:rsidR="00070BA9" w:rsidRPr="001A7078" w:rsidRDefault="00070BA9" w:rsidP="00070BA9">
      <w:pPr>
        <w:spacing w:line="360" w:lineRule="auto"/>
        <w:jc w:val="both"/>
        <w:rPr>
          <w:rFonts w:asciiTheme="minorBidi" w:hAnsiTheme="minorBidi"/>
        </w:rPr>
      </w:pPr>
    </w:p>
    <w:sdt>
      <w:sdtPr>
        <w:rPr>
          <w:rFonts w:asciiTheme="minorHAnsi" w:eastAsiaTheme="minorHAnsi" w:hAnsiTheme="minorHAnsi" w:cstheme="minorBidi"/>
          <w:color w:val="auto"/>
          <w:kern w:val="2"/>
          <w:sz w:val="22"/>
          <w:szCs w:val="22"/>
          <w:lang w:val="en-GB"/>
          <w14:ligatures w14:val="standardContextual"/>
        </w:rPr>
        <w:id w:val="-1642569343"/>
        <w:docPartObj>
          <w:docPartGallery w:val="Table of Contents"/>
          <w:docPartUnique/>
        </w:docPartObj>
      </w:sdtPr>
      <w:sdtEndPr>
        <w:rPr>
          <w:b/>
          <w:bCs/>
          <w:noProof/>
        </w:rPr>
      </w:sdtEndPr>
      <w:sdtContent>
        <w:p w14:paraId="22134813" w14:textId="7EAAC05C" w:rsidR="002F6806" w:rsidRPr="000220CE" w:rsidRDefault="002F6806" w:rsidP="002F6806">
          <w:pPr>
            <w:pStyle w:val="TOCHeading"/>
            <w:pBdr>
              <w:bottom w:val="single" w:sz="4" w:space="1" w:color="auto"/>
            </w:pBdr>
            <w:jc w:val="center"/>
            <w:rPr>
              <w:rFonts w:asciiTheme="minorBidi" w:hAnsiTheme="minorBidi" w:cstheme="minorBidi"/>
              <w:b/>
              <w:bCs/>
              <w:sz w:val="28"/>
              <w:szCs w:val="28"/>
            </w:rPr>
          </w:pPr>
          <w:r w:rsidRPr="000220CE">
            <w:rPr>
              <w:rFonts w:asciiTheme="minorBidi" w:hAnsiTheme="minorBidi" w:cstheme="minorBidi"/>
              <w:b/>
              <w:bCs/>
              <w:sz w:val="28"/>
              <w:szCs w:val="28"/>
            </w:rPr>
            <w:t>Table of Contents</w:t>
          </w:r>
        </w:p>
        <w:p w14:paraId="7DD88D1B" w14:textId="6F3D8975" w:rsidR="00C0581F" w:rsidRPr="00C0581F" w:rsidRDefault="002F6806" w:rsidP="00C0581F">
          <w:pPr>
            <w:pStyle w:val="TOC1"/>
            <w:tabs>
              <w:tab w:val="right" w:leader="dot" w:pos="9016"/>
            </w:tabs>
            <w:spacing w:line="360" w:lineRule="auto"/>
            <w:rPr>
              <w:rFonts w:eastAsiaTheme="minorEastAsia"/>
              <w:noProof/>
              <w:sz w:val="28"/>
              <w:szCs w:val="28"/>
              <w:lang w:val="en-US"/>
            </w:rPr>
          </w:pPr>
          <w:r w:rsidRPr="001A7078">
            <w:fldChar w:fldCharType="begin"/>
          </w:r>
          <w:r w:rsidRPr="001A7078">
            <w:instrText xml:space="preserve"> TOC \o "1-3" \h \z \u </w:instrText>
          </w:r>
          <w:r w:rsidRPr="001A7078">
            <w:fldChar w:fldCharType="separate"/>
          </w:r>
          <w:hyperlink w:anchor="_Toc213298790" w:history="1">
            <w:r w:rsidR="00C0581F" w:rsidRPr="00C0581F">
              <w:rPr>
                <w:rStyle w:val="Hyperlink"/>
                <w:rFonts w:asciiTheme="minorBidi" w:hAnsiTheme="minorBidi"/>
                <w:b/>
                <w:bCs/>
                <w:noProof/>
                <w:sz w:val="24"/>
                <w:szCs w:val="24"/>
              </w:rPr>
              <w:t>1. Introduction</w:t>
            </w:r>
            <w:r w:rsidR="00C0581F" w:rsidRPr="00C0581F">
              <w:rPr>
                <w:noProof/>
                <w:webHidden/>
                <w:sz w:val="24"/>
                <w:szCs w:val="24"/>
              </w:rPr>
              <w:tab/>
            </w:r>
            <w:r w:rsidR="00C0581F" w:rsidRPr="00C0581F">
              <w:rPr>
                <w:noProof/>
                <w:webHidden/>
                <w:sz w:val="24"/>
                <w:szCs w:val="24"/>
              </w:rPr>
              <w:fldChar w:fldCharType="begin"/>
            </w:r>
            <w:r w:rsidR="00C0581F" w:rsidRPr="00C0581F">
              <w:rPr>
                <w:noProof/>
                <w:webHidden/>
                <w:sz w:val="24"/>
                <w:szCs w:val="24"/>
              </w:rPr>
              <w:instrText xml:space="preserve"> PAGEREF _Toc213298790 \h </w:instrText>
            </w:r>
            <w:r w:rsidR="00C0581F" w:rsidRPr="00C0581F">
              <w:rPr>
                <w:noProof/>
                <w:webHidden/>
                <w:sz w:val="24"/>
                <w:szCs w:val="24"/>
              </w:rPr>
            </w:r>
            <w:r w:rsidR="00C0581F" w:rsidRPr="00C0581F">
              <w:rPr>
                <w:noProof/>
                <w:webHidden/>
                <w:sz w:val="24"/>
                <w:szCs w:val="24"/>
              </w:rPr>
              <w:fldChar w:fldCharType="separate"/>
            </w:r>
            <w:r w:rsidR="00C31B39">
              <w:rPr>
                <w:noProof/>
                <w:webHidden/>
                <w:sz w:val="24"/>
                <w:szCs w:val="24"/>
              </w:rPr>
              <w:t>3</w:t>
            </w:r>
            <w:r w:rsidR="00C0581F" w:rsidRPr="00C0581F">
              <w:rPr>
                <w:noProof/>
                <w:webHidden/>
                <w:sz w:val="24"/>
                <w:szCs w:val="24"/>
              </w:rPr>
              <w:fldChar w:fldCharType="end"/>
            </w:r>
          </w:hyperlink>
        </w:p>
        <w:p w14:paraId="77AA37AC" w14:textId="785B1C4A" w:rsidR="00C0581F" w:rsidRPr="00C0581F" w:rsidRDefault="00C0581F" w:rsidP="00C0581F">
          <w:pPr>
            <w:pStyle w:val="TOC1"/>
            <w:tabs>
              <w:tab w:val="right" w:leader="dot" w:pos="9016"/>
            </w:tabs>
            <w:spacing w:line="360" w:lineRule="auto"/>
            <w:rPr>
              <w:rFonts w:eastAsiaTheme="minorEastAsia"/>
              <w:noProof/>
              <w:sz w:val="28"/>
              <w:szCs w:val="28"/>
              <w:lang w:val="en-US"/>
            </w:rPr>
          </w:pPr>
          <w:hyperlink w:anchor="_Toc213298791" w:history="1">
            <w:r w:rsidRPr="00C0581F">
              <w:rPr>
                <w:rStyle w:val="Hyperlink"/>
                <w:rFonts w:asciiTheme="minorBidi" w:hAnsiTheme="minorBidi"/>
                <w:b/>
                <w:bCs/>
                <w:noProof/>
                <w:sz w:val="24"/>
                <w:szCs w:val="24"/>
              </w:rPr>
              <w:t>2. Context: Dementia Care in Older Adults</w:t>
            </w:r>
            <w:r w:rsidRPr="00C0581F">
              <w:rPr>
                <w:noProof/>
                <w:webHidden/>
                <w:sz w:val="24"/>
                <w:szCs w:val="24"/>
              </w:rPr>
              <w:tab/>
            </w:r>
            <w:r w:rsidRPr="00C0581F">
              <w:rPr>
                <w:noProof/>
                <w:webHidden/>
                <w:sz w:val="24"/>
                <w:szCs w:val="24"/>
              </w:rPr>
              <w:fldChar w:fldCharType="begin"/>
            </w:r>
            <w:r w:rsidRPr="00C0581F">
              <w:rPr>
                <w:noProof/>
                <w:webHidden/>
                <w:sz w:val="24"/>
                <w:szCs w:val="24"/>
              </w:rPr>
              <w:instrText xml:space="preserve"> PAGEREF _Toc213298791 \h </w:instrText>
            </w:r>
            <w:r w:rsidRPr="00C0581F">
              <w:rPr>
                <w:noProof/>
                <w:webHidden/>
                <w:sz w:val="24"/>
                <w:szCs w:val="24"/>
              </w:rPr>
            </w:r>
            <w:r w:rsidRPr="00C0581F">
              <w:rPr>
                <w:noProof/>
                <w:webHidden/>
                <w:sz w:val="24"/>
                <w:szCs w:val="24"/>
              </w:rPr>
              <w:fldChar w:fldCharType="separate"/>
            </w:r>
            <w:r w:rsidR="00C31B39">
              <w:rPr>
                <w:noProof/>
                <w:webHidden/>
                <w:sz w:val="24"/>
                <w:szCs w:val="24"/>
              </w:rPr>
              <w:t>3</w:t>
            </w:r>
            <w:r w:rsidRPr="00C0581F">
              <w:rPr>
                <w:noProof/>
                <w:webHidden/>
                <w:sz w:val="24"/>
                <w:szCs w:val="24"/>
              </w:rPr>
              <w:fldChar w:fldCharType="end"/>
            </w:r>
          </w:hyperlink>
        </w:p>
        <w:p w14:paraId="5826ACDB" w14:textId="2DD4104A" w:rsidR="00C0581F" w:rsidRPr="00C0581F" w:rsidRDefault="00C0581F" w:rsidP="00C0581F">
          <w:pPr>
            <w:pStyle w:val="TOC1"/>
            <w:tabs>
              <w:tab w:val="right" w:leader="dot" w:pos="9016"/>
            </w:tabs>
            <w:spacing w:line="360" w:lineRule="auto"/>
            <w:rPr>
              <w:rFonts w:eastAsiaTheme="minorEastAsia"/>
              <w:noProof/>
              <w:sz w:val="28"/>
              <w:szCs w:val="28"/>
              <w:lang w:val="en-US"/>
            </w:rPr>
          </w:pPr>
          <w:hyperlink w:anchor="_Toc213298792" w:history="1">
            <w:r w:rsidRPr="00C0581F">
              <w:rPr>
                <w:rStyle w:val="Hyperlink"/>
                <w:rFonts w:asciiTheme="minorBidi" w:hAnsiTheme="minorBidi"/>
                <w:b/>
                <w:bCs/>
                <w:noProof/>
                <w:sz w:val="24"/>
                <w:szCs w:val="24"/>
              </w:rPr>
              <w:t>3. Overview of Psychological Theories</w:t>
            </w:r>
            <w:r w:rsidRPr="00C0581F">
              <w:rPr>
                <w:noProof/>
                <w:webHidden/>
                <w:sz w:val="24"/>
                <w:szCs w:val="24"/>
              </w:rPr>
              <w:tab/>
            </w:r>
            <w:r w:rsidRPr="00C0581F">
              <w:rPr>
                <w:noProof/>
                <w:webHidden/>
                <w:sz w:val="24"/>
                <w:szCs w:val="24"/>
              </w:rPr>
              <w:fldChar w:fldCharType="begin"/>
            </w:r>
            <w:r w:rsidRPr="00C0581F">
              <w:rPr>
                <w:noProof/>
                <w:webHidden/>
                <w:sz w:val="24"/>
                <w:szCs w:val="24"/>
              </w:rPr>
              <w:instrText xml:space="preserve"> PAGEREF _Toc213298792 \h </w:instrText>
            </w:r>
            <w:r w:rsidRPr="00C0581F">
              <w:rPr>
                <w:noProof/>
                <w:webHidden/>
                <w:sz w:val="24"/>
                <w:szCs w:val="24"/>
              </w:rPr>
            </w:r>
            <w:r w:rsidRPr="00C0581F">
              <w:rPr>
                <w:noProof/>
                <w:webHidden/>
                <w:sz w:val="24"/>
                <w:szCs w:val="24"/>
              </w:rPr>
              <w:fldChar w:fldCharType="separate"/>
            </w:r>
            <w:r w:rsidR="00C31B39">
              <w:rPr>
                <w:noProof/>
                <w:webHidden/>
                <w:sz w:val="24"/>
                <w:szCs w:val="24"/>
              </w:rPr>
              <w:t>3</w:t>
            </w:r>
            <w:r w:rsidRPr="00C0581F">
              <w:rPr>
                <w:noProof/>
                <w:webHidden/>
                <w:sz w:val="24"/>
                <w:szCs w:val="24"/>
              </w:rPr>
              <w:fldChar w:fldCharType="end"/>
            </w:r>
          </w:hyperlink>
        </w:p>
        <w:p w14:paraId="5EC232A3" w14:textId="797285E8" w:rsidR="00C0581F" w:rsidRPr="00C0581F" w:rsidRDefault="00C0581F" w:rsidP="00C0581F">
          <w:pPr>
            <w:pStyle w:val="TOC2"/>
            <w:tabs>
              <w:tab w:val="right" w:leader="dot" w:pos="9016"/>
            </w:tabs>
            <w:spacing w:line="360" w:lineRule="auto"/>
            <w:rPr>
              <w:rFonts w:eastAsiaTheme="minorEastAsia"/>
              <w:noProof/>
              <w:sz w:val="28"/>
              <w:szCs w:val="28"/>
              <w:lang w:val="en-US"/>
            </w:rPr>
          </w:pPr>
          <w:hyperlink w:anchor="_Toc213298793" w:history="1">
            <w:r w:rsidRPr="00C0581F">
              <w:rPr>
                <w:rStyle w:val="Hyperlink"/>
                <w:rFonts w:asciiTheme="minorBidi" w:hAnsiTheme="minorBidi"/>
                <w:b/>
                <w:bCs/>
                <w:noProof/>
                <w:sz w:val="24"/>
                <w:szCs w:val="24"/>
              </w:rPr>
              <w:t>3.1 Erikson’s Psychosocial Theory (Integrity vs Despair)</w:t>
            </w:r>
            <w:r w:rsidRPr="00C0581F">
              <w:rPr>
                <w:noProof/>
                <w:webHidden/>
                <w:sz w:val="24"/>
                <w:szCs w:val="24"/>
              </w:rPr>
              <w:tab/>
            </w:r>
            <w:r w:rsidRPr="00C0581F">
              <w:rPr>
                <w:noProof/>
                <w:webHidden/>
                <w:sz w:val="24"/>
                <w:szCs w:val="24"/>
              </w:rPr>
              <w:fldChar w:fldCharType="begin"/>
            </w:r>
            <w:r w:rsidRPr="00C0581F">
              <w:rPr>
                <w:noProof/>
                <w:webHidden/>
                <w:sz w:val="24"/>
                <w:szCs w:val="24"/>
              </w:rPr>
              <w:instrText xml:space="preserve"> PAGEREF _Toc213298793 \h </w:instrText>
            </w:r>
            <w:r w:rsidRPr="00C0581F">
              <w:rPr>
                <w:noProof/>
                <w:webHidden/>
                <w:sz w:val="24"/>
                <w:szCs w:val="24"/>
              </w:rPr>
            </w:r>
            <w:r w:rsidRPr="00C0581F">
              <w:rPr>
                <w:noProof/>
                <w:webHidden/>
                <w:sz w:val="24"/>
                <w:szCs w:val="24"/>
              </w:rPr>
              <w:fldChar w:fldCharType="separate"/>
            </w:r>
            <w:r w:rsidR="00C31B39">
              <w:rPr>
                <w:noProof/>
                <w:webHidden/>
                <w:sz w:val="24"/>
                <w:szCs w:val="24"/>
              </w:rPr>
              <w:t>3</w:t>
            </w:r>
            <w:r w:rsidRPr="00C0581F">
              <w:rPr>
                <w:noProof/>
                <w:webHidden/>
                <w:sz w:val="24"/>
                <w:szCs w:val="24"/>
              </w:rPr>
              <w:fldChar w:fldCharType="end"/>
            </w:r>
          </w:hyperlink>
        </w:p>
        <w:p w14:paraId="5B1D7254" w14:textId="31740CD6" w:rsidR="00C0581F" w:rsidRPr="00C0581F" w:rsidRDefault="00C0581F" w:rsidP="00C0581F">
          <w:pPr>
            <w:pStyle w:val="TOC2"/>
            <w:tabs>
              <w:tab w:val="right" w:leader="dot" w:pos="9016"/>
            </w:tabs>
            <w:spacing w:line="360" w:lineRule="auto"/>
            <w:rPr>
              <w:rFonts w:eastAsiaTheme="minorEastAsia"/>
              <w:noProof/>
              <w:sz w:val="28"/>
              <w:szCs w:val="28"/>
              <w:lang w:val="en-US"/>
            </w:rPr>
          </w:pPr>
          <w:hyperlink w:anchor="_Toc213298794" w:history="1">
            <w:r w:rsidRPr="00C0581F">
              <w:rPr>
                <w:rStyle w:val="Hyperlink"/>
                <w:rFonts w:asciiTheme="minorBidi" w:hAnsiTheme="minorBidi"/>
                <w:b/>
                <w:bCs/>
                <w:noProof/>
                <w:sz w:val="24"/>
                <w:szCs w:val="24"/>
              </w:rPr>
              <w:t>3.2 Maslow’s Hierarchy of Needs</w:t>
            </w:r>
            <w:r w:rsidRPr="00C0581F">
              <w:rPr>
                <w:noProof/>
                <w:webHidden/>
                <w:sz w:val="24"/>
                <w:szCs w:val="24"/>
              </w:rPr>
              <w:tab/>
            </w:r>
            <w:r w:rsidRPr="00C0581F">
              <w:rPr>
                <w:noProof/>
                <w:webHidden/>
                <w:sz w:val="24"/>
                <w:szCs w:val="24"/>
              </w:rPr>
              <w:fldChar w:fldCharType="begin"/>
            </w:r>
            <w:r w:rsidRPr="00C0581F">
              <w:rPr>
                <w:noProof/>
                <w:webHidden/>
                <w:sz w:val="24"/>
                <w:szCs w:val="24"/>
              </w:rPr>
              <w:instrText xml:space="preserve"> PAGEREF _Toc213298794 \h </w:instrText>
            </w:r>
            <w:r w:rsidRPr="00C0581F">
              <w:rPr>
                <w:noProof/>
                <w:webHidden/>
                <w:sz w:val="24"/>
                <w:szCs w:val="24"/>
              </w:rPr>
            </w:r>
            <w:r w:rsidRPr="00C0581F">
              <w:rPr>
                <w:noProof/>
                <w:webHidden/>
                <w:sz w:val="24"/>
                <w:szCs w:val="24"/>
              </w:rPr>
              <w:fldChar w:fldCharType="separate"/>
            </w:r>
            <w:r w:rsidR="00C31B39">
              <w:rPr>
                <w:noProof/>
                <w:webHidden/>
                <w:sz w:val="24"/>
                <w:szCs w:val="24"/>
              </w:rPr>
              <w:t>4</w:t>
            </w:r>
            <w:r w:rsidRPr="00C0581F">
              <w:rPr>
                <w:noProof/>
                <w:webHidden/>
                <w:sz w:val="24"/>
                <w:szCs w:val="24"/>
              </w:rPr>
              <w:fldChar w:fldCharType="end"/>
            </w:r>
          </w:hyperlink>
        </w:p>
        <w:p w14:paraId="13B7D590" w14:textId="19449CD5" w:rsidR="00C0581F" w:rsidRPr="00C0581F" w:rsidRDefault="00C0581F" w:rsidP="00C0581F">
          <w:pPr>
            <w:pStyle w:val="TOC1"/>
            <w:tabs>
              <w:tab w:val="right" w:leader="dot" w:pos="9016"/>
            </w:tabs>
            <w:spacing w:line="360" w:lineRule="auto"/>
            <w:rPr>
              <w:rFonts w:eastAsiaTheme="minorEastAsia"/>
              <w:noProof/>
              <w:sz w:val="28"/>
              <w:szCs w:val="28"/>
              <w:lang w:val="en-US"/>
            </w:rPr>
          </w:pPr>
          <w:hyperlink w:anchor="_Toc213298795" w:history="1">
            <w:r w:rsidRPr="00C0581F">
              <w:rPr>
                <w:rStyle w:val="Hyperlink"/>
                <w:rFonts w:asciiTheme="minorBidi" w:hAnsiTheme="minorBidi"/>
                <w:b/>
                <w:bCs/>
                <w:noProof/>
                <w:sz w:val="24"/>
                <w:szCs w:val="24"/>
              </w:rPr>
              <w:t>4. Application of Theories in Health and Social Care Practice</w:t>
            </w:r>
            <w:r w:rsidRPr="00C0581F">
              <w:rPr>
                <w:noProof/>
                <w:webHidden/>
                <w:sz w:val="24"/>
                <w:szCs w:val="24"/>
              </w:rPr>
              <w:tab/>
            </w:r>
            <w:r w:rsidRPr="00C0581F">
              <w:rPr>
                <w:noProof/>
                <w:webHidden/>
                <w:sz w:val="24"/>
                <w:szCs w:val="24"/>
              </w:rPr>
              <w:fldChar w:fldCharType="begin"/>
            </w:r>
            <w:r w:rsidRPr="00C0581F">
              <w:rPr>
                <w:noProof/>
                <w:webHidden/>
                <w:sz w:val="24"/>
                <w:szCs w:val="24"/>
              </w:rPr>
              <w:instrText xml:space="preserve"> PAGEREF _Toc213298795 \h </w:instrText>
            </w:r>
            <w:r w:rsidRPr="00C0581F">
              <w:rPr>
                <w:noProof/>
                <w:webHidden/>
                <w:sz w:val="24"/>
                <w:szCs w:val="24"/>
              </w:rPr>
            </w:r>
            <w:r w:rsidRPr="00C0581F">
              <w:rPr>
                <w:noProof/>
                <w:webHidden/>
                <w:sz w:val="24"/>
                <w:szCs w:val="24"/>
              </w:rPr>
              <w:fldChar w:fldCharType="separate"/>
            </w:r>
            <w:r w:rsidR="00C31B39">
              <w:rPr>
                <w:noProof/>
                <w:webHidden/>
                <w:sz w:val="24"/>
                <w:szCs w:val="24"/>
              </w:rPr>
              <w:t>5</w:t>
            </w:r>
            <w:r w:rsidRPr="00C0581F">
              <w:rPr>
                <w:noProof/>
                <w:webHidden/>
                <w:sz w:val="24"/>
                <w:szCs w:val="24"/>
              </w:rPr>
              <w:fldChar w:fldCharType="end"/>
            </w:r>
          </w:hyperlink>
        </w:p>
        <w:p w14:paraId="0E88AF03" w14:textId="7BC1E6A6" w:rsidR="00C0581F" w:rsidRPr="00C0581F" w:rsidRDefault="00C0581F" w:rsidP="00C0581F">
          <w:pPr>
            <w:pStyle w:val="TOC2"/>
            <w:tabs>
              <w:tab w:val="right" w:leader="dot" w:pos="9016"/>
            </w:tabs>
            <w:spacing w:line="360" w:lineRule="auto"/>
            <w:rPr>
              <w:rFonts w:eastAsiaTheme="minorEastAsia"/>
              <w:noProof/>
              <w:sz w:val="28"/>
              <w:szCs w:val="28"/>
              <w:lang w:val="en-US"/>
            </w:rPr>
          </w:pPr>
          <w:hyperlink w:anchor="_Toc213298796" w:history="1">
            <w:r w:rsidRPr="00C0581F">
              <w:rPr>
                <w:rStyle w:val="Hyperlink"/>
                <w:rFonts w:asciiTheme="minorBidi" w:hAnsiTheme="minorBidi"/>
                <w:b/>
                <w:bCs/>
                <w:noProof/>
                <w:sz w:val="24"/>
                <w:szCs w:val="24"/>
              </w:rPr>
              <w:t>4.1 Using Erikson’s Theory in Dementia Care</w:t>
            </w:r>
            <w:r w:rsidRPr="00C0581F">
              <w:rPr>
                <w:noProof/>
                <w:webHidden/>
                <w:sz w:val="24"/>
                <w:szCs w:val="24"/>
              </w:rPr>
              <w:tab/>
            </w:r>
            <w:r w:rsidRPr="00C0581F">
              <w:rPr>
                <w:noProof/>
                <w:webHidden/>
                <w:sz w:val="24"/>
                <w:szCs w:val="24"/>
              </w:rPr>
              <w:fldChar w:fldCharType="begin"/>
            </w:r>
            <w:r w:rsidRPr="00C0581F">
              <w:rPr>
                <w:noProof/>
                <w:webHidden/>
                <w:sz w:val="24"/>
                <w:szCs w:val="24"/>
              </w:rPr>
              <w:instrText xml:space="preserve"> PAGEREF _Toc213298796 \h </w:instrText>
            </w:r>
            <w:r w:rsidRPr="00C0581F">
              <w:rPr>
                <w:noProof/>
                <w:webHidden/>
                <w:sz w:val="24"/>
                <w:szCs w:val="24"/>
              </w:rPr>
            </w:r>
            <w:r w:rsidRPr="00C0581F">
              <w:rPr>
                <w:noProof/>
                <w:webHidden/>
                <w:sz w:val="24"/>
                <w:szCs w:val="24"/>
              </w:rPr>
              <w:fldChar w:fldCharType="separate"/>
            </w:r>
            <w:r w:rsidR="00C31B39">
              <w:rPr>
                <w:noProof/>
                <w:webHidden/>
                <w:sz w:val="24"/>
                <w:szCs w:val="24"/>
              </w:rPr>
              <w:t>5</w:t>
            </w:r>
            <w:r w:rsidRPr="00C0581F">
              <w:rPr>
                <w:noProof/>
                <w:webHidden/>
                <w:sz w:val="24"/>
                <w:szCs w:val="24"/>
              </w:rPr>
              <w:fldChar w:fldCharType="end"/>
            </w:r>
          </w:hyperlink>
        </w:p>
        <w:p w14:paraId="2CAEB452" w14:textId="042B3799" w:rsidR="00C0581F" w:rsidRPr="00C0581F" w:rsidRDefault="00C0581F" w:rsidP="00C0581F">
          <w:pPr>
            <w:pStyle w:val="TOC2"/>
            <w:tabs>
              <w:tab w:val="right" w:leader="dot" w:pos="9016"/>
            </w:tabs>
            <w:spacing w:line="360" w:lineRule="auto"/>
            <w:rPr>
              <w:rFonts w:eastAsiaTheme="minorEastAsia"/>
              <w:noProof/>
              <w:sz w:val="28"/>
              <w:szCs w:val="28"/>
              <w:lang w:val="en-US"/>
            </w:rPr>
          </w:pPr>
          <w:hyperlink w:anchor="_Toc213298797" w:history="1">
            <w:r w:rsidRPr="00C0581F">
              <w:rPr>
                <w:rStyle w:val="Hyperlink"/>
                <w:rFonts w:asciiTheme="minorBidi" w:hAnsiTheme="minorBidi"/>
                <w:b/>
                <w:bCs/>
                <w:noProof/>
                <w:sz w:val="24"/>
                <w:szCs w:val="24"/>
              </w:rPr>
              <w:t>4.2 Applying Maslow’s Theory in Dementia Care</w:t>
            </w:r>
            <w:r w:rsidRPr="00C0581F">
              <w:rPr>
                <w:noProof/>
                <w:webHidden/>
                <w:sz w:val="24"/>
                <w:szCs w:val="24"/>
              </w:rPr>
              <w:tab/>
            </w:r>
            <w:r w:rsidRPr="00C0581F">
              <w:rPr>
                <w:noProof/>
                <w:webHidden/>
                <w:sz w:val="24"/>
                <w:szCs w:val="24"/>
              </w:rPr>
              <w:fldChar w:fldCharType="begin"/>
            </w:r>
            <w:r w:rsidRPr="00C0581F">
              <w:rPr>
                <w:noProof/>
                <w:webHidden/>
                <w:sz w:val="24"/>
                <w:szCs w:val="24"/>
              </w:rPr>
              <w:instrText xml:space="preserve"> PAGEREF _Toc213298797 \h </w:instrText>
            </w:r>
            <w:r w:rsidRPr="00C0581F">
              <w:rPr>
                <w:noProof/>
                <w:webHidden/>
                <w:sz w:val="24"/>
                <w:szCs w:val="24"/>
              </w:rPr>
            </w:r>
            <w:r w:rsidRPr="00C0581F">
              <w:rPr>
                <w:noProof/>
                <w:webHidden/>
                <w:sz w:val="24"/>
                <w:szCs w:val="24"/>
              </w:rPr>
              <w:fldChar w:fldCharType="separate"/>
            </w:r>
            <w:r w:rsidR="00C31B39">
              <w:rPr>
                <w:noProof/>
                <w:webHidden/>
                <w:sz w:val="24"/>
                <w:szCs w:val="24"/>
              </w:rPr>
              <w:t>6</w:t>
            </w:r>
            <w:r w:rsidRPr="00C0581F">
              <w:rPr>
                <w:noProof/>
                <w:webHidden/>
                <w:sz w:val="24"/>
                <w:szCs w:val="24"/>
              </w:rPr>
              <w:fldChar w:fldCharType="end"/>
            </w:r>
          </w:hyperlink>
        </w:p>
        <w:p w14:paraId="45488A67" w14:textId="75CEEFDF" w:rsidR="00C0581F" w:rsidRPr="00C0581F" w:rsidRDefault="00C0581F" w:rsidP="00C0581F">
          <w:pPr>
            <w:pStyle w:val="TOC1"/>
            <w:tabs>
              <w:tab w:val="right" w:leader="dot" w:pos="9016"/>
            </w:tabs>
            <w:spacing w:line="360" w:lineRule="auto"/>
            <w:rPr>
              <w:rFonts w:eastAsiaTheme="minorEastAsia"/>
              <w:noProof/>
              <w:sz w:val="28"/>
              <w:szCs w:val="28"/>
              <w:lang w:val="en-US"/>
            </w:rPr>
          </w:pPr>
          <w:hyperlink w:anchor="_Toc213298798" w:history="1">
            <w:r w:rsidRPr="00C0581F">
              <w:rPr>
                <w:rStyle w:val="Hyperlink"/>
                <w:rFonts w:asciiTheme="minorBidi" w:hAnsiTheme="minorBidi"/>
                <w:b/>
                <w:bCs/>
                <w:noProof/>
                <w:sz w:val="24"/>
                <w:szCs w:val="24"/>
              </w:rPr>
              <w:t>5. Evaluation and Critical Discussion</w:t>
            </w:r>
            <w:r w:rsidRPr="00C0581F">
              <w:rPr>
                <w:noProof/>
                <w:webHidden/>
                <w:sz w:val="24"/>
                <w:szCs w:val="24"/>
              </w:rPr>
              <w:tab/>
            </w:r>
            <w:r w:rsidRPr="00C0581F">
              <w:rPr>
                <w:noProof/>
                <w:webHidden/>
                <w:sz w:val="24"/>
                <w:szCs w:val="24"/>
              </w:rPr>
              <w:fldChar w:fldCharType="begin"/>
            </w:r>
            <w:r w:rsidRPr="00C0581F">
              <w:rPr>
                <w:noProof/>
                <w:webHidden/>
                <w:sz w:val="24"/>
                <w:szCs w:val="24"/>
              </w:rPr>
              <w:instrText xml:space="preserve"> PAGEREF _Toc213298798 \h </w:instrText>
            </w:r>
            <w:r w:rsidRPr="00C0581F">
              <w:rPr>
                <w:noProof/>
                <w:webHidden/>
                <w:sz w:val="24"/>
                <w:szCs w:val="24"/>
              </w:rPr>
            </w:r>
            <w:r w:rsidRPr="00C0581F">
              <w:rPr>
                <w:noProof/>
                <w:webHidden/>
                <w:sz w:val="24"/>
                <w:szCs w:val="24"/>
              </w:rPr>
              <w:fldChar w:fldCharType="separate"/>
            </w:r>
            <w:r w:rsidR="00C31B39">
              <w:rPr>
                <w:noProof/>
                <w:webHidden/>
                <w:sz w:val="24"/>
                <w:szCs w:val="24"/>
              </w:rPr>
              <w:t>6</w:t>
            </w:r>
            <w:r w:rsidRPr="00C0581F">
              <w:rPr>
                <w:noProof/>
                <w:webHidden/>
                <w:sz w:val="24"/>
                <w:szCs w:val="24"/>
              </w:rPr>
              <w:fldChar w:fldCharType="end"/>
            </w:r>
          </w:hyperlink>
        </w:p>
        <w:p w14:paraId="0AF25861" w14:textId="733F927D" w:rsidR="00C0581F" w:rsidRPr="00C0581F" w:rsidRDefault="00C0581F" w:rsidP="00C0581F">
          <w:pPr>
            <w:pStyle w:val="TOC1"/>
            <w:tabs>
              <w:tab w:val="right" w:leader="dot" w:pos="9016"/>
            </w:tabs>
            <w:spacing w:line="360" w:lineRule="auto"/>
            <w:rPr>
              <w:rFonts w:eastAsiaTheme="minorEastAsia"/>
              <w:noProof/>
              <w:sz w:val="28"/>
              <w:szCs w:val="28"/>
              <w:lang w:val="en-US"/>
            </w:rPr>
          </w:pPr>
          <w:hyperlink w:anchor="_Toc213298799" w:history="1">
            <w:r w:rsidRPr="00C0581F">
              <w:rPr>
                <w:rStyle w:val="Hyperlink"/>
                <w:rFonts w:asciiTheme="minorBidi" w:hAnsiTheme="minorBidi"/>
                <w:b/>
                <w:bCs/>
                <w:noProof/>
                <w:sz w:val="24"/>
                <w:szCs w:val="24"/>
              </w:rPr>
              <w:t>6. Conclusion</w:t>
            </w:r>
            <w:r w:rsidRPr="00C0581F">
              <w:rPr>
                <w:noProof/>
                <w:webHidden/>
                <w:sz w:val="24"/>
                <w:szCs w:val="24"/>
              </w:rPr>
              <w:tab/>
            </w:r>
            <w:r w:rsidRPr="00C0581F">
              <w:rPr>
                <w:noProof/>
                <w:webHidden/>
                <w:sz w:val="24"/>
                <w:szCs w:val="24"/>
              </w:rPr>
              <w:fldChar w:fldCharType="begin"/>
            </w:r>
            <w:r w:rsidRPr="00C0581F">
              <w:rPr>
                <w:noProof/>
                <w:webHidden/>
                <w:sz w:val="24"/>
                <w:szCs w:val="24"/>
              </w:rPr>
              <w:instrText xml:space="preserve"> PAGEREF _Toc213298799 \h </w:instrText>
            </w:r>
            <w:r w:rsidRPr="00C0581F">
              <w:rPr>
                <w:noProof/>
                <w:webHidden/>
                <w:sz w:val="24"/>
                <w:szCs w:val="24"/>
              </w:rPr>
            </w:r>
            <w:r w:rsidRPr="00C0581F">
              <w:rPr>
                <w:noProof/>
                <w:webHidden/>
                <w:sz w:val="24"/>
                <w:szCs w:val="24"/>
              </w:rPr>
              <w:fldChar w:fldCharType="separate"/>
            </w:r>
            <w:r w:rsidR="00C31B39">
              <w:rPr>
                <w:noProof/>
                <w:webHidden/>
                <w:sz w:val="24"/>
                <w:szCs w:val="24"/>
              </w:rPr>
              <w:t>7</w:t>
            </w:r>
            <w:r w:rsidRPr="00C0581F">
              <w:rPr>
                <w:noProof/>
                <w:webHidden/>
                <w:sz w:val="24"/>
                <w:szCs w:val="24"/>
              </w:rPr>
              <w:fldChar w:fldCharType="end"/>
            </w:r>
          </w:hyperlink>
        </w:p>
        <w:p w14:paraId="0E35353E" w14:textId="04CD8D9C" w:rsidR="00C0581F" w:rsidRPr="00C0581F" w:rsidRDefault="00C0581F" w:rsidP="00C0581F">
          <w:pPr>
            <w:pStyle w:val="TOC1"/>
            <w:tabs>
              <w:tab w:val="right" w:leader="dot" w:pos="9016"/>
            </w:tabs>
            <w:spacing w:line="360" w:lineRule="auto"/>
            <w:rPr>
              <w:rFonts w:eastAsiaTheme="minorEastAsia"/>
              <w:noProof/>
              <w:sz w:val="28"/>
              <w:szCs w:val="28"/>
              <w:lang w:val="en-US"/>
            </w:rPr>
          </w:pPr>
          <w:hyperlink w:anchor="_Toc213298800" w:history="1">
            <w:r w:rsidRPr="00C0581F">
              <w:rPr>
                <w:rStyle w:val="Hyperlink"/>
                <w:rFonts w:asciiTheme="minorBidi" w:hAnsiTheme="minorBidi"/>
                <w:b/>
                <w:bCs/>
                <w:noProof/>
                <w:sz w:val="24"/>
                <w:szCs w:val="24"/>
              </w:rPr>
              <w:t>Reference List:</w:t>
            </w:r>
            <w:r w:rsidRPr="00C0581F">
              <w:rPr>
                <w:noProof/>
                <w:webHidden/>
                <w:sz w:val="24"/>
                <w:szCs w:val="24"/>
              </w:rPr>
              <w:tab/>
            </w:r>
            <w:r w:rsidRPr="00C0581F">
              <w:rPr>
                <w:noProof/>
                <w:webHidden/>
                <w:sz w:val="24"/>
                <w:szCs w:val="24"/>
              </w:rPr>
              <w:fldChar w:fldCharType="begin"/>
            </w:r>
            <w:r w:rsidRPr="00C0581F">
              <w:rPr>
                <w:noProof/>
                <w:webHidden/>
                <w:sz w:val="24"/>
                <w:szCs w:val="24"/>
              </w:rPr>
              <w:instrText xml:space="preserve"> PAGEREF _Toc213298800 \h </w:instrText>
            </w:r>
            <w:r w:rsidRPr="00C0581F">
              <w:rPr>
                <w:noProof/>
                <w:webHidden/>
                <w:sz w:val="24"/>
                <w:szCs w:val="24"/>
              </w:rPr>
            </w:r>
            <w:r w:rsidRPr="00C0581F">
              <w:rPr>
                <w:noProof/>
                <w:webHidden/>
                <w:sz w:val="24"/>
                <w:szCs w:val="24"/>
              </w:rPr>
              <w:fldChar w:fldCharType="separate"/>
            </w:r>
            <w:r w:rsidR="00C31B39">
              <w:rPr>
                <w:noProof/>
                <w:webHidden/>
                <w:sz w:val="24"/>
                <w:szCs w:val="24"/>
              </w:rPr>
              <w:t>8</w:t>
            </w:r>
            <w:r w:rsidRPr="00C0581F">
              <w:rPr>
                <w:noProof/>
                <w:webHidden/>
                <w:sz w:val="24"/>
                <w:szCs w:val="24"/>
              </w:rPr>
              <w:fldChar w:fldCharType="end"/>
            </w:r>
          </w:hyperlink>
        </w:p>
        <w:p w14:paraId="58C0D891" w14:textId="2A484140" w:rsidR="002F6806" w:rsidRPr="001A7078" w:rsidRDefault="002F6806">
          <w:r w:rsidRPr="001A7078">
            <w:rPr>
              <w:b/>
              <w:bCs/>
              <w:noProof/>
            </w:rPr>
            <w:fldChar w:fldCharType="end"/>
          </w:r>
        </w:p>
      </w:sdtContent>
    </w:sdt>
    <w:p w14:paraId="7EEB66D9" w14:textId="77777777" w:rsidR="00FB4CB7" w:rsidRPr="001A7078" w:rsidRDefault="00FB4CB7" w:rsidP="00FB4CB7">
      <w:pPr>
        <w:spacing w:line="360" w:lineRule="auto"/>
        <w:jc w:val="both"/>
        <w:rPr>
          <w:rFonts w:asciiTheme="minorBidi" w:hAnsiTheme="minorBidi"/>
        </w:rPr>
      </w:pPr>
    </w:p>
    <w:p w14:paraId="27640D01" w14:textId="77777777" w:rsidR="00B1569A" w:rsidRPr="001A7078" w:rsidRDefault="00B1569A" w:rsidP="00FB4CB7">
      <w:pPr>
        <w:spacing w:line="360" w:lineRule="auto"/>
        <w:jc w:val="both"/>
        <w:rPr>
          <w:rFonts w:asciiTheme="minorBidi" w:hAnsiTheme="minorBidi"/>
        </w:rPr>
      </w:pPr>
    </w:p>
    <w:p w14:paraId="60C5A8D5" w14:textId="77777777" w:rsidR="00B1569A" w:rsidRDefault="00B1569A" w:rsidP="00FB4CB7">
      <w:pPr>
        <w:spacing w:line="360" w:lineRule="auto"/>
        <w:jc w:val="both"/>
        <w:rPr>
          <w:rFonts w:asciiTheme="minorBidi" w:hAnsiTheme="minorBidi"/>
        </w:rPr>
      </w:pPr>
    </w:p>
    <w:p w14:paraId="2C9EFF32" w14:textId="77777777" w:rsidR="002E4E36" w:rsidRDefault="002E4E36" w:rsidP="00FB4CB7">
      <w:pPr>
        <w:spacing w:line="360" w:lineRule="auto"/>
        <w:jc w:val="both"/>
        <w:rPr>
          <w:rFonts w:asciiTheme="minorBidi" w:hAnsiTheme="minorBidi"/>
        </w:rPr>
      </w:pPr>
    </w:p>
    <w:p w14:paraId="1E7856A1" w14:textId="77777777" w:rsidR="002E4E36" w:rsidRDefault="002E4E36" w:rsidP="00FB4CB7">
      <w:pPr>
        <w:spacing w:line="360" w:lineRule="auto"/>
        <w:jc w:val="both"/>
        <w:rPr>
          <w:rFonts w:asciiTheme="minorBidi" w:hAnsiTheme="minorBidi"/>
        </w:rPr>
      </w:pPr>
    </w:p>
    <w:p w14:paraId="5FDAA000" w14:textId="77777777" w:rsidR="002E4E36" w:rsidRPr="001A7078" w:rsidRDefault="002E4E36" w:rsidP="00FB4CB7">
      <w:pPr>
        <w:spacing w:line="360" w:lineRule="auto"/>
        <w:jc w:val="both"/>
        <w:rPr>
          <w:rFonts w:asciiTheme="minorBidi" w:hAnsiTheme="minorBidi"/>
        </w:rPr>
      </w:pPr>
    </w:p>
    <w:p w14:paraId="477F2683" w14:textId="77777777" w:rsidR="002F6806" w:rsidRDefault="002F6806" w:rsidP="00FB4CB7">
      <w:pPr>
        <w:spacing w:line="360" w:lineRule="auto"/>
        <w:jc w:val="both"/>
        <w:rPr>
          <w:rFonts w:asciiTheme="minorBidi" w:hAnsiTheme="minorBidi"/>
        </w:rPr>
      </w:pPr>
    </w:p>
    <w:p w14:paraId="00C09E4C" w14:textId="77777777" w:rsidR="00BF28CA" w:rsidRDefault="00BF28CA" w:rsidP="00FB4CB7">
      <w:pPr>
        <w:spacing w:line="360" w:lineRule="auto"/>
        <w:jc w:val="both"/>
        <w:rPr>
          <w:rFonts w:asciiTheme="minorBidi" w:hAnsiTheme="minorBidi"/>
        </w:rPr>
      </w:pPr>
    </w:p>
    <w:p w14:paraId="5CF0E8F7" w14:textId="77777777" w:rsidR="00C0581F" w:rsidRDefault="00C0581F" w:rsidP="00FB4CB7">
      <w:pPr>
        <w:spacing w:line="360" w:lineRule="auto"/>
        <w:jc w:val="both"/>
        <w:rPr>
          <w:rFonts w:asciiTheme="minorBidi" w:hAnsiTheme="minorBidi"/>
        </w:rPr>
      </w:pPr>
    </w:p>
    <w:p w14:paraId="528FC046" w14:textId="77777777" w:rsidR="00C0581F" w:rsidRDefault="00C0581F" w:rsidP="00FB4CB7">
      <w:pPr>
        <w:spacing w:line="360" w:lineRule="auto"/>
        <w:jc w:val="both"/>
        <w:rPr>
          <w:rFonts w:asciiTheme="minorBidi" w:hAnsiTheme="minorBidi"/>
        </w:rPr>
      </w:pPr>
    </w:p>
    <w:p w14:paraId="42E0BD0A" w14:textId="77777777" w:rsidR="00C0581F" w:rsidRPr="001A7078" w:rsidRDefault="00C0581F" w:rsidP="00FB4CB7">
      <w:pPr>
        <w:spacing w:line="360" w:lineRule="auto"/>
        <w:jc w:val="both"/>
        <w:rPr>
          <w:rFonts w:asciiTheme="minorBidi" w:hAnsiTheme="minorBidi"/>
        </w:rPr>
      </w:pPr>
    </w:p>
    <w:p w14:paraId="604B9335" w14:textId="1F0A736D" w:rsidR="006047D0" w:rsidRPr="006047D0" w:rsidRDefault="006047D0" w:rsidP="006047D0">
      <w:pPr>
        <w:pStyle w:val="Heading1"/>
        <w:pBdr>
          <w:bottom w:val="single" w:sz="4" w:space="1" w:color="auto"/>
        </w:pBdr>
        <w:rPr>
          <w:rFonts w:asciiTheme="minorBidi" w:hAnsiTheme="minorBidi" w:cstheme="minorBidi"/>
          <w:b/>
          <w:bCs/>
          <w:sz w:val="28"/>
          <w:szCs w:val="28"/>
        </w:rPr>
      </w:pPr>
      <w:bookmarkStart w:id="0" w:name="_Toc213298790"/>
      <w:r w:rsidRPr="006047D0">
        <w:rPr>
          <w:rFonts w:asciiTheme="minorBidi" w:hAnsiTheme="minorBidi" w:cstheme="minorBidi"/>
          <w:b/>
          <w:bCs/>
          <w:sz w:val="28"/>
          <w:szCs w:val="28"/>
        </w:rPr>
        <w:t>1. Introduction</w:t>
      </w:r>
      <w:bookmarkEnd w:id="0"/>
    </w:p>
    <w:p w14:paraId="1C94C945" w14:textId="1ED0E736" w:rsidR="006047D0" w:rsidRPr="006047D0" w:rsidRDefault="006047D0" w:rsidP="006047D0">
      <w:pPr>
        <w:spacing w:line="360" w:lineRule="auto"/>
        <w:jc w:val="both"/>
        <w:rPr>
          <w:rFonts w:asciiTheme="minorBidi" w:hAnsiTheme="minorBidi"/>
          <w:lang w:val="en-US"/>
        </w:rPr>
      </w:pPr>
      <w:r w:rsidRPr="006047D0">
        <w:rPr>
          <w:rFonts w:asciiTheme="minorBidi" w:hAnsiTheme="minorBidi"/>
          <w:lang w:val="en-US"/>
        </w:rPr>
        <w:t xml:space="preserve">Psychological knowledge is fundamental in health and social care because it enables professionals to interpret human </w:t>
      </w:r>
      <w:proofErr w:type="spellStart"/>
      <w:r w:rsidRPr="006047D0">
        <w:rPr>
          <w:rFonts w:asciiTheme="minorBidi" w:hAnsiTheme="minorBidi"/>
          <w:lang w:val="en-US"/>
        </w:rPr>
        <w:t>behaviour</w:t>
      </w:r>
      <w:proofErr w:type="spellEnd"/>
      <w:r w:rsidRPr="006047D0">
        <w:rPr>
          <w:rFonts w:asciiTheme="minorBidi" w:hAnsiTheme="minorBidi"/>
          <w:lang w:val="en-US"/>
        </w:rPr>
        <w:t xml:space="preserve">, emotion and adaptation across the lifespan. Within care settings, especially among older adults, such understanding helps practitioners design supportive environments that preserve dignity and mental wellbeing. This report </w:t>
      </w:r>
      <w:r w:rsidRPr="006047D0">
        <w:rPr>
          <w:rFonts w:asciiTheme="minorBidi" w:hAnsiTheme="minorBidi"/>
          <w:lang w:val="en-US"/>
        </w:rPr>
        <w:lastRenderedPageBreak/>
        <w:t>focuses on adults aged sixty-five and over who reside in a dementia care home and experience cognitive decline accompanied by anxiety and depressive symptoms. Dementia alters memory, identity and communication, so psychological insight is vital for effective, person-</w:t>
      </w:r>
      <w:proofErr w:type="spellStart"/>
      <w:r w:rsidRPr="006047D0">
        <w:rPr>
          <w:rFonts w:asciiTheme="minorBidi" w:hAnsiTheme="minorBidi"/>
          <w:lang w:val="en-US"/>
        </w:rPr>
        <w:t>centred</w:t>
      </w:r>
      <w:proofErr w:type="spellEnd"/>
      <w:r w:rsidRPr="006047D0">
        <w:rPr>
          <w:rFonts w:asciiTheme="minorBidi" w:hAnsiTheme="minorBidi"/>
          <w:lang w:val="en-US"/>
        </w:rPr>
        <w:t xml:space="preserve"> responses. The aim of the discussion is to evaluate how two influential psychological theories</w:t>
      </w:r>
      <w:r>
        <w:rPr>
          <w:rFonts w:asciiTheme="minorBidi" w:hAnsiTheme="minorBidi"/>
          <w:lang w:val="en-US"/>
        </w:rPr>
        <w:t xml:space="preserve"> </w:t>
      </w:r>
      <w:r w:rsidRPr="006047D0">
        <w:rPr>
          <w:rFonts w:asciiTheme="minorBidi" w:hAnsiTheme="minorBidi"/>
          <w:lang w:val="en-US"/>
        </w:rPr>
        <w:t>can guide professionals in supporting this population. The report first outlines the context of dementia care, then analyses each theory in detail before demonstrating their practical application for promoting quality of life among older adults.</w:t>
      </w:r>
    </w:p>
    <w:p w14:paraId="12FA2C51" w14:textId="1FB9746C" w:rsidR="006047D0" w:rsidRPr="006047D0" w:rsidRDefault="006047D0" w:rsidP="006047D0">
      <w:pPr>
        <w:pStyle w:val="Heading1"/>
        <w:pBdr>
          <w:bottom w:val="single" w:sz="4" w:space="1" w:color="auto"/>
        </w:pBdr>
        <w:rPr>
          <w:rFonts w:asciiTheme="minorBidi" w:hAnsiTheme="minorBidi" w:cstheme="minorBidi"/>
          <w:b/>
          <w:bCs/>
          <w:sz w:val="28"/>
          <w:szCs w:val="28"/>
        </w:rPr>
      </w:pPr>
      <w:bookmarkStart w:id="1" w:name="_Toc213298791"/>
      <w:r w:rsidRPr="006047D0">
        <w:rPr>
          <w:rFonts w:asciiTheme="minorBidi" w:hAnsiTheme="minorBidi" w:cstheme="minorBidi"/>
          <w:b/>
          <w:bCs/>
          <w:sz w:val="28"/>
          <w:szCs w:val="28"/>
        </w:rPr>
        <w:t>2. Context: Dementia Care in Older Adults</w:t>
      </w:r>
      <w:bookmarkEnd w:id="1"/>
      <w:r w:rsidRPr="006047D0">
        <w:rPr>
          <w:rFonts w:asciiTheme="minorBidi" w:hAnsiTheme="minorBidi" w:cstheme="minorBidi"/>
          <w:b/>
          <w:bCs/>
          <w:sz w:val="28"/>
          <w:szCs w:val="28"/>
        </w:rPr>
        <w:t xml:space="preserve"> </w:t>
      </w:r>
    </w:p>
    <w:p w14:paraId="12F83607" w14:textId="556ED884" w:rsidR="006047D0" w:rsidRPr="006047D0" w:rsidRDefault="006047D0" w:rsidP="006047D0">
      <w:pPr>
        <w:spacing w:line="360" w:lineRule="auto"/>
        <w:jc w:val="both"/>
        <w:rPr>
          <w:rFonts w:asciiTheme="minorBidi" w:hAnsiTheme="minorBidi"/>
          <w:lang w:val="en-US"/>
        </w:rPr>
      </w:pPr>
      <w:r w:rsidRPr="006047D0">
        <w:rPr>
          <w:rFonts w:asciiTheme="minorBidi" w:hAnsiTheme="minorBidi"/>
          <w:lang w:val="en-US"/>
        </w:rPr>
        <w:t xml:space="preserve">Dementia encompasses progressive neurocognitive disorders that impair memory, reasoning and everyday functioning, often accompanied by confusion, agitation and emotional distress. The condition currently affects more than 55 million people worldwide, a number projected to triple by 2050 (World Health Organization, 2021). In care homes, residents commonly face loneliness and loss of autonomy, while families and staff encounter ethical and emotional pressures. Understanding these experiences through psychological perspectives allows practitioners to interpret </w:t>
      </w:r>
      <w:proofErr w:type="spellStart"/>
      <w:r w:rsidRPr="006047D0">
        <w:rPr>
          <w:rFonts w:asciiTheme="minorBidi" w:hAnsiTheme="minorBidi"/>
          <w:lang w:val="en-US"/>
        </w:rPr>
        <w:t>behaviour</w:t>
      </w:r>
      <w:proofErr w:type="spellEnd"/>
      <w:r w:rsidRPr="006047D0">
        <w:rPr>
          <w:rFonts w:asciiTheme="minorBidi" w:hAnsiTheme="minorBidi"/>
          <w:lang w:val="en-US"/>
        </w:rPr>
        <w:t xml:space="preserve"> not as mere resistance but as expressions of unmet needs or anxiety. Applying theory supports empathy and structured interventions such as reminiscence and cognitive stimulation therapy, both shown to enhance mood and orientation (Woods et al., 2018; </w:t>
      </w:r>
      <w:proofErr w:type="spellStart"/>
      <w:r w:rsidRPr="006047D0">
        <w:rPr>
          <w:rFonts w:asciiTheme="minorBidi" w:hAnsiTheme="minorBidi"/>
          <w:lang w:val="en-US"/>
        </w:rPr>
        <w:t>Saragih</w:t>
      </w:r>
      <w:proofErr w:type="spellEnd"/>
      <w:r w:rsidRPr="006047D0">
        <w:rPr>
          <w:rFonts w:asciiTheme="minorBidi" w:hAnsiTheme="minorBidi"/>
          <w:lang w:val="en-US"/>
        </w:rPr>
        <w:t xml:space="preserve"> et al., 2022). Health and social care professionals therefore play a crucial role in translating psychological knowledge into compassionate practice that upholds wellbeing, dignity and social inclusion throughout the course of dementia.</w:t>
      </w:r>
    </w:p>
    <w:p w14:paraId="573D6F2D" w14:textId="43185E4E" w:rsidR="006047D0" w:rsidRPr="006047D0" w:rsidRDefault="006047D0" w:rsidP="00BF28CA">
      <w:pPr>
        <w:pStyle w:val="Heading1"/>
        <w:pBdr>
          <w:bottom w:val="single" w:sz="4" w:space="1" w:color="auto"/>
        </w:pBdr>
        <w:rPr>
          <w:rFonts w:asciiTheme="minorBidi" w:hAnsiTheme="minorBidi" w:cstheme="minorBidi"/>
          <w:b/>
          <w:bCs/>
          <w:sz w:val="28"/>
          <w:szCs w:val="28"/>
        </w:rPr>
      </w:pPr>
      <w:bookmarkStart w:id="2" w:name="_Toc213298792"/>
      <w:r w:rsidRPr="006047D0">
        <w:rPr>
          <w:rFonts w:asciiTheme="minorBidi" w:hAnsiTheme="minorBidi" w:cstheme="minorBidi"/>
          <w:b/>
          <w:bCs/>
          <w:sz w:val="28"/>
          <w:szCs w:val="28"/>
        </w:rPr>
        <w:t>3. Overview of Psychological Theories</w:t>
      </w:r>
      <w:bookmarkEnd w:id="2"/>
      <w:r w:rsidRPr="006047D0">
        <w:rPr>
          <w:rFonts w:asciiTheme="minorBidi" w:hAnsiTheme="minorBidi" w:cstheme="minorBidi"/>
          <w:b/>
          <w:bCs/>
          <w:sz w:val="28"/>
          <w:szCs w:val="28"/>
        </w:rPr>
        <w:t xml:space="preserve"> </w:t>
      </w:r>
    </w:p>
    <w:p w14:paraId="6ADEF9DF" w14:textId="1CE83E67" w:rsidR="006047D0" w:rsidRPr="006047D0" w:rsidRDefault="006047D0" w:rsidP="00BF28CA">
      <w:pPr>
        <w:pStyle w:val="Heading2"/>
        <w:spacing w:line="360" w:lineRule="auto"/>
        <w:rPr>
          <w:rFonts w:asciiTheme="minorBidi" w:hAnsiTheme="minorBidi" w:cstheme="minorBidi"/>
          <w:b/>
          <w:bCs/>
          <w:sz w:val="24"/>
          <w:szCs w:val="24"/>
        </w:rPr>
      </w:pPr>
      <w:bookmarkStart w:id="3" w:name="_Toc213298793"/>
      <w:r w:rsidRPr="006047D0">
        <w:rPr>
          <w:rFonts w:asciiTheme="minorBidi" w:hAnsiTheme="minorBidi" w:cstheme="minorBidi"/>
          <w:b/>
          <w:bCs/>
          <w:sz w:val="24"/>
          <w:szCs w:val="24"/>
        </w:rPr>
        <w:t>3.1 Erikson’s Psychosocial Theory (Integrity vs Despair)</w:t>
      </w:r>
      <w:bookmarkEnd w:id="3"/>
      <w:r w:rsidRPr="006047D0">
        <w:rPr>
          <w:rFonts w:asciiTheme="minorBidi" w:hAnsiTheme="minorBidi" w:cstheme="minorBidi"/>
          <w:b/>
          <w:bCs/>
          <w:sz w:val="24"/>
          <w:szCs w:val="24"/>
        </w:rPr>
        <w:t xml:space="preserve"> </w:t>
      </w:r>
    </w:p>
    <w:p w14:paraId="218CDC23" w14:textId="77777777" w:rsidR="00C31B39" w:rsidRPr="00C31B39" w:rsidRDefault="00C31B39" w:rsidP="00C31B39">
      <w:pPr>
        <w:spacing w:line="360" w:lineRule="auto"/>
        <w:jc w:val="both"/>
        <w:rPr>
          <w:rFonts w:asciiTheme="minorBidi" w:hAnsiTheme="minorBidi"/>
          <w:lang w:val="en-US"/>
        </w:rPr>
      </w:pPr>
      <w:r w:rsidRPr="00C31B39">
        <w:rPr>
          <w:rFonts w:asciiTheme="minorBidi" w:hAnsiTheme="minorBidi"/>
          <w:lang w:val="en-US"/>
        </w:rPr>
        <w:t xml:space="preserve">Erik Erikson’s psychosocial theory proposes eight sequential stages of development, each </w:t>
      </w:r>
      <w:proofErr w:type="spellStart"/>
      <w:r w:rsidRPr="00C31B39">
        <w:rPr>
          <w:rFonts w:asciiTheme="minorBidi" w:hAnsiTheme="minorBidi"/>
          <w:lang w:val="en-US"/>
        </w:rPr>
        <w:t>characterised</w:t>
      </w:r>
      <w:proofErr w:type="spellEnd"/>
      <w:r w:rsidRPr="00C31B39">
        <w:rPr>
          <w:rFonts w:asciiTheme="minorBidi" w:hAnsiTheme="minorBidi"/>
          <w:lang w:val="en-US"/>
        </w:rPr>
        <w:t xml:space="preserve"> by a central psychosocial conflict whose resolution </w:t>
      </w:r>
      <w:proofErr w:type="gramStart"/>
      <w:r w:rsidRPr="00C31B39">
        <w:rPr>
          <w:rFonts w:asciiTheme="minorBidi" w:hAnsiTheme="minorBidi"/>
          <w:lang w:val="en-US"/>
        </w:rPr>
        <w:t>shapes</w:t>
      </w:r>
      <w:proofErr w:type="gramEnd"/>
      <w:r w:rsidRPr="00C31B39">
        <w:rPr>
          <w:rFonts w:asciiTheme="minorBidi" w:hAnsiTheme="minorBidi"/>
          <w:lang w:val="en-US"/>
        </w:rPr>
        <w:t xml:space="preserve"> identity, adaptability and emotional wellbeing across the lifespan. In later adulthood, the stage of integrity versus despair dominates as individuals look back on their experiences and evaluate whether their lives have been meaningful. Successful resolution fosters coherence, acceptance and wisdom, whereas unresolved conflict may result in feelings of failure, regret and existential anxiety (Orenstein and Lewis, 2022). For older adults with dementia, this process becomes particularly complex because memory decline interrupts the ability to construct a coherent life story. Fragmented recollection can threaten self-continuity and heighten despair if not sensitively managed.</w:t>
      </w:r>
    </w:p>
    <w:p w14:paraId="33E5FB1D" w14:textId="77777777" w:rsidR="00C31B39" w:rsidRPr="00C31B39" w:rsidRDefault="00C31B39" w:rsidP="00C31B39">
      <w:pPr>
        <w:spacing w:line="360" w:lineRule="auto"/>
        <w:jc w:val="both"/>
        <w:rPr>
          <w:rFonts w:asciiTheme="minorBidi" w:hAnsiTheme="minorBidi"/>
          <w:lang w:val="en-US"/>
        </w:rPr>
      </w:pPr>
      <w:r w:rsidRPr="00C31B39">
        <w:rPr>
          <w:rFonts w:asciiTheme="minorBidi" w:hAnsiTheme="minorBidi"/>
          <w:lang w:val="en-US"/>
        </w:rPr>
        <w:lastRenderedPageBreak/>
        <w:t>Professionals who employ reminiscence or life-review therapy enable residents to reconnect disjointed memories, restoring a sense of personal narrative and self-worth. McAdams (2019) highlights that identity in later life is maintained through relational storytelling rather than perfect recall; what matters is being heard, believed and respected. Caregivers who actively listen, validate experiences and use tangible memory cues such as photographs, music or familiar scents support integrity by grounding reminiscence in emotional rather than factual accuracy. Group sessions that encourage collective sharing can also rebuild social connectedness and reduce isolation.</w:t>
      </w:r>
    </w:p>
    <w:p w14:paraId="63E0F2CA" w14:textId="423C9D90" w:rsidR="00C31B39" w:rsidRPr="006047D0" w:rsidRDefault="00C31B39" w:rsidP="00C31B39">
      <w:pPr>
        <w:spacing w:line="360" w:lineRule="auto"/>
        <w:jc w:val="both"/>
        <w:rPr>
          <w:rFonts w:asciiTheme="minorBidi" w:hAnsiTheme="minorBidi"/>
          <w:lang w:val="en-US"/>
        </w:rPr>
      </w:pPr>
      <w:r w:rsidRPr="00C31B39">
        <w:rPr>
          <w:rFonts w:asciiTheme="minorBidi" w:hAnsiTheme="minorBidi"/>
          <w:lang w:val="en-US"/>
        </w:rPr>
        <w:t>Contemporary practice integrates Erikson’s developmental lens with evidence-based dementia care, showing that structured reminiscence improves orientation, communication and emotional stability (</w:t>
      </w:r>
      <w:proofErr w:type="spellStart"/>
      <w:r w:rsidRPr="00C31B39">
        <w:rPr>
          <w:rFonts w:asciiTheme="minorBidi" w:hAnsiTheme="minorBidi"/>
          <w:lang w:val="en-US"/>
        </w:rPr>
        <w:t>Cammisuli</w:t>
      </w:r>
      <w:proofErr w:type="spellEnd"/>
      <w:r w:rsidRPr="00C31B39">
        <w:rPr>
          <w:rFonts w:asciiTheme="minorBidi" w:hAnsiTheme="minorBidi"/>
          <w:lang w:val="en-US"/>
        </w:rPr>
        <w:t xml:space="preserve"> et al., 2022; Woods et al., 2018). Yet the theory’s application requires cultural sensitivity and patience because cognitive fluctuations or language barriers can limit participation. Professionals must adapt interventions to individual capacities, sometimes using non-verbal expressions such as art or movement to facilitate reflection. Another challenge lies in institutional settings where rigid schedules </w:t>
      </w:r>
      <w:proofErr w:type="spellStart"/>
      <w:r w:rsidRPr="00C31B39">
        <w:rPr>
          <w:rFonts w:asciiTheme="minorBidi" w:hAnsiTheme="minorBidi"/>
          <w:lang w:val="en-US"/>
        </w:rPr>
        <w:t>prioritise</w:t>
      </w:r>
      <w:proofErr w:type="spellEnd"/>
      <w:r w:rsidRPr="00C31B39">
        <w:rPr>
          <w:rFonts w:asciiTheme="minorBidi" w:hAnsiTheme="minorBidi"/>
          <w:lang w:val="en-US"/>
        </w:rPr>
        <w:t xml:space="preserve"> efficiency over individuality, unintentionally reinforcing dependency and despair. Therefore, embedding Erikson’s perspective within </w:t>
      </w:r>
      <w:proofErr w:type="spellStart"/>
      <w:r w:rsidRPr="00C31B39">
        <w:rPr>
          <w:rFonts w:asciiTheme="minorBidi" w:hAnsiTheme="minorBidi"/>
          <w:lang w:val="en-US"/>
        </w:rPr>
        <w:t>personalised</w:t>
      </w:r>
      <w:proofErr w:type="spellEnd"/>
      <w:r w:rsidRPr="00C31B39">
        <w:rPr>
          <w:rFonts w:asciiTheme="minorBidi" w:hAnsiTheme="minorBidi"/>
          <w:lang w:val="en-US"/>
        </w:rPr>
        <w:t xml:space="preserve"> care planning and staff training helps shift attention from deficits to developmental potential, promoting dignity, acceptance and relational meaning even within progressive illness.</w:t>
      </w:r>
    </w:p>
    <w:p w14:paraId="2936B848" w14:textId="76342503" w:rsidR="006047D0" w:rsidRPr="006047D0" w:rsidRDefault="006047D0" w:rsidP="00BF28CA">
      <w:pPr>
        <w:pStyle w:val="Heading2"/>
        <w:spacing w:line="360" w:lineRule="auto"/>
        <w:rPr>
          <w:rFonts w:asciiTheme="minorBidi" w:hAnsiTheme="minorBidi" w:cstheme="minorBidi"/>
          <w:b/>
          <w:bCs/>
          <w:sz w:val="24"/>
          <w:szCs w:val="24"/>
        </w:rPr>
      </w:pPr>
      <w:bookmarkStart w:id="4" w:name="_Toc213298794"/>
      <w:r w:rsidRPr="006047D0">
        <w:rPr>
          <w:rFonts w:asciiTheme="minorBidi" w:hAnsiTheme="minorBidi" w:cstheme="minorBidi"/>
          <w:b/>
          <w:bCs/>
          <w:sz w:val="24"/>
          <w:szCs w:val="24"/>
        </w:rPr>
        <w:t>3.2 Maslow’s Hierarchy of Needs</w:t>
      </w:r>
      <w:bookmarkEnd w:id="4"/>
    </w:p>
    <w:p w14:paraId="4B9FA91F" w14:textId="77777777" w:rsidR="00C31B39" w:rsidRPr="00C31B39" w:rsidRDefault="00C31B39" w:rsidP="00C31B39">
      <w:pPr>
        <w:spacing w:line="360" w:lineRule="auto"/>
        <w:jc w:val="both"/>
        <w:rPr>
          <w:rFonts w:asciiTheme="minorBidi" w:hAnsiTheme="minorBidi"/>
          <w:lang w:val="en-US"/>
        </w:rPr>
      </w:pPr>
      <w:r w:rsidRPr="00C31B39">
        <w:rPr>
          <w:rFonts w:asciiTheme="minorBidi" w:hAnsiTheme="minorBidi"/>
          <w:lang w:val="en-US"/>
        </w:rPr>
        <w:t xml:space="preserve">Abraham Maslow’s hierarchy of needs </w:t>
      </w:r>
      <w:proofErr w:type="spellStart"/>
      <w:r w:rsidRPr="00C31B39">
        <w:rPr>
          <w:rFonts w:asciiTheme="minorBidi" w:hAnsiTheme="minorBidi"/>
          <w:lang w:val="en-US"/>
        </w:rPr>
        <w:t>conceptualises</w:t>
      </w:r>
      <w:proofErr w:type="spellEnd"/>
      <w:r w:rsidRPr="00C31B39">
        <w:rPr>
          <w:rFonts w:asciiTheme="minorBidi" w:hAnsiTheme="minorBidi"/>
          <w:lang w:val="en-US"/>
        </w:rPr>
        <w:t xml:space="preserve"> human motivation as a dynamic progression from basic physiological requirements toward psychological growth and </w:t>
      </w:r>
      <w:proofErr w:type="spellStart"/>
      <w:r w:rsidRPr="00C31B39">
        <w:rPr>
          <w:rFonts w:asciiTheme="minorBidi" w:hAnsiTheme="minorBidi"/>
          <w:lang w:val="en-US"/>
        </w:rPr>
        <w:t>self-fulfilment</w:t>
      </w:r>
      <w:proofErr w:type="spellEnd"/>
      <w:r w:rsidRPr="00C31B39">
        <w:rPr>
          <w:rFonts w:asciiTheme="minorBidi" w:hAnsiTheme="minorBidi"/>
          <w:lang w:val="en-US"/>
        </w:rPr>
        <w:t xml:space="preserve">. The model is traditionally </w:t>
      </w:r>
      <w:proofErr w:type="spellStart"/>
      <w:r w:rsidRPr="00C31B39">
        <w:rPr>
          <w:rFonts w:asciiTheme="minorBidi" w:hAnsiTheme="minorBidi"/>
          <w:lang w:val="en-US"/>
        </w:rPr>
        <w:t>visualised</w:t>
      </w:r>
      <w:proofErr w:type="spellEnd"/>
      <w:r w:rsidRPr="00C31B39">
        <w:rPr>
          <w:rFonts w:asciiTheme="minorBidi" w:hAnsiTheme="minorBidi"/>
          <w:lang w:val="en-US"/>
        </w:rPr>
        <w:t xml:space="preserve"> as five interconnected levels: physiological, safety, love and belonging, esteem and self-</w:t>
      </w:r>
      <w:proofErr w:type="spellStart"/>
      <w:r w:rsidRPr="00C31B39">
        <w:rPr>
          <w:rFonts w:asciiTheme="minorBidi" w:hAnsiTheme="minorBidi"/>
          <w:lang w:val="en-US"/>
        </w:rPr>
        <w:t>actualisation</w:t>
      </w:r>
      <w:proofErr w:type="spellEnd"/>
      <w:r w:rsidRPr="00C31B39">
        <w:rPr>
          <w:rFonts w:asciiTheme="minorBidi" w:hAnsiTheme="minorBidi"/>
          <w:lang w:val="en-US"/>
        </w:rPr>
        <w:t xml:space="preserve">. In dementia care, this hierarchy offers a structured lens for understanding distress, guiding professionals to identify which unmet needs underlie </w:t>
      </w:r>
      <w:proofErr w:type="spellStart"/>
      <w:r w:rsidRPr="00C31B39">
        <w:rPr>
          <w:rFonts w:asciiTheme="minorBidi" w:hAnsiTheme="minorBidi"/>
          <w:lang w:val="en-US"/>
        </w:rPr>
        <w:t>behavioural</w:t>
      </w:r>
      <w:proofErr w:type="spellEnd"/>
      <w:r w:rsidRPr="00C31B39">
        <w:rPr>
          <w:rFonts w:asciiTheme="minorBidi" w:hAnsiTheme="minorBidi"/>
          <w:lang w:val="en-US"/>
        </w:rPr>
        <w:t xml:space="preserve"> or emotional changes. Attending first to physiological and safety needs ensures stable routines, adequate nutrition, medication adherence, personal comfort and a secure environment that </w:t>
      </w:r>
      <w:proofErr w:type="spellStart"/>
      <w:r w:rsidRPr="00C31B39">
        <w:rPr>
          <w:rFonts w:asciiTheme="minorBidi" w:hAnsiTheme="minorBidi"/>
          <w:lang w:val="en-US"/>
        </w:rPr>
        <w:t>minimises</w:t>
      </w:r>
      <w:proofErr w:type="spellEnd"/>
      <w:r w:rsidRPr="00C31B39">
        <w:rPr>
          <w:rFonts w:asciiTheme="minorBidi" w:hAnsiTheme="minorBidi"/>
          <w:lang w:val="en-US"/>
        </w:rPr>
        <w:t xml:space="preserve"> confusion and fear (Zhang et al., 2022). Once these foundations are secure, carers can nurture belonging through positive relationships, empathy and family engagement that foster familiarity and reassurance.</w:t>
      </w:r>
    </w:p>
    <w:p w14:paraId="4727E2C0" w14:textId="77777777" w:rsidR="00C31B39" w:rsidRPr="00C31B39" w:rsidRDefault="00C31B39" w:rsidP="00C31B39">
      <w:pPr>
        <w:spacing w:line="360" w:lineRule="auto"/>
        <w:jc w:val="both"/>
        <w:rPr>
          <w:rFonts w:asciiTheme="minorBidi" w:hAnsiTheme="minorBidi"/>
          <w:lang w:val="en-US"/>
        </w:rPr>
      </w:pPr>
      <w:r w:rsidRPr="00C31B39">
        <w:rPr>
          <w:rFonts w:asciiTheme="minorBidi" w:hAnsiTheme="minorBidi"/>
          <w:lang w:val="en-US"/>
        </w:rPr>
        <w:t xml:space="preserve">Empirical research shows that when residents feel </w:t>
      </w:r>
      <w:proofErr w:type="spellStart"/>
      <w:r w:rsidRPr="00C31B39">
        <w:rPr>
          <w:rFonts w:asciiTheme="minorBidi" w:hAnsiTheme="minorBidi"/>
          <w:lang w:val="en-US"/>
        </w:rPr>
        <w:t>recognised</w:t>
      </w:r>
      <w:proofErr w:type="spellEnd"/>
      <w:r w:rsidRPr="00C31B39">
        <w:rPr>
          <w:rFonts w:asciiTheme="minorBidi" w:hAnsiTheme="minorBidi"/>
          <w:lang w:val="en-US"/>
        </w:rPr>
        <w:t xml:space="preserve"> and respected, their agitation decreases and overall quality of life improves (</w:t>
      </w:r>
      <w:proofErr w:type="spellStart"/>
      <w:r w:rsidRPr="00C31B39">
        <w:rPr>
          <w:rFonts w:asciiTheme="minorBidi" w:hAnsiTheme="minorBidi"/>
          <w:lang w:val="en-US"/>
        </w:rPr>
        <w:t>Sunzi</w:t>
      </w:r>
      <w:proofErr w:type="spellEnd"/>
      <w:r w:rsidRPr="00C31B39">
        <w:rPr>
          <w:rFonts w:asciiTheme="minorBidi" w:hAnsiTheme="minorBidi"/>
          <w:lang w:val="en-US"/>
        </w:rPr>
        <w:t xml:space="preserve"> et al., 2023; Lee, Lee and Kim, 2022). Esteem needs are supported when care staff acknowledge residents’ life histories and previous achievements, affirming that identity persists beyond cognitive impairment. Creative expression, faith practices and gentle participation in decision-making all contribute to a sense </w:t>
      </w:r>
      <w:r w:rsidRPr="00C31B39">
        <w:rPr>
          <w:rFonts w:asciiTheme="minorBidi" w:hAnsiTheme="minorBidi"/>
          <w:lang w:val="en-US"/>
        </w:rPr>
        <w:lastRenderedPageBreak/>
        <w:t>of purpose. Opportunities for self-</w:t>
      </w:r>
      <w:proofErr w:type="spellStart"/>
      <w:r w:rsidRPr="00C31B39">
        <w:rPr>
          <w:rFonts w:asciiTheme="minorBidi" w:hAnsiTheme="minorBidi"/>
          <w:lang w:val="en-US"/>
        </w:rPr>
        <w:t>actualisation</w:t>
      </w:r>
      <w:proofErr w:type="spellEnd"/>
      <w:r w:rsidRPr="00C31B39">
        <w:rPr>
          <w:rFonts w:asciiTheme="minorBidi" w:hAnsiTheme="minorBidi"/>
          <w:lang w:val="en-US"/>
        </w:rPr>
        <w:t>, though often neglected, remain vital for emotional fulfilment. Simple choices—such as selecting clothing or music—can reintroduce autonomy and self-direction, reflecting the top level of Maslow’s model in practical form.</w:t>
      </w:r>
    </w:p>
    <w:p w14:paraId="6032CD72" w14:textId="77777777" w:rsidR="00C31B39" w:rsidRPr="00C31B39" w:rsidRDefault="00C31B39" w:rsidP="00C31B39">
      <w:pPr>
        <w:spacing w:line="360" w:lineRule="auto"/>
        <w:jc w:val="both"/>
        <w:rPr>
          <w:rFonts w:asciiTheme="minorBidi" w:hAnsiTheme="minorBidi"/>
          <w:lang w:val="en-US"/>
        </w:rPr>
      </w:pPr>
      <w:r w:rsidRPr="00C31B39">
        <w:rPr>
          <w:rFonts w:asciiTheme="minorBidi" w:hAnsiTheme="minorBidi"/>
          <w:lang w:val="en-US"/>
        </w:rPr>
        <w:t xml:space="preserve">Critically, Maslow’s hierarchy should not be applied as a rigid checklist because needs are fluid and culturally shaped. For some residents, social </w:t>
      </w:r>
      <w:proofErr w:type="gramStart"/>
      <w:r w:rsidRPr="00C31B39">
        <w:rPr>
          <w:rFonts w:asciiTheme="minorBidi" w:hAnsiTheme="minorBidi"/>
          <w:lang w:val="en-US"/>
        </w:rPr>
        <w:t>connection</w:t>
      </w:r>
      <w:proofErr w:type="gramEnd"/>
      <w:r w:rsidRPr="00C31B39">
        <w:rPr>
          <w:rFonts w:asciiTheme="minorBidi" w:hAnsiTheme="minorBidi"/>
          <w:lang w:val="en-US"/>
        </w:rPr>
        <w:t xml:space="preserve"> may outweigh physical comfort, while others </w:t>
      </w:r>
      <w:proofErr w:type="spellStart"/>
      <w:r w:rsidRPr="00C31B39">
        <w:rPr>
          <w:rFonts w:asciiTheme="minorBidi" w:hAnsiTheme="minorBidi"/>
          <w:lang w:val="en-US"/>
        </w:rPr>
        <w:t>prioritise</w:t>
      </w:r>
      <w:proofErr w:type="spellEnd"/>
      <w:r w:rsidRPr="00C31B39">
        <w:rPr>
          <w:rFonts w:asciiTheme="minorBidi" w:hAnsiTheme="minorBidi"/>
          <w:lang w:val="en-US"/>
        </w:rPr>
        <w:t xml:space="preserve"> security above autonomy. Resource limitations and workforce pressures in care homes can also constrain the ability to address higher-order needs. Burnout and task-oriented routines often narrow the focus to survival rather than wellbeing (</w:t>
      </w:r>
      <w:proofErr w:type="spellStart"/>
      <w:r w:rsidRPr="00C31B39">
        <w:rPr>
          <w:rFonts w:asciiTheme="minorBidi" w:hAnsiTheme="minorBidi"/>
          <w:lang w:val="en-US"/>
        </w:rPr>
        <w:t>Sunzi</w:t>
      </w:r>
      <w:proofErr w:type="spellEnd"/>
      <w:r w:rsidRPr="00C31B39">
        <w:rPr>
          <w:rFonts w:asciiTheme="minorBidi" w:hAnsiTheme="minorBidi"/>
          <w:lang w:val="en-US"/>
        </w:rPr>
        <w:t xml:space="preserve"> et al., 2023). To mitigate these challenges, multidisciplinary collaboration and continuous staff development are essential. Teams that include nurses, psychologists, occupational therapists and family members can collectively interpret </w:t>
      </w:r>
      <w:proofErr w:type="spellStart"/>
      <w:r w:rsidRPr="00C31B39">
        <w:rPr>
          <w:rFonts w:asciiTheme="minorBidi" w:hAnsiTheme="minorBidi"/>
          <w:lang w:val="en-US"/>
        </w:rPr>
        <w:t>behaviours</w:t>
      </w:r>
      <w:proofErr w:type="spellEnd"/>
      <w:r w:rsidRPr="00C31B39">
        <w:rPr>
          <w:rFonts w:asciiTheme="minorBidi" w:hAnsiTheme="minorBidi"/>
          <w:lang w:val="en-US"/>
        </w:rPr>
        <w:t xml:space="preserve"> through a needs-based lens and tailor interventions accordingly.</w:t>
      </w:r>
    </w:p>
    <w:p w14:paraId="750A6020" w14:textId="7D61BB57" w:rsidR="00C31B39" w:rsidRPr="006047D0" w:rsidRDefault="00C31B39" w:rsidP="00C31B39">
      <w:pPr>
        <w:spacing w:line="360" w:lineRule="auto"/>
        <w:jc w:val="both"/>
        <w:rPr>
          <w:rFonts w:asciiTheme="minorBidi" w:hAnsiTheme="minorBidi"/>
          <w:lang w:val="en-US"/>
        </w:rPr>
      </w:pPr>
      <w:r w:rsidRPr="00C31B39">
        <w:rPr>
          <w:rFonts w:asciiTheme="minorBidi" w:hAnsiTheme="minorBidi"/>
          <w:lang w:val="en-US"/>
        </w:rPr>
        <w:t>Integrating Maslow’s hierarchy into institutional policies and supervision processes ensures that person-</w:t>
      </w:r>
      <w:proofErr w:type="spellStart"/>
      <w:r w:rsidRPr="00C31B39">
        <w:rPr>
          <w:rFonts w:asciiTheme="minorBidi" w:hAnsiTheme="minorBidi"/>
          <w:lang w:val="en-US"/>
        </w:rPr>
        <w:t>centred</w:t>
      </w:r>
      <w:proofErr w:type="spellEnd"/>
      <w:r w:rsidRPr="00C31B39">
        <w:rPr>
          <w:rFonts w:asciiTheme="minorBidi" w:hAnsiTheme="minorBidi"/>
          <w:lang w:val="en-US"/>
        </w:rPr>
        <w:t xml:space="preserve"> values permeate everyday care. Reflective supervision sessions allow staff to reassess whether residents’ psychological and social needs are being met alongside clinical demands. Ultimately, Maslow’s theory remains highly relevant in contemporary dementia care because it balances the </w:t>
      </w:r>
      <w:proofErr w:type="gramStart"/>
      <w:r w:rsidRPr="00C31B39">
        <w:rPr>
          <w:rFonts w:asciiTheme="minorBidi" w:hAnsiTheme="minorBidi"/>
          <w:lang w:val="en-US"/>
        </w:rPr>
        <w:t>biological</w:t>
      </w:r>
      <w:proofErr w:type="gramEnd"/>
      <w:r w:rsidRPr="00C31B39">
        <w:rPr>
          <w:rFonts w:asciiTheme="minorBidi" w:hAnsiTheme="minorBidi"/>
          <w:lang w:val="en-US"/>
        </w:rPr>
        <w:t xml:space="preserve"> with the emotional, highlighting that compassionate support depends as much on understanding human motivation as on meeting physical requirements. When thoughtfully adapted, it becomes a living framework that sustains comfort, agency and psychological wellbeing for older adults experiencing cognitive decline.</w:t>
      </w:r>
    </w:p>
    <w:p w14:paraId="3ED78BFF" w14:textId="4047F3A3" w:rsidR="006047D0" w:rsidRPr="006047D0" w:rsidRDefault="006047D0" w:rsidP="00BF28CA">
      <w:pPr>
        <w:pStyle w:val="Heading1"/>
        <w:pBdr>
          <w:bottom w:val="single" w:sz="4" w:space="1" w:color="auto"/>
        </w:pBdr>
        <w:rPr>
          <w:rFonts w:asciiTheme="minorBidi" w:hAnsiTheme="minorBidi" w:cstheme="minorBidi"/>
          <w:b/>
          <w:bCs/>
          <w:sz w:val="28"/>
          <w:szCs w:val="28"/>
        </w:rPr>
      </w:pPr>
      <w:bookmarkStart w:id="5" w:name="_Toc213298795"/>
      <w:r w:rsidRPr="006047D0">
        <w:rPr>
          <w:rFonts w:asciiTheme="minorBidi" w:hAnsiTheme="minorBidi" w:cstheme="minorBidi"/>
          <w:b/>
          <w:bCs/>
          <w:sz w:val="28"/>
          <w:szCs w:val="28"/>
        </w:rPr>
        <w:t>4. Application of Theories in Health and Social Care Practice</w:t>
      </w:r>
      <w:bookmarkEnd w:id="5"/>
      <w:r w:rsidRPr="006047D0">
        <w:rPr>
          <w:rFonts w:asciiTheme="minorBidi" w:hAnsiTheme="minorBidi" w:cstheme="minorBidi"/>
          <w:b/>
          <w:bCs/>
          <w:sz w:val="28"/>
          <w:szCs w:val="28"/>
        </w:rPr>
        <w:t xml:space="preserve"> </w:t>
      </w:r>
    </w:p>
    <w:p w14:paraId="6E228475" w14:textId="37A3C45C" w:rsidR="006047D0" w:rsidRPr="006047D0" w:rsidRDefault="006047D0" w:rsidP="00BF28CA">
      <w:pPr>
        <w:pStyle w:val="Heading2"/>
        <w:spacing w:line="360" w:lineRule="auto"/>
        <w:rPr>
          <w:rFonts w:asciiTheme="minorBidi" w:hAnsiTheme="minorBidi" w:cstheme="minorBidi"/>
          <w:b/>
          <w:bCs/>
          <w:sz w:val="24"/>
          <w:szCs w:val="24"/>
        </w:rPr>
      </w:pPr>
      <w:bookmarkStart w:id="6" w:name="_Toc213298796"/>
      <w:r w:rsidRPr="006047D0">
        <w:rPr>
          <w:rFonts w:asciiTheme="minorBidi" w:hAnsiTheme="minorBidi" w:cstheme="minorBidi"/>
          <w:b/>
          <w:bCs/>
          <w:sz w:val="24"/>
          <w:szCs w:val="24"/>
        </w:rPr>
        <w:t>4.1 Using Erikson’s Theory in Dementia Care</w:t>
      </w:r>
      <w:bookmarkEnd w:id="6"/>
      <w:r w:rsidRPr="006047D0">
        <w:rPr>
          <w:rFonts w:asciiTheme="minorBidi" w:hAnsiTheme="minorBidi" w:cstheme="minorBidi"/>
          <w:b/>
          <w:bCs/>
          <w:sz w:val="24"/>
          <w:szCs w:val="24"/>
        </w:rPr>
        <w:t xml:space="preserve"> </w:t>
      </w:r>
    </w:p>
    <w:p w14:paraId="3D408001" w14:textId="77777777" w:rsidR="006047D0" w:rsidRPr="006047D0" w:rsidRDefault="006047D0" w:rsidP="006047D0">
      <w:pPr>
        <w:spacing w:line="360" w:lineRule="auto"/>
        <w:jc w:val="both"/>
        <w:rPr>
          <w:rFonts w:asciiTheme="minorBidi" w:hAnsiTheme="minorBidi"/>
          <w:lang w:val="en-US"/>
        </w:rPr>
      </w:pPr>
      <w:r w:rsidRPr="006047D0">
        <w:rPr>
          <w:rFonts w:asciiTheme="minorBidi" w:hAnsiTheme="minorBidi"/>
          <w:lang w:val="en-US"/>
        </w:rPr>
        <w:t xml:space="preserve">Applying Erikson’s psychosocial framework to dementia care helps practitioners understand emotional and </w:t>
      </w:r>
      <w:proofErr w:type="spellStart"/>
      <w:r w:rsidRPr="006047D0">
        <w:rPr>
          <w:rFonts w:asciiTheme="minorBidi" w:hAnsiTheme="minorBidi"/>
          <w:lang w:val="en-US"/>
        </w:rPr>
        <w:t>behavioural</w:t>
      </w:r>
      <w:proofErr w:type="spellEnd"/>
      <w:r w:rsidRPr="006047D0">
        <w:rPr>
          <w:rFonts w:asciiTheme="minorBidi" w:hAnsiTheme="minorBidi"/>
          <w:lang w:val="en-US"/>
        </w:rPr>
        <w:t xml:space="preserve"> changes not merely as symptoms of cognitive decline but as reflections of unresolved psychosocial needs. Caregivers who use reminiscence and life review therapy create opportunities for residents to revisit memories and construct coherent life narratives, which promotes a sense of integrity and emotional closure (</w:t>
      </w:r>
      <w:proofErr w:type="spellStart"/>
      <w:r w:rsidRPr="006047D0">
        <w:rPr>
          <w:rFonts w:asciiTheme="minorBidi" w:hAnsiTheme="minorBidi"/>
          <w:lang w:val="en-US"/>
        </w:rPr>
        <w:t>Cammisuli</w:t>
      </w:r>
      <w:proofErr w:type="spellEnd"/>
      <w:r w:rsidRPr="006047D0">
        <w:rPr>
          <w:rFonts w:asciiTheme="minorBidi" w:hAnsiTheme="minorBidi"/>
          <w:lang w:val="en-US"/>
        </w:rPr>
        <w:t xml:space="preserve"> et al., 2022). Group reminiscence sessions, for example, in which residents share significant life events supported by photographs or music, have been shown to improve orientation, self-esteem and mood (Woods et al., 2018). Through these interactions, carers affirm that an individual’s value is not diminished by illness, helping to maintain self-worth and identity. </w:t>
      </w:r>
      <w:proofErr w:type="spellStart"/>
      <w:r w:rsidRPr="006047D0">
        <w:rPr>
          <w:rFonts w:asciiTheme="minorBidi" w:hAnsiTheme="minorBidi"/>
          <w:lang w:val="en-US"/>
        </w:rPr>
        <w:t>Personalised</w:t>
      </w:r>
      <w:proofErr w:type="spellEnd"/>
      <w:r w:rsidRPr="006047D0">
        <w:rPr>
          <w:rFonts w:asciiTheme="minorBidi" w:hAnsiTheme="minorBidi"/>
          <w:lang w:val="en-US"/>
        </w:rPr>
        <w:t xml:space="preserve"> care plans that incorporate biographical details further reinforce the sense of continuity between past and present selves. Despite the benefits, professionals often </w:t>
      </w:r>
      <w:r w:rsidRPr="006047D0">
        <w:rPr>
          <w:rFonts w:asciiTheme="minorBidi" w:hAnsiTheme="minorBidi"/>
          <w:lang w:val="en-US"/>
        </w:rPr>
        <w:lastRenderedPageBreak/>
        <w:t xml:space="preserve">encounter communication barriers, </w:t>
      </w:r>
      <w:proofErr w:type="spellStart"/>
      <w:r w:rsidRPr="006047D0">
        <w:rPr>
          <w:rFonts w:asciiTheme="minorBidi" w:hAnsiTheme="minorBidi"/>
          <w:lang w:val="en-US"/>
        </w:rPr>
        <w:t>behavioural</w:t>
      </w:r>
      <w:proofErr w:type="spellEnd"/>
      <w:r w:rsidRPr="006047D0">
        <w:rPr>
          <w:rFonts w:asciiTheme="minorBidi" w:hAnsiTheme="minorBidi"/>
          <w:lang w:val="en-US"/>
        </w:rPr>
        <w:t xml:space="preserve"> agitation and fluctuations in cognitive capacity that limit the effectiveness of verbal therapies. Research indicates that combining verbal recall with multisensory cues or familiar objects can help overcome such challenges (</w:t>
      </w:r>
      <w:proofErr w:type="spellStart"/>
      <w:r w:rsidRPr="006047D0">
        <w:rPr>
          <w:rFonts w:asciiTheme="minorBidi" w:hAnsiTheme="minorBidi"/>
          <w:lang w:val="en-US"/>
        </w:rPr>
        <w:t>Saragih</w:t>
      </w:r>
      <w:proofErr w:type="spellEnd"/>
      <w:r w:rsidRPr="006047D0">
        <w:rPr>
          <w:rFonts w:asciiTheme="minorBidi" w:hAnsiTheme="minorBidi"/>
          <w:lang w:val="en-US"/>
        </w:rPr>
        <w:t xml:space="preserve"> et al., 2022). Overall, Erikson’s theory encourages practitioners to see reminiscence not as nostalgia but as a therapeutic pathway that restores dignity, belonging and psychological balance in older adults living with dementia.</w:t>
      </w:r>
    </w:p>
    <w:p w14:paraId="6E7B77CF" w14:textId="2D18A35F" w:rsidR="006047D0" w:rsidRPr="006047D0" w:rsidRDefault="006047D0" w:rsidP="00BF28CA">
      <w:pPr>
        <w:pStyle w:val="Heading2"/>
        <w:spacing w:line="360" w:lineRule="auto"/>
        <w:rPr>
          <w:rFonts w:asciiTheme="minorBidi" w:hAnsiTheme="minorBidi" w:cstheme="minorBidi"/>
          <w:b/>
          <w:bCs/>
          <w:sz w:val="24"/>
          <w:szCs w:val="24"/>
        </w:rPr>
      </w:pPr>
      <w:bookmarkStart w:id="7" w:name="_Toc213298797"/>
      <w:r w:rsidRPr="006047D0">
        <w:rPr>
          <w:rFonts w:asciiTheme="minorBidi" w:hAnsiTheme="minorBidi" w:cstheme="minorBidi"/>
          <w:b/>
          <w:bCs/>
          <w:sz w:val="24"/>
          <w:szCs w:val="24"/>
        </w:rPr>
        <w:t>4.2 Applying Maslow’s Theory in Dementia Care</w:t>
      </w:r>
      <w:bookmarkEnd w:id="7"/>
    </w:p>
    <w:p w14:paraId="2E704619" w14:textId="161DBF5C" w:rsidR="006047D0" w:rsidRPr="006047D0" w:rsidRDefault="006047D0" w:rsidP="006047D0">
      <w:pPr>
        <w:spacing w:line="360" w:lineRule="auto"/>
        <w:jc w:val="both"/>
        <w:rPr>
          <w:rFonts w:asciiTheme="minorBidi" w:hAnsiTheme="minorBidi"/>
          <w:lang w:val="en-US"/>
        </w:rPr>
      </w:pPr>
      <w:r w:rsidRPr="006047D0">
        <w:rPr>
          <w:rFonts w:asciiTheme="minorBidi" w:hAnsiTheme="minorBidi"/>
          <w:lang w:val="en-US"/>
        </w:rPr>
        <w:t>Maslow’s hierarchy of needs provides an integrative model for identifying and meeting the broad spectrum of human requirements in dementia care. Ensuring physiological and safety needs is the starting point for wellbeing; this involves providing consistent routines, adequate nutrition, pain management and a secure environment free from unnecessary stressors (Zhang et al., 2022). Once these foundations are stable, carers can address belonging and esteem needs through empathy-based interactions, family visits and social activities that prevent isolation. Studies show that person-</w:t>
      </w:r>
      <w:proofErr w:type="spellStart"/>
      <w:r w:rsidRPr="006047D0">
        <w:rPr>
          <w:rFonts w:asciiTheme="minorBidi" w:hAnsiTheme="minorBidi"/>
          <w:lang w:val="en-US"/>
        </w:rPr>
        <w:t>centred</w:t>
      </w:r>
      <w:proofErr w:type="spellEnd"/>
      <w:r w:rsidRPr="006047D0">
        <w:rPr>
          <w:rFonts w:asciiTheme="minorBidi" w:hAnsiTheme="minorBidi"/>
          <w:lang w:val="en-US"/>
        </w:rPr>
        <w:t xml:space="preserve"> care guided by Maslow’s structure enhances engagement and reduces </w:t>
      </w:r>
      <w:proofErr w:type="spellStart"/>
      <w:r w:rsidRPr="006047D0">
        <w:rPr>
          <w:rFonts w:asciiTheme="minorBidi" w:hAnsiTheme="minorBidi"/>
          <w:lang w:val="en-US"/>
        </w:rPr>
        <w:t>behavioural</w:t>
      </w:r>
      <w:proofErr w:type="spellEnd"/>
      <w:r w:rsidRPr="006047D0">
        <w:rPr>
          <w:rFonts w:asciiTheme="minorBidi" w:hAnsiTheme="minorBidi"/>
          <w:lang w:val="en-US"/>
        </w:rPr>
        <w:t xml:space="preserve"> disturbances (Lee, Lee and Kim, 2022). Yet translating the hierarchy into everyday practice is not without difficulty. Chronic staff shortages, limited resources and burnout can hinder the capacity to address higher-level psychological and </w:t>
      </w:r>
      <w:proofErr w:type="spellStart"/>
      <w:r w:rsidRPr="006047D0">
        <w:rPr>
          <w:rFonts w:asciiTheme="minorBidi" w:hAnsiTheme="minorBidi"/>
          <w:lang w:val="en-US"/>
        </w:rPr>
        <w:t>self-fulfilment</w:t>
      </w:r>
      <w:proofErr w:type="spellEnd"/>
      <w:r w:rsidRPr="006047D0">
        <w:rPr>
          <w:rFonts w:asciiTheme="minorBidi" w:hAnsiTheme="minorBidi"/>
          <w:lang w:val="en-US"/>
        </w:rPr>
        <w:t xml:space="preserve"> needs (</w:t>
      </w:r>
      <w:proofErr w:type="spellStart"/>
      <w:r w:rsidRPr="006047D0">
        <w:rPr>
          <w:rFonts w:asciiTheme="minorBidi" w:hAnsiTheme="minorBidi"/>
          <w:lang w:val="en-US"/>
        </w:rPr>
        <w:t>Sunzi</w:t>
      </w:r>
      <w:proofErr w:type="spellEnd"/>
      <w:r w:rsidRPr="006047D0">
        <w:rPr>
          <w:rFonts w:asciiTheme="minorBidi" w:hAnsiTheme="minorBidi"/>
          <w:lang w:val="en-US"/>
        </w:rPr>
        <w:t xml:space="preserve"> et al., 2023). To manage these constraints, multidisciplinary teamwork that includes nurses, occupational therapists and family members is vital. Regular staff training in communication and empathy can foster understanding of emotional cues and help balance safety procedures with personal autonomy. Integrating Maslow’s principles into policy and supervision frameworks also ensures that residents’ individual preferences remain central to care decisions. This approach transforms the hierarchy from an abstract theory into a living guide that enhances both the physical comfort and psychological resilience of people with dementia.</w:t>
      </w:r>
    </w:p>
    <w:p w14:paraId="243E05A6" w14:textId="73135DD1" w:rsidR="006047D0" w:rsidRPr="006047D0" w:rsidRDefault="006047D0" w:rsidP="00BF28CA">
      <w:pPr>
        <w:pStyle w:val="Heading1"/>
        <w:pBdr>
          <w:bottom w:val="single" w:sz="4" w:space="1" w:color="auto"/>
        </w:pBdr>
        <w:rPr>
          <w:rFonts w:asciiTheme="minorBidi" w:hAnsiTheme="minorBidi" w:cstheme="minorBidi"/>
          <w:b/>
          <w:bCs/>
          <w:sz w:val="28"/>
          <w:szCs w:val="28"/>
        </w:rPr>
      </w:pPr>
      <w:bookmarkStart w:id="8" w:name="_Toc213298798"/>
      <w:r w:rsidRPr="006047D0">
        <w:rPr>
          <w:rFonts w:asciiTheme="minorBidi" w:hAnsiTheme="minorBidi" w:cstheme="minorBidi"/>
          <w:b/>
          <w:bCs/>
          <w:sz w:val="28"/>
          <w:szCs w:val="28"/>
        </w:rPr>
        <w:t>5. Evaluation and Critical Discussion</w:t>
      </w:r>
      <w:bookmarkEnd w:id="8"/>
    </w:p>
    <w:p w14:paraId="090B3008" w14:textId="1871E72C" w:rsidR="006047D0" w:rsidRPr="006047D0" w:rsidRDefault="006047D0" w:rsidP="006047D0">
      <w:pPr>
        <w:spacing w:line="360" w:lineRule="auto"/>
        <w:jc w:val="both"/>
        <w:rPr>
          <w:rFonts w:asciiTheme="minorBidi" w:hAnsiTheme="minorBidi"/>
          <w:lang w:val="en-US"/>
        </w:rPr>
      </w:pPr>
      <w:r w:rsidRPr="006047D0">
        <w:rPr>
          <w:rFonts w:asciiTheme="minorBidi" w:hAnsiTheme="minorBidi"/>
          <w:lang w:val="en-US"/>
        </w:rPr>
        <w:t xml:space="preserve">Both theories provide valuable yet distinct perspectives on supporting older adults with dementia. Erikson’s model focuses on identity, meaning and emotional resolution, whereas Maslow’s framework ensures that essential physical and psychological needs are systematically addressed. When combined, they encourage holistic care that balances the pursuit of integrity with the maintenance of comfort and safety. Still, challenges persist where cognitive decline limits self-expression or where institutional constraints restrict </w:t>
      </w:r>
      <w:proofErr w:type="spellStart"/>
      <w:r w:rsidRPr="006047D0">
        <w:rPr>
          <w:rFonts w:asciiTheme="minorBidi" w:hAnsiTheme="minorBidi"/>
          <w:lang w:val="en-US"/>
        </w:rPr>
        <w:t>individualised</w:t>
      </w:r>
      <w:proofErr w:type="spellEnd"/>
      <w:r w:rsidRPr="006047D0">
        <w:rPr>
          <w:rFonts w:asciiTheme="minorBidi" w:hAnsiTheme="minorBidi"/>
          <w:lang w:val="en-US"/>
        </w:rPr>
        <w:t xml:space="preserve"> attention. Effective practice therefore depends on ethical awareness, sensitive communication and reflective teamwork that translate theoretical understanding into compassionate, evidence-based care.</w:t>
      </w:r>
    </w:p>
    <w:p w14:paraId="0D3E6AC4" w14:textId="62E445E3" w:rsidR="006047D0" w:rsidRPr="006047D0" w:rsidRDefault="006047D0" w:rsidP="00BF28CA">
      <w:pPr>
        <w:pStyle w:val="Heading1"/>
        <w:pBdr>
          <w:bottom w:val="single" w:sz="4" w:space="1" w:color="auto"/>
        </w:pBdr>
        <w:rPr>
          <w:rFonts w:asciiTheme="minorBidi" w:hAnsiTheme="minorBidi" w:cstheme="minorBidi"/>
          <w:b/>
          <w:bCs/>
          <w:sz w:val="28"/>
          <w:szCs w:val="28"/>
        </w:rPr>
      </w:pPr>
      <w:bookmarkStart w:id="9" w:name="_Toc213298799"/>
      <w:r w:rsidRPr="006047D0">
        <w:rPr>
          <w:rFonts w:asciiTheme="minorBidi" w:hAnsiTheme="minorBidi" w:cstheme="minorBidi"/>
          <w:b/>
          <w:bCs/>
          <w:sz w:val="28"/>
          <w:szCs w:val="28"/>
        </w:rPr>
        <w:lastRenderedPageBreak/>
        <w:t>6. Conclusion</w:t>
      </w:r>
      <w:bookmarkEnd w:id="9"/>
    </w:p>
    <w:p w14:paraId="2E929C19" w14:textId="77777777" w:rsidR="006047D0" w:rsidRPr="006047D0" w:rsidRDefault="006047D0" w:rsidP="006047D0">
      <w:pPr>
        <w:spacing w:line="360" w:lineRule="auto"/>
        <w:jc w:val="both"/>
        <w:rPr>
          <w:rFonts w:asciiTheme="minorBidi" w:hAnsiTheme="minorBidi"/>
          <w:lang w:val="en-US"/>
        </w:rPr>
      </w:pPr>
      <w:r w:rsidRPr="006047D0">
        <w:rPr>
          <w:rFonts w:asciiTheme="minorBidi" w:hAnsiTheme="minorBidi"/>
          <w:lang w:val="en-US"/>
        </w:rPr>
        <w:t xml:space="preserve">Psychological insight profoundly shapes the quality of dementia care. Applying Erikson’s and Maslow’s theories enables professionals to interpret </w:t>
      </w:r>
      <w:proofErr w:type="spellStart"/>
      <w:r w:rsidRPr="006047D0">
        <w:rPr>
          <w:rFonts w:asciiTheme="minorBidi" w:hAnsiTheme="minorBidi"/>
          <w:lang w:val="en-US"/>
        </w:rPr>
        <w:t>behaviour</w:t>
      </w:r>
      <w:proofErr w:type="spellEnd"/>
      <w:r w:rsidRPr="006047D0">
        <w:rPr>
          <w:rFonts w:asciiTheme="minorBidi" w:hAnsiTheme="minorBidi"/>
          <w:lang w:val="en-US"/>
        </w:rPr>
        <w:t>, nurture identity and meet fundamental needs simultaneously. Their integration promotes dignity, emotional wellbeing and a sense of purpose, providing a robust foundation for compassionate practice in residential health and social care settings.</w:t>
      </w:r>
    </w:p>
    <w:p w14:paraId="1F302989" w14:textId="77777777" w:rsidR="006914A0" w:rsidRPr="006047D0" w:rsidRDefault="006914A0" w:rsidP="006914A0">
      <w:pPr>
        <w:spacing w:line="360" w:lineRule="auto"/>
        <w:jc w:val="both"/>
        <w:rPr>
          <w:rFonts w:asciiTheme="minorBidi" w:hAnsiTheme="minorBidi"/>
          <w:lang w:val="en-US"/>
        </w:rPr>
      </w:pPr>
    </w:p>
    <w:p w14:paraId="07AC5ACE" w14:textId="77777777" w:rsidR="006914A0" w:rsidRPr="001A7078" w:rsidRDefault="006914A0" w:rsidP="006914A0">
      <w:pPr>
        <w:spacing w:line="360" w:lineRule="auto"/>
        <w:jc w:val="both"/>
        <w:rPr>
          <w:rFonts w:asciiTheme="minorBidi" w:hAnsiTheme="minorBidi"/>
        </w:rPr>
      </w:pPr>
    </w:p>
    <w:p w14:paraId="59BCE0FF" w14:textId="77777777" w:rsidR="006914A0" w:rsidRPr="001A7078" w:rsidRDefault="006914A0" w:rsidP="006914A0">
      <w:pPr>
        <w:spacing w:line="360" w:lineRule="auto"/>
        <w:jc w:val="both"/>
        <w:rPr>
          <w:rFonts w:asciiTheme="minorBidi" w:hAnsiTheme="minorBidi"/>
        </w:rPr>
      </w:pPr>
    </w:p>
    <w:p w14:paraId="186FC1B8" w14:textId="77777777" w:rsidR="006914A0" w:rsidRPr="001A7078" w:rsidRDefault="006914A0" w:rsidP="006914A0">
      <w:pPr>
        <w:spacing w:line="360" w:lineRule="auto"/>
        <w:jc w:val="both"/>
        <w:rPr>
          <w:rFonts w:asciiTheme="minorBidi" w:hAnsiTheme="minorBidi"/>
        </w:rPr>
      </w:pPr>
    </w:p>
    <w:p w14:paraId="2400CAF6" w14:textId="77777777" w:rsidR="006914A0" w:rsidRPr="001A7078" w:rsidRDefault="006914A0" w:rsidP="006914A0">
      <w:pPr>
        <w:spacing w:line="360" w:lineRule="auto"/>
        <w:jc w:val="both"/>
        <w:rPr>
          <w:rFonts w:asciiTheme="minorBidi" w:hAnsiTheme="minorBidi"/>
        </w:rPr>
      </w:pPr>
    </w:p>
    <w:p w14:paraId="6BAA67F6" w14:textId="77777777" w:rsidR="006914A0" w:rsidRPr="001A7078" w:rsidRDefault="006914A0" w:rsidP="006914A0">
      <w:pPr>
        <w:spacing w:line="360" w:lineRule="auto"/>
        <w:jc w:val="both"/>
        <w:rPr>
          <w:rFonts w:asciiTheme="minorBidi" w:hAnsiTheme="minorBidi"/>
        </w:rPr>
      </w:pPr>
    </w:p>
    <w:p w14:paraId="0EEA4892" w14:textId="77777777" w:rsidR="006914A0" w:rsidRPr="001A7078" w:rsidRDefault="006914A0" w:rsidP="006914A0">
      <w:pPr>
        <w:spacing w:line="360" w:lineRule="auto"/>
        <w:jc w:val="both"/>
        <w:rPr>
          <w:rFonts w:asciiTheme="minorBidi" w:hAnsiTheme="minorBidi"/>
        </w:rPr>
      </w:pPr>
    </w:p>
    <w:p w14:paraId="60E0C2BA" w14:textId="77777777" w:rsidR="00B1569A" w:rsidRPr="001A7078" w:rsidRDefault="00B1569A" w:rsidP="00FB4CB7">
      <w:pPr>
        <w:spacing w:line="360" w:lineRule="auto"/>
        <w:jc w:val="both"/>
        <w:rPr>
          <w:rFonts w:asciiTheme="minorBidi" w:hAnsiTheme="minorBidi"/>
        </w:rPr>
      </w:pPr>
    </w:p>
    <w:p w14:paraId="22A6BB7B" w14:textId="77777777" w:rsidR="00AF5602" w:rsidRPr="001A7078" w:rsidRDefault="00AF5602" w:rsidP="00FB4CB7">
      <w:pPr>
        <w:spacing w:line="360" w:lineRule="auto"/>
        <w:jc w:val="both"/>
        <w:rPr>
          <w:rFonts w:asciiTheme="minorBidi" w:hAnsiTheme="minorBidi"/>
        </w:rPr>
      </w:pPr>
    </w:p>
    <w:p w14:paraId="69E9DB16" w14:textId="77777777" w:rsidR="00AF5602" w:rsidRPr="001A7078" w:rsidRDefault="00AF5602" w:rsidP="00FB4CB7">
      <w:pPr>
        <w:spacing w:line="360" w:lineRule="auto"/>
        <w:jc w:val="both"/>
        <w:rPr>
          <w:rFonts w:asciiTheme="minorBidi" w:hAnsiTheme="minorBidi"/>
        </w:rPr>
      </w:pPr>
    </w:p>
    <w:p w14:paraId="0BF088BE" w14:textId="77777777" w:rsidR="00AF5602" w:rsidRPr="001A7078" w:rsidRDefault="00AF5602" w:rsidP="00FB4CB7">
      <w:pPr>
        <w:spacing w:line="360" w:lineRule="auto"/>
        <w:jc w:val="both"/>
        <w:rPr>
          <w:rFonts w:asciiTheme="minorBidi" w:hAnsiTheme="minorBidi"/>
        </w:rPr>
      </w:pPr>
    </w:p>
    <w:p w14:paraId="00AF11E2" w14:textId="77777777" w:rsidR="00AF5602" w:rsidRPr="001A7078" w:rsidRDefault="00AF5602" w:rsidP="00FB4CB7">
      <w:pPr>
        <w:spacing w:line="360" w:lineRule="auto"/>
        <w:jc w:val="both"/>
        <w:rPr>
          <w:rFonts w:asciiTheme="minorBidi" w:hAnsiTheme="minorBidi"/>
        </w:rPr>
      </w:pPr>
    </w:p>
    <w:p w14:paraId="5EBCEC9B" w14:textId="77777777" w:rsidR="00AF5602" w:rsidRPr="001A7078" w:rsidRDefault="00AF5602" w:rsidP="00FB4CB7">
      <w:pPr>
        <w:spacing w:line="360" w:lineRule="auto"/>
        <w:jc w:val="both"/>
        <w:rPr>
          <w:rFonts w:asciiTheme="minorBidi" w:hAnsiTheme="minorBidi"/>
        </w:rPr>
      </w:pPr>
    </w:p>
    <w:p w14:paraId="468587A3" w14:textId="77777777" w:rsidR="00AF5602" w:rsidRPr="001A7078" w:rsidRDefault="00AF5602" w:rsidP="00FB4CB7">
      <w:pPr>
        <w:spacing w:line="360" w:lineRule="auto"/>
        <w:jc w:val="both"/>
        <w:rPr>
          <w:rFonts w:asciiTheme="minorBidi" w:hAnsiTheme="minorBidi"/>
        </w:rPr>
      </w:pPr>
    </w:p>
    <w:p w14:paraId="2A303115" w14:textId="77777777" w:rsidR="00AF5602" w:rsidRPr="001A7078" w:rsidRDefault="00AF5602" w:rsidP="00FB4CB7">
      <w:pPr>
        <w:spacing w:line="360" w:lineRule="auto"/>
        <w:jc w:val="both"/>
        <w:rPr>
          <w:rFonts w:asciiTheme="minorBidi" w:hAnsiTheme="minorBidi"/>
        </w:rPr>
      </w:pPr>
    </w:p>
    <w:p w14:paraId="58498139" w14:textId="77777777" w:rsidR="00AF5602" w:rsidRDefault="00AF5602" w:rsidP="00FB4CB7">
      <w:pPr>
        <w:spacing w:line="360" w:lineRule="auto"/>
        <w:jc w:val="both"/>
        <w:rPr>
          <w:rFonts w:asciiTheme="minorBidi" w:hAnsiTheme="minorBidi"/>
        </w:rPr>
      </w:pPr>
    </w:p>
    <w:p w14:paraId="7038E18F" w14:textId="77777777" w:rsidR="00B1569A" w:rsidRPr="001A7078" w:rsidRDefault="00B1569A" w:rsidP="00FB4CB7">
      <w:pPr>
        <w:spacing w:line="360" w:lineRule="auto"/>
        <w:jc w:val="both"/>
        <w:rPr>
          <w:rFonts w:asciiTheme="minorBidi" w:hAnsiTheme="minorBidi"/>
        </w:rPr>
      </w:pPr>
    </w:p>
    <w:p w14:paraId="31813336" w14:textId="37FB4EBA" w:rsidR="00FB4CB7" w:rsidRPr="000220CE" w:rsidRDefault="00FB4CB7" w:rsidP="00B1569A">
      <w:pPr>
        <w:pStyle w:val="Heading1"/>
        <w:pBdr>
          <w:bottom w:val="single" w:sz="4" w:space="1" w:color="auto"/>
        </w:pBdr>
        <w:rPr>
          <w:rFonts w:asciiTheme="minorBidi" w:hAnsiTheme="minorBidi" w:cstheme="minorBidi"/>
          <w:b/>
          <w:bCs/>
          <w:sz w:val="28"/>
          <w:szCs w:val="28"/>
        </w:rPr>
      </w:pPr>
      <w:bookmarkStart w:id="10" w:name="_Toc213298800"/>
      <w:r w:rsidRPr="000220CE">
        <w:rPr>
          <w:rFonts w:asciiTheme="minorBidi" w:hAnsiTheme="minorBidi" w:cstheme="minorBidi"/>
          <w:b/>
          <w:bCs/>
          <w:sz w:val="28"/>
          <w:szCs w:val="28"/>
        </w:rPr>
        <w:t>Reference</w:t>
      </w:r>
      <w:r w:rsidR="000220CE" w:rsidRPr="000220CE">
        <w:rPr>
          <w:rFonts w:asciiTheme="minorBidi" w:hAnsiTheme="minorBidi" w:cstheme="minorBidi"/>
          <w:b/>
          <w:bCs/>
          <w:sz w:val="28"/>
          <w:szCs w:val="28"/>
        </w:rPr>
        <w:t xml:space="preserve"> List</w:t>
      </w:r>
      <w:r w:rsidRPr="000220CE">
        <w:rPr>
          <w:rFonts w:asciiTheme="minorBidi" w:hAnsiTheme="minorBidi" w:cstheme="minorBidi"/>
          <w:b/>
          <w:bCs/>
          <w:sz w:val="28"/>
          <w:szCs w:val="28"/>
        </w:rPr>
        <w:t>:</w:t>
      </w:r>
      <w:bookmarkEnd w:id="10"/>
    </w:p>
    <w:p w14:paraId="1FD70945" w14:textId="77777777" w:rsidR="00DE75A0" w:rsidRPr="00DE75A0" w:rsidRDefault="00DE75A0" w:rsidP="00DE75A0">
      <w:pPr>
        <w:spacing w:line="360" w:lineRule="auto"/>
        <w:rPr>
          <w:rFonts w:asciiTheme="minorBidi" w:hAnsiTheme="minorBidi"/>
          <w:color w:val="000000" w:themeColor="text1"/>
          <w:lang w:val="en-US"/>
        </w:rPr>
      </w:pPr>
      <w:proofErr w:type="spellStart"/>
      <w:r w:rsidRPr="00DE75A0">
        <w:rPr>
          <w:rFonts w:asciiTheme="minorBidi" w:hAnsiTheme="minorBidi"/>
          <w:color w:val="000000" w:themeColor="text1"/>
          <w:lang w:val="en-US"/>
        </w:rPr>
        <w:t>Cammisuli</w:t>
      </w:r>
      <w:proofErr w:type="spellEnd"/>
      <w:r w:rsidRPr="00DE75A0">
        <w:rPr>
          <w:rFonts w:asciiTheme="minorBidi" w:hAnsiTheme="minorBidi"/>
          <w:color w:val="000000" w:themeColor="text1"/>
          <w:lang w:val="en-US"/>
        </w:rPr>
        <w:t xml:space="preserve">, D.M., Danti, S., </w:t>
      </w:r>
      <w:proofErr w:type="spellStart"/>
      <w:r w:rsidRPr="00DE75A0">
        <w:rPr>
          <w:rFonts w:asciiTheme="minorBidi" w:hAnsiTheme="minorBidi"/>
          <w:color w:val="000000" w:themeColor="text1"/>
          <w:lang w:val="en-US"/>
        </w:rPr>
        <w:t>Bosinelli</w:t>
      </w:r>
      <w:proofErr w:type="spellEnd"/>
      <w:r w:rsidRPr="00DE75A0">
        <w:rPr>
          <w:rFonts w:asciiTheme="minorBidi" w:hAnsiTheme="minorBidi"/>
          <w:color w:val="000000" w:themeColor="text1"/>
          <w:lang w:val="en-US"/>
        </w:rPr>
        <w:t>, F. and Castagna, A. (</w:t>
      </w:r>
      <w:proofErr w:type="gramStart"/>
      <w:r w:rsidRPr="00DE75A0">
        <w:rPr>
          <w:rFonts w:asciiTheme="minorBidi" w:hAnsiTheme="minorBidi"/>
          <w:color w:val="000000" w:themeColor="text1"/>
          <w:lang w:val="en-US"/>
        </w:rPr>
        <w:t>2022) ‘</w:t>
      </w:r>
      <w:proofErr w:type="gramEnd"/>
      <w:r w:rsidRPr="00DE75A0">
        <w:rPr>
          <w:rFonts w:asciiTheme="minorBidi" w:hAnsiTheme="minorBidi"/>
          <w:color w:val="000000" w:themeColor="text1"/>
          <w:lang w:val="en-US"/>
        </w:rPr>
        <w:t xml:space="preserve">Effects of reminiscence therapy on cognition, depression and quality of life in elderly people with Alzheimer’s disease: A systematic review of </w:t>
      </w:r>
      <w:proofErr w:type="spellStart"/>
      <w:r w:rsidRPr="00DE75A0">
        <w:rPr>
          <w:rFonts w:asciiTheme="minorBidi" w:hAnsiTheme="minorBidi"/>
          <w:color w:val="000000" w:themeColor="text1"/>
          <w:lang w:val="en-US"/>
        </w:rPr>
        <w:t>randomised</w:t>
      </w:r>
      <w:proofErr w:type="spellEnd"/>
      <w:r w:rsidRPr="00DE75A0">
        <w:rPr>
          <w:rFonts w:asciiTheme="minorBidi" w:hAnsiTheme="minorBidi"/>
          <w:color w:val="000000" w:themeColor="text1"/>
          <w:lang w:val="en-US"/>
        </w:rPr>
        <w:t xml:space="preserve"> controlled trials’, </w:t>
      </w:r>
      <w:r w:rsidRPr="00DE75A0">
        <w:rPr>
          <w:rFonts w:asciiTheme="minorBidi" w:hAnsiTheme="minorBidi"/>
          <w:i/>
          <w:iCs/>
          <w:color w:val="000000" w:themeColor="text1"/>
          <w:lang w:val="en-US"/>
        </w:rPr>
        <w:t>Journal of Clinical Medicine</w:t>
      </w:r>
      <w:r w:rsidRPr="00DE75A0">
        <w:rPr>
          <w:rFonts w:asciiTheme="minorBidi" w:hAnsiTheme="minorBidi"/>
          <w:color w:val="000000" w:themeColor="text1"/>
          <w:lang w:val="en-US"/>
        </w:rPr>
        <w:t xml:space="preserve">, 11(19), 5752. </w:t>
      </w:r>
      <w:proofErr w:type="spellStart"/>
      <w:r w:rsidRPr="00DE75A0">
        <w:rPr>
          <w:rFonts w:asciiTheme="minorBidi" w:hAnsiTheme="minorBidi"/>
          <w:color w:val="000000" w:themeColor="text1"/>
          <w:lang w:val="en-US"/>
        </w:rPr>
        <w:t>doi</w:t>
      </w:r>
      <w:proofErr w:type="spellEnd"/>
      <w:r w:rsidRPr="00DE75A0">
        <w:rPr>
          <w:rFonts w:asciiTheme="minorBidi" w:hAnsiTheme="minorBidi"/>
          <w:color w:val="000000" w:themeColor="text1"/>
          <w:lang w:val="en-US"/>
        </w:rPr>
        <w:t>: 10.3390/jcm11195752.</w:t>
      </w:r>
    </w:p>
    <w:p w14:paraId="178B6400" w14:textId="77777777" w:rsidR="00DE75A0" w:rsidRPr="00DE75A0" w:rsidRDefault="00DE75A0" w:rsidP="00DE75A0">
      <w:pPr>
        <w:spacing w:line="360" w:lineRule="auto"/>
        <w:rPr>
          <w:rFonts w:asciiTheme="minorBidi" w:hAnsiTheme="minorBidi"/>
          <w:color w:val="000000" w:themeColor="text1"/>
          <w:lang w:val="en-US"/>
        </w:rPr>
      </w:pPr>
      <w:r w:rsidRPr="00DE75A0">
        <w:rPr>
          <w:rFonts w:asciiTheme="minorBidi" w:hAnsiTheme="minorBidi"/>
          <w:color w:val="000000" w:themeColor="text1"/>
          <w:lang w:val="en-US"/>
        </w:rPr>
        <w:lastRenderedPageBreak/>
        <w:t>Lee, K.H., Lee, J.Y. and Kim, B. (2022) ‘Person-</w:t>
      </w:r>
      <w:proofErr w:type="spellStart"/>
      <w:r w:rsidRPr="00DE75A0">
        <w:rPr>
          <w:rFonts w:asciiTheme="minorBidi" w:hAnsiTheme="minorBidi"/>
          <w:color w:val="000000" w:themeColor="text1"/>
          <w:lang w:val="en-US"/>
        </w:rPr>
        <w:t>centred</w:t>
      </w:r>
      <w:proofErr w:type="spellEnd"/>
      <w:r w:rsidRPr="00DE75A0">
        <w:rPr>
          <w:rFonts w:asciiTheme="minorBidi" w:hAnsiTheme="minorBidi"/>
          <w:color w:val="000000" w:themeColor="text1"/>
          <w:lang w:val="en-US"/>
        </w:rPr>
        <w:t xml:space="preserve"> care in persons living with dementia: A systematic review and meta-analysis’, </w:t>
      </w:r>
      <w:r w:rsidRPr="00DE75A0">
        <w:rPr>
          <w:rFonts w:asciiTheme="minorBidi" w:hAnsiTheme="minorBidi"/>
          <w:i/>
          <w:iCs/>
          <w:color w:val="000000" w:themeColor="text1"/>
          <w:lang w:val="en-US"/>
        </w:rPr>
        <w:t>The Gerontologist</w:t>
      </w:r>
      <w:r w:rsidRPr="00DE75A0">
        <w:rPr>
          <w:rFonts w:asciiTheme="minorBidi" w:hAnsiTheme="minorBidi"/>
          <w:color w:val="000000" w:themeColor="text1"/>
          <w:lang w:val="en-US"/>
        </w:rPr>
        <w:t xml:space="preserve">, 62(4), e253–e264. </w:t>
      </w:r>
      <w:proofErr w:type="spellStart"/>
      <w:r w:rsidRPr="00DE75A0">
        <w:rPr>
          <w:rFonts w:asciiTheme="minorBidi" w:hAnsiTheme="minorBidi"/>
          <w:color w:val="000000" w:themeColor="text1"/>
          <w:lang w:val="en-US"/>
        </w:rPr>
        <w:t>doi</w:t>
      </w:r>
      <w:proofErr w:type="spellEnd"/>
      <w:r w:rsidRPr="00DE75A0">
        <w:rPr>
          <w:rFonts w:asciiTheme="minorBidi" w:hAnsiTheme="minorBidi"/>
          <w:color w:val="000000" w:themeColor="text1"/>
          <w:lang w:val="en-US"/>
        </w:rPr>
        <w:t>: 10.1093/</w:t>
      </w:r>
      <w:proofErr w:type="spellStart"/>
      <w:r w:rsidRPr="00DE75A0">
        <w:rPr>
          <w:rFonts w:asciiTheme="minorBidi" w:hAnsiTheme="minorBidi"/>
          <w:color w:val="000000" w:themeColor="text1"/>
          <w:lang w:val="en-US"/>
        </w:rPr>
        <w:t>geront</w:t>
      </w:r>
      <w:proofErr w:type="spellEnd"/>
      <w:r w:rsidRPr="00DE75A0">
        <w:rPr>
          <w:rFonts w:asciiTheme="minorBidi" w:hAnsiTheme="minorBidi"/>
          <w:color w:val="000000" w:themeColor="text1"/>
          <w:lang w:val="en-US"/>
        </w:rPr>
        <w:t>/gnaa207.</w:t>
      </w:r>
    </w:p>
    <w:p w14:paraId="598815DC" w14:textId="77777777" w:rsidR="00DE75A0" w:rsidRPr="00DE75A0" w:rsidRDefault="00DE75A0" w:rsidP="00DE75A0">
      <w:pPr>
        <w:spacing w:line="360" w:lineRule="auto"/>
        <w:rPr>
          <w:rFonts w:asciiTheme="minorBidi" w:hAnsiTheme="minorBidi"/>
          <w:color w:val="000000" w:themeColor="text1"/>
          <w:lang w:val="en-US"/>
        </w:rPr>
      </w:pPr>
      <w:r w:rsidRPr="00DE75A0">
        <w:rPr>
          <w:rFonts w:asciiTheme="minorBidi" w:hAnsiTheme="minorBidi"/>
          <w:color w:val="000000" w:themeColor="text1"/>
          <w:lang w:val="en-US"/>
        </w:rPr>
        <w:t xml:space="preserve">McAdams, D.P. (2019) ‘Identity and the life story in late adulthood’, </w:t>
      </w:r>
      <w:r w:rsidRPr="00DE75A0">
        <w:rPr>
          <w:rFonts w:asciiTheme="minorBidi" w:hAnsiTheme="minorBidi"/>
          <w:i/>
          <w:iCs/>
          <w:color w:val="000000" w:themeColor="text1"/>
          <w:lang w:val="en-US"/>
        </w:rPr>
        <w:t>Journal of Personality</w:t>
      </w:r>
      <w:r w:rsidRPr="00DE75A0">
        <w:rPr>
          <w:rFonts w:asciiTheme="minorBidi" w:hAnsiTheme="minorBidi"/>
          <w:color w:val="000000" w:themeColor="text1"/>
          <w:lang w:val="en-US"/>
        </w:rPr>
        <w:t xml:space="preserve">, 87(1), pp. 100–115. </w:t>
      </w:r>
      <w:proofErr w:type="spellStart"/>
      <w:r w:rsidRPr="00DE75A0">
        <w:rPr>
          <w:rFonts w:asciiTheme="minorBidi" w:hAnsiTheme="minorBidi"/>
          <w:color w:val="000000" w:themeColor="text1"/>
          <w:lang w:val="en-US"/>
        </w:rPr>
        <w:t>doi</w:t>
      </w:r>
      <w:proofErr w:type="spellEnd"/>
      <w:r w:rsidRPr="00DE75A0">
        <w:rPr>
          <w:rFonts w:asciiTheme="minorBidi" w:hAnsiTheme="minorBidi"/>
          <w:color w:val="000000" w:themeColor="text1"/>
          <w:lang w:val="en-US"/>
        </w:rPr>
        <w:t>: 10.1111/jopy.12390.</w:t>
      </w:r>
    </w:p>
    <w:p w14:paraId="54BB8C29" w14:textId="77777777" w:rsidR="00DE75A0" w:rsidRPr="00DE75A0" w:rsidRDefault="00DE75A0" w:rsidP="00DE75A0">
      <w:pPr>
        <w:spacing w:line="360" w:lineRule="auto"/>
        <w:rPr>
          <w:rFonts w:asciiTheme="minorBidi" w:hAnsiTheme="minorBidi"/>
          <w:color w:val="000000" w:themeColor="text1"/>
          <w:lang w:val="en-US"/>
        </w:rPr>
      </w:pPr>
      <w:r w:rsidRPr="00DE75A0">
        <w:rPr>
          <w:rFonts w:asciiTheme="minorBidi" w:hAnsiTheme="minorBidi"/>
          <w:color w:val="000000" w:themeColor="text1"/>
          <w:lang w:val="en-US"/>
        </w:rPr>
        <w:t>Orenstein, G.A. and Lewis, L. (</w:t>
      </w:r>
      <w:proofErr w:type="gramStart"/>
      <w:r w:rsidRPr="00DE75A0">
        <w:rPr>
          <w:rFonts w:asciiTheme="minorBidi" w:hAnsiTheme="minorBidi"/>
          <w:color w:val="000000" w:themeColor="text1"/>
          <w:lang w:val="en-US"/>
        </w:rPr>
        <w:t>2022) ‘</w:t>
      </w:r>
      <w:proofErr w:type="gramEnd"/>
      <w:r w:rsidRPr="00DE75A0">
        <w:rPr>
          <w:rFonts w:asciiTheme="minorBidi" w:hAnsiTheme="minorBidi"/>
          <w:color w:val="000000" w:themeColor="text1"/>
          <w:lang w:val="en-US"/>
        </w:rPr>
        <w:t xml:space="preserve">Erikson’s stages of psychosocial development’, in </w:t>
      </w:r>
      <w:proofErr w:type="spellStart"/>
      <w:r w:rsidRPr="00DE75A0">
        <w:rPr>
          <w:rFonts w:asciiTheme="minorBidi" w:hAnsiTheme="minorBidi"/>
          <w:i/>
          <w:iCs/>
          <w:color w:val="000000" w:themeColor="text1"/>
          <w:lang w:val="en-US"/>
        </w:rPr>
        <w:t>StatPearls</w:t>
      </w:r>
      <w:proofErr w:type="spellEnd"/>
      <w:r w:rsidRPr="00DE75A0">
        <w:rPr>
          <w:rFonts w:asciiTheme="minorBidi" w:hAnsiTheme="minorBidi"/>
          <w:color w:val="000000" w:themeColor="text1"/>
          <w:lang w:val="en-US"/>
        </w:rPr>
        <w:t xml:space="preserve"> [Internet]. Treasure Island (FL): </w:t>
      </w:r>
      <w:proofErr w:type="spellStart"/>
      <w:r w:rsidRPr="00DE75A0">
        <w:rPr>
          <w:rFonts w:asciiTheme="minorBidi" w:hAnsiTheme="minorBidi"/>
          <w:color w:val="000000" w:themeColor="text1"/>
          <w:lang w:val="en-US"/>
        </w:rPr>
        <w:t>StatPearls</w:t>
      </w:r>
      <w:proofErr w:type="spellEnd"/>
      <w:r w:rsidRPr="00DE75A0">
        <w:rPr>
          <w:rFonts w:asciiTheme="minorBidi" w:hAnsiTheme="minorBidi"/>
          <w:color w:val="000000" w:themeColor="text1"/>
          <w:lang w:val="en-US"/>
        </w:rPr>
        <w:t xml:space="preserve"> Publishing. Available at: </w:t>
      </w:r>
      <w:hyperlink r:id="rId9" w:tgtFrame="_new" w:history="1">
        <w:r w:rsidRPr="00DE75A0">
          <w:rPr>
            <w:rStyle w:val="Hyperlink"/>
            <w:rFonts w:asciiTheme="minorBidi" w:hAnsiTheme="minorBidi"/>
            <w:color w:val="000000" w:themeColor="text1"/>
            <w:lang w:val="en-US"/>
          </w:rPr>
          <w:t>https://www.ncbi.nlm.nih.gov/books/NBK556096/</w:t>
        </w:r>
      </w:hyperlink>
      <w:r w:rsidRPr="00DE75A0">
        <w:rPr>
          <w:rFonts w:asciiTheme="minorBidi" w:hAnsiTheme="minorBidi"/>
          <w:color w:val="000000" w:themeColor="text1"/>
          <w:lang w:val="en-US"/>
        </w:rPr>
        <w:t xml:space="preserve"> (Accessed: 20 October 2025).</w:t>
      </w:r>
    </w:p>
    <w:p w14:paraId="39FCE8AC" w14:textId="77777777" w:rsidR="00DE75A0" w:rsidRPr="00DE75A0" w:rsidRDefault="00DE75A0" w:rsidP="00DE75A0">
      <w:pPr>
        <w:spacing w:line="360" w:lineRule="auto"/>
        <w:rPr>
          <w:rFonts w:asciiTheme="minorBidi" w:hAnsiTheme="minorBidi"/>
          <w:color w:val="000000" w:themeColor="text1"/>
          <w:lang w:val="en-US"/>
        </w:rPr>
      </w:pPr>
      <w:proofErr w:type="spellStart"/>
      <w:r w:rsidRPr="00DE75A0">
        <w:rPr>
          <w:rFonts w:asciiTheme="minorBidi" w:hAnsiTheme="minorBidi"/>
          <w:color w:val="000000" w:themeColor="text1"/>
          <w:lang w:val="en-US"/>
        </w:rPr>
        <w:t>Saragih</w:t>
      </w:r>
      <w:proofErr w:type="spellEnd"/>
      <w:r w:rsidRPr="00DE75A0">
        <w:rPr>
          <w:rFonts w:asciiTheme="minorBidi" w:hAnsiTheme="minorBidi"/>
          <w:color w:val="000000" w:themeColor="text1"/>
          <w:lang w:val="en-US"/>
        </w:rPr>
        <w:t>, I.D., Yasmin, R., Nuraini, N. and Chiang, C.Y. (</w:t>
      </w:r>
      <w:proofErr w:type="gramStart"/>
      <w:r w:rsidRPr="00DE75A0">
        <w:rPr>
          <w:rFonts w:asciiTheme="minorBidi" w:hAnsiTheme="minorBidi"/>
          <w:color w:val="000000" w:themeColor="text1"/>
          <w:lang w:val="en-US"/>
        </w:rPr>
        <w:t>2022) ‘</w:t>
      </w:r>
      <w:proofErr w:type="gramEnd"/>
      <w:r w:rsidRPr="00DE75A0">
        <w:rPr>
          <w:rFonts w:asciiTheme="minorBidi" w:hAnsiTheme="minorBidi"/>
          <w:color w:val="000000" w:themeColor="text1"/>
          <w:lang w:val="en-US"/>
        </w:rPr>
        <w:t xml:space="preserve">Effects of cognitive stimulation therapy for people with dementia: A systematic review and meta-analysis’, </w:t>
      </w:r>
      <w:r w:rsidRPr="00DE75A0">
        <w:rPr>
          <w:rFonts w:asciiTheme="minorBidi" w:hAnsiTheme="minorBidi"/>
          <w:i/>
          <w:iCs/>
          <w:color w:val="000000" w:themeColor="text1"/>
          <w:lang w:val="en-US"/>
        </w:rPr>
        <w:t>International Journal of Nursing Studies</w:t>
      </w:r>
      <w:r w:rsidRPr="00DE75A0">
        <w:rPr>
          <w:rFonts w:asciiTheme="minorBidi" w:hAnsiTheme="minorBidi"/>
          <w:color w:val="000000" w:themeColor="text1"/>
          <w:lang w:val="en-US"/>
        </w:rPr>
        <w:t xml:space="preserve">, 128, 104181. </w:t>
      </w:r>
      <w:proofErr w:type="spellStart"/>
      <w:r w:rsidRPr="00DE75A0">
        <w:rPr>
          <w:rFonts w:asciiTheme="minorBidi" w:hAnsiTheme="minorBidi"/>
          <w:color w:val="000000" w:themeColor="text1"/>
          <w:lang w:val="en-US"/>
        </w:rPr>
        <w:t>doi</w:t>
      </w:r>
      <w:proofErr w:type="spellEnd"/>
      <w:r w:rsidRPr="00DE75A0">
        <w:rPr>
          <w:rFonts w:asciiTheme="minorBidi" w:hAnsiTheme="minorBidi"/>
          <w:color w:val="000000" w:themeColor="text1"/>
          <w:lang w:val="en-US"/>
        </w:rPr>
        <w:t>: 10.1016/j.ijnurstu.2022.104181.</w:t>
      </w:r>
    </w:p>
    <w:p w14:paraId="3676D7EA" w14:textId="77777777" w:rsidR="00DE75A0" w:rsidRPr="00DE75A0" w:rsidRDefault="00DE75A0" w:rsidP="00DE75A0">
      <w:pPr>
        <w:spacing w:line="360" w:lineRule="auto"/>
        <w:rPr>
          <w:rFonts w:asciiTheme="minorBidi" w:hAnsiTheme="minorBidi"/>
          <w:color w:val="000000" w:themeColor="text1"/>
          <w:lang w:val="en-US"/>
        </w:rPr>
      </w:pPr>
      <w:r w:rsidRPr="00DE75A0">
        <w:rPr>
          <w:rFonts w:asciiTheme="minorBidi" w:hAnsiTheme="minorBidi"/>
          <w:color w:val="000000" w:themeColor="text1"/>
          <w:lang w:val="en-US"/>
        </w:rPr>
        <w:t xml:space="preserve">Sunzi, K., Tang, S., Wang, Y. and Chen, J. (2023) ‘How do older adults in nursing homes live with dignity? A meta-synthesis’, </w:t>
      </w:r>
      <w:r w:rsidRPr="00DE75A0">
        <w:rPr>
          <w:rFonts w:asciiTheme="minorBidi" w:hAnsiTheme="minorBidi"/>
          <w:i/>
          <w:iCs/>
          <w:color w:val="000000" w:themeColor="text1"/>
          <w:lang w:val="en-US"/>
        </w:rPr>
        <w:t>BMJ Open</w:t>
      </w:r>
      <w:r w:rsidRPr="00DE75A0">
        <w:rPr>
          <w:rFonts w:asciiTheme="minorBidi" w:hAnsiTheme="minorBidi"/>
          <w:color w:val="000000" w:themeColor="text1"/>
          <w:lang w:val="en-US"/>
        </w:rPr>
        <w:t xml:space="preserve">, 13(4), e067223. </w:t>
      </w:r>
      <w:proofErr w:type="spellStart"/>
      <w:r w:rsidRPr="00DE75A0">
        <w:rPr>
          <w:rFonts w:asciiTheme="minorBidi" w:hAnsiTheme="minorBidi"/>
          <w:color w:val="000000" w:themeColor="text1"/>
          <w:lang w:val="en-US"/>
        </w:rPr>
        <w:t>doi</w:t>
      </w:r>
      <w:proofErr w:type="spellEnd"/>
      <w:r w:rsidRPr="00DE75A0">
        <w:rPr>
          <w:rFonts w:asciiTheme="minorBidi" w:hAnsiTheme="minorBidi"/>
          <w:color w:val="000000" w:themeColor="text1"/>
          <w:lang w:val="en-US"/>
        </w:rPr>
        <w:t>: 10.1136/bmjopen-2022-067223.</w:t>
      </w:r>
    </w:p>
    <w:p w14:paraId="08460626" w14:textId="77777777" w:rsidR="00DE75A0" w:rsidRPr="00DE75A0" w:rsidRDefault="00DE75A0" w:rsidP="00DE75A0">
      <w:pPr>
        <w:spacing w:line="360" w:lineRule="auto"/>
        <w:rPr>
          <w:rFonts w:asciiTheme="minorBidi" w:hAnsiTheme="minorBidi"/>
          <w:color w:val="000000" w:themeColor="text1"/>
          <w:lang w:val="en-US"/>
        </w:rPr>
      </w:pPr>
      <w:r w:rsidRPr="00DE75A0">
        <w:rPr>
          <w:rFonts w:asciiTheme="minorBidi" w:hAnsiTheme="minorBidi"/>
          <w:color w:val="000000" w:themeColor="text1"/>
          <w:lang w:val="en-US"/>
        </w:rPr>
        <w:t xml:space="preserve">World Health Organization (2021) </w:t>
      </w:r>
      <w:r w:rsidRPr="00DE75A0">
        <w:rPr>
          <w:rFonts w:asciiTheme="minorBidi" w:hAnsiTheme="minorBidi"/>
          <w:i/>
          <w:iCs/>
          <w:color w:val="000000" w:themeColor="text1"/>
          <w:lang w:val="en-US"/>
        </w:rPr>
        <w:t>Global status report on the public health response to dementia.</w:t>
      </w:r>
      <w:r w:rsidRPr="00DE75A0">
        <w:rPr>
          <w:rFonts w:asciiTheme="minorBidi" w:hAnsiTheme="minorBidi"/>
          <w:color w:val="000000" w:themeColor="text1"/>
          <w:lang w:val="en-US"/>
        </w:rPr>
        <w:t xml:space="preserve"> Geneva: World Health Organization. Available at: </w:t>
      </w:r>
      <w:hyperlink r:id="rId10" w:tgtFrame="_new" w:history="1">
        <w:r w:rsidRPr="00DE75A0">
          <w:rPr>
            <w:rStyle w:val="Hyperlink"/>
            <w:rFonts w:asciiTheme="minorBidi" w:hAnsiTheme="minorBidi"/>
            <w:color w:val="000000" w:themeColor="text1"/>
            <w:lang w:val="en-US"/>
          </w:rPr>
          <w:t>https://www.who.int/publications/i/item/9789240033245</w:t>
        </w:r>
      </w:hyperlink>
      <w:r w:rsidRPr="00DE75A0">
        <w:rPr>
          <w:rFonts w:asciiTheme="minorBidi" w:hAnsiTheme="minorBidi"/>
          <w:color w:val="000000" w:themeColor="text1"/>
          <w:lang w:val="en-US"/>
        </w:rPr>
        <w:t xml:space="preserve"> (Accessed: 20 October 2025).</w:t>
      </w:r>
    </w:p>
    <w:p w14:paraId="0166A6FE" w14:textId="77777777" w:rsidR="00DE75A0" w:rsidRPr="00DE75A0" w:rsidRDefault="00DE75A0" w:rsidP="00DE75A0">
      <w:pPr>
        <w:spacing w:line="360" w:lineRule="auto"/>
        <w:rPr>
          <w:rFonts w:asciiTheme="minorBidi" w:hAnsiTheme="minorBidi"/>
          <w:color w:val="000000" w:themeColor="text1"/>
          <w:lang w:val="en-US"/>
        </w:rPr>
      </w:pPr>
      <w:r w:rsidRPr="00DE75A0">
        <w:rPr>
          <w:rFonts w:asciiTheme="minorBidi" w:hAnsiTheme="minorBidi"/>
          <w:color w:val="000000" w:themeColor="text1"/>
          <w:lang w:val="en-US"/>
        </w:rPr>
        <w:t xml:space="preserve">Woods, B., </w:t>
      </w:r>
      <w:proofErr w:type="spellStart"/>
      <w:r w:rsidRPr="00DE75A0">
        <w:rPr>
          <w:rFonts w:asciiTheme="minorBidi" w:hAnsiTheme="minorBidi"/>
          <w:color w:val="000000" w:themeColor="text1"/>
          <w:lang w:val="en-US"/>
        </w:rPr>
        <w:t>O’Philbin</w:t>
      </w:r>
      <w:proofErr w:type="spellEnd"/>
      <w:r w:rsidRPr="00DE75A0">
        <w:rPr>
          <w:rFonts w:asciiTheme="minorBidi" w:hAnsiTheme="minorBidi"/>
          <w:color w:val="000000" w:themeColor="text1"/>
          <w:lang w:val="en-US"/>
        </w:rPr>
        <w:t>, L., Farrelly, E., Smit, D., Orrell, M. and Whitaker, C. (</w:t>
      </w:r>
      <w:proofErr w:type="gramStart"/>
      <w:r w:rsidRPr="00DE75A0">
        <w:rPr>
          <w:rFonts w:asciiTheme="minorBidi" w:hAnsiTheme="minorBidi"/>
          <w:color w:val="000000" w:themeColor="text1"/>
          <w:lang w:val="en-US"/>
        </w:rPr>
        <w:t>2018) ‘</w:t>
      </w:r>
      <w:proofErr w:type="gramEnd"/>
      <w:r w:rsidRPr="00DE75A0">
        <w:rPr>
          <w:rFonts w:asciiTheme="minorBidi" w:hAnsiTheme="minorBidi"/>
          <w:color w:val="000000" w:themeColor="text1"/>
          <w:lang w:val="en-US"/>
        </w:rPr>
        <w:t xml:space="preserve">Reminiscence therapy for dementia’, </w:t>
      </w:r>
      <w:r w:rsidRPr="00DE75A0">
        <w:rPr>
          <w:rFonts w:asciiTheme="minorBidi" w:hAnsiTheme="minorBidi"/>
          <w:i/>
          <w:iCs/>
          <w:color w:val="000000" w:themeColor="text1"/>
          <w:lang w:val="en-US"/>
        </w:rPr>
        <w:t>Cochrane Database of Systematic Reviews</w:t>
      </w:r>
      <w:r w:rsidRPr="00DE75A0">
        <w:rPr>
          <w:rFonts w:asciiTheme="minorBidi" w:hAnsiTheme="minorBidi"/>
          <w:color w:val="000000" w:themeColor="text1"/>
          <w:lang w:val="en-US"/>
        </w:rPr>
        <w:t xml:space="preserve">, 3, CD001120. </w:t>
      </w:r>
      <w:proofErr w:type="spellStart"/>
      <w:r w:rsidRPr="00DE75A0">
        <w:rPr>
          <w:rFonts w:asciiTheme="minorBidi" w:hAnsiTheme="minorBidi"/>
          <w:color w:val="000000" w:themeColor="text1"/>
          <w:lang w:val="en-US"/>
        </w:rPr>
        <w:t>doi</w:t>
      </w:r>
      <w:proofErr w:type="spellEnd"/>
      <w:r w:rsidRPr="00DE75A0">
        <w:rPr>
          <w:rFonts w:asciiTheme="minorBidi" w:hAnsiTheme="minorBidi"/>
          <w:color w:val="000000" w:themeColor="text1"/>
          <w:lang w:val="en-US"/>
        </w:rPr>
        <w:t>: 10.1002/14651858.CD001120.pub3.</w:t>
      </w:r>
    </w:p>
    <w:p w14:paraId="5A2100D0" w14:textId="77777777" w:rsidR="00DE75A0" w:rsidRPr="00DE75A0" w:rsidRDefault="00DE75A0" w:rsidP="00DE75A0">
      <w:pPr>
        <w:spacing w:line="360" w:lineRule="auto"/>
        <w:rPr>
          <w:rFonts w:asciiTheme="minorBidi" w:hAnsiTheme="minorBidi"/>
          <w:color w:val="000000" w:themeColor="text1"/>
          <w:lang w:val="en-US"/>
        </w:rPr>
      </w:pPr>
      <w:r w:rsidRPr="00DE75A0">
        <w:rPr>
          <w:rFonts w:asciiTheme="minorBidi" w:hAnsiTheme="minorBidi"/>
          <w:color w:val="000000" w:themeColor="text1"/>
          <w:lang w:val="en-US"/>
        </w:rPr>
        <w:t xml:space="preserve">Zhang, T., Li, Y., Lin, X. and Chen, Y. (2022) ‘Quality indicators for the care of older adults with disabilities in long-term care facilities based on Maslow’s hierarchy of needs’, </w:t>
      </w:r>
      <w:r w:rsidRPr="00DE75A0">
        <w:rPr>
          <w:rFonts w:asciiTheme="minorBidi" w:hAnsiTheme="minorBidi"/>
          <w:i/>
          <w:iCs/>
          <w:color w:val="000000" w:themeColor="text1"/>
          <w:lang w:val="en-US"/>
        </w:rPr>
        <w:t>International Journal of Nursing Sciences</w:t>
      </w:r>
      <w:r w:rsidRPr="00DE75A0">
        <w:rPr>
          <w:rFonts w:asciiTheme="minorBidi" w:hAnsiTheme="minorBidi"/>
          <w:color w:val="000000" w:themeColor="text1"/>
          <w:lang w:val="en-US"/>
        </w:rPr>
        <w:t xml:space="preserve">, 9(4), pp. 453–459. </w:t>
      </w:r>
      <w:proofErr w:type="spellStart"/>
      <w:r w:rsidRPr="00DE75A0">
        <w:rPr>
          <w:rFonts w:asciiTheme="minorBidi" w:hAnsiTheme="minorBidi"/>
          <w:color w:val="000000" w:themeColor="text1"/>
          <w:lang w:val="en-US"/>
        </w:rPr>
        <w:t>doi</w:t>
      </w:r>
      <w:proofErr w:type="spellEnd"/>
      <w:r w:rsidRPr="00DE75A0">
        <w:rPr>
          <w:rFonts w:asciiTheme="minorBidi" w:hAnsiTheme="minorBidi"/>
          <w:color w:val="000000" w:themeColor="text1"/>
          <w:lang w:val="en-US"/>
        </w:rPr>
        <w:t>: 10.1016/j.ijnss.2022.09.012.</w:t>
      </w:r>
    </w:p>
    <w:p w14:paraId="1024E0B9" w14:textId="77777777" w:rsidR="00FB4CB7" w:rsidRPr="00DE75A0" w:rsidRDefault="00FB4CB7" w:rsidP="00070BA9">
      <w:pPr>
        <w:spacing w:line="360" w:lineRule="auto"/>
        <w:jc w:val="both"/>
        <w:rPr>
          <w:rFonts w:asciiTheme="minorBidi" w:hAnsiTheme="minorBidi"/>
          <w:lang w:val="en-US"/>
        </w:rPr>
      </w:pPr>
    </w:p>
    <w:sectPr w:rsidR="00FB4CB7" w:rsidRPr="00DE75A0" w:rsidSect="001A7078">
      <w:footerReference w:type="default" r:id="rId1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52212D" w14:textId="77777777" w:rsidR="00EA7DD5" w:rsidRDefault="00EA7DD5" w:rsidP="00070BA9">
      <w:pPr>
        <w:spacing w:after="0" w:line="240" w:lineRule="auto"/>
      </w:pPr>
      <w:r>
        <w:separator/>
      </w:r>
    </w:p>
  </w:endnote>
  <w:endnote w:type="continuationSeparator" w:id="0">
    <w:p w14:paraId="5163AD04" w14:textId="77777777" w:rsidR="00EA7DD5" w:rsidRDefault="00EA7DD5" w:rsidP="00070B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1784627"/>
      <w:docPartObj>
        <w:docPartGallery w:val="Page Numbers (Bottom of Page)"/>
        <w:docPartUnique/>
      </w:docPartObj>
    </w:sdtPr>
    <w:sdtEndPr>
      <w:rPr>
        <w:color w:val="7F7F7F" w:themeColor="background1" w:themeShade="7F"/>
        <w:spacing w:val="60"/>
      </w:rPr>
    </w:sdtEndPr>
    <w:sdtContent>
      <w:p w14:paraId="5DD59F44" w14:textId="64C26084" w:rsidR="00070BA9" w:rsidRDefault="00070BA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C54DBE9" w14:textId="77777777" w:rsidR="00070BA9" w:rsidRDefault="00070B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5158BE" w14:textId="77777777" w:rsidR="00EA7DD5" w:rsidRDefault="00EA7DD5" w:rsidP="00070BA9">
      <w:pPr>
        <w:spacing w:after="0" w:line="240" w:lineRule="auto"/>
      </w:pPr>
      <w:r>
        <w:separator/>
      </w:r>
    </w:p>
  </w:footnote>
  <w:footnote w:type="continuationSeparator" w:id="0">
    <w:p w14:paraId="3FD421BC" w14:textId="77777777" w:rsidR="00EA7DD5" w:rsidRDefault="00EA7DD5" w:rsidP="00070B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1.4pt;height:11.4pt" o:bullet="t">
        <v:imagedata r:id="rId1" o:title="mso4B8B"/>
      </v:shape>
    </w:pict>
  </w:numPicBullet>
  <w:abstractNum w:abstractNumId="0" w15:restartNumberingAfterBreak="0">
    <w:nsid w:val="030326BE"/>
    <w:multiLevelType w:val="multilevel"/>
    <w:tmpl w:val="F99ED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0562BA"/>
    <w:multiLevelType w:val="multilevel"/>
    <w:tmpl w:val="890C1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EC0595"/>
    <w:multiLevelType w:val="hybridMultilevel"/>
    <w:tmpl w:val="C4101D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D2626F5"/>
    <w:multiLevelType w:val="multilevel"/>
    <w:tmpl w:val="8DA2E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6B7487"/>
    <w:multiLevelType w:val="multilevel"/>
    <w:tmpl w:val="4E440FA0"/>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9865783">
    <w:abstractNumId w:val="3"/>
  </w:num>
  <w:num w:numId="2" w16cid:durableId="1360663967">
    <w:abstractNumId w:val="0"/>
  </w:num>
  <w:num w:numId="3" w16cid:durableId="920219493">
    <w:abstractNumId w:val="1"/>
  </w:num>
  <w:num w:numId="4" w16cid:durableId="1329868358">
    <w:abstractNumId w:val="2"/>
  </w:num>
  <w:num w:numId="5" w16cid:durableId="7702032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589"/>
    <w:rsid w:val="000220CE"/>
    <w:rsid w:val="0005486D"/>
    <w:rsid w:val="00070BA9"/>
    <w:rsid w:val="000A4589"/>
    <w:rsid w:val="000A5153"/>
    <w:rsid w:val="000C23F0"/>
    <w:rsid w:val="000E5278"/>
    <w:rsid w:val="0017086B"/>
    <w:rsid w:val="001A7078"/>
    <w:rsid w:val="00247DD8"/>
    <w:rsid w:val="002660B3"/>
    <w:rsid w:val="002C3314"/>
    <w:rsid w:val="002E4E36"/>
    <w:rsid w:val="002F6806"/>
    <w:rsid w:val="00390AD7"/>
    <w:rsid w:val="00410B0C"/>
    <w:rsid w:val="0045467D"/>
    <w:rsid w:val="006047D0"/>
    <w:rsid w:val="006914A0"/>
    <w:rsid w:val="006E5929"/>
    <w:rsid w:val="007D3567"/>
    <w:rsid w:val="0081161F"/>
    <w:rsid w:val="00836AED"/>
    <w:rsid w:val="00A210D6"/>
    <w:rsid w:val="00A557AB"/>
    <w:rsid w:val="00A66A9F"/>
    <w:rsid w:val="00AF5602"/>
    <w:rsid w:val="00B01216"/>
    <w:rsid w:val="00B1569A"/>
    <w:rsid w:val="00B86DAB"/>
    <w:rsid w:val="00B93C7E"/>
    <w:rsid w:val="00BE1692"/>
    <w:rsid w:val="00BF28CA"/>
    <w:rsid w:val="00C0581F"/>
    <w:rsid w:val="00C31B39"/>
    <w:rsid w:val="00D70B73"/>
    <w:rsid w:val="00DE75A0"/>
    <w:rsid w:val="00DF0DE5"/>
    <w:rsid w:val="00EA7DD5"/>
    <w:rsid w:val="00F01919"/>
    <w:rsid w:val="00FB4CB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7A25C"/>
  <w15:chartTrackingRefBased/>
  <w15:docId w15:val="{AB12C690-CF61-4AEF-AE3C-CCE62DD57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A45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A45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45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45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45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45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45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45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45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4589"/>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0A4589"/>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0A4589"/>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0A4589"/>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0A4589"/>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0A458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A458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A458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A458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0A45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458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A45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458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A4589"/>
    <w:pPr>
      <w:spacing w:before="160"/>
      <w:jc w:val="center"/>
    </w:pPr>
    <w:rPr>
      <w:i/>
      <w:iCs/>
      <w:color w:val="404040" w:themeColor="text1" w:themeTint="BF"/>
    </w:rPr>
  </w:style>
  <w:style w:type="character" w:customStyle="1" w:styleId="QuoteChar">
    <w:name w:val="Quote Char"/>
    <w:basedOn w:val="DefaultParagraphFont"/>
    <w:link w:val="Quote"/>
    <w:uiPriority w:val="29"/>
    <w:rsid w:val="000A4589"/>
    <w:rPr>
      <w:i/>
      <w:iCs/>
      <w:color w:val="404040" w:themeColor="text1" w:themeTint="BF"/>
      <w:lang w:val="en-GB"/>
    </w:rPr>
  </w:style>
  <w:style w:type="paragraph" w:styleId="ListParagraph">
    <w:name w:val="List Paragraph"/>
    <w:basedOn w:val="Normal"/>
    <w:uiPriority w:val="34"/>
    <w:qFormat/>
    <w:rsid w:val="000A4589"/>
    <w:pPr>
      <w:ind w:left="720"/>
      <w:contextualSpacing/>
    </w:pPr>
  </w:style>
  <w:style w:type="character" w:styleId="IntenseEmphasis">
    <w:name w:val="Intense Emphasis"/>
    <w:basedOn w:val="DefaultParagraphFont"/>
    <w:uiPriority w:val="21"/>
    <w:qFormat/>
    <w:rsid w:val="000A4589"/>
    <w:rPr>
      <w:i/>
      <w:iCs/>
      <w:color w:val="0F4761" w:themeColor="accent1" w:themeShade="BF"/>
    </w:rPr>
  </w:style>
  <w:style w:type="paragraph" w:styleId="IntenseQuote">
    <w:name w:val="Intense Quote"/>
    <w:basedOn w:val="Normal"/>
    <w:next w:val="Normal"/>
    <w:link w:val="IntenseQuoteChar"/>
    <w:uiPriority w:val="30"/>
    <w:qFormat/>
    <w:rsid w:val="000A45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4589"/>
    <w:rPr>
      <w:i/>
      <w:iCs/>
      <w:color w:val="0F4761" w:themeColor="accent1" w:themeShade="BF"/>
      <w:lang w:val="en-GB"/>
    </w:rPr>
  </w:style>
  <w:style w:type="character" w:styleId="IntenseReference">
    <w:name w:val="Intense Reference"/>
    <w:basedOn w:val="DefaultParagraphFont"/>
    <w:uiPriority w:val="32"/>
    <w:qFormat/>
    <w:rsid w:val="000A4589"/>
    <w:rPr>
      <w:b/>
      <w:bCs/>
      <w:smallCaps/>
      <w:color w:val="0F4761" w:themeColor="accent1" w:themeShade="BF"/>
      <w:spacing w:val="5"/>
    </w:rPr>
  </w:style>
  <w:style w:type="paragraph" w:styleId="Header">
    <w:name w:val="header"/>
    <w:basedOn w:val="Normal"/>
    <w:link w:val="HeaderChar"/>
    <w:uiPriority w:val="99"/>
    <w:unhideWhenUsed/>
    <w:rsid w:val="00070B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0BA9"/>
    <w:rPr>
      <w:lang w:val="en-GB"/>
    </w:rPr>
  </w:style>
  <w:style w:type="paragraph" w:styleId="Footer">
    <w:name w:val="footer"/>
    <w:basedOn w:val="Normal"/>
    <w:link w:val="FooterChar"/>
    <w:uiPriority w:val="99"/>
    <w:unhideWhenUsed/>
    <w:rsid w:val="00070B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0BA9"/>
    <w:rPr>
      <w:lang w:val="en-GB"/>
    </w:rPr>
  </w:style>
  <w:style w:type="table" w:styleId="GridTable4-Accent4">
    <w:name w:val="Grid Table 4 Accent 4"/>
    <w:basedOn w:val="TableNormal"/>
    <w:uiPriority w:val="49"/>
    <w:rsid w:val="00DF0DE5"/>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Hyperlink">
    <w:name w:val="Hyperlink"/>
    <w:basedOn w:val="DefaultParagraphFont"/>
    <w:uiPriority w:val="99"/>
    <w:unhideWhenUsed/>
    <w:rsid w:val="00B1569A"/>
    <w:rPr>
      <w:color w:val="467886" w:themeColor="hyperlink"/>
      <w:u w:val="single"/>
    </w:rPr>
  </w:style>
  <w:style w:type="character" w:styleId="UnresolvedMention">
    <w:name w:val="Unresolved Mention"/>
    <w:basedOn w:val="DefaultParagraphFont"/>
    <w:uiPriority w:val="99"/>
    <w:semiHidden/>
    <w:unhideWhenUsed/>
    <w:rsid w:val="00B1569A"/>
    <w:rPr>
      <w:color w:val="605E5C"/>
      <w:shd w:val="clear" w:color="auto" w:fill="E1DFDD"/>
    </w:rPr>
  </w:style>
  <w:style w:type="paragraph" w:styleId="TOCHeading">
    <w:name w:val="TOC Heading"/>
    <w:basedOn w:val="Heading1"/>
    <w:next w:val="Normal"/>
    <w:uiPriority w:val="39"/>
    <w:unhideWhenUsed/>
    <w:qFormat/>
    <w:rsid w:val="002F680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F6806"/>
    <w:pPr>
      <w:spacing w:after="100"/>
    </w:pPr>
  </w:style>
  <w:style w:type="paragraph" w:styleId="TOC2">
    <w:name w:val="toc 2"/>
    <w:basedOn w:val="Normal"/>
    <w:next w:val="Normal"/>
    <w:autoRedefine/>
    <w:uiPriority w:val="39"/>
    <w:unhideWhenUsed/>
    <w:rsid w:val="002F680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who.int/publications/i/item/9789240033245?utm_source=chatgpt.com" TargetMode="External"/><Relationship Id="rId4" Type="http://schemas.openxmlformats.org/officeDocument/2006/relationships/settings" Target="settings.xml"/><Relationship Id="rId9" Type="http://schemas.openxmlformats.org/officeDocument/2006/relationships/hyperlink" Target="https://www.ncbi.nlm.nih.gov/books/NBK556096/?utm_source=chatgpt.com"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8697C0-A2E9-4181-8E17-4A4633FDD7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2369</Words>
  <Characters>13508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 Ali</cp:lastModifiedBy>
  <cp:revision>2</cp:revision>
  <dcterms:created xsi:type="dcterms:W3CDTF">2025-11-09T20:35:00Z</dcterms:created>
  <dcterms:modified xsi:type="dcterms:W3CDTF">2025-11-09T20:35:00Z</dcterms:modified>
</cp:coreProperties>
</file>