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A5CFC" w:rsidP="2263ED74" w:rsidRDefault="006A5CFC" w14:paraId="168F467C" w14:textId="4FF5DD49">
      <w:pPr>
        <w:pStyle w:val="Normal"/>
      </w:pPr>
    </w:p>
    <w:p w:rsidR="00ED5964" w:rsidP="2263ED74" w:rsidRDefault="00ED5964" w14:paraId="2EF804A0" w14:textId="30978ED5">
      <w:pPr>
        <w:pStyle w:val="Normal"/>
        <w:rPr>
          <w:sz w:val="28"/>
          <w:szCs w:val="28"/>
        </w:rPr>
      </w:pPr>
      <w:r w:rsidRPr="2263ED74" w:rsidR="510BEEF4">
        <w:rPr>
          <w:sz w:val="28"/>
          <w:szCs w:val="28"/>
        </w:rPr>
        <w:t>NAME MARY ERO</w:t>
      </w:r>
    </w:p>
    <w:p w:rsidR="00ED5964" w:rsidP="2263ED74" w:rsidRDefault="00ED5964" w14:paraId="485B6F49" w14:textId="2B5673D8">
      <w:pPr>
        <w:jc w:val="both"/>
        <w:rPr>
          <w:rFonts w:ascii="Arial" w:hAnsi="Arial" w:asciiTheme="minorBidi" w:hAnsiTheme="minorBidi"/>
          <w:sz w:val="28"/>
          <w:szCs w:val="28"/>
        </w:rPr>
      </w:pPr>
      <w:r w:rsidRPr="2263ED74" w:rsidR="00ED5964">
        <w:rPr>
          <w:rFonts w:ascii="Arial" w:hAnsi="Arial" w:asciiTheme="minorBidi" w:hAnsiTheme="minorBidi"/>
          <w:sz w:val="28"/>
          <w:szCs w:val="28"/>
        </w:rPr>
        <w:t xml:space="preserve">Student ID: </w:t>
      </w:r>
      <w:r w:rsidRPr="2263ED74" w:rsidR="4D928621">
        <w:rPr>
          <w:rFonts w:ascii="Arial" w:hAnsi="Arial" w:asciiTheme="minorBidi" w:hAnsiTheme="minorBidi"/>
          <w:sz w:val="28"/>
          <w:szCs w:val="28"/>
        </w:rPr>
        <w:t>2539105</w:t>
      </w:r>
    </w:p>
    <w:p w:rsidR="00ED5964" w:rsidP="2263ED74" w:rsidRDefault="00ED5964" w14:paraId="3C1E7A20" w14:textId="63B22054">
      <w:pPr>
        <w:jc w:val="both"/>
        <w:rPr>
          <w:rFonts w:ascii="Arial" w:hAnsi="Arial" w:asciiTheme="minorBidi" w:hAnsiTheme="minorBidi"/>
          <w:sz w:val="28"/>
          <w:szCs w:val="28"/>
        </w:rPr>
      </w:pPr>
      <w:r w:rsidRPr="2263ED74" w:rsidR="00ED5964">
        <w:rPr>
          <w:rFonts w:ascii="Arial" w:hAnsi="Arial" w:asciiTheme="minorBidi" w:hAnsiTheme="minorBidi"/>
          <w:sz w:val="28"/>
          <w:szCs w:val="28"/>
        </w:rPr>
        <w:t xml:space="preserve">Module Code: </w:t>
      </w:r>
    </w:p>
    <w:p w:rsidR="00ED5964" w:rsidP="00ED5964" w:rsidRDefault="00ED5964" w14:paraId="4EEB2DA3" w14:textId="4F9C808D">
      <w:pPr>
        <w:jc w:val="both"/>
        <w:rPr>
          <w:rFonts w:asciiTheme="minorBidi" w:hAnsiTheme="minorBidi"/>
          <w:sz w:val="28"/>
          <w:szCs w:val="28"/>
        </w:rPr>
      </w:pPr>
      <w:r>
        <w:rPr>
          <w:rFonts w:asciiTheme="minorBidi" w:hAnsiTheme="minorBidi"/>
          <w:sz w:val="28"/>
          <w:szCs w:val="28"/>
        </w:rPr>
        <w:t xml:space="preserve">Module: </w:t>
      </w:r>
    </w:p>
    <w:p w:rsidR="00ED5964" w:rsidP="2263ED74" w:rsidRDefault="00ED5964" w14:paraId="112342CB" w14:textId="54BECA4A">
      <w:pPr>
        <w:jc w:val="both"/>
        <w:rPr>
          <w:rFonts w:ascii="Arial" w:hAnsi="Arial" w:asciiTheme="minorBidi" w:hAnsiTheme="minorBidi"/>
          <w:sz w:val="28"/>
          <w:szCs w:val="28"/>
        </w:rPr>
      </w:pPr>
      <w:r w:rsidRPr="2263ED74" w:rsidR="00ED5964">
        <w:rPr>
          <w:rFonts w:ascii="Arial" w:hAnsi="Arial" w:asciiTheme="minorBidi" w:hAnsiTheme="minorBidi"/>
          <w:sz w:val="28"/>
          <w:szCs w:val="28"/>
        </w:rPr>
        <w:t xml:space="preserve">Lecturer: </w:t>
      </w:r>
      <w:r w:rsidRPr="2263ED74" w:rsidR="7AAA4B98">
        <w:rPr>
          <w:rFonts w:ascii="Arial" w:hAnsi="Arial" w:asciiTheme="minorBidi" w:hAnsiTheme="minorBidi"/>
          <w:sz w:val="28"/>
          <w:szCs w:val="28"/>
        </w:rPr>
        <w:t>CHARISSA BRAIN</w:t>
      </w:r>
      <w:r w:rsidRPr="2263ED74" w:rsidR="1115CE22">
        <w:rPr>
          <w:rFonts w:ascii="Arial" w:hAnsi="Arial" w:asciiTheme="minorBidi" w:hAnsiTheme="minorBidi"/>
          <w:sz w:val="28"/>
          <w:szCs w:val="28"/>
        </w:rPr>
        <w:t xml:space="preserve"> </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0ED5964" w:rsidRDefault="00ED5964" w14:paraId="072506E1" w14:textId="3C1D422E">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sdtPr>
      <w:sdtEndPr>
        <w:rPr>
          <w:rFonts w:eastAsia="等线" w:cs="Arial" w:eastAsiaTheme="minorEastAsia" w:cstheme="minorBidi"/>
          <w:b w:val="1"/>
          <w:bCs w:val="1"/>
          <w:noProof/>
          <w:color w:val="auto"/>
          <w:kern w:val="2"/>
          <w:sz w:val="20"/>
          <w:szCs w:val="20"/>
          <w:lang w:val="en-GB" w:eastAsia="zh-CN"/>
          <w14:ligatures w14:val="standardContextual"/>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007B2036" w:rsidRDefault="007B2036" w14:paraId="12DB58C2" w14:textId="2E5B4CD3">
          <w:r>
            <w:rPr>
              <w:b/>
              <w:bCs/>
              <w:noProof/>
            </w:rPr>
            <w:fldChar w:fldCharType="end"/>
          </w:r>
        </w:p>
      </w:sdtContent>
    </w:sdt>
    <w:p w:rsidRPr="00242974" w:rsidR="00ED5964" w:rsidP="00ED5964" w:rsidRDefault="00ED5964" w14:paraId="09E24E55" w14:textId="311199AB">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6A7FCA6C" w:rsidRDefault="6A7FCA6C" w14:paraId="5390A2DF" w14:textId="0D0FBE3A"/>
    <w:p w:rsidR="6A7FCA6C" w:rsidRDefault="6A7FCA6C" w14:paraId="62215C23" w14:textId="35B5E149"/>
    <w:p w:rsidR="6A7FCA6C" w:rsidRDefault="6A7FCA6C" w14:paraId="07BB746D" w14:textId="46EB88FB"/>
    <w:p w:rsidR="6A7FCA6C" w:rsidRDefault="6A7FCA6C" w14:paraId="6629A994" w14:textId="651B704C"/>
    <w:p w:rsidR="6A7FCA6C" w:rsidRDefault="6A7FCA6C" w14:paraId="24F88232" w14:textId="6AF8F1D3"/>
    <w:p w:rsidR="6A7FCA6C" w:rsidRDefault="6A7FCA6C" w14:paraId="2AF15891" w14:textId="50FA9250"/>
    <w:p w:rsidR="6A7FCA6C" w:rsidRDefault="6A7FCA6C" w14:paraId="034FF473" w14:textId="369CDEF4"/>
    <w:p w:rsidR="6A7FCA6C" w:rsidRDefault="6A7FCA6C" w14:paraId="3DB5820B" w14:textId="0A4F1D82"/>
    <w:p w:rsidR="6A7FCA6C" w:rsidRDefault="6A7FCA6C" w14:paraId="48BAE349" w14:textId="00C5F3CD"/>
    <w:p w:rsidR="6A7FCA6C" w:rsidRDefault="6A7FCA6C" w14:paraId="1DF2485A" w14:textId="40647FA8"/>
    <w:p w:rsidR="6A7FCA6C" w:rsidRDefault="6A7FCA6C" w14:paraId="14D4ABF4" w14:textId="6BB2132A"/>
    <w:p w:rsidR="6A7FCA6C" w:rsidRDefault="6A7FCA6C" w14:paraId="228D36CC" w14:textId="1FCA6BCE"/>
    <w:p w:rsidR="6A7FCA6C" w:rsidRDefault="6A7FCA6C" w14:paraId="4C868C5D" w14:textId="2D03DFB4"/>
    <w:p w:rsidR="6A7FCA6C" w:rsidRDefault="6A7FCA6C" w14:paraId="476612AE" w14:textId="1366C88B"/>
    <w:p w:rsidR="0D4C3FBC" w:rsidP="6A7FCA6C" w:rsidRDefault="0D4C3FBC" w14:paraId="4B3BC3B3" w14:textId="27C2674B">
      <w:pPr>
        <w:pStyle w:val="Heading2"/>
      </w:pPr>
      <w:r w:rsidRPr="6A7FCA6C" w:rsidR="0D4C3FBC">
        <w:rPr>
          <w:rFonts w:ascii="Segoe UI" w:hAnsi="Segoe UI" w:eastAsia="Segoe UI" w:cs="Segoe UI"/>
          <w:b w:val="1"/>
          <w:bCs w:val="1"/>
          <w:noProof w:val="0"/>
          <w:sz w:val="36"/>
          <w:szCs w:val="36"/>
          <w:lang w:val="en-GB"/>
        </w:rPr>
        <w:t xml:space="preserve">Report On </w:t>
      </w:r>
      <w:r w:rsidRPr="6A7FCA6C" w:rsidR="0D4C3FBC">
        <w:rPr>
          <w:rFonts w:ascii="Segoe UI" w:hAnsi="Segoe UI" w:eastAsia="Segoe UI" w:cs="Segoe UI"/>
          <w:b w:val="1"/>
          <w:bCs w:val="1"/>
          <w:noProof w:val="0"/>
          <w:sz w:val="36"/>
          <w:szCs w:val="36"/>
          <w:lang w:val="en-GB"/>
        </w:rPr>
        <w:t>The</w:t>
      </w:r>
      <w:r w:rsidRPr="6A7FCA6C" w:rsidR="0D4C3FBC">
        <w:rPr>
          <w:rFonts w:ascii="Segoe UI" w:hAnsi="Segoe UI" w:eastAsia="Segoe UI" w:cs="Segoe UI"/>
          <w:b w:val="1"/>
          <w:bCs w:val="1"/>
          <w:noProof w:val="0"/>
          <w:sz w:val="36"/>
          <w:szCs w:val="36"/>
          <w:lang w:val="en-GB"/>
        </w:rPr>
        <w:t xml:space="preserve"> Role </w:t>
      </w:r>
      <w:r w:rsidRPr="6A7FCA6C" w:rsidR="0D4C3FBC">
        <w:rPr>
          <w:rFonts w:ascii="Segoe UI" w:hAnsi="Segoe UI" w:eastAsia="Segoe UI" w:cs="Segoe UI"/>
          <w:b w:val="1"/>
          <w:bCs w:val="1"/>
          <w:noProof w:val="0"/>
          <w:sz w:val="36"/>
          <w:szCs w:val="36"/>
          <w:lang w:val="en-GB"/>
        </w:rPr>
        <w:t>Of</w:t>
      </w:r>
      <w:r w:rsidRPr="6A7FCA6C" w:rsidR="0D4C3FBC">
        <w:rPr>
          <w:rFonts w:ascii="Segoe UI" w:hAnsi="Segoe UI" w:eastAsia="Segoe UI" w:cs="Segoe UI"/>
          <w:b w:val="1"/>
          <w:bCs w:val="1"/>
          <w:noProof w:val="0"/>
          <w:sz w:val="36"/>
          <w:szCs w:val="36"/>
          <w:lang w:val="en-GB"/>
        </w:rPr>
        <w:t xml:space="preserve"> </w:t>
      </w:r>
      <w:r w:rsidRPr="6A7FCA6C" w:rsidR="0D4C3FBC">
        <w:rPr>
          <w:rFonts w:ascii="Segoe UI" w:hAnsi="Segoe UI" w:eastAsia="Segoe UI" w:cs="Segoe UI"/>
          <w:b w:val="1"/>
          <w:bCs w:val="1"/>
          <w:noProof w:val="0"/>
          <w:sz w:val="36"/>
          <w:szCs w:val="36"/>
          <w:lang w:val="en-GB"/>
        </w:rPr>
        <w:t>A</w:t>
      </w:r>
      <w:r w:rsidRPr="6A7FCA6C" w:rsidR="0D4C3FBC">
        <w:rPr>
          <w:rFonts w:ascii="Segoe UI" w:hAnsi="Segoe UI" w:eastAsia="Segoe UI" w:cs="Segoe UI"/>
          <w:b w:val="1"/>
          <w:bCs w:val="1"/>
          <w:noProof w:val="0"/>
          <w:sz w:val="36"/>
          <w:szCs w:val="36"/>
          <w:lang w:val="en-GB"/>
        </w:rPr>
        <w:t xml:space="preserve"> Senior Care Assistant</w:t>
      </w:r>
    </w:p>
    <w:p w:rsidRPr="005E44B5" w:rsidR="004552CE" w:rsidP="6A7FCA6C" w:rsidRDefault="004552CE" w14:paraId="3CE49F44" w14:textId="65AE3E41">
      <w:pPr>
        <w:pStyle w:val="Heading2"/>
      </w:pPr>
      <w:r w:rsidRPr="6A7FCA6C" w:rsidR="5DE873B2">
        <w:rPr>
          <w:rFonts w:ascii="Segoe UI" w:hAnsi="Segoe UI" w:eastAsia="Segoe UI" w:cs="Segoe UI"/>
          <w:b w:val="1"/>
          <w:bCs w:val="1"/>
          <w:noProof w:val="0"/>
          <w:sz w:val="36"/>
          <w:szCs w:val="36"/>
          <w:lang w:val="en-GB"/>
        </w:rPr>
        <w:t xml:space="preserve">1.1 Introduction </w:t>
      </w:r>
    </w:p>
    <w:p w:rsidRPr="005E44B5" w:rsidR="004552CE" w:rsidP="6A7FCA6C" w:rsidRDefault="004552CE" w14:paraId="7B3E2CB5" w14:textId="5C258410">
      <w:pPr>
        <w:spacing w:before="240" w:beforeAutospacing="off" w:after="240" w:afterAutospacing="off"/>
      </w:pPr>
      <w:r w:rsidRPr="6A7FCA6C" w:rsidR="5DE873B2">
        <w:rPr>
          <w:rFonts w:ascii="Segoe UI" w:hAnsi="Segoe UI" w:eastAsia="Segoe UI" w:cs="Segoe UI"/>
          <w:noProof w:val="0"/>
          <w:sz w:val="20"/>
          <w:szCs w:val="20"/>
          <w:lang w:val="en-GB"/>
        </w:rPr>
        <w:t>The Senior Care Assistant role is a critical component of safe and effective practice within health and social care environments, particularly in residential and nursing home settings. This report examines the purpose and responsibilities of the Senior Care Assistant role, evaluates the core skills required for effective performance, and outlines evidence</w:t>
      </w:r>
      <w:r>
        <w:noBreakHyphen/>
      </w:r>
      <w:r w:rsidRPr="6A7FCA6C" w:rsidR="5DE873B2">
        <w:rPr>
          <w:rFonts w:ascii="Segoe UI" w:hAnsi="Segoe UI" w:eastAsia="Segoe UI" w:cs="Segoe UI"/>
          <w:noProof w:val="0"/>
          <w:sz w:val="20"/>
          <w:szCs w:val="20"/>
          <w:lang w:val="en-GB"/>
        </w:rPr>
        <w:t>based strategies for strengthening these skills. The report begins with an overview of the role and its significance, followed by an evaluation of three essential skills: communication, leadership, and person</w:t>
      </w:r>
      <w:r>
        <w:noBreakHyphen/>
      </w:r>
      <w:r w:rsidRPr="6A7FCA6C" w:rsidR="5DE873B2">
        <w:rPr>
          <w:rFonts w:ascii="Segoe UI" w:hAnsi="Segoe UI" w:eastAsia="Segoe UI" w:cs="Segoe UI"/>
          <w:noProof w:val="0"/>
          <w:sz w:val="20"/>
          <w:szCs w:val="20"/>
          <w:lang w:val="en-GB"/>
        </w:rPr>
        <w:t>centred care. It then presents strategies for improving these skills before concluding with a summary of the key points discussed.</w:t>
      </w:r>
    </w:p>
    <w:p w:rsidRPr="005E44B5" w:rsidR="004552CE" w:rsidP="6A7FCA6C" w:rsidRDefault="004552CE" w14:paraId="2B752957" w14:textId="3E4A0BF2">
      <w:pPr>
        <w:pStyle w:val="Heading2"/>
        <w:spacing w:before="299" w:beforeAutospacing="off" w:after="299" w:afterAutospacing="off"/>
      </w:pPr>
      <w:r w:rsidRPr="6A7FCA6C" w:rsidR="5DE873B2">
        <w:rPr>
          <w:rFonts w:ascii="Segoe UI" w:hAnsi="Segoe UI" w:eastAsia="Segoe UI" w:cs="Segoe UI"/>
          <w:b w:val="1"/>
          <w:bCs w:val="1"/>
          <w:noProof w:val="0"/>
          <w:sz w:val="36"/>
          <w:szCs w:val="36"/>
          <w:lang w:val="en-GB"/>
        </w:rPr>
        <w:t>1.2 Description of, and background to, the Senior Care Assistant role</w:t>
      </w:r>
    </w:p>
    <w:p w:rsidRPr="005E44B5" w:rsidR="004552CE" w:rsidP="6A7FCA6C" w:rsidRDefault="004552CE" w14:paraId="677C2D15" w14:textId="38712C71">
      <w:pPr>
        <w:spacing w:before="240" w:beforeAutospacing="off" w:after="240" w:afterAutospacing="off"/>
      </w:pPr>
      <w:r w:rsidRPr="6A7FCA6C" w:rsidR="5DE873B2">
        <w:rPr>
          <w:rFonts w:ascii="Segoe UI" w:hAnsi="Segoe UI" w:eastAsia="Segoe UI" w:cs="Segoe UI"/>
          <w:noProof w:val="0"/>
          <w:sz w:val="20"/>
          <w:szCs w:val="20"/>
          <w:lang w:val="en-GB"/>
        </w:rPr>
        <w:t>The Senior Care Assistant role is fundamental within health and social care because it contributes directly to the delivery of safe, person</w:t>
      </w:r>
      <w:r>
        <w:noBreakHyphen/>
      </w:r>
      <w:r w:rsidRPr="6A7FCA6C" w:rsidR="5DE873B2">
        <w:rPr>
          <w:rFonts w:ascii="Segoe UI" w:hAnsi="Segoe UI" w:eastAsia="Segoe UI" w:cs="Segoe UI"/>
          <w:noProof w:val="0"/>
          <w:sz w:val="20"/>
          <w:szCs w:val="20"/>
          <w:lang w:val="en-GB"/>
        </w:rPr>
        <w:t>centred, and high</w:t>
      </w:r>
      <w:r>
        <w:noBreakHyphen/>
      </w:r>
      <w:r w:rsidRPr="6A7FCA6C" w:rsidR="5DE873B2">
        <w:rPr>
          <w:rFonts w:ascii="Segoe UI" w:hAnsi="Segoe UI" w:eastAsia="Segoe UI" w:cs="Segoe UI"/>
          <w:noProof w:val="0"/>
          <w:sz w:val="20"/>
          <w:szCs w:val="20"/>
          <w:lang w:val="en-GB"/>
        </w:rPr>
        <w:t>quality care. Senior Care Assistants support individuals with complex physical, emotional, and social needs, ensuring that care is delivered in accordance with regulatory standards and organisational policies (Care Quality Commission, 2023). The role functions as an intermediary between frontline care staff and management, supporting effective communication, continuity of care, and the implementation of personalised care plans.</w:t>
      </w:r>
    </w:p>
    <w:p w:rsidRPr="005E44B5" w:rsidR="004552CE" w:rsidP="6A7FCA6C" w:rsidRDefault="004552CE" w14:paraId="17E60D2C" w14:textId="1639A61F">
      <w:pPr>
        <w:spacing w:before="240" w:beforeAutospacing="off" w:after="240" w:afterAutospacing="off"/>
      </w:pPr>
      <w:r w:rsidRPr="6A7FCA6C" w:rsidR="5DE873B2">
        <w:rPr>
          <w:rFonts w:ascii="Segoe UI" w:hAnsi="Segoe UI" w:eastAsia="Segoe UI" w:cs="Segoe UI"/>
          <w:noProof w:val="0"/>
          <w:sz w:val="20"/>
          <w:szCs w:val="20"/>
          <w:lang w:val="en-GB"/>
        </w:rPr>
        <w:t>Key responsibilities include supervising care workers, administering medication, completing documentation, monitoring residents’ wellbeing, and responding to changes in health status. Senior Care Assistants also liaise with nurses, families, and external professionals to ensure coordinated care (Skills for Care, 2022). One of the most important duties is overseeing the delivery of person</w:t>
      </w:r>
      <w:r>
        <w:noBreakHyphen/>
      </w:r>
      <w:r w:rsidRPr="6A7FCA6C" w:rsidR="5DE873B2">
        <w:rPr>
          <w:rFonts w:ascii="Segoe UI" w:hAnsi="Segoe UI" w:eastAsia="Segoe UI" w:cs="Segoe UI"/>
          <w:noProof w:val="0"/>
          <w:sz w:val="20"/>
          <w:szCs w:val="20"/>
          <w:lang w:val="en-GB"/>
        </w:rPr>
        <w:t>centred care, which ensures that each resident’s preferences, abilities, and needs are respected in line with national care standards (Department of Health and Social Care, 2021).</w:t>
      </w:r>
    </w:p>
    <w:p w:rsidRPr="005E44B5" w:rsidR="004552CE" w:rsidP="6A7FCA6C" w:rsidRDefault="004552CE" w14:paraId="3850F91D" w14:textId="7E67F323">
      <w:pPr>
        <w:spacing w:before="240" w:beforeAutospacing="off" w:after="240" w:afterAutospacing="off"/>
      </w:pPr>
      <w:r w:rsidRPr="6A7FCA6C" w:rsidR="5DE873B2">
        <w:rPr>
          <w:rFonts w:ascii="Segoe UI" w:hAnsi="Segoe UI" w:eastAsia="Segoe UI" w:cs="Segoe UI"/>
          <w:noProof w:val="0"/>
          <w:sz w:val="20"/>
          <w:szCs w:val="20"/>
          <w:lang w:val="en-GB"/>
        </w:rPr>
        <w:t>The role requires a wide range of skills, including communication, leadership, empathy, problem</w:t>
      </w:r>
      <w:r>
        <w:noBreakHyphen/>
      </w:r>
      <w:r w:rsidRPr="6A7FCA6C" w:rsidR="5DE873B2">
        <w:rPr>
          <w:rFonts w:ascii="Segoe UI" w:hAnsi="Segoe UI" w:eastAsia="Segoe UI" w:cs="Segoe UI"/>
          <w:noProof w:val="0"/>
          <w:sz w:val="20"/>
          <w:szCs w:val="20"/>
          <w:lang w:val="en-GB"/>
        </w:rPr>
        <w:t>solving, and strong observational abilities. These skills enable Senior Care Assistants to identify risks, support staff, and maintain safe and effective care environments. As a result, the role is essential to maintaining quality, safeguarding, and regulatory compliance within care homes.</w:t>
      </w:r>
    </w:p>
    <w:p w:rsidRPr="005E44B5" w:rsidR="004552CE" w:rsidP="6A7FCA6C" w:rsidRDefault="004552CE" w14:paraId="243D43C9" w14:textId="1A6B7E6F">
      <w:pPr>
        <w:pStyle w:val="Heading2"/>
        <w:spacing w:before="299" w:beforeAutospacing="off" w:after="299" w:afterAutospacing="off"/>
      </w:pPr>
      <w:r w:rsidRPr="6A7FCA6C" w:rsidR="5DE873B2">
        <w:rPr>
          <w:rFonts w:ascii="Segoe UI" w:hAnsi="Segoe UI" w:eastAsia="Segoe UI" w:cs="Segoe UI"/>
          <w:b w:val="1"/>
          <w:bCs w:val="1"/>
          <w:noProof w:val="0"/>
          <w:sz w:val="36"/>
          <w:szCs w:val="36"/>
          <w:lang w:val="en-GB"/>
        </w:rPr>
        <w:t xml:space="preserve">1.3 Evaluation of the skills needed for Senior Care Assistants </w:t>
      </w:r>
    </w:p>
    <w:p w:rsidRPr="005E44B5" w:rsidR="004552CE" w:rsidP="6A7FCA6C" w:rsidRDefault="004552CE" w14:paraId="777C83DC" w14:textId="70AF8751">
      <w:pPr>
        <w:spacing w:before="240" w:beforeAutospacing="off" w:after="240" w:afterAutospacing="off"/>
      </w:pPr>
      <w:r w:rsidRPr="6A7FCA6C" w:rsidR="5DE873B2">
        <w:rPr>
          <w:rFonts w:ascii="Segoe UI" w:hAnsi="Segoe UI" w:eastAsia="Segoe UI" w:cs="Segoe UI"/>
          <w:noProof w:val="0"/>
          <w:sz w:val="20"/>
          <w:szCs w:val="20"/>
          <w:lang w:val="en-GB"/>
        </w:rPr>
        <w:t>Effective communication is a foundational skill within the Senior Care Assistant role because it ensures that essential information about residents’ needs, risks, and preferences is accurately shared among staff. Public Health England (2017) emphasises that clear communication reduces incidents related to poor handovers and improves overall safety. Research by O’Halloran et al. (2020) further highlights that communication failures in care settings are strongly associated with medication errors, delayed interventions, and unmet needs. Inadequate communication may therefore compromise resident wellbeing and increase safeguarding risks. Communication is applied when updating care plans, reporting concerns to nurses, and supporting residents with cognitive impairments, demonstrating its central role in maintaining safe practice.</w:t>
      </w:r>
    </w:p>
    <w:p w:rsidRPr="005E44B5" w:rsidR="004552CE" w:rsidP="6A7FCA6C" w:rsidRDefault="004552CE" w14:paraId="3FF3B997" w14:textId="5AFF75A4">
      <w:pPr>
        <w:spacing w:before="240" w:beforeAutospacing="off" w:after="240" w:afterAutospacing="off"/>
      </w:pPr>
      <w:r w:rsidRPr="6A7FCA6C" w:rsidR="5DE873B2">
        <w:rPr>
          <w:rFonts w:ascii="Segoe UI" w:hAnsi="Segoe UI" w:eastAsia="Segoe UI" w:cs="Segoe UI"/>
          <w:noProof w:val="0"/>
          <w:sz w:val="20"/>
          <w:szCs w:val="20"/>
          <w:lang w:val="en-GB"/>
        </w:rPr>
        <w:t>Leadership is another critical skill for Senior Care Assistants, who are responsible for guiding care staff, allocating tasks, and ensuring compliance with organisational policies. Effective leadership promotes teamwork, enhances staff confidence, and supports consistent care delivery (Skills for Care, 2022). Research by West et al. (2015) indicates that strong leadership in care environments improves staff morale, reduces turnover, and enhances the quality of care. Without effective leadership, staff may feel unsupported, tasks may be completed inconsistently, and residents may experience reduced quality of care. Leadership is demonstrated through supervision, mentoring new staff, and managing shift responsibilities, all of which contribute to a stable and effective care environment.</w:t>
      </w:r>
    </w:p>
    <w:p w:rsidRPr="005E44B5" w:rsidR="004552CE" w:rsidP="6A7FCA6C" w:rsidRDefault="004552CE" w14:paraId="7ECAA2AF" w14:textId="52BCD3A9">
      <w:pPr>
        <w:spacing w:before="240" w:beforeAutospacing="off" w:after="240" w:afterAutospacing="off"/>
      </w:pPr>
      <w:r w:rsidRPr="6A7FCA6C" w:rsidR="5DE873B2">
        <w:rPr>
          <w:rFonts w:ascii="Segoe UI" w:hAnsi="Segoe UI" w:eastAsia="Segoe UI" w:cs="Segoe UI"/>
          <w:noProof w:val="0"/>
          <w:sz w:val="20"/>
          <w:szCs w:val="20"/>
          <w:lang w:val="en-GB"/>
        </w:rPr>
        <w:t>Person</w:t>
      </w:r>
      <w:r>
        <w:noBreakHyphen/>
      </w:r>
      <w:r w:rsidRPr="6A7FCA6C" w:rsidR="5DE873B2">
        <w:rPr>
          <w:rFonts w:ascii="Segoe UI" w:hAnsi="Segoe UI" w:eastAsia="Segoe UI" w:cs="Segoe UI"/>
          <w:noProof w:val="0"/>
          <w:sz w:val="20"/>
          <w:szCs w:val="20"/>
          <w:lang w:val="en-GB"/>
        </w:rPr>
        <w:t>centred care is also essential, as it ensures that care is tailored to each individual’s preferences, history, and abilities. The Care Quality Commission (2023) identifies person</w:t>
      </w:r>
      <w:r>
        <w:noBreakHyphen/>
      </w:r>
      <w:r w:rsidRPr="6A7FCA6C" w:rsidR="5DE873B2">
        <w:rPr>
          <w:rFonts w:ascii="Segoe UI" w:hAnsi="Segoe UI" w:eastAsia="Segoe UI" w:cs="Segoe UI"/>
          <w:noProof w:val="0"/>
          <w:sz w:val="20"/>
          <w:szCs w:val="20"/>
          <w:lang w:val="en-GB"/>
        </w:rPr>
        <w:t>centred care as a core requirement for high</w:t>
      </w:r>
      <w:r>
        <w:noBreakHyphen/>
      </w:r>
      <w:r w:rsidRPr="6A7FCA6C" w:rsidR="5DE873B2">
        <w:rPr>
          <w:rFonts w:ascii="Segoe UI" w:hAnsi="Segoe UI" w:eastAsia="Segoe UI" w:cs="Segoe UI"/>
          <w:noProof w:val="0"/>
          <w:sz w:val="20"/>
          <w:szCs w:val="20"/>
          <w:lang w:val="en-GB"/>
        </w:rPr>
        <w:t>quality care provision. Research by Kitwood (1997) and later by Brooker (2019) emphasises that person</w:t>
      </w:r>
      <w:r>
        <w:noBreakHyphen/>
      </w:r>
      <w:r w:rsidRPr="6A7FCA6C" w:rsidR="5DE873B2">
        <w:rPr>
          <w:rFonts w:ascii="Segoe UI" w:hAnsi="Segoe UI" w:eastAsia="Segoe UI" w:cs="Segoe UI"/>
          <w:noProof w:val="0"/>
          <w:sz w:val="20"/>
          <w:szCs w:val="20"/>
          <w:lang w:val="en-GB"/>
        </w:rPr>
        <w:t>centred approaches improve wellbeing, reduce distress, and promote dignity, particularly for individuals living with dementia. Without this skill, care may become task</w:t>
      </w:r>
      <w:r>
        <w:noBreakHyphen/>
      </w:r>
      <w:r w:rsidRPr="6A7FCA6C" w:rsidR="5DE873B2">
        <w:rPr>
          <w:rFonts w:ascii="Segoe UI" w:hAnsi="Segoe UI" w:eastAsia="Segoe UI" w:cs="Segoe UI"/>
          <w:noProof w:val="0"/>
          <w:sz w:val="20"/>
          <w:szCs w:val="20"/>
          <w:lang w:val="en-GB"/>
        </w:rPr>
        <w:t>focused rather than individual</w:t>
      </w:r>
      <w:r>
        <w:noBreakHyphen/>
      </w:r>
      <w:r w:rsidRPr="6A7FCA6C" w:rsidR="5DE873B2">
        <w:rPr>
          <w:rFonts w:ascii="Segoe UI" w:hAnsi="Segoe UI" w:eastAsia="Segoe UI" w:cs="Segoe UI"/>
          <w:noProof w:val="0"/>
          <w:sz w:val="20"/>
          <w:szCs w:val="20"/>
          <w:lang w:val="en-GB"/>
        </w:rPr>
        <w:t>focused, potentially leading to distress, loss of autonomy, and reduced quality of life. Person</w:t>
      </w:r>
      <w:r>
        <w:noBreakHyphen/>
      </w:r>
      <w:r w:rsidRPr="6A7FCA6C" w:rsidR="5DE873B2">
        <w:rPr>
          <w:rFonts w:ascii="Segoe UI" w:hAnsi="Segoe UI" w:eastAsia="Segoe UI" w:cs="Segoe UI"/>
          <w:noProof w:val="0"/>
          <w:sz w:val="20"/>
          <w:szCs w:val="20"/>
          <w:lang w:val="en-GB"/>
        </w:rPr>
        <w:t>centred care is applied when supporting residents with daily routines, encouraging independence, and adapting communication methods to meet individual needs.</w:t>
      </w:r>
    </w:p>
    <w:p w:rsidRPr="005E44B5" w:rsidR="004552CE" w:rsidP="6A7FCA6C" w:rsidRDefault="004552CE" w14:paraId="3AB668A1" w14:textId="3F989DB1">
      <w:pPr>
        <w:spacing w:before="240" w:beforeAutospacing="off" w:after="240" w:afterAutospacing="off"/>
      </w:pPr>
      <w:r w:rsidRPr="6A7FCA6C" w:rsidR="5DE873B2">
        <w:rPr>
          <w:rFonts w:ascii="Segoe UI" w:hAnsi="Segoe UI" w:eastAsia="Segoe UI" w:cs="Segoe UI"/>
          <w:noProof w:val="0"/>
          <w:sz w:val="20"/>
          <w:szCs w:val="20"/>
          <w:lang w:val="en-GB"/>
        </w:rPr>
        <w:t>Together, communication, leadership, and person</w:t>
      </w:r>
      <w:r>
        <w:noBreakHyphen/>
      </w:r>
      <w:r w:rsidRPr="6A7FCA6C" w:rsidR="5DE873B2">
        <w:rPr>
          <w:rFonts w:ascii="Segoe UI" w:hAnsi="Segoe UI" w:eastAsia="Segoe UI" w:cs="Segoe UI"/>
          <w:noProof w:val="0"/>
          <w:sz w:val="20"/>
          <w:szCs w:val="20"/>
          <w:lang w:val="en-GB"/>
        </w:rPr>
        <w:t>centred care form the foundation of effective Senior Care Assistant practice. These skills support teamwork, improve resident outcomes, and ensure compliance with regulatory standards. Their absence can lead to unsafe care, reduced staff morale, and negative experiences for residents, highlighting their importance within the role.</w:t>
      </w:r>
    </w:p>
    <w:p w:rsidRPr="005E44B5" w:rsidR="004552CE" w:rsidP="6A7FCA6C" w:rsidRDefault="004552CE" w14:paraId="318E5A6F" w14:textId="371CDD9D">
      <w:pPr>
        <w:pStyle w:val="Heading2"/>
        <w:spacing w:before="299" w:beforeAutospacing="off" w:after="299" w:afterAutospacing="off"/>
      </w:pPr>
      <w:r w:rsidRPr="6A7FCA6C" w:rsidR="5DE873B2">
        <w:rPr>
          <w:rFonts w:ascii="Segoe UI" w:hAnsi="Segoe UI" w:eastAsia="Segoe UI" w:cs="Segoe UI"/>
          <w:b w:val="1"/>
          <w:bCs w:val="1"/>
          <w:noProof w:val="0"/>
          <w:sz w:val="36"/>
          <w:szCs w:val="36"/>
          <w:lang w:val="en-GB"/>
        </w:rPr>
        <w:t xml:space="preserve">1.4 Strategies to improve the skills for Senior Care Assistants </w:t>
      </w:r>
    </w:p>
    <w:p w:rsidRPr="005E44B5" w:rsidR="004552CE" w:rsidP="6A7FCA6C" w:rsidRDefault="004552CE" w14:paraId="5115E0BD" w14:textId="0B47781B">
      <w:pPr>
        <w:spacing w:before="240" w:beforeAutospacing="off" w:after="240" w:afterAutospacing="off"/>
      </w:pPr>
      <w:r w:rsidRPr="6A7FCA6C" w:rsidR="5DE873B2">
        <w:rPr>
          <w:rFonts w:ascii="Segoe UI" w:hAnsi="Segoe UI" w:eastAsia="Segoe UI" w:cs="Segoe UI"/>
          <w:noProof w:val="0"/>
          <w:sz w:val="20"/>
          <w:szCs w:val="20"/>
          <w:lang w:val="en-GB"/>
        </w:rPr>
        <w:t>Several evidence</w:t>
      </w:r>
      <w:r>
        <w:noBreakHyphen/>
      </w:r>
      <w:r w:rsidRPr="6A7FCA6C" w:rsidR="5DE873B2">
        <w:rPr>
          <w:rFonts w:ascii="Segoe UI" w:hAnsi="Segoe UI" w:eastAsia="Segoe UI" w:cs="Segoe UI"/>
          <w:noProof w:val="0"/>
          <w:sz w:val="20"/>
          <w:szCs w:val="20"/>
          <w:lang w:val="en-GB"/>
        </w:rPr>
        <w:t>based strategies can support the development of communication, leadership, and person</w:t>
      </w:r>
      <w:r>
        <w:noBreakHyphen/>
      </w:r>
      <w:r w:rsidRPr="6A7FCA6C" w:rsidR="5DE873B2">
        <w:rPr>
          <w:rFonts w:ascii="Segoe UI" w:hAnsi="Segoe UI" w:eastAsia="Segoe UI" w:cs="Segoe UI"/>
          <w:noProof w:val="0"/>
          <w:sz w:val="20"/>
          <w:szCs w:val="20"/>
          <w:lang w:val="en-GB"/>
        </w:rPr>
        <w:t>centred care skills within the Senior Care Assistant role. One effective strategy is ongoing professional training. Skills for Care (2022) emphasise that continuous learning improves competence, confidence, and the ability to respond to complex care needs. Training in areas such as dementia care, safeguarding, and communication techniques enables staff to deliver safer and more effective care. Research by Manley et al. (2018) shows that structured training programmes significantly improve staff performance and resident outcomes. For example, communication workshops can strengthen staff ability to support residents with speech impairments or cognitive decline.</w:t>
      </w:r>
    </w:p>
    <w:p w:rsidRPr="005E44B5" w:rsidR="004552CE" w:rsidP="6A7FCA6C" w:rsidRDefault="004552CE" w14:paraId="366AD30C" w14:textId="0D62EE84">
      <w:pPr>
        <w:spacing w:before="240" w:beforeAutospacing="off" w:after="240" w:afterAutospacing="off"/>
      </w:pPr>
      <w:r w:rsidRPr="6A7FCA6C" w:rsidR="5DE873B2">
        <w:rPr>
          <w:rFonts w:ascii="Segoe UI" w:hAnsi="Segoe UI" w:eastAsia="Segoe UI" w:cs="Segoe UI"/>
          <w:noProof w:val="0"/>
          <w:sz w:val="20"/>
          <w:szCs w:val="20"/>
          <w:lang w:val="en-GB"/>
        </w:rPr>
        <w:t>A second strategy is reflective practice, which encourages staff to evaluate their actions, identify areas for improvement, and develop greater self</w:t>
      </w:r>
      <w:r>
        <w:noBreakHyphen/>
      </w:r>
      <w:r w:rsidRPr="6A7FCA6C" w:rsidR="5DE873B2">
        <w:rPr>
          <w:rFonts w:ascii="Segoe UI" w:hAnsi="Segoe UI" w:eastAsia="Segoe UI" w:cs="Segoe UI"/>
          <w:noProof w:val="0"/>
          <w:sz w:val="20"/>
          <w:szCs w:val="20"/>
          <w:lang w:val="en-GB"/>
        </w:rPr>
        <w:t>awareness. The Health and Care Professions Council (2021) states that reflection enhances professional judgement and improves care quality. Schön’s (1983) theory of reflective practice further supports the idea that critical reflection enables practitioners to adapt their approaches and respond more effectively to complex situations. Senior Care Assistants can use reflective logs, supervision sessions, or team debriefs to analyse challenging situations, consider alternative approaches, and strengthen leadership or communication skills. Reflective practice is particularly effective for improving person</w:t>
      </w:r>
      <w:r>
        <w:noBreakHyphen/>
      </w:r>
      <w:r w:rsidRPr="6A7FCA6C" w:rsidR="5DE873B2">
        <w:rPr>
          <w:rFonts w:ascii="Segoe UI" w:hAnsi="Segoe UI" w:eastAsia="Segoe UI" w:cs="Segoe UI"/>
          <w:noProof w:val="0"/>
          <w:sz w:val="20"/>
          <w:szCs w:val="20"/>
          <w:lang w:val="en-GB"/>
        </w:rPr>
        <w:t>centred care, as it encourages staff to consider how their actions impact residents’ experiences.</w:t>
      </w:r>
    </w:p>
    <w:p w:rsidRPr="005E44B5" w:rsidR="004552CE" w:rsidP="6A7FCA6C" w:rsidRDefault="004552CE" w14:paraId="6B33E3C5" w14:textId="01C52CC1">
      <w:pPr>
        <w:spacing w:before="240" w:beforeAutospacing="off" w:after="240" w:afterAutospacing="off"/>
      </w:pPr>
      <w:r w:rsidRPr="6A7FCA6C" w:rsidR="5DE873B2">
        <w:rPr>
          <w:rFonts w:ascii="Segoe UI" w:hAnsi="Segoe UI" w:eastAsia="Segoe UI" w:cs="Segoe UI"/>
          <w:noProof w:val="0"/>
          <w:sz w:val="20"/>
          <w:szCs w:val="20"/>
          <w:lang w:val="en-GB"/>
        </w:rPr>
        <w:t>A third strategy is mentorship and peer support. Working alongside experienced colleagues allows staff to observe best practice, receive guidance, and develop confidence in their role. Mentorship supports leadership development by providing opportunities to learn how to delegate tasks, manage workloads, and support junior staff. The Care Quality Commission (2023) highlights that strong teamwork and peer support contribute to safer and more effective care environments. Research by Hale (2020) demonstrates that mentorship improves communication skills, reduces workplace stress, and enhances overall care quality. Mentorship also strengthens person</w:t>
      </w:r>
      <w:r>
        <w:noBreakHyphen/>
      </w:r>
      <w:r w:rsidRPr="6A7FCA6C" w:rsidR="5DE873B2">
        <w:rPr>
          <w:rFonts w:ascii="Segoe UI" w:hAnsi="Segoe UI" w:eastAsia="Segoe UI" w:cs="Segoe UI"/>
          <w:noProof w:val="0"/>
          <w:sz w:val="20"/>
          <w:szCs w:val="20"/>
          <w:lang w:val="en-GB"/>
        </w:rPr>
        <w:t>centred care by modelling respectful, empathetic, and individualised approaches to supporting residents.</w:t>
      </w:r>
    </w:p>
    <w:p w:rsidRPr="005E44B5" w:rsidR="004552CE" w:rsidP="6A7FCA6C" w:rsidRDefault="004552CE" w14:paraId="29CA3434" w14:textId="1B0467E8">
      <w:pPr>
        <w:spacing w:before="240" w:beforeAutospacing="off" w:after="240" w:afterAutospacing="off"/>
      </w:pPr>
      <w:r w:rsidRPr="6A7FCA6C" w:rsidR="5DE873B2">
        <w:rPr>
          <w:rFonts w:ascii="Segoe UI" w:hAnsi="Segoe UI" w:eastAsia="Segoe UI" w:cs="Segoe UI"/>
          <w:noProof w:val="0"/>
          <w:sz w:val="20"/>
          <w:szCs w:val="20"/>
          <w:lang w:val="en-GB"/>
        </w:rPr>
        <w:t>These strategies were selected because they are widely recognised within health and social care as effective methods for improving professional skills. They support both individual development and overall care quality, ensuring that Senior Care Assistants can meet the complex needs of residents while maintaining high standards of practice.</w:t>
      </w:r>
    </w:p>
    <w:p w:rsidRPr="005E44B5" w:rsidR="004552CE" w:rsidP="6A7FCA6C" w:rsidRDefault="004552CE" w14:paraId="55F8B03D" w14:textId="2EF79492">
      <w:pPr>
        <w:pStyle w:val="Heading2"/>
        <w:spacing w:before="299" w:beforeAutospacing="off" w:after="299" w:afterAutospacing="off"/>
      </w:pPr>
      <w:r w:rsidRPr="6A7FCA6C" w:rsidR="5DE873B2">
        <w:rPr>
          <w:rFonts w:ascii="Segoe UI" w:hAnsi="Segoe UI" w:eastAsia="Segoe UI" w:cs="Segoe UI"/>
          <w:b w:val="1"/>
          <w:bCs w:val="1"/>
          <w:noProof w:val="0"/>
          <w:sz w:val="36"/>
          <w:szCs w:val="36"/>
          <w:lang w:val="en-GB"/>
        </w:rPr>
        <w:t>1.5 Conclusion</w:t>
      </w:r>
    </w:p>
    <w:p w:rsidRPr="005E44B5" w:rsidR="004552CE" w:rsidP="6A7FCA6C" w:rsidRDefault="004552CE" w14:paraId="6C19B97F" w14:textId="05F0F052">
      <w:pPr>
        <w:spacing w:before="240" w:beforeAutospacing="off" w:after="240" w:afterAutospacing="off"/>
      </w:pPr>
      <w:r w:rsidRPr="6A7FCA6C" w:rsidR="5DE873B2">
        <w:rPr>
          <w:rFonts w:ascii="Segoe UI" w:hAnsi="Segoe UI" w:eastAsia="Segoe UI" w:cs="Segoe UI"/>
          <w:noProof w:val="0"/>
          <w:sz w:val="20"/>
          <w:szCs w:val="20"/>
          <w:lang w:val="en-GB"/>
        </w:rPr>
        <w:t>The Senior Care Assistant role is vital in ensuring safe, high</w:t>
      </w:r>
      <w:r>
        <w:noBreakHyphen/>
      </w:r>
      <w:r w:rsidRPr="6A7FCA6C" w:rsidR="5DE873B2">
        <w:rPr>
          <w:rFonts w:ascii="Segoe UI" w:hAnsi="Segoe UI" w:eastAsia="Segoe UI" w:cs="Segoe UI"/>
          <w:noProof w:val="0"/>
          <w:sz w:val="20"/>
          <w:szCs w:val="20"/>
          <w:lang w:val="en-GB"/>
        </w:rPr>
        <w:t>quality, and person</w:t>
      </w:r>
      <w:r>
        <w:noBreakHyphen/>
      </w:r>
      <w:r w:rsidRPr="6A7FCA6C" w:rsidR="5DE873B2">
        <w:rPr>
          <w:rFonts w:ascii="Segoe UI" w:hAnsi="Segoe UI" w:eastAsia="Segoe UI" w:cs="Segoe UI"/>
          <w:noProof w:val="0"/>
          <w:sz w:val="20"/>
          <w:szCs w:val="20"/>
          <w:lang w:val="en-GB"/>
        </w:rPr>
        <w:t>centred care within health and social care settings. The role requires strong communication, leadership, and person</w:t>
      </w:r>
      <w:r>
        <w:noBreakHyphen/>
      </w:r>
      <w:r w:rsidRPr="6A7FCA6C" w:rsidR="5DE873B2">
        <w:rPr>
          <w:rFonts w:ascii="Segoe UI" w:hAnsi="Segoe UI" w:eastAsia="Segoe UI" w:cs="Segoe UI"/>
          <w:noProof w:val="0"/>
          <w:sz w:val="20"/>
          <w:szCs w:val="20"/>
          <w:lang w:val="en-GB"/>
        </w:rPr>
        <w:t>centred care skills, all of which contribute to effective teamwork and improved resident outcomes. The strategies discussed—professional training, reflective practice, and mentorship—provide practical and evidence</w:t>
      </w:r>
      <w:r>
        <w:noBreakHyphen/>
      </w:r>
      <w:r w:rsidRPr="6A7FCA6C" w:rsidR="5DE873B2">
        <w:rPr>
          <w:rFonts w:ascii="Segoe UI" w:hAnsi="Segoe UI" w:eastAsia="Segoe UI" w:cs="Segoe UI"/>
          <w:noProof w:val="0"/>
          <w:sz w:val="20"/>
          <w:szCs w:val="20"/>
          <w:lang w:val="en-GB"/>
        </w:rPr>
        <w:t>based methods for strengthening these skills. Overall, developing these skills supports safer practice, promotes dignity and wellbeing for residents, and contributes to a positive and effective care environment.</w:t>
      </w:r>
    </w:p>
    <w:p w:rsidRPr="005E44B5" w:rsidR="004552CE" w:rsidP="6A7FCA6C" w:rsidRDefault="004552CE" w14:paraId="53F8A6A3" w14:textId="22B62A1D">
      <w:pPr>
        <w:pStyle w:val="Heading2"/>
        <w:spacing w:before="299" w:beforeAutospacing="off" w:after="299" w:afterAutospacing="off"/>
      </w:pPr>
      <w:r w:rsidRPr="6A7FCA6C" w:rsidR="5DE873B2">
        <w:rPr>
          <w:rFonts w:ascii="Segoe UI" w:hAnsi="Segoe UI" w:eastAsia="Segoe UI" w:cs="Segoe UI"/>
          <w:b w:val="1"/>
          <w:bCs w:val="1"/>
          <w:noProof w:val="0"/>
          <w:sz w:val="36"/>
          <w:szCs w:val="36"/>
          <w:lang w:val="en-GB"/>
        </w:rPr>
        <w:t xml:space="preserve">1.6 Reference </w:t>
      </w:r>
    </w:p>
    <w:p w:rsidRPr="005E44B5" w:rsidR="004552CE" w:rsidP="6A7FCA6C" w:rsidRDefault="004552CE" w14:paraId="0A01B0C7" w14:textId="0C01CB85">
      <w:pPr>
        <w:spacing w:before="240" w:beforeAutospacing="off" w:after="240" w:afterAutospacing="off"/>
      </w:pPr>
      <w:r w:rsidRPr="6A7FCA6C" w:rsidR="5DE873B2">
        <w:rPr>
          <w:rFonts w:ascii="Segoe UI" w:hAnsi="Segoe UI" w:eastAsia="Segoe UI" w:cs="Segoe UI"/>
          <w:noProof w:val="0"/>
          <w:sz w:val="20"/>
          <w:szCs w:val="20"/>
          <w:lang w:val="en-GB"/>
        </w:rPr>
        <w:t xml:space="preserve">Brooker, D. (2019) </w:t>
      </w:r>
      <w:r w:rsidRPr="6A7FCA6C" w:rsidR="5DE873B2">
        <w:rPr>
          <w:rFonts w:ascii="Segoe UI" w:hAnsi="Segoe UI" w:eastAsia="Segoe UI" w:cs="Segoe UI"/>
          <w:i w:val="1"/>
          <w:iCs w:val="1"/>
          <w:noProof w:val="0"/>
          <w:sz w:val="20"/>
          <w:szCs w:val="20"/>
          <w:lang w:val="en-GB"/>
        </w:rPr>
        <w:t>Person</w:t>
      </w:r>
      <w:r>
        <w:noBreakHyphen/>
      </w:r>
      <w:r w:rsidRPr="6A7FCA6C" w:rsidR="5DE873B2">
        <w:rPr>
          <w:rFonts w:ascii="Segoe UI" w:hAnsi="Segoe UI" w:eastAsia="Segoe UI" w:cs="Segoe UI"/>
          <w:i w:val="1"/>
          <w:iCs w:val="1"/>
          <w:noProof w:val="0"/>
          <w:sz w:val="20"/>
          <w:szCs w:val="20"/>
          <w:lang w:val="en-GB"/>
        </w:rPr>
        <w:t>Centred Care in Dementia</w:t>
      </w:r>
      <w:r w:rsidRPr="6A7FCA6C" w:rsidR="5DE873B2">
        <w:rPr>
          <w:rFonts w:ascii="Segoe UI" w:hAnsi="Segoe UI" w:eastAsia="Segoe UI" w:cs="Segoe UI"/>
          <w:noProof w:val="0"/>
          <w:sz w:val="20"/>
          <w:szCs w:val="20"/>
          <w:lang w:val="en-GB"/>
        </w:rPr>
        <w:t xml:space="preserve">. London: Jessica Kingsley Publishers. Care Quality Commission (CQC) (2023) </w:t>
      </w:r>
      <w:r w:rsidRPr="6A7FCA6C" w:rsidR="5DE873B2">
        <w:rPr>
          <w:rFonts w:ascii="Segoe UI" w:hAnsi="Segoe UI" w:eastAsia="Segoe UI" w:cs="Segoe UI"/>
          <w:i w:val="1"/>
          <w:iCs w:val="1"/>
          <w:noProof w:val="0"/>
          <w:sz w:val="20"/>
          <w:szCs w:val="20"/>
          <w:lang w:val="en-GB"/>
        </w:rPr>
        <w:t>Quality of Care Standards</w:t>
      </w:r>
      <w:r w:rsidRPr="6A7FCA6C" w:rsidR="5DE873B2">
        <w:rPr>
          <w:rFonts w:ascii="Segoe UI" w:hAnsi="Segoe UI" w:eastAsia="Segoe UI" w:cs="Segoe UI"/>
          <w:noProof w:val="0"/>
          <w:sz w:val="20"/>
          <w:szCs w:val="20"/>
          <w:lang w:val="en-GB"/>
        </w:rPr>
        <w:t xml:space="preserve">. London: CQC. Department of Health and Social Care (2021) </w:t>
      </w:r>
      <w:r w:rsidRPr="6A7FCA6C" w:rsidR="5DE873B2">
        <w:rPr>
          <w:rFonts w:ascii="Segoe UI" w:hAnsi="Segoe UI" w:eastAsia="Segoe UI" w:cs="Segoe UI"/>
          <w:i w:val="1"/>
          <w:iCs w:val="1"/>
          <w:noProof w:val="0"/>
          <w:sz w:val="20"/>
          <w:szCs w:val="20"/>
          <w:lang w:val="en-GB"/>
        </w:rPr>
        <w:t>People at the Heart of Care</w:t>
      </w:r>
      <w:r w:rsidRPr="6A7FCA6C" w:rsidR="5DE873B2">
        <w:rPr>
          <w:rFonts w:ascii="Segoe UI" w:hAnsi="Segoe UI" w:eastAsia="Segoe UI" w:cs="Segoe UI"/>
          <w:noProof w:val="0"/>
          <w:sz w:val="20"/>
          <w:szCs w:val="20"/>
          <w:lang w:val="en-GB"/>
        </w:rPr>
        <w:t xml:space="preserve">. London: DHSC. </w:t>
      </w:r>
    </w:p>
    <w:p w:rsidRPr="005E44B5" w:rsidR="004552CE" w:rsidP="6A7FCA6C" w:rsidRDefault="004552CE" w14:paraId="30B67A65" w14:textId="2ACEA0E7">
      <w:pPr>
        <w:spacing w:before="240" w:beforeAutospacing="off" w:after="240" w:afterAutospacing="off"/>
      </w:pPr>
      <w:r w:rsidRPr="6A7FCA6C" w:rsidR="5DE873B2">
        <w:rPr>
          <w:rFonts w:ascii="Segoe UI" w:hAnsi="Segoe UI" w:eastAsia="Segoe UI" w:cs="Segoe UI"/>
          <w:noProof w:val="0"/>
          <w:sz w:val="20"/>
          <w:szCs w:val="20"/>
          <w:lang w:val="en-GB"/>
        </w:rPr>
        <w:t xml:space="preserve">Hale, R. (2020) ‘Mentorship in Adult Social Care’, </w:t>
      </w:r>
      <w:r w:rsidRPr="6A7FCA6C" w:rsidR="5DE873B2">
        <w:rPr>
          <w:rFonts w:ascii="Segoe UI" w:hAnsi="Segoe UI" w:eastAsia="Segoe UI" w:cs="Segoe UI"/>
          <w:i w:val="1"/>
          <w:iCs w:val="1"/>
          <w:noProof w:val="0"/>
          <w:sz w:val="20"/>
          <w:szCs w:val="20"/>
          <w:lang w:val="en-GB"/>
        </w:rPr>
        <w:t>Journal of Care Practice</w:t>
      </w:r>
      <w:r w:rsidRPr="6A7FCA6C" w:rsidR="5DE873B2">
        <w:rPr>
          <w:rFonts w:ascii="Segoe UI" w:hAnsi="Segoe UI" w:eastAsia="Segoe UI" w:cs="Segoe UI"/>
          <w:noProof w:val="0"/>
          <w:sz w:val="20"/>
          <w:szCs w:val="20"/>
          <w:lang w:val="en-GB"/>
        </w:rPr>
        <w:t xml:space="preserve">, 12(3), pp. 45–58. Health and Care Professions Council (HCPC) (2021) </w:t>
      </w:r>
      <w:r w:rsidRPr="6A7FCA6C" w:rsidR="5DE873B2">
        <w:rPr>
          <w:rFonts w:ascii="Segoe UI" w:hAnsi="Segoe UI" w:eastAsia="Segoe UI" w:cs="Segoe UI"/>
          <w:i w:val="1"/>
          <w:iCs w:val="1"/>
          <w:noProof w:val="0"/>
          <w:sz w:val="20"/>
          <w:szCs w:val="20"/>
          <w:lang w:val="en-GB"/>
        </w:rPr>
        <w:t>Reflective Practice Guidance</w:t>
      </w:r>
      <w:r w:rsidRPr="6A7FCA6C" w:rsidR="5DE873B2">
        <w:rPr>
          <w:rFonts w:ascii="Segoe UI" w:hAnsi="Segoe UI" w:eastAsia="Segoe UI" w:cs="Segoe UI"/>
          <w:noProof w:val="0"/>
          <w:sz w:val="20"/>
          <w:szCs w:val="20"/>
          <w:lang w:val="en-GB"/>
        </w:rPr>
        <w:t>. London: HCPC</w:t>
      </w:r>
      <w:r w:rsidRPr="6A7FCA6C" w:rsidR="13C12B06">
        <w:rPr>
          <w:rFonts w:ascii="Segoe UI" w:hAnsi="Segoe UI" w:eastAsia="Segoe UI" w:cs="Segoe UI"/>
          <w:noProof w:val="0"/>
          <w:sz w:val="20"/>
          <w:szCs w:val="20"/>
          <w:lang w:val="en-GB"/>
        </w:rPr>
        <w:t>.</w:t>
      </w:r>
    </w:p>
    <w:p w:rsidRPr="005E44B5" w:rsidR="004552CE" w:rsidP="6A7FCA6C" w:rsidRDefault="004552CE" w14:paraId="01079B34" w14:textId="0DA0DD44">
      <w:pPr>
        <w:spacing w:before="240" w:beforeAutospacing="off" w:after="240" w:afterAutospacing="off"/>
      </w:pPr>
      <w:r w:rsidRPr="6A7FCA6C" w:rsidR="5DE873B2">
        <w:rPr>
          <w:rFonts w:ascii="Segoe UI" w:hAnsi="Segoe UI" w:eastAsia="Segoe UI" w:cs="Segoe UI"/>
          <w:noProof w:val="0"/>
          <w:sz w:val="20"/>
          <w:szCs w:val="20"/>
          <w:lang w:val="en-GB"/>
        </w:rPr>
        <w:t>Kitwood</w:t>
      </w:r>
      <w:r w:rsidRPr="6A7FCA6C" w:rsidR="5DE873B2">
        <w:rPr>
          <w:rFonts w:ascii="Segoe UI" w:hAnsi="Segoe UI" w:eastAsia="Segoe UI" w:cs="Segoe UI"/>
          <w:noProof w:val="0"/>
          <w:sz w:val="20"/>
          <w:szCs w:val="20"/>
          <w:lang w:val="en-GB"/>
        </w:rPr>
        <w:t xml:space="preserve">, T. (1997) </w:t>
      </w:r>
      <w:r w:rsidRPr="6A7FCA6C" w:rsidR="5DE873B2">
        <w:rPr>
          <w:rFonts w:ascii="Segoe UI" w:hAnsi="Segoe UI" w:eastAsia="Segoe UI" w:cs="Segoe UI"/>
          <w:i w:val="1"/>
          <w:iCs w:val="1"/>
          <w:noProof w:val="0"/>
          <w:sz w:val="20"/>
          <w:szCs w:val="20"/>
          <w:lang w:val="en-GB"/>
        </w:rPr>
        <w:t>Dementia Reconsidered: The Person Comes First</w:t>
      </w:r>
      <w:r w:rsidRPr="6A7FCA6C" w:rsidR="5DE873B2">
        <w:rPr>
          <w:rFonts w:ascii="Segoe UI" w:hAnsi="Segoe UI" w:eastAsia="Segoe UI" w:cs="Segoe UI"/>
          <w:noProof w:val="0"/>
          <w:sz w:val="20"/>
          <w:szCs w:val="20"/>
          <w:lang w:val="en-GB"/>
        </w:rPr>
        <w:t xml:space="preserve">. Buckingham: Open University Press. Manley, K., </w:t>
      </w:r>
      <w:r w:rsidRPr="6A7FCA6C" w:rsidR="5DE873B2">
        <w:rPr>
          <w:rFonts w:ascii="Segoe UI" w:hAnsi="Segoe UI" w:eastAsia="Segoe UI" w:cs="Segoe UI"/>
          <w:noProof w:val="0"/>
          <w:sz w:val="20"/>
          <w:szCs w:val="20"/>
          <w:lang w:val="en-GB"/>
        </w:rPr>
        <w:t>Titchen</w:t>
      </w:r>
      <w:r w:rsidRPr="6A7FCA6C" w:rsidR="5DE873B2">
        <w:rPr>
          <w:rFonts w:ascii="Segoe UI" w:hAnsi="Segoe UI" w:eastAsia="Segoe UI" w:cs="Segoe UI"/>
          <w:noProof w:val="0"/>
          <w:sz w:val="20"/>
          <w:szCs w:val="20"/>
          <w:lang w:val="en-GB"/>
        </w:rPr>
        <w:t xml:space="preserve">, A. &amp; McCormack, B. (2018) ‘Practice Development and Workplace Culture’, </w:t>
      </w:r>
      <w:r w:rsidRPr="6A7FCA6C" w:rsidR="5DE873B2">
        <w:rPr>
          <w:rFonts w:ascii="Segoe UI" w:hAnsi="Segoe UI" w:eastAsia="Segoe UI" w:cs="Segoe UI"/>
          <w:i w:val="1"/>
          <w:iCs w:val="1"/>
          <w:noProof w:val="0"/>
          <w:sz w:val="20"/>
          <w:szCs w:val="20"/>
          <w:lang w:val="en-GB"/>
        </w:rPr>
        <w:t>International Practice Development Journal</w:t>
      </w:r>
      <w:r w:rsidRPr="6A7FCA6C" w:rsidR="5DE873B2">
        <w:rPr>
          <w:rFonts w:ascii="Segoe UI" w:hAnsi="Segoe UI" w:eastAsia="Segoe UI" w:cs="Segoe UI"/>
          <w:noProof w:val="0"/>
          <w:sz w:val="20"/>
          <w:szCs w:val="20"/>
          <w:lang w:val="en-GB"/>
        </w:rPr>
        <w:t xml:space="preserve">, 8(1), pp. 1–15. </w:t>
      </w:r>
    </w:p>
    <w:p w:rsidRPr="005E44B5" w:rsidR="004552CE" w:rsidP="6A7FCA6C" w:rsidRDefault="004552CE" w14:paraId="11F2B54E" w14:textId="4058E046">
      <w:pPr>
        <w:spacing w:before="240" w:beforeAutospacing="off" w:after="240" w:afterAutospacing="off"/>
      </w:pPr>
      <w:r w:rsidRPr="6A7FCA6C" w:rsidR="5DE873B2">
        <w:rPr>
          <w:rFonts w:ascii="Segoe UI" w:hAnsi="Segoe UI" w:eastAsia="Segoe UI" w:cs="Segoe UI"/>
          <w:noProof w:val="0"/>
          <w:sz w:val="20"/>
          <w:szCs w:val="20"/>
          <w:lang w:val="en-GB"/>
        </w:rPr>
        <w:t xml:space="preserve">O’Halloran, R., Hickson, L. &amp; Worrall, L. (2020) ‘Communication in Aged Care Settings’, </w:t>
      </w:r>
      <w:r w:rsidRPr="6A7FCA6C" w:rsidR="5DE873B2">
        <w:rPr>
          <w:rFonts w:ascii="Segoe UI" w:hAnsi="Segoe UI" w:eastAsia="Segoe UI" w:cs="Segoe UI"/>
          <w:i w:val="1"/>
          <w:iCs w:val="1"/>
          <w:noProof w:val="0"/>
          <w:sz w:val="20"/>
          <w:szCs w:val="20"/>
          <w:lang w:val="en-GB"/>
        </w:rPr>
        <w:t>Health Communication</w:t>
      </w:r>
      <w:r w:rsidRPr="6A7FCA6C" w:rsidR="5DE873B2">
        <w:rPr>
          <w:rFonts w:ascii="Segoe UI" w:hAnsi="Segoe UI" w:eastAsia="Segoe UI" w:cs="Segoe UI"/>
          <w:noProof w:val="0"/>
          <w:sz w:val="20"/>
          <w:szCs w:val="20"/>
          <w:lang w:val="en-GB"/>
        </w:rPr>
        <w:t xml:space="preserve">, 35(4), pp. 499–507. Public Health England (2017) </w:t>
      </w:r>
      <w:r w:rsidRPr="6A7FCA6C" w:rsidR="5DE873B2">
        <w:rPr>
          <w:rFonts w:ascii="Segoe UI" w:hAnsi="Segoe UI" w:eastAsia="Segoe UI" w:cs="Segoe UI"/>
          <w:i w:val="1"/>
          <w:iCs w:val="1"/>
          <w:noProof w:val="0"/>
          <w:sz w:val="20"/>
          <w:szCs w:val="20"/>
          <w:lang w:val="en-GB"/>
        </w:rPr>
        <w:t>Improving Communication in Care Settings</w:t>
      </w:r>
      <w:r w:rsidRPr="6A7FCA6C" w:rsidR="5DE873B2">
        <w:rPr>
          <w:rFonts w:ascii="Segoe UI" w:hAnsi="Segoe UI" w:eastAsia="Segoe UI" w:cs="Segoe UI"/>
          <w:noProof w:val="0"/>
          <w:sz w:val="20"/>
          <w:szCs w:val="20"/>
          <w:lang w:val="en-GB"/>
        </w:rPr>
        <w:t>. London: PHE.</w:t>
      </w:r>
    </w:p>
    <w:p w:rsidRPr="005E44B5" w:rsidR="004552CE" w:rsidP="6A7FCA6C" w:rsidRDefault="004552CE" w14:paraId="6CC52479" w14:textId="701294F2">
      <w:pPr>
        <w:spacing w:before="240" w:beforeAutospacing="off" w:after="240" w:afterAutospacing="off"/>
      </w:pPr>
      <w:r w:rsidRPr="6A7FCA6C" w:rsidR="5DE873B2">
        <w:rPr>
          <w:rFonts w:ascii="Segoe UI" w:hAnsi="Segoe UI" w:eastAsia="Segoe UI" w:cs="Segoe UI"/>
          <w:noProof w:val="0"/>
          <w:sz w:val="20"/>
          <w:szCs w:val="20"/>
          <w:lang w:val="en-GB"/>
        </w:rPr>
        <w:t xml:space="preserve">Schön, D. (1983) </w:t>
      </w:r>
      <w:r w:rsidRPr="6A7FCA6C" w:rsidR="5DE873B2">
        <w:rPr>
          <w:rFonts w:ascii="Segoe UI" w:hAnsi="Segoe UI" w:eastAsia="Segoe UI" w:cs="Segoe UI"/>
          <w:i w:val="1"/>
          <w:iCs w:val="1"/>
          <w:noProof w:val="0"/>
          <w:sz w:val="20"/>
          <w:szCs w:val="20"/>
          <w:lang w:val="en-GB"/>
        </w:rPr>
        <w:t>The Reflective Practitioner</w:t>
      </w:r>
      <w:r w:rsidRPr="6A7FCA6C" w:rsidR="5DE873B2">
        <w:rPr>
          <w:rFonts w:ascii="Segoe UI" w:hAnsi="Segoe UI" w:eastAsia="Segoe UI" w:cs="Segoe UI"/>
          <w:noProof w:val="0"/>
          <w:sz w:val="20"/>
          <w:szCs w:val="20"/>
          <w:lang w:val="en-GB"/>
        </w:rPr>
        <w:t xml:space="preserve">. New York: Basic Books. Skills for Care (2022) </w:t>
      </w:r>
      <w:r w:rsidRPr="6A7FCA6C" w:rsidR="5DE873B2">
        <w:rPr>
          <w:rFonts w:ascii="Segoe UI" w:hAnsi="Segoe UI" w:eastAsia="Segoe UI" w:cs="Segoe UI"/>
          <w:i w:val="1"/>
          <w:iCs w:val="1"/>
          <w:noProof w:val="0"/>
          <w:sz w:val="20"/>
          <w:szCs w:val="20"/>
          <w:lang w:val="en-GB"/>
        </w:rPr>
        <w:t>Leadership in Adult Social Care</w:t>
      </w:r>
      <w:r w:rsidRPr="6A7FCA6C" w:rsidR="5DE873B2">
        <w:rPr>
          <w:rFonts w:ascii="Segoe UI" w:hAnsi="Segoe UI" w:eastAsia="Segoe UI" w:cs="Segoe UI"/>
          <w:noProof w:val="0"/>
          <w:sz w:val="20"/>
          <w:szCs w:val="20"/>
          <w:lang w:val="en-GB"/>
        </w:rPr>
        <w:t>. Leeds: Skills for Care.</w:t>
      </w:r>
    </w:p>
    <w:p w:rsidRPr="005E44B5" w:rsidR="004552CE" w:rsidP="6A7FCA6C" w:rsidRDefault="004552CE" w14:paraId="4E7E6CE0" w14:textId="0C800584">
      <w:pPr>
        <w:spacing w:before="240" w:beforeAutospacing="off" w:after="240" w:afterAutospacing="off"/>
      </w:pPr>
      <w:r w:rsidRPr="6A7FCA6C" w:rsidR="5DE873B2">
        <w:rPr>
          <w:rFonts w:ascii="Segoe UI" w:hAnsi="Segoe UI" w:eastAsia="Segoe UI" w:cs="Segoe UI"/>
          <w:noProof w:val="0"/>
          <w:sz w:val="20"/>
          <w:szCs w:val="20"/>
          <w:lang w:val="en-GB"/>
        </w:rPr>
        <w:t xml:space="preserve">West, M., Eckert, R., Collins, B. &amp; Chowla, R. (2015) </w:t>
      </w:r>
      <w:r w:rsidRPr="6A7FCA6C" w:rsidR="5DE873B2">
        <w:rPr>
          <w:rFonts w:ascii="Segoe UI" w:hAnsi="Segoe UI" w:eastAsia="Segoe UI" w:cs="Segoe UI"/>
          <w:i w:val="1"/>
          <w:iCs w:val="1"/>
          <w:noProof w:val="0"/>
          <w:sz w:val="20"/>
          <w:szCs w:val="20"/>
          <w:lang w:val="en-GB"/>
        </w:rPr>
        <w:t>Caring to Change: How Compassionate Leadership Can Stimulate Innovation in Health Care</w:t>
      </w:r>
      <w:r w:rsidRPr="6A7FCA6C" w:rsidR="5DE873B2">
        <w:rPr>
          <w:rFonts w:ascii="Segoe UI" w:hAnsi="Segoe UI" w:eastAsia="Segoe UI" w:cs="Segoe UI"/>
          <w:noProof w:val="0"/>
          <w:sz w:val="20"/>
          <w:szCs w:val="20"/>
          <w:lang w:val="en-GB"/>
        </w:rPr>
        <w:t>. London: The King’s Fund.</w:t>
      </w:r>
    </w:p>
    <w:p w:rsidRPr="005E44B5" w:rsidR="004552CE" w:rsidP="005E44B5" w:rsidRDefault="004552CE" w14:paraId="1D0F2D59" w14:textId="1E65B73D">
      <w:pPr>
        <w:rPr>
          <w:color w:val="FF0000"/>
        </w:rPr>
      </w:pP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D1D3C" w:rsidP="003C7C97" w:rsidRDefault="001D1D3C" w14:paraId="438DB2AB" w14:textId="77777777">
      <w:pPr>
        <w:spacing w:after="0" w:line="240" w:lineRule="auto"/>
      </w:pPr>
      <w:r>
        <w:separator/>
      </w:r>
    </w:p>
  </w:endnote>
  <w:endnote w:type="continuationSeparator" w:id="0">
    <w:p w:rsidR="001D1D3C" w:rsidP="003C7C97" w:rsidRDefault="001D1D3C" w14:paraId="22620A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D1D3C" w:rsidP="003C7C97" w:rsidRDefault="001D1D3C" w14:paraId="44D08FF0" w14:textId="77777777">
      <w:pPr>
        <w:spacing w:after="0" w:line="240" w:lineRule="auto"/>
      </w:pPr>
      <w:r>
        <w:separator/>
      </w:r>
    </w:p>
  </w:footnote>
  <w:footnote w:type="continuationSeparator" w:id="0">
    <w:p w:rsidR="001D1D3C" w:rsidP="003C7C97" w:rsidRDefault="001D1D3C" w14:paraId="6CDB357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1F320C6"/>
    <w:rsid w:val="036D941C"/>
    <w:rsid w:val="037555D6"/>
    <w:rsid w:val="05486948"/>
    <w:rsid w:val="0BF8C8F3"/>
    <w:rsid w:val="0D4C3FBC"/>
    <w:rsid w:val="10DC895A"/>
    <w:rsid w:val="1115CE22"/>
    <w:rsid w:val="11CECBE2"/>
    <w:rsid w:val="11D57D58"/>
    <w:rsid w:val="1395C823"/>
    <w:rsid w:val="13C12B06"/>
    <w:rsid w:val="1EB8B93F"/>
    <w:rsid w:val="1ED9A138"/>
    <w:rsid w:val="20E573E1"/>
    <w:rsid w:val="2263ED74"/>
    <w:rsid w:val="231E351F"/>
    <w:rsid w:val="2361E3B6"/>
    <w:rsid w:val="2E092899"/>
    <w:rsid w:val="3161AA64"/>
    <w:rsid w:val="3932768A"/>
    <w:rsid w:val="3981F118"/>
    <w:rsid w:val="3B610D62"/>
    <w:rsid w:val="412B0098"/>
    <w:rsid w:val="42C8B70C"/>
    <w:rsid w:val="43D0507B"/>
    <w:rsid w:val="459BD913"/>
    <w:rsid w:val="47224ECF"/>
    <w:rsid w:val="4723B01C"/>
    <w:rsid w:val="4D928621"/>
    <w:rsid w:val="507562ED"/>
    <w:rsid w:val="510BEEF4"/>
    <w:rsid w:val="54502ED3"/>
    <w:rsid w:val="580ECA49"/>
    <w:rsid w:val="5884DF4F"/>
    <w:rsid w:val="58C29673"/>
    <w:rsid w:val="5CE2B254"/>
    <w:rsid w:val="5DE873B2"/>
    <w:rsid w:val="62A66AE8"/>
    <w:rsid w:val="6A7FCA6C"/>
    <w:rsid w:val="6F2989B1"/>
    <w:rsid w:val="75B1D8DE"/>
    <w:rsid w:val="7A74D1C6"/>
    <w:rsid w:val="7AAA4B98"/>
    <w:rsid w:val="7AD240D4"/>
    <w:rsid w:val="7C412395"/>
    <w:rsid w:val="7D63E5A8"/>
    <w:rsid w:val="7D8074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Mary Ero (2539105)</lastModifiedBy>
  <revision>153</revision>
  <dcterms:created xsi:type="dcterms:W3CDTF">2025-06-26T13:37:00.0000000Z</dcterms:created>
  <dcterms:modified xsi:type="dcterms:W3CDTF">2026-07-22T23:52:06.5456985Z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