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C442E" w14:textId="3E0E09B4" w:rsidR="00AC3682" w:rsidRPr="00AE297F" w:rsidRDefault="00D24D41" w:rsidP="00D24D41">
      <w:pPr>
        <w:rPr>
          <w:rFonts w:ascii="Arial" w:hAnsi="Arial" w:cs="Arial"/>
          <w:b/>
          <w:bCs/>
          <w:sz w:val="40"/>
          <w:szCs w:val="40"/>
        </w:rPr>
      </w:pPr>
      <w:r>
        <w:rPr>
          <w:b/>
          <w:bCs/>
          <w:noProof/>
          <w:sz w:val="40"/>
          <w:szCs w:val="40"/>
        </w:rPr>
        <w:drawing>
          <wp:inline distT="0" distB="0" distL="0" distR="0" wp14:anchorId="12808633" wp14:editId="6D63C51A">
            <wp:extent cx="1516380" cy="1516380"/>
            <wp:effectExtent l="0" t="0" r="7620" b="7620"/>
            <wp:docPr id="103038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8314" name="Picture 103038314"/>
                    <pic:cNvPicPr/>
                  </pic:nvPicPr>
                  <pic:blipFill>
                    <a:blip r:embed="rId7">
                      <a:extLst>
                        <a:ext uri="{28A0092B-C50C-407E-A947-70E740481C1C}">
                          <a14:useLocalDpi xmlns:a14="http://schemas.microsoft.com/office/drawing/2010/main" val="0"/>
                        </a:ext>
                      </a:extLst>
                    </a:blip>
                    <a:stretch>
                      <a:fillRect/>
                    </a:stretch>
                  </pic:blipFill>
                  <pic:spPr>
                    <a:xfrm>
                      <a:off x="0" y="0"/>
                      <a:ext cx="1516380" cy="1516380"/>
                    </a:xfrm>
                    <a:prstGeom prst="rect">
                      <a:avLst/>
                    </a:prstGeom>
                  </pic:spPr>
                </pic:pic>
              </a:graphicData>
            </a:graphic>
          </wp:inline>
        </w:drawing>
      </w:r>
      <w:r>
        <w:rPr>
          <w:b/>
          <w:bCs/>
          <w:sz w:val="40"/>
          <w:szCs w:val="40"/>
        </w:rPr>
        <w:t xml:space="preserve">             </w:t>
      </w:r>
      <w:r w:rsidRPr="00AE297F">
        <w:rPr>
          <w:rFonts w:ascii="Arial" w:hAnsi="Arial" w:cs="Arial"/>
          <w:b/>
          <w:bCs/>
          <w:sz w:val="40"/>
          <w:szCs w:val="40"/>
        </w:rPr>
        <w:t>LCLM 5005</w:t>
      </w:r>
    </w:p>
    <w:p w14:paraId="5BA4DF47" w14:textId="77777777" w:rsidR="00D24D41" w:rsidRPr="00AE297F" w:rsidRDefault="00D24D41" w:rsidP="00D24D41">
      <w:pPr>
        <w:jc w:val="center"/>
        <w:rPr>
          <w:rFonts w:ascii="Arial" w:hAnsi="Arial" w:cs="Arial"/>
          <w:b/>
          <w:bCs/>
          <w:sz w:val="40"/>
          <w:szCs w:val="40"/>
        </w:rPr>
      </w:pPr>
    </w:p>
    <w:p w14:paraId="44DAC5DD" w14:textId="2D688910" w:rsidR="00D24D41" w:rsidRPr="00AE297F" w:rsidRDefault="00D24D41" w:rsidP="00D24D41">
      <w:pPr>
        <w:jc w:val="center"/>
        <w:rPr>
          <w:rFonts w:ascii="Arial" w:hAnsi="Arial" w:cs="Arial"/>
          <w:b/>
          <w:bCs/>
          <w:sz w:val="40"/>
          <w:szCs w:val="40"/>
        </w:rPr>
      </w:pPr>
      <w:r w:rsidRPr="00AE297F">
        <w:rPr>
          <w:rFonts w:ascii="Arial" w:hAnsi="Arial" w:cs="Arial"/>
          <w:b/>
          <w:bCs/>
          <w:sz w:val="40"/>
          <w:szCs w:val="40"/>
        </w:rPr>
        <w:t>Organisational Culture</w:t>
      </w:r>
    </w:p>
    <w:p w14:paraId="2E9833B9" w14:textId="2A84B6C0" w:rsidR="00D24D41" w:rsidRPr="00AE297F" w:rsidRDefault="00D24D41" w:rsidP="00D24D41">
      <w:pPr>
        <w:jc w:val="center"/>
        <w:rPr>
          <w:rFonts w:ascii="Arial" w:hAnsi="Arial" w:cs="Arial"/>
          <w:b/>
          <w:bCs/>
          <w:sz w:val="40"/>
          <w:szCs w:val="40"/>
        </w:rPr>
      </w:pPr>
      <w:r w:rsidRPr="00AE297F">
        <w:rPr>
          <w:rFonts w:ascii="Arial" w:hAnsi="Arial" w:cs="Arial"/>
          <w:b/>
          <w:bCs/>
          <w:sz w:val="40"/>
          <w:szCs w:val="40"/>
        </w:rPr>
        <w:t>BA (Hons) Leadership and Management Skills for the Workplace</w:t>
      </w:r>
    </w:p>
    <w:p w14:paraId="01B585F6" w14:textId="77777777" w:rsidR="00D24D41" w:rsidRPr="00AE297F" w:rsidRDefault="00D24D41" w:rsidP="00D24D41">
      <w:pPr>
        <w:jc w:val="center"/>
        <w:rPr>
          <w:rFonts w:ascii="Arial" w:hAnsi="Arial" w:cs="Arial"/>
          <w:b/>
          <w:bCs/>
          <w:sz w:val="40"/>
          <w:szCs w:val="40"/>
        </w:rPr>
      </w:pPr>
    </w:p>
    <w:p w14:paraId="5604D699" w14:textId="3F379CDC" w:rsidR="00D24D41" w:rsidRPr="00AE297F" w:rsidRDefault="00D24D41" w:rsidP="00D24D41">
      <w:pPr>
        <w:jc w:val="center"/>
        <w:rPr>
          <w:rFonts w:ascii="Arial" w:hAnsi="Arial" w:cs="Arial"/>
          <w:b/>
          <w:bCs/>
          <w:sz w:val="40"/>
          <w:szCs w:val="40"/>
        </w:rPr>
      </w:pPr>
      <w:r w:rsidRPr="00AE297F">
        <w:rPr>
          <w:rFonts w:ascii="Arial" w:hAnsi="Arial" w:cs="Arial"/>
          <w:b/>
          <w:bCs/>
          <w:sz w:val="40"/>
          <w:szCs w:val="40"/>
        </w:rPr>
        <w:t>Component 1-Invidividual Report-Organisation: Toyota</w:t>
      </w:r>
    </w:p>
    <w:p w14:paraId="6D30CE0C" w14:textId="77777777" w:rsidR="00D24D41" w:rsidRPr="00AE297F" w:rsidRDefault="00D24D41" w:rsidP="00D24D41">
      <w:pPr>
        <w:jc w:val="center"/>
        <w:rPr>
          <w:rFonts w:ascii="Arial" w:hAnsi="Arial" w:cs="Arial"/>
          <w:b/>
          <w:bCs/>
          <w:sz w:val="40"/>
          <w:szCs w:val="40"/>
        </w:rPr>
      </w:pPr>
    </w:p>
    <w:p w14:paraId="1366ABC6" w14:textId="77777777" w:rsidR="00D24D41" w:rsidRPr="00AE297F" w:rsidRDefault="00D24D41" w:rsidP="00D24D41">
      <w:pPr>
        <w:jc w:val="center"/>
        <w:rPr>
          <w:rFonts w:ascii="Arial" w:hAnsi="Arial" w:cs="Arial"/>
          <w:b/>
          <w:bCs/>
          <w:sz w:val="40"/>
          <w:szCs w:val="40"/>
        </w:rPr>
      </w:pPr>
    </w:p>
    <w:p w14:paraId="63366DC4" w14:textId="77777777" w:rsidR="00D24D41" w:rsidRPr="00AE297F" w:rsidRDefault="00D24D41" w:rsidP="00D24D41">
      <w:pPr>
        <w:jc w:val="center"/>
        <w:rPr>
          <w:rFonts w:ascii="Arial" w:hAnsi="Arial" w:cs="Arial"/>
          <w:b/>
          <w:bCs/>
          <w:sz w:val="40"/>
          <w:szCs w:val="40"/>
        </w:rPr>
      </w:pPr>
    </w:p>
    <w:p w14:paraId="28E9B550" w14:textId="77777777" w:rsidR="00D24D41" w:rsidRPr="00AE297F" w:rsidRDefault="00D24D41" w:rsidP="00D24D41">
      <w:pPr>
        <w:jc w:val="center"/>
        <w:rPr>
          <w:rFonts w:ascii="Arial" w:hAnsi="Arial" w:cs="Arial"/>
          <w:b/>
          <w:bCs/>
          <w:sz w:val="40"/>
          <w:szCs w:val="40"/>
        </w:rPr>
      </w:pPr>
    </w:p>
    <w:p w14:paraId="3E97FF82" w14:textId="77777777" w:rsidR="00D24D41" w:rsidRPr="00AE297F" w:rsidRDefault="00D24D41" w:rsidP="00D24D41">
      <w:pPr>
        <w:jc w:val="center"/>
        <w:rPr>
          <w:rFonts w:ascii="Arial" w:hAnsi="Arial" w:cs="Arial"/>
          <w:b/>
          <w:bCs/>
          <w:sz w:val="40"/>
          <w:szCs w:val="40"/>
        </w:rPr>
      </w:pPr>
    </w:p>
    <w:p w14:paraId="5DB3709E" w14:textId="77777777" w:rsidR="00D24D41" w:rsidRPr="00AE297F" w:rsidRDefault="00D24D41" w:rsidP="00D24D41">
      <w:pPr>
        <w:jc w:val="center"/>
        <w:rPr>
          <w:rFonts w:ascii="Arial" w:hAnsi="Arial" w:cs="Arial"/>
          <w:b/>
          <w:bCs/>
          <w:sz w:val="40"/>
          <w:szCs w:val="40"/>
        </w:rPr>
      </w:pPr>
    </w:p>
    <w:p w14:paraId="532B635D" w14:textId="37E2F129" w:rsidR="00D24D41" w:rsidRPr="00AE297F" w:rsidRDefault="00D24D41" w:rsidP="00D24D41">
      <w:pPr>
        <w:jc w:val="right"/>
        <w:rPr>
          <w:rFonts w:ascii="Arial" w:hAnsi="Arial" w:cs="Arial"/>
          <w:b/>
          <w:bCs/>
          <w:sz w:val="40"/>
          <w:szCs w:val="40"/>
        </w:rPr>
      </w:pPr>
      <w:r w:rsidRPr="00AE297F">
        <w:rPr>
          <w:rFonts w:ascii="Arial" w:hAnsi="Arial" w:cs="Arial"/>
          <w:b/>
          <w:bCs/>
          <w:sz w:val="40"/>
          <w:szCs w:val="40"/>
        </w:rPr>
        <w:t>Student: Marinela Matei</w:t>
      </w:r>
    </w:p>
    <w:p w14:paraId="26D66EFF" w14:textId="13F8BAB2" w:rsidR="00D24D41" w:rsidRPr="00AE297F" w:rsidRDefault="00D24D41" w:rsidP="00F5635B">
      <w:pPr>
        <w:jc w:val="right"/>
        <w:rPr>
          <w:rFonts w:ascii="Arial" w:hAnsi="Arial" w:cs="Arial"/>
          <w:b/>
          <w:bCs/>
          <w:sz w:val="40"/>
          <w:szCs w:val="40"/>
        </w:rPr>
      </w:pPr>
      <w:r w:rsidRPr="00AE297F">
        <w:rPr>
          <w:rFonts w:ascii="Arial" w:hAnsi="Arial" w:cs="Arial"/>
          <w:b/>
          <w:bCs/>
          <w:sz w:val="40"/>
          <w:szCs w:val="40"/>
        </w:rPr>
        <w:t>ID:</w:t>
      </w:r>
      <w:r w:rsidR="00F5635B" w:rsidRPr="00F5635B">
        <w:rPr>
          <w:rFonts w:ascii="Corbel" w:eastAsiaTheme="minorEastAsia" w:hAnsi="Corbel"/>
          <w:color w:val="FFFFFF"/>
          <w:kern w:val="24"/>
          <w:sz w:val="36"/>
          <w:szCs w:val="36"/>
          <w:lang w:eastAsia="en-GB"/>
          <w14:ligatures w14:val="none"/>
        </w:rPr>
        <w:t xml:space="preserve"> </w:t>
      </w:r>
      <w:r w:rsidR="00F5635B" w:rsidRPr="00F5635B">
        <w:rPr>
          <w:rFonts w:ascii="Arial" w:hAnsi="Arial" w:cs="Arial"/>
          <w:b/>
          <w:bCs/>
          <w:sz w:val="40"/>
          <w:szCs w:val="40"/>
        </w:rPr>
        <w:t>2409688</w:t>
      </w:r>
    </w:p>
    <w:p w14:paraId="0FE55792" w14:textId="5176FE51" w:rsidR="00D24D41" w:rsidRPr="00AE297F" w:rsidRDefault="00D24D41" w:rsidP="00D24D41">
      <w:pPr>
        <w:jc w:val="right"/>
        <w:rPr>
          <w:rFonts w:ascii="Arial" w:hAnsi="Arial" w:cs="Arial"/>
          <w:b/>
          <w:bCs/>
          <w:sz w:val="40"/>
          <w:szCs w:val="40"/>
        </w:rPr>
      </w:pPr>
      <w:r w:rsidRPr="00AE297F">
        <w:rPr>
          <w:rFonts w:ascii="Arial" w:hAnsi="Arial" w:cs="Arial"/>
          <w:b/>
          <w:bCs/>
          <w:sz w:val="40"/>
          <w:szCs w:val="40"/>
        </w:rPr>
        <w:t>Lecturer:</w:t>
      </w:r>
      <w:r w:rsidR="00E430CF" w:rsidRPr="00E430CF">
        <w:t xml:space="preserve"> </w:t>
      </w:r>
      <w:r w:rsidR="00E430CF" w:rsidRPr="00E430CF">
        <w:rPr>
          <w:rFonts w:ascii="Arial" w:hAnsi="Arial" w:cs="Arial"/>
          <w:b/>
          <w:bCs/>
          <w:sz w:val="40"/>
          <w:szCs w:val="40"/>
        </w:rPr>
        <w:t>Ibrahim Rufai</w:t>
      </w:r>
    </w:p>
    <w:p w14:paraId="2D41AFDA" w14:textId="77777777" w:rsidR="00D24D41" w:rsidRDefault="00D24D41" w:rsidP="00D24D41">
      <w:pPr>
        <w:jc w:val="right"/>
        <w:rPr>
          <w:b/>
          <w:bCs/>
          <w:sz w:val="40"/>
          <w:szCs w:val="40"/>
        </w:rPr>
      </w:pPr>
    </w:p>
    <w:p w14:paraId="4FB415A3" w14:textId="74DFB437" w:rsidR="00D24D41" w:rsidRPr="00AE297F" w:rsidRDefault="00D24D41" w:rsidP="00D24D41">
      <w:pPr>
        <w:jc w:val="center"/>
        <w:rPr>
          <w:rFonts w:ascii="Arial" w:hAnsi="Arial" w:cs="Arial"/>
          <w:b/>
          <w:bCs/>
          <w:sz w:val="40"/>
          <w:szCs w:val="40"/>
          <w:u w:val="single"/>
        </w:rPr>
      </w:pPr>
      <w:r w:rsidRPr="00AE297F">
        <w:rPr>
          <w:rFonts w:ascii="Arial" w:hAnsi="Arial" w:cs="Arial"/>
          <w:b/>
          <w:bCs/>
          <w:sz w:val="40"/>
          <w:szCs w:val="40"/>
          <w:u w:val="single"/>
        </w:rPr>
        <w:lastRenderedPageBreak/>
        <w:t>Table of Contents</w:t>
      </w:r>
    </w:p>
    <w:p w14:paraId="7A683DB1" w14:textId="77777777" w:rsidR="00AE297F" w:rsidRPr="00AE297F" w:rsidRDefault="00AE297F" w:rsidP="00D24D41">
      <w:pPr>
        <w:jc w:val="center"/>
        <w:rPr>
          <w:rFonts w:ascii="Arial" w:hAnsi="Arial" w:cs="Arial"/>
          <w:b/>
          <w:bCs/>
          <w:sz w:val="40"/>
          <w:szCs w:val="40"/>
          <w:u w:val="single"/>
        </w:rPr>
      </w:pPr>
    </w:p>
    <w:p w14:paraId="4D7CB9CB" w14:textId="0A2CE0C3" w:rsidR="00D24D41" w:rsidRPr="00AE297F" w:rsidRDefault="00D24D41" w:rsidP="00AE297F">
      <w:pPr>
        <w:spacing w:line="360" w:lineRule="auto"/>
        <w:rPr>
          <w:rFonts w:ascii="Arial" w:hAnsi="Arial" w:cs="Arial"/>
          <w:b/>
          <w:bCs/>
          <w:sz w:val="40"/>
          <w:szCs w:val="40"/>
          <w:u w:val="single"/>
        </w:rPr>
      </w:pPr>
      <w:r w:rsidRPr="00AE297F">
        <w:rPr>
          <w:rFonts w:ascii="Arial" w:hAnsi="Arial" w:cs="Arial"/>
          <w:b/>
          <w:bCs/>
          <w:sz w:val="40"/>
          <w:szCs w:val="40"/>
          <w:u w:val="single"/>
        </w:rPr>
        <w:t>Contents</w:t>
      </w:r>
      <w:r w:rsidRPr="00AE297F">
        <w:rPr>
          <w:rFonts w:ascii="Arial" w:hAnsi="Arial" w:cs="Arial"/>
          <w:b/>
          <w:bCs/>
          <w:sz w:val="40"/>
          <w:szCs w:val="40"/>
        </w:rPr>
        <w:t xml:space="preserve">                                         </w:t>
      </w:r>
      <w:r w:rsidRPr="00AE297F">
        <w:rPr>
          <w:rFonts w:ascii="Arial" w:hAnsi="Arial" w:cs="Arial"/>
          <w:b/>
          <w:bCs/>
          <w:sz w:val="40"/>
          <w:szCs w:val="40"/>
          <w:u w:val="single"/>
        </w:rPr>
        <w:t>Page number</w:t>
      </w:r>
    </w:p>
    <w:p w14:paraId="0F1D0ADB" w14:textId="13257C52" w:rsidR="00D24D41" w:rsidRPr="00AE297F" w:rsidRDefault="00D24D41" w:rsidP="00AE297F">
      <w:pPr>
        <w:spacing w:line="360" w:lineRule="auto"/>
        <w:rPr>
          <w:rFonts w:ascii="Arial" w:hAnsi="Arial" w:cs="Arial"/>
          <w:sz w:val="24"/>
          <w:szCs w:val="24"/>
        </w:rPr>
      </w:pPr>
      <w:r w:rsidRPr="00AE297F">
        <w:rPr>
          <w:rFonts w:ascii="Arial" w:hAnsi="Arial" w:cs="Arial"/>
          <w:sz w:val="24"/>
          <w:szCs w:val="24"/>
        </w:rPr>
        <w:t xml:space="preserve">Introduction                                              </w:t>
      </w:r>
      <w:r w:rsidR="00AE297F">
        <w:rPr>
          <w:rFonts w:ascii="Arial" w:hAnsi="Arial" w:cs="Arial"/>
          <w:sz w:val="24"/>
          <w:szCs w:val="24"/>
        </w:rPr>
        <w:t xml:space="preserve">        </w:t>
      </w:r>
      <w:r w:rsidRPr="00AE297F">
        <w:rPr>
          <w:rFonts w:ascii="Arial" w:hAnsi="Arial" w:cs="Arial"/>
          <w:sz w:val="24"/>
          <w:szCs w:val="24"/>
        </w:rPr>
        <w:t xml:space="preserve">                                        </w:t>
      </w:r>
      <w:r w:rsidR="00AE297F" w:rsidRPr="00AE297F">
        <w:rPr>
          <w:rFonts w:ascii="Arial" w:hAnsi="Arial" w:cs="Arial"/>
          <w:sz w:val="24"/>
          <w:szCs w:val="24"/>
        </w:rPr>
        <w:t xml:space="preserve">   </w:t>
      </w:r>
      <w:r w:rsidRPr="00AE297F">
        <w:rPr>
          <w:rFonts w:ascii="Arial" w:hAnsi="Arial" w:cs="Arial"/>
          <w:sz w:val="24"/>
          <w:szCs w:val="24"/>
        </w:rPr>
        <w:t xml:space="preserve">           3</w:t>
      </w:r>
    </w:p>
    <w:p w14:paraId="1616F2E5" w14:textId="51304676" w:rsidR="00D24D41" w:rsidRPr="00AE297F" w:rsidRDefault="00D24D41" w:rsidP="00AE297F">
      <w:pPr>
        <w:spacing w:line="360" w:lineRule="auto"/>
        <w:rPr>
          <w:rFonts w:ascii="Arial" w:hAnsi="Arial" w:cs="Arial"/>
          <w:sz w:val="24"/>
          <w:szCs w:val="24"/>
        </w:rPr>
      </w:pPr>
      <w:r w:rsidRPr="00AE297F">
        <w:rPr>
          <w:rFonts w:ascii="Arial" w:hAnsi="Arial" w:cs="Arial"/>
          <w:sz w:val="24"/>
          <w:szCs w:val="24"/>
        </w:rPr>
        <w:t>Influence of Organisational Culture on Structure and Decision-Ma</w:t>
      </w:r>
      <w:r w:rsidR="00AE297F">
        <w:rPr>
          <w:rFonts w:ascii="Arial" w:hAnsi="Arial" w:cs="Arial"/>
          <w:sz w:val="24"/>
          <w:szCs w:val="24"/>
        </w:rPr>
        <w:t>king</w:t>
      </w:r>
      <w:r w:rsidRPr="00AE297F">
        <w:rPr>
          <w:rFonts w:ascii="Arial" w:hAnsi="Arial" w:cs="Arial"/>
          <w:sz w:val="24"/>
          <w:szCs w:val="24"/>
        </w:rPr>
        <w:t xml:space="preserve">          </w:t>
      </w:r>
      <w:r w:rsidR="00AE297F" w:rsidRPr="00AE297F">
        <w:rPr>
          <w:rFonts w:ascii="Arial" w:hAnsi="Arial" w:cs="Arial"/>
          <w:sz w:val="24"/>
          <w:szCs w:val="24"/>
        </w:rPr>
        <w:t xml:space="preserve">   </w:t>
      </w:r>
      <w:r w:rsidRPr="00AE297F">
        <w:rPr>
          <w:rFonts w:ascii="Arial" w:hAnsi="Arial" w:cs="Arial"/>
          <w:sz w:val="24"/>
          <w:szCs w:val="24"/>
        </w:rPr>
        <w:t xml:space="preserve">   3</w:t>
      </w:r>
    </w:p>
    <w:p w14:paraId="1BE589A3" w14:textId="20756C6C" w:rsidR="00D24D41" w:rsidRPr="00AE297F" w:rsidRDefault="00D24D41" w:rsidP="00AE297F">
      <w:pPr>
        <w:spacing w:line="360" w:lineRule="auto"/>
        <w:rPr>
          <w:rFonts w:ascii="Arial" w:hAnsi="Arial" w:cs="Arial"/>
          <w:sz w:val="24"/>
          <w:szCs w:val="24"/>
        </w:rPr>
      </w:pPr>
      <w:r w:rsidRPr="00AE297F">
        <w:rPr>
          <w:rFonts w:ascii="Arial" w:hAnsi="Arial" w:cs="Arial"/>
          <w:sz w:val="24"/>
          <w:szCs w:val="24"/>
        </w:rPr>
        <w:t xml:space="preserve">Application of Cultural Models and Identification of Culture                            </w:t>
      </w:r>
      <w:r w:rsidR="00AE297F" w:rsidRPr="00AE297F">
        <w:rPr>
          <w:rFonts w:ascii="Arial" w:hAnsi="Arial" w:cs="Arial"/>
          <w:sz w:val="24"/>
          <w:szCs w:val="24"/>
        </w:rPr>
        <w:t xml:space="preserve">  </w:t>
      </w:r>
      <w:r w:rsidRPr="00AE297F">
        <w:rPr>
          <w:rFonts w:ascii="Arial" w:hAnsi="Arial" w:cs="Arial"/>
          <w:sz w:val="24"/>
          <w:szCs w:val="24"/>
        </w:rPr>
        <w:t xml:space="preserve">    4</w:t>
      </w:r>
    </w:p>
    <w:p w14:paraId="2C29E1AB" w14:textId="479E7357" w:rsidR="00D24D41" w:rsidRPr="00AE297F" w:rsidRDefault="00D24D41" w:rsidP="00AE297F">
      <w:pPr>
        <w:spacing w:line="360" w:lineRule="auto"/>
        <w:rPr>
          <w:rFonts w:ascii="Arial" w:hAnsi="Arial" w:cs="Arial"/>
          <w:sz w:val="24"/>
          <w:szCs w:val="24"/>
        </w:rPr>
      </w:pPr>
      <w:r w:rsidRPr="00AE297F">
        <w:rPr>
          <w:rFonts w:ascii="Arial" w:hAnsi="Arial" w:cs="Arial"/>
          <w:sz w:val="24"/>
          <w:szCs w:val="24"/>
        </w:rPr>
        <w:t xml:space="preserve">Culture and Adaptation to External Environment                                           </w:t>
      </w:r>
      <w:r w:rsidR="00AE297F" w:rsidRPr="00AE297F">
        <w:rPr>
          <w:rFonts w:ascii="Arial" w:hAnsi="Arial" w:cs="Arial"/>
          <w:sz w:val="24"/>
          <w:szCs w:val="24"/>
        </w:rPr>
        <w:t xml:space="preserve">  </w:t>
      </w:r>
      <w:r w:rsidRPr="00AE297F">
        <w:rPr>
          <w:rFonts w:ascii="Arial" w:hAnsi="Arial" w:cs="Arial"/>
          <w:sz w:val="24"/>
          <w:szCs w:val="24"/>
        </w:rPr>
        <w:t xml:space="preserve">     5</w:t>
      </w:r>
    </w:p>
    <w:p w14:paraId="426E1863" w14:textId="154FBB2B" w:rsidR="00D24D41" w:rsidRPr="00AE297F" w:rsidRDefault="00D24D41" w:rsidP="00AE297F">
      <w:pPr>
        <w:spacing w:line="360" w:lineRule="auto"/>
        <w:rPr>
          <w:rFonts w:ascii="Arial" w:hAnsi="Arial" w:cs="Arial"/>
          <w:sz w:val="24"/>
          <w:szCs w:val="24"/>
        </w:rPr>
      </w:pPr>
      <w:r w:rsidRPr="00AE297F">
        <w:rPr>
          <w:rFonts w:ascii="Arial" w:hAnsi="Arial" w:cs="Arial"/>
          <w:sz w:val="24"/>
          <w:szCs w:val="24"/>
        </w:rPr>
        <w:t xml:space="preserve">Culture as a Barrier or Enabler                                                                       </w:t>
      </w:r>
      <w:r w:rsidR="00AE297F" w:rsidRPr="00AE297F">
        <w:rPr>
          <w:rFonts w:ascii="Arial" w:hAnsi="Arial" w:cs="Arial"/>
          <w:sz w:val="24"/>
          <w:szCs w:val="24"/>
        </w:rPr>
        <w:t xml:space="preserve"> </w:t>
      </w:r>
      <w:r w:rsidRPr="00AE297F">
        <w:rPr>
          <w:rFonts w:ascii="Arial" w:hAnsi="Arial" w:cs="Arial"/>
          <w:sz w:val="24"/>
          <w:szCs w:val="24"/>
        </w:rPr>
        <w:t xml:space="preserve">     6</w:t>
      </w:r>
    </w:p>
    <w:p w14:paraId="4FFCD3F4" w14:textId="688C345C" w:rsidR="00D24D41" w:rsidRPr="00AE297F" w:rsidRDefault="00D24D41" w:rsidP="00AE297F">
      <w:pPr>
        <w:spacing w:line="360" w:lineRule="auto"/>
        <w:rPr>
          <w:rFonts w:ascii="Arial" w:hAnsi="Arial" w:cs="Arial"/>
          <w:sz w:val="24"/>
          <w:szCs w:val="24"/>
        </w:rPr>
      </w:pPr>
      <w:r w:rsidRPr="00AE297F">
        <w:rPr>
          <w:rFonts w:ascii="Arial" w:hAnsi="Arial" w:cs="Arial"/>
          <w:sz w:val="24"/>
          <w:szCs w:val="24"/>
        </w:rPr>
        <w:t xml:space="preserve">Impact of Culture on Organisational Performance                      </w:t>
      </w:r>
      <w:r w:rsidR="00AE297F">
        <w:rPr>
          <w:rFonts w:ascii="Arial" w:hAnsi="Arial" w:cs="Arial"/>
          <w:sz w:val="24"/>
          <w:szCs w:val="24"/>
        </w:rPr>
        <w:t xml:space="preserve">  </w:t>
      </w:r>
      <w:r w:rsidRPr="00AE297F">
        <w:rPr>
          <w:rFonts w:ascii="Arial" w:hAnsi="Arial" w:cs="Arial"/>
          <w:sz w:val="24"/>
          <w:szCs w:val="24"/>
        </w:rPr>
        <w:t xml:space="preserve">                       7</w:t>
      </w:r>
    </w:p>
    <w:p w14:paraId="2028C836" w14:textId="530C1D4D" w:rsidR="00D24D41" w:rsidRPr="00AE297F" w:rsidRDefault="00AE297F" w:rsidP="00AE297F">
      <w:pPr>
        <w:spacing w:line="360" w:lineRule="auto"/>
        <w:rPr>
          <w:rFonts w:ascii="Arial" w:hAnsi="Arial" w:cs="Arial"/>
          <w:sz w:val="24"/>
          <w:szCs w:val="24"/>
        </w:rPr>
      </w:pPr>
      <w:r w:rsidRPr="00AE297F">
        <w:rPr>
          <w:rFonts w:ascii="Arial" w:hAnsi="Arial" w:cs="Arial"/>
          <w:sz w:val="24"/>
          <w:szCs w:val="24"/>
        </w:rPr>
        <w:t xml:space="preserve">Recommendations                                                 </w:t>
      </w:r>
      <w:r>
        <w:rPr>
          <w:rFonts w:ascii="Arial" w:hAnsi="Arial" w:cs="Arial"/>
          <w:sz w:val="24"/>
          <w:szCs w:val="24"/>
        </w:rPr>
        <w:t xml:space="preserve">   </w:t>
      </w:r>
      <w:r w:rsidRPr="00AE297F">
        <w:rPr>
          <w:rFonts w:ascii="Arial" w:hAnsi="Arial" w:cs="Arial"/>
          <w:sz w:val="24"/>
          <w:szCs w:val="24"/>
        </w:rPr>
        <w:t xml:space="preserve">                                            8</w:t>
      </w:r>
    </w:p>
    <w:p w14:paraId="239D651A" w14:textId="1072F9C4" w:rsidR="00AE297F" w:rsidRPr="00AE297F" w:rsidRDefault="00AE297F" w:rsidP="00AE297F">
      <w:pPr>
        <w:spacing w:line="360" w:lineRule="auto"/>
        <w:rPr>
          <w:rFonts w:ascii="Arial" w:hAnsi="Arial" w:cs="Arial"/>
          <w:sz w:val="24"/>
          <w:szCs w:val="24"/>
        </w:rPr>
      </w:pPr>
      <w:r w:rsidRPr="00AE297F">
        <w:rPr>
          <w:rFonts w:ascii="Arial" w:hAnsi="Arial" w:cs="Arial"/>
          <w:sz w:val="24"/>
          <w:szCs w:val="24"/>
        </w:rPr>
        <w:t>Conclusion                                                                                                            9</w:t>
      </w:r>
    </w:p>
    <w:p w14:paraId="3309CFA0" w14:textId="37715DC9" w:rsidR="00AE297F" w:rsidRPr="00AE297F" w:rsidRDefault="00AE297F" w:rsidP="00AE297F">
      <w:pPr>
        <w:spacing w:line="360" w:lineRule="auto"/>
        <w:rPr>
          <w:rFonts w:ascii="Arial" w:hAnsi="Arial" w:cs="Arial"/>
          <w:sz w:val="24"/>
          <w:szCs w:val="24"/>
        </w:rPr>
      </w:pPr>
      <w:r w:rsidRPr="00AE297F">
        <w:rPr>
          <w:rFonts w:ascii="Arial" w:hAnsi="Arial" w:cs="Arial"/>
          <w:sz w:val="24"/>
          <w:szCs w:val="24"/>
        </w:rPr>
        <w:t xml:space="preserve">References                                           </w:t>
      </w:r>
      <w:r>
        <w:rPr>
          <w:rFonts w:ascii="Arial" w:hAnsi="Arial" w:cs="Arial"/>
          <w:sz w:val="24"/>
          <w:szCs w:val="24"/>
        </w:rPr>
        <w:t xml:space="preserve">     </w:t>
      </w:r>
      <w:r w:rsidRPr="00AE297F">
        <w:rPr>
          <w:rFonts w:ascii="Arial" w:hAnsi="Arial" w:cs="Arial"/>
          <w:sz w:val="24"/>
          <w:szCs w:val="24"/>
        </w:rPr>
        <w:t xml:space="preserve">                                                           10</w:t>
      </w:r>
    </w:p>
    <w:p w14:paraId="6874CE4D" w14:textId="77777777" w:rsidR="00AE297F" w:rsidRDefault="00AE297F" w:rsidP="00AE297F">
      <w:pPr>
        <w:spacing w:line="360" w:lineRule="auto"/>
        <w:rPr>
          <w:sz w:val="24"/>
          <w:szCs w:val="24"/>
        </w:rPr>
      </w:pPr>
    </w:p>
    <w:p w14:paraId="0593BA92" w14:textId="77777777" w:rsidR="00AE297F" w:rsidRDefault="00AE297F" w:rsidP="00AE297F">
      <w:pPr>
        <w:spacing w:line="360" w:lineRule="auto"/>
        <w:rPr>
          <w:sz w:val="24"/>
          <w:szCs w:val="24"/>
        </w:rPr>
      </w:pPr>
    </w:p>
    <w:p w14:paraId="51DD31C5" w14:textId="77777777" w:rsidR="00AE297F" w:rsidRDefault="00AE297F" w:rsidP="00AE297F">
      <w:pPr>
        <w:spacing w:line="360" w:lineRule="auto"/>
        <w:rPr>
          <w:sz w:val="24"/>
          <w:szCs w:val="24"/>
        </w:rPr>
      </w:pPr>
    </w:p>
    <w:p w14:paraId="657F0E72" w14:textId="77777777" w:rsidR="00AE297F" w:rsidRDefault="00AE297F" w:rsidP="00AE297F">
      <w:pPr>
        <w:spacing w:line="360" w:lineRule="auto"/>
        <w:rPr>
          <w:sz w:val="24"/>
          <w:szCs w:val="24"/>
        </w:rPr>
      </w:pPr>
    </w:p>
    <w:p w14:paraId="5737B865" w14:textId="77777777" w:rsidR="00AE297F" w:rsidRDefault="00AE297F" w:rsidP="00AE297F">
      <w:pPr>
        <w:spacing w:line="360" w:lineRule="auto"/>
        <w:rPr>
          <w:sz w:val="24"/>
          <w:szCs w:val="24"/>
        </w:rPr>
      </w:pPr>
    </w:p>
    <w:p w14:paraId="03CC3A3E" w14:textId="77777777" w:rsidR="00AE297F" w:rsidRDefault="00AE297F" w:rsidP="00AE297F">
      <w:pPr>
        <w:spacing w:line="360" w:lineRule="auto"/>
        <w:rPr>
          <w:sz w:val="24"/>
          <w:szCs w:val="24"/>
        </w:rPr>
      </w:pPr>
    </w:p>
    <w:p w14:paraId="3E1A7F79" w14:textId="77777777" w:rsidR="00AE297F" w:rsidRDefault="00AE297F" w:rsidP="00AE297F">
      <w:pPr>
        <w:spacing w:line="360" w:lineRule="auto"/>
        <w:rPr>
          <w:sz w:val="24"/>
          <w:szCs w:val="24"/>
        </w:rPr>
      </w:pPr>
    </w:p>
    <w:p w14:paraId="232DDF0D" w14:textId="77777777" w:rsidR="00AE297F" w:rsidRDefault="00AE297F" w:rsidP="00AE297F">
      <w:pPr>
        <w:spacing w:line="360" w:lineRule="auto"/>
        <w:rPr>
          <w:sz w:val="24"/>
          <w:szCs w:val="24"/>
        </w:rPr>
      </w:pPr>
    </w:p>
    <w:p w14:paraId="7A1C3669" w14:textId="77777777" w:rsidR="00AE297F" w:rsidRDefault="00AE297F" w:rsidP="00AE297F">
      <w:pPr>
        <w:spacing w:line="360" w:lineRule="auto"/>
        <w:rPr>
          <w:sz w:val="24"/>
          <w:szCs w:val="24"/>
        </w:rPr>
      </w:pPr>
    </w:p>
    <w:p w14:paraId="368AF940" w14:textId="77777777" w:rsidR="00AE297F" w:rsidRDefault="00AE297F" w:rsidP="00AE297F">
      <w:pPr>
        <w:spacing w:line="360" w:lineRule="auto"/>
        <w:rPr>
          <w:sz w:val="24"/>
          <w:szCs w:val="24"/>
        </w:rPr>
      </w:pPr>
    </w:p>
    <w:p w14:paraId="78A28C89" w14:textId="77777777" w:rsidR="00AE297F" w:rsidRDefault="00AE297F" w:rsidP="00AE297F">
      <w:pPr>
        <w:spacing w:line="360" w:lineRule="auto"/>
        <w:rPr>
          <w:sz w:val="24"/>
          <w:szCs w:val="24"/>
        </w:rPr>
      </w:pPr>
    </w:p>
    <w:p w14:paraId="572575A0" w14:textId="77777777" w:rsidR="00AE297F" w:rsidRDefault="00AE297F" w:rsidP="00AE297F">
      <w:pPr>
        <w:spacing w:line="360" w:lineRule="auto"/>
        <w:rPr>
          <w:rFonts w:ascii="Arial" w:hAnsi="Arial" w:cs="Arial"/>
          <w:b/>
          <w:bCs/>
          <w:sz w:val="32"/>
          <w:szCs w:val="32"/>
        </w:rPr>
      </w:pPr>
      <w:r w:rsidRPr="00AE297F">
        <w:rPr>
          <w:rFonts w:ascii="Arial" w:hAnsi="Arial" w:cs="Arial"/>
          <w:b/>
          <w:bCs/>
          <w:sz w:val="32"/>
          <w:szCs w:val="32"/>
        </w:rPr>
        <w:lastRenderedPageBreak/>
        <w:t xml:space="preserve">Introduction </w:t>
      </w:r>
    </w:p>
    <w:p w14:paraId="41D71D11" w14:textId="329CCCE0" w:rsidR="004F42E7" w:rsidRDefault="00AE297F" w:rsidP="00AE297F">
      <w:pPr>
        <w:spacing w:line="360" w:lineRule="auto"/>
        <w:rPr>
          <w:rFonts w:ascii="Arial" w:hAnsi="Arial" w:cs="Arial"/>
          <w:sz w:val="24"/>
          <w:szCs w:val="24"/>
        </w:rPr>
      </w:pPr>
      <w:r w:rsidRPr="00AE297F">
        <w:rPr>
          <w:rFonts w:ascii="Arial" w:hAnsi="Arial" w:cs="Arial"/>
          <w:sz w:val="24"/>
          <w:szCs w:val="24"/>
        </w:rPr>
        <w:t xml:space="preserve">Organizational culture has a significant impact on behaviour, performance, and decision-making in firms. </w:t>
      </w:r>
      <w:r w:rsidR="004F42E7" w:rsidRPr="004F42E7">
        <w:rPr>
          <w:rFonts w:ascii="Arial" w:hAnsi="Arial" w:cs="Arial"/>
          <w:sz w:val="24"/>
          <w:szCs w:val="24"/>
        </w:rPr>
        <w:t xml:space="preserve">According to Mullins and Christy (2016), an organization's culture reflects the common values, norms, and beliefs that guide "how things are done," which has an impact on important organizational functions like motivation, structure, and control mechanisms. Understanding organizational culture has become </w:t>
      </w:r>
      <w:r w:rsidR="004F42E7">
        <w:rPr>
          <w:rFonts w:ascii="Arial" w:hAnsi="Arial" w:cs="Arial"/>
          <w:sz w:val="24"/>
          <w:szCs w:val="24"/>
        </w:rPr>
        <w:t>important</w:t>
      </w:r>
      <w:r w:rsidR="004F42E7" w:rsidRPr="004F42E7">
        <w:rPr>
          <w:rFonts w:ascii="Arial" w:hAnsi="Arial" w:cs="Arial"/>
          <w:sz w:val="24"/>
          <w:szCs w:val="24"/>
        </w:rPr>
        <w:t xml:space="preserve"> for maintaining competitive advantage in increasingly complex and global corporate environments.</w:t>
      </w:r>
    </w:p>
    <w:p w14:paraId="430F889B" w14:textId="77777777" w:rsidR="004F42E7" w:rsidRPr="004F42E7" w:rsidRDefault="004F42E7" w:rsidP="004F42E7">
      <w:pPr>
        <w:spacing w:line="360" w:lineRule="auto"/>
        <w:rPr>
          <w:rFonts w:ascii="Arial" w:hAnsi="Arial" w:cs="Arial"/>
          <w:sz w:val="24"/>
          <w:szCs w:val="24"/>
        </w:rPr>
      </w:pPr>
      <w:r w:rsidRPr="004F42E7">
        <w:rPr>
          <w:rFonts w:ascii="Arial" w:hAnsi="Arial" w:cs="Arial"/>
          <w:sz w:val="24"/>
          <w:szCs w:val="24"/>
        </w:rPr>
        <w:t>This report focuses on Toyota, one of the world’s leading automotive manufacturers, renowned for its distinctive organisational culture rooted in continuous improvement and operational excellence. Toyota provides a particularly relevant case due to its globally recognised Toyota Production System (TPS), which integrates cultural values with operational practices. The purpose of this report is to critically evaluate how organisational culture influences Toyota’s structure and decision-making processes, while also examining how culture can be identified using established theoretical frameworks. Specifically, Schein’s model of organisational culture, Hofstede’s cultural dimensions, and Handy’s cultural typologies are applied to analyse Toyota’s prevailing culture.</w:t>
      </w:r>
    </w:p>
    <w:p w14:paraId="5B3E1EF9" w14:textId="066DB765" w:rsidR="004F42E7" w:rsidRDefault="004F42E7" w:rsidP="00AE297F">
      <w:pPr>
        <w:spacing w:line="360" w:lineRule="auto"/>
        <w:rPr>
          <w:rFonts w:ascii="Arial" w:hAnsi="Arial" w:cs="Arial"/>
          <w:sz w:val="24"/>
          <w:szCs w:val="24"/>
        </w:rPr>
      </w:pPr>
      <w:r>
        <w:rPr>
          <w:rFonts w:ascii="Arial" w:hAnsi="Arial" w:cs="Arial"/>
          <w:sz w:val="24"/>
          <w:szCs w:val="24"/>
        </w:rPr>
        <w:t>The</w:t>
      </w:r>
      <w:r w:rsidRPr="004F42E7">
        <w:rPr>
          <w:rFonts w:ascii="Arial" w:hAnsi="Arial" w:cs="Arial"/>
          <w:sz w:val="24"/>
          <w:szCs w:val="24"/>
        </w:rPr>
        <w:t xml:space="preserve"> report explores how Toyota leverages its culture to respond to external environmental pressures, including technological change and globalisation. It critically assesses whether Toyota’s culture acts as an enabler or barrier to effective organisational functioning and evaluates its impact on organisational performance. The report concludes with evidence-based recommendations aimed at enhancing Toyota’s cultural adaptability and long-term competitiveness.</w:t>
      </w:r>
    </w:p>
    <w:p w14:paraId="0A98D3A1" w14:textId="34D3F126" w:rsidR="00AE297F" w:rsidRDefault="00AE297F" w:rsidP="00AE297F">
      <w:pPr>
        <w:spacing w:line="360" w:lineRule="auto"/>
        <w:rPr>
          <w:rFonts w:ascii="Arial" w:hAnsi="Arial" w:cs="Arial"/>
          <w:b/>
          <w:bCs/>
          <w:sz w:val="32"/>
          <w:szCs w:val="32"/>
        </w:rPr>
      </w:pPr>
      <w:r w:rsidRPr="00AE297F">
        <w:rPr>
          <w:rFonts w:ascii="Arial" w:hAnsi="Arial" w:cs="Arial"/>
          <w:b/>
          <w:bCs/>
          <w:sz w:val="32"/>
          <w:szCs w:val="32"/>
        </w:rPr>
        <w:t xml:space="preserve">Influence of Organisational Culture on Structure and Decision-Making </w:t>
      </w:r>
    </w:p>
    <w:p w14:paraId="2F17936D" w14:textId="45EE5779" w:rsidR="00AB4F1C" w:rsidRPr="00AB4F1C" w:rsidRDefault="007A468C" w:rsidP="00AB4F1C">
      <w:pPr>
        <w:spacing w:line="360" w:lineRule="auto"/>
        <w:rPr>
          <w:rFonts w:ascii="Arial" w:hAnsi="Arial" w:cs="Arial"/>
          <w:sz w:val="24"/>
          <w:szCs w:val="24"/>
        </w:rPr>
      </w:pPr>
      <w:r w:rsidRPr="007A468C">
        <w:rPr>
          <w:rFonts w:ascii="Arial" w:hAnsi="Arial" w:cs="Arial"/>
          <w:sz w:val="24"/>
          <w:szCs w:val="24"/>
        </w:rPr>
        <w:t>Toyota's organizational culture has a significant impact on its decision-making procedures and structural design, determining the allocation of authority</w:t>
      </w:r>
      <w:r w:rsidR="00AB4F1C" w:rsidRPr="00AB4F1C">
        <w:rPr>
          <w:rFonts w:ascii="Arial" w:hAnsi="Arial" w:cs="Arial"/>
          <w:sz w:val="24"/>
          <w:szCs w:val="24"/>
        </w:rPr>
        <w:t xml:space="preserve">, how employees interact, and how strategic choices are made. Rooted in the principles of the Toyota Production System (TPS), particularly continuous improvement (Kaizen) </w:t>
      </w:r>
      <w:r w:rsidR="00AB4F1C" w:rsidRPr="00AB4F1C">
        <w:rPr>
          <w:rFonts w:ascii="Arial" w:hAnsi="Arial" w:cs="Arial"/>
          <w:sz w:val="24"/>
          <w:szCs w:val="24"/>
        </w:rPr>
        <w:lastRenderedPageBreak/>
        <w:t>and respect for people, the organisation has developed a structure that reflects its cultural emphasis on collaboration, efficiency, and long-term thinking (Liker, 2004).</w:t>
      </w:r>
    </w:p>
    <w:p w14:paraId="367F7B63" w14:textId="77777777"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In terms of organisational structure, Toyota adopts a relatively decentralised and team-based approach, which contrasts with traditional hierarchical models. While formal hierarchies still exist, decision-making authority is often delegated to lower levels of the organisation, particularly within production teams. This reflects a culture that values employee involvement and empowerment, encouraging individuals to take responsibility for identifying problems and implementing improvements. Such a structure supports flexibility and responsiveness at an operational level, while maintaining overall strategic control. Mullins and Christy (2016) suggest that culture significantly influences organisational design, and Toyota exemplifies this by aligning its structure with its cultural values of collaboration and continuous improvement.</w:t>
      </w:r>
    </w:p>
    <w:p w14:paraId="53AD670C" w14:textId="35E8EC22"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Toyota’s structure is highly process-oriented, with clearly defined roles, standardised procedures, and strong coordination across functions. This reflects elements of a role culture (Handy, 1993), where stability and efficiency are prioritised. However, the presence of cross-functional teams and problem-solving groups also introduces elements of task culture, enabling innovation and adaptability within a controlled framework. This hybrid structure allows Toyota to balance efficiency with flexibility, although tensions may arise between maintaining standardisation and encouraging creativity.</w:t>
      </w:r>
    </w:p>
    <w:p w14:paraId="3E570848" w14:textId="675A98F0" w:rsidR="00AB4F1C" w:rsidRPr="00AB4F1C" w:rsidRDefault="007A468C" w:rsidP="00AB4F1C">
      <w:pPr>
        <w:spacing w:line="360" w:lineRule="auto"/>
        <w:rPr>
          <w:rFonts w:ascii="Arial" w:hAnsi="Arial" w:cs="Arial"/>
          <w:sz w:val="24"/>
          <w:szCs w:val="24"/>
        </w:rPr>
      </w:pPr>
      <w:r w:rsidRPr="007A468C">
        <w:rPr>
          <w:rFonts w:ascii="Arial" w:hAnsi="Arial" w:cs="Arial"/>
          <w:sz w:val="24"/>
          <w:szCs w:val="24"/>
        </w:rPr>
        <w:t xml:space="preserve">Toyota places a strong focus on group accountability and consensus, which has a significant impact on decision-making. </w:t>
      </w:r>
      <w:r w:rsidR="00AB4F1C" w:rsidRPr="00AB4F1C">
        <w:rPr>
          <w:rFonts w:ascii="Arial" w:hAnsi="Arial" w:cs="Arial"/>
          <w:sz w:val="24"/>
          <w:szCs w:val="24"/>
        </w:rPr>
        <w:t xml:space="preserve">The </w:t>
      </w:r>
      <w:proofErr w:type="spellStart"/>
      <w:r w:rsidR="00AB4F1C" w:rsidRPr="00AB4F1C">
        <w:rPr>
          <w:rFonts w:ascii="Arial" w:hAnsi="Arial" w:cs="Arial"/>
          <w:sz w:val="24"/>
          <w:szCs w:val="24"/>
        </w:rPr>
        <w:t>Nemawashi</w:t>
      </w:r>
      <w:proofErr w:type="spellEnd"/>
      <w:r w:rsidR="00AB4F1C" w:rsidRPr="00AB4F1C">
        <w:rPr>
          <w:rFonts w:ascii="Arial" w:hAnsi="Arial" w:cs="Arial"/>
          <w:sz w:val="24"/>
          <w:szCs w:val="24"/>
        </w:rPr>
        <w:t xml:space="preserve"> process involves extensive consultation and information sharing before decisions are finalised, ensuring that all relevant stakeholders are involved and supportive. This approach reduces the likelihood of conflict and enhances the quality of decisions, as multiple perspectives are considered. It also reflects Hofstede’s (2001) concept of collectivism, where group harmony and consensus are prioritised over individual authority.</w:t>
      </w:r>
    </w:p>
    <w:p w14:paraId="2BE59297" w14:textId="77777777"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 xml:space="preserve">However, while consensus-based decision-making can improve the quality and acceptance of decisions, it may also reduce organisational agility. In fast-paced and highly competitive environments, the time required to reach consensus can delay responses to emerging opportunities or threats. This highlights a potential limitation </w:t>
      </w:r>
      <w:r w:rsidRPr="00AB4F1C">
        <w:rPr>
          <w:rFonts w:ascii="Arial" w:hAnsi="Arial" w:cs="Arial"/>
          <w:sz w:val="24"/>
          <w:szCs w:val="24"/>
        </w:rPr>
        <w:lastRenderedPageBreak/>
        <w:t>of Toyota’s culturally embedded decision-making processes, particularly in industries undergoing rapid technological change.</w:t>
      </w:r>
    </w:p>
    <w:p w14:paraId="21357BEE" w14:textId="43B7A69F"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Toyota’s culture promotes data-driven decision-making, supported by continuous monitoring and evaluation of performance. Employees are encouraged to identify inefficiencies and propose improvements, reinforcing a culture of accountability and learning. This contributes to operational excellence but may also lead to a focus on incremental improvements rather than radical innovation.</w:t>
      </w:r>
    </w:p>
    <w:p w14:paraId="1BE02178" w14:textId="77800C88"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Toyota’s organisational culture strongly shapes its structure and decision-making processes, creating a system that emphasises collaboration, efficiency, and long-term success. While this alignment has been a key factor in the organisation’s global success, it also presents challenges in terms of speed and adaptability, particularly in dynamic business environments.</w:t>
      </w:r>
    </w:p>
    <w:p w14:paraId="625C58B4" w14:textId="77777777" w:rsidR="00AE297F" w:rsidRPr="00AE297F" w:rsidRDefault="00AE297F" w:rsidP="009655AD">
      <w:pPr>
        <w:spacing w:line="360" w:lineRule="auto"/>
        <w:rPr>
          <w:rFonts w:ascii="Arial" w:hAnsi="Arial" w:cs="Arial"/>
          <w:b/>
          <w:bCs/>
          <w:sz w:val="32"/>
          <w:szCs w:val="32"/>
        </w:rPr>
      </w:pPr>
      <w:r w:rsidRPr="00AE297F">
        <w:rPr>
          <w:rFonts w:ascii="Arial" w:hAnsi="Arial" w:cs="Arial"/>
          <w:b/>
          <w:bCs/>
          <w:sz w:val="32"/>
          <w:szCs w:val="32"/>
        </w:rPr>
        <w:t>Application of Cultural Models and Identification of Culture</w:t>
      </w:r>
    </w:p>
    <w:p w14:paraId="0BC3D81F" w14:textId="774343CB" w:rsidR="00AE297F" w:rsidRPr="004F42E7" w:rsidRDefault="00AE297F" w:rsidP="009655AD">
      <w:pPr>
        <w:pStyle w:val="ListParagraph"/>
        <w:numPr>
          <w:ilvl w:val="0"/>
          <w:numId w:val="2"/>
        </w:numPr>
        <w:spacing w:line="360" w:lineRule="auto"/>
        <w:rPr>
          <w:rFonts w:ascii="Arial" w:hAnsi="Arial" w:cs="Arial"/>
          <w:b/>
          <w:bCs/>
          <w:sz w:val="32"/>
          <w:szCs w:val="32"/>
        </w:rPr>
      </w:pPr>
      <w:r w:rsidRPr="004F42E7">
        <w:rPr>
          <w:rFonts w:ascii="Arial" w:hAnsi="Arial" w:cs="Arial"/>
          <w:b/>
          <w:bCs/>
          <w:sz w:val="32"/>
          <w:szCs w:val="32"/>
        </w:rPr>
        <w:t>Schein’s Model of Organisational Culture</w:t>
      </w:r>
    </w:p>
    <w:p w14:paraId="25101428" w14:textId="77777777" w:rsidR="004F42E7" w:rsidRPr="004F42E7" w:rsidRDefault="004F42E7" w:rsidP="009655AD">
      <w:pPr>
        <w:spacing w:line="360" w:lineRule="auto"/>
        <w:rPr>
          <w:rFonts w:ascii="Arial" w:hAnsi="Arial" w:cs="Arial"/>
          <w:sz w:val="24"/>
          <w:szCs w:val="24"/>
        </w:rPr>
      </w:pPr>
      <w:r w:rsidRPr="004F42E7">
        <w:rPr>
          <w:rFonts w:ascii="Arial" w:hAnsi="Arial" w:cs="Arial"/>
          <w:sz w:val="24"/>
          <w:szCs w:val="24"/>
        </w:rPr>
        <w:t>Schein (2010) identifies three levels of culture: artefacts, espoused values, and underlying assumptions.</w:t>
      </w:r>
    </w:p>
    <w:p w14:paraId="06C87AE0" w14:textId="77777777" w:rsidR="007A468C" w:rsidRDefault="00841D52" w:rsidP="00841D52">
      <w:pPr>
        <w:pStyle w:val="ListParagraph"/>
        <w:numPr>
          <w:ilvl w:val="0"/>
          <w:numId w:val="8"/>
        </w:numPr>
        <w:spacing w:line="360" w:lineRule="auto"/>
        <w:rPr>
          <w:rFonts w:ascii="Arial" w:hAnsi="Arial" w:cs="Arial"/>
          <w:sz w:val="24"/>
          <w:szCs w:val="24"/>
        </w:rPr>
      </w:pPr>
      <w:r w:rsidRPr="007A468C">
        <w:rPr>
          <w:rFonts w:ascii="Arial" w:hAnsi="Arial" w:cs="Arial"/>
          <w:b/>
          <w:bCs/>
          <w:sz w:val="24"/>
          <w:szCs w:val="24"/>
        </w:rPr>
        <w:t xml:space="preserve">Artefacts. </w:t>
      </w:r>
      <w:r w:rsidR="007A468C" w:rsidRPr="007A468C">
        <w:rPr>
          <w:rFonts w:ascii="Arial" w:hAnsi="Arial" w:cs="Arial"/>
          <w:sz w:val="24"/>
          <w:szCs w:val="24"/>
        </w:rPr>
        <w:t>These outline any obvious, observable, and characterizable features of the company. Consider topics like workplace design, dress code, policies, tools, and branding and logos. items that are visible.</w:t>
      </w:r>
    </w:p>
    <w:p w14:paraId="28869D1C" w14:textId="77777777" w:rsidR="007A468C" w:rsidRDefault="00841D52" w:rsidP="00841D52">
      <w:pPr>
        <w:pStyle w:val="ListParagraph"/>
        <w:numPr>
          <w:ilvl w:val="0"/>
          <w:numId w:val="8"/>
        </w:numPr>
        <w:spacing w:line="360" w:lineRule="auto"/>
        <w:rPr>
          <w:rFonts w:ascii="Arial" w:hAnsi="Arial" w:cs="Arial"/>
          <w:sz w:val="24"/>
          <w:szCs w:val="24"/>
        </w:rPr>
      </w:pPr>
      <w:r w:rsidRPr="007A468C">
        <w:rPr>
          <w:rFonts w:ascii="Arial" w:hAnsi="Arial" w:cs="Arial"/>
          <w:b/>
          <w:bCs/>
          <w:sz w:val="24"/>
          <w:szCs w:val="24"/>
        </w:rPr>
        <w:t xml:space="preserve">Espoused values. </w:t>
      </w:r>
      <w:r w:rsidR="007A468C" w:rsidRPr="007A468C">
        <w:rPr>
          <w:rFonts w:ascii="Arial" w:hAnsi="Arial" w:cs="Arial"/>
          <w:sz w:val="24"/>
          <w:szCs w:val="24"/>
        </w:rPr>
        <w:t>In present or future terms, this is how people would characterize the organization. These consist of social contracts, missions, objectives, and values.</w:t>
      </w:r>
    </w:p>
    <w:p w14:paraId="3EC0B4CC" w14:textId="7C93A448" w:rsidR="00841D52" w:rsidRPr="007A468C" w:rsidRDefault="00841D52" w:rsidP="00841D52">
      <w:pPr>
        <w:pStyle w:val="ListParagraph"/>
        <w:numPr>
          <w:ilvl w:val="0"/>
          <w:numId w:val="8"/>
        </w:numPr>
        <w:spacing w:line="360" w:lineRule="auto"/>
        <w:rPr>
          <w:rFonts w:ascii="Arial" w:hAnsi="Arial" w:cs="Arial"/>
          <w:sz w:val="24"/>
          <w:szCs w:val="24"/>
        </w:rPr>
      </w:pPr>
      <w:r w:rsidRPr="007A468C">
        <w:rPr>
          <w:rFonts w:ascii="Arial" w:hAnsi="Arial" w:cs="Arial"/>
          <w:b/>
          <w:bCs/>
          <w:sz w:val="24"/>
          <w:szCs w:val="24"/>
        </w:rPr>
        <w:t xml:space="preserve">Underlying assumptions. </w:t>
      </w:r>
      <w:r w:rsidR="007A468C" w:rsidRPr="007A468C">
        <w:rPr>
          <w:rFonts w:ascii="Arial" w:hAnsi="Arial" w:cs="Arial"/>
          <w:sz w:val="24"/>
          <w:szCs w:val="24"/>
        </w:rPr>
        <w:t xml:space="preserve">These are aspects of the organization that are difficult to describe, unspoken, and unconscious, especially from within. They include the organization's "real" but unstated goal of making the owner or shareholders wealthy. to assist the </w:t>
      </w:r>
      <w:r w:rsidR="007A468C" w:rsidRPr="007A468C">
        <w:rPr>
          <w:rFonts w:ascii="Arial" w:hAnsi="Arial" w:cs="Arial"/>
          <w:sz w:val="24"/>
          <w:szCs w:val="24"/>
        </w:rPr>
        <w:t>public</w:t>
      </w:r>
      <w:r w:rsidR="007A468C" w:rsidRPr="007A468C">
        <w:rPr>
          <w:rFonts w:ascii="Arial" w:hAnsi="Arial" w:cs="Arial"/>
          <w:sz w:val="24"/>
          <w:szCs w:val="24"/>
        </w:rPr>
        <w:t>? to provide employment?) and underlying convictions regarding safety, speed, or quality</w:t>
      </w:r>
      <w:r w:rsidRPr="007A468C">
        <w:rPr>
          <w:rFonts w:ascii="Arial" w:hAnsi="Arial" w:cs="Arial"/>
          <w:sz w:val="24"/>
          <w:szCs w:val="24"/>
        </w:rPr>
        <w:t xml:space="preserve"> (Geraghty, 2023).</w:t>
      </w:r>
    </w:p>
    <w:p w14:paraId="59E70DD7" w14:textId="4712FEAB" w:rsidR="004F42E7" w:rsidRPr="00841D52" w:rsidRDefault="004F42E7" w:rsidP="00841D52">
      <w:pPr>
        <w:spacing w:line="360" w:lineRule="auto"/>
        <w:rPr>
          <w:rFonts w:ascii="Arial" w:hAnsi="Arial" w:cs="Arial"/>
          <w:sz w:val="24"/>
          <w:szCs w:val="24"/>
        </w:rPr>
      </w:pPr>
      <w:r w:rsidRPr="00841D52">
        <w:rPr>
          <w:rFonts w:ascii="Arial" w:hAnsi="Arial" w:cs="Arial"/>
          <w:sz w:val="24"/>
          <w:szCs w:val="24"/>
        </w:rPr>
        <w:t>Toyota’s culture is deeply embedded across all three levels, indicating a strong and consistent organisational culture.</w:t>
      </w:r>
    </w:p>
    <w:p w14:paraId="082D5938" w14:textId="734E1AD8" w:rsidR="009655AD" w:rsidRDefault="009655AD" w:rsidP="009655AD">
      <w:pPr>
        <w:spacing w:line="360" w:lineRule="auto"/>
        <w:rPr>
          <w:rFonts w:ascii="Arial" w:hAnsi="Arial" w:cs="Arial"/>
          <w:sz w:val="24"/>
          <w:szCs w:val="24"/>
        </w:rPr>
      </w:pPr>
      <w:r w:rsidRPr="009655AD">
        <w:rPr>
          <w:rFonts w:ascii="Arial" w:hAnsi="Arial" w:cs="Arial"/>
          <w:sz w:val="24"/>
          <w:szCs w:val="24"/>
        </w:rPr>
        <w:lastRenderedPageBreak/>
        <w:t xml:space="preserve">Schein’s (2010) model provides a comprehensive framework for understanding the depth and complexity of Toyota’s organisational culture by distinguishing between artefacts, espoused values, and underlying assumptions. </w:t>
      </w:r>
      <w:r w:rsidR="007A468C" w:rsidRPr="007A468C">
        <w:rPr>
          <w:rFonts w:ascii="Arial" w:hAnsi="Arial" w:cs="Arial"/>
          <w:sz w:val="24"/>
          <w:szCs w:val="24"/>
        </w:rPr>
        <w:t>Toyota's production systems, standardized procedures, and emphasis on cooperation are obvious examples of its artifacts at the surface level</w:t>
      </w:r>
      <w:r w:rsidRPr="009655AD">
        <w:rPr>
          <w:rFonts w:ascii="Arial" w:hAnsi="Arial" w:cs="Arial"/>
          <w:sz w:val="24"/>
          <w:szCs w:val="24"/>
        </w:rPr>
        <w:t xml:space="preserve">. These observable practices reflect a disciplined and efficiency-driven environment. At a deeper level, the organisation’s espoused values are centred on </w:t>
      </w:r>
      <w:r w:rsidR="007A468C" w:rsidRPr="007A468C">
        <w:rPr>
          <w:rFonts w:ascii="Arial" w:hAnsi="Arial" w:cs="Arial"/>
          <w:sz w:val="24"/>
          <w:szCs w:val="24"/>
        </w:rPr>
        <w:t xml:space="preserve">ongoing development </w:t>
      </w:r>
      <w:r w:rsidRPr="009655AD">
        <w:rPr>
          <w:rFonts w:ascii="Arial" w:hAnsi="Arial" w:cs="Arial"/>
          <w:sz w:val="24"/>
          <w:szCs w:val="24"/>
        </w:rPr>
        <w:t>(Kaizen) and respect for people, which guide employee behaviour and organisational priorities. Most significantly, Toyota’s underlying assumptions reveal a deeply embedded belief in long-term thinking, collective responsibility, and the pursuit of operational excellence. These assumptions are often taken for granted and shape decision-making at all levels of the organisation.</w:t>
      </w:r>
    </w:p>
    <w:p w14:paraId="5F42EBA0" w14:textId="77777777" w:rsidR="004F42E7" w:rsidRPr="004F42E7" w:rsidRDefault="004F42E7" w:rsidP="009655AD">
      <w:pPr>
        <w:pStyle w:val="ListParagraph"/>
        <w:numPr>
          <w:ilvl w:val="0"/>
          <w:numId w:val="2"/>
        </w:numPr>
        <w:spacing w:line="360" w:lineRule="auto"/>
        <w:rPr>
          <w:rFonts w:ascii="Arial" w:hAnsi="Arial" w:cs="Arial"/>
          <w:b/>
          <w:bCs/>
          <w:sz w:val="32"/>
          <w:szCs w:val="32"/>
        </w:rPr>
      </w:pPr>
      <w:r w:rsidRPr="004F42E7">
        <w:rPr>
          <w:rFonts w:ascii="Arial" w:hAnsi="Arial" w:cs="Arial"/>
          <w:b/>
          <w:bCs/>
          <w:sz w:val="32"/>
          <w:szCs w:val="32"/>
        </w:rPr>
        <w:t>Hofstede’s Cultural Dimensions</w:t>
      </w:r>
    </w:p>
    <w:p w14:paraId="5D034173" w14:textId="77777777" w:rsidR="00D06D21" w:rsidRDefault="00D06D21" w:rsidP="00D06D21">
      <w:pPr>
        <w:spacing w:line="360" w:lineRule="auto"/>
        <w:ind w:left="360"/>
        <w:rPr>
          <w:rFonts w:ascii="Arial" w:hAnsi="Arial" w:cs="Arial"/>
          <w:sz w:val="24"/>
          <w:szCs w:val="24"/>
        </w:rPr>
      </w:pPr>
      <w:r w:rsidRPr="00D06D21">
        <w:rPr>
          <w:rFonts w:ascii="Arial" w:hAnsi="Arial" w:cs="Arial"/>
          <w:sz w:val="24"/>
          <w:szCs w:val="24"/>
        </w:rPr>
        <w:t xml:space="preserve">A framework for comprehending how cultural values influence </w:t>
      </w:r>
      <w:proofErr w:type="spellStart"/>
      <w:r w:rsidRPr="00D06D21">
        <w:rPr>
          <w:rFonts w:ascii="Arial" w:hAnsi="Arial" w:cs="Arial"/>
          <w:sz w:val="24"/>
          <w:szCs w:val="24"/>
        </w:rPr>
        <w:t>behavior</w:t>
      </w:r>
      <w:proofErr w:type="spellEnd"/>
      <w:r w:rsidRPr="00D06D21">
        <w:rPr>
          <w:rFonts w:ascii="Arial" w:hAnsi="Arial" w:cs="Arial"/>
          <w:sz w:val="24"/>
          <w:szCs w:val="24"/>
        </w:rPr>
        <w:t xml:space="preserve"> in societies and organizations is Hofstede's theory of cultural dimensions. It provides six important dimensions that show how different nations differ from one another. It helps businesses, academics, and researchers negotiate cultural diversity and enhance cross-cultural communication.</w:t>
      </w:r>
    </w:p>
    <w:p w14:paraId="3098ABBE" w14:textId="3C02ACDA" w:rsidR="00D06D21" w:rsidRDefault="00841D52" w:rsidP="00841D52">
      <w:pPr>
        <w:pStyle w:val="ListParagraph"/>
        <w:numPr>
          <w:ilvl w:val="0"/>
          <w:numId w:val="10"/>
        </w:numPr>
        <w:spacing w:line="360" w:lineRule="auto"/>
        <w:rPr>
          <w:rFonts w:ascii="Arial" w:hAnsi="Arial" w:cs="Arial"/>
          <w:sz w:val="24"/>
          <w:szCs w:val="24"/>
        </w:rPr>
      </w:pPr>
      <w:r w:rsidRPr="00D06D21">
        <w:rPr>
          <w:rFonts w:ascii="Arial" w:hAnsi="Arial" w:cs="Arial"/>
          <w:b/>
          <w:bCs/>
          <w:sz w:val="24"/>
          <w:szCs w:val="24"/>
        </w:rPr>
        <w:t>Framework:</w:t>
      </w:r>
      <w:r w:rsidRPr="00D06D21">
        <w:rPr>
          <w:rFonts w:ascii="Arial" w:hAnsi="Arial" w:cs="Arial"/>
          <w:sz w:val="24"/>
          <w:szCs w:val="24"/>
        </w:rPr>
        <w:t> </w:t>
      </w:r>
      <w:r w:rsidR="00D06D21" w:rsidRPr="00D06D21">
        <w:rPr>
          <w:rFonts w:ascii="Arial" w:hAnsi="Arial" w:cs="Arial"/>
          <w:sz w:val="24"/>
          <w:szCs w:val="24"/>
        </w:rPr>
        <w:t xml:space="preserve">Hofstede's Cultural Dimensions Theory provides a framework for comparing cultures based on quantifiable characteristics, which aids in the explanation of why values and </w:t>
      </w:r>
      <w:r w:rsidR="00D06D21" w:rsidRPr="00D06D21">
        <w:rPr>
          <w:rFonts w:ascii="Arial" w:hAnsi="Arial" w:cs="Arial"/>
          <w:sz w:val="24"/>
          <w:szCs w:val="24"/>
        </w:rPr>
        <w:t>behaviours</w:t>
      </w:r>
      <w:r w:rsidR="00D06D21" w:rsidRPr="00D06D21">
        <w:rPr>
          <w:rFonts w:ascii="Arial" w:hAnsi="Arial" w:cs="Arial"/>
          <w:sz w:val="24"/>
          <w:szCs w:val="24"/>
        </w:rPr>
        <w:t xml:space="preserve"> vary among nations.</w:t>
      </w:r>
    </w:p>
    <w:p w14:paraId="515AEFC5" w14:textId="79FF6E42" w:rsidR="00841D52" w:rsidRPr="00D06D21" w:rsidRDefault="00841D52" w:rsidP="00841D52">
      <w:pPr>
        <w:pStyle w:val="ListParagraph"/>
        <w:numPr>
          <w:ilvl w:val="0"/>
          <w:numId w:val="10"/>
        </w:numPr>
        <w:spacing w:line="360" w:lineRule="auto"/>
        <w:rPr>
          <w:rFonts w:ascii="Arial" w:hAnsi="Arial" w:cs="Arial"/>
          <w:sz w:val="24"/>
          <w:szCs w:val="24"/>
        </w:rPr>
      </w:pPr>
      <w:r w:rsidRPr="00D06D21">
        <w:rPr>
          <w:rFonts w:ascii="Arial" w:hAnsi="Arial" w:cs="Arial"/>
          <w:b/>
          <w:bCs/>
          <w:sz w:val="24"/>
          <w:szCs w:val="24"/>
        </w:rPr>
        <w:t>Six Dimensions:</w:t>
      </w:r>
      <w:r w:rsidRPr="00D06D21">
        <w:rPr>
          <w:rFonts w:ascii="Arial" w:hAnsi="Arial" w:cs="Arial"/>
          <w:sz w:val="24"/>
          <w:szCs w:val="24"/>
        </w:rPr>
        <w:t> </w:t>
      </w:r>
      <w:r w:rsidR="00D06D21" w:rsidRPr="00D06D21">
        <w:rPr>
          <w:rFonts w:ascii="Arial" w:hAnsi="Arial" w:cs="Arial"/>
          <w:sz w:val="24"/>
          <w:szCs w:val="24"/>
        </w:rPr>
        <w:t>Core cultural tendencies are captured by power distance, individualism against collectivism, masculinity versus femininity, uncertainty avoidance, long-term orientation, and indulgence versus restraint.</w:t>
      </w:r>
    </w:p>
    <w:p w14:paraId="73335A5B" w14:textId="77777777" w:rsidR="00D06D21" w:rsidRDefault="00841D52" w:rsidP="00841D52">
      <w:pPr>
        <w:numPr>
          <w:ilvl w:val="0"/>
          <w:numId w:val="10"/>
        </w:numPr>
        <w:spacing w:line="360" w:lineRule="auto"/>
        <w:rPr>
          <w:rFonts w:ascii="Arial" w:hAnsi="Arial" w:cs="Arial"/>
          <w:sz w:val="24"/>
          <w:szCs w:val="24"/>
        </w:rPr>
      </w:pPr>
      <w:r w:rsidRPr="00D06D21">
        <w:rPr>
          <w:rFonts w:ascii="Arial" w:hAnsi="Arial" w:cs="Arial"/>
          <w:b/>
          <w:bCs/>
          <w:sz w:val="24"/>
          <w:szCs w:val="24"/>
        </w:rPr>
        <w:t>Application:</w:t>
      </w:r>
      <w:r w:rsidRPr="00D06D21">
        <w:rPr>
          <w:rFonts w:ascii="Arial" w:hAnsi="Arial" w:cs="Arial"/>
          <w:sz w:val="24"/>
          <w:szCs w:val="24"/>
        </w:rPr>
        <w:t> </w:t>
      </w:r>
      <w:r w:rsidR="00D06D21" w:rsidRPr="00D06D21">
        <w:rPr>
          <w:rFonts w:ascii="Arial" w:hAnsi="Arial" w:cs="Arial"/>
          <w:sz w:val="24"/>
          <w:szCs w:val="24"/>
        </w:rPr>
        <w:t>The notion is applied by organizations, educators, and legislators to enhance intercultural communication, modify tactics, and foresee possible miscommunications.</w:t>
      </w:r>
    </w:p>
    <w:p w14:paraId="4D68D82F" w14:textId="77777777" w:rsidR="00D06D21" w:rsidRDefault="00841D52" w:rsidP="000C0D68">
      <w:pPr>
        <w:numPr>
          <w:ilvl w:val="0"/>
          <w:numId w:val="10"/>
        </w:numPr>
        <w:spacing w:line="360" w:lineRule="auto"/>
        <w:rPr>
          <w:rFonts w:ascii="Arial" w:hAnsi="Arial" w:cs="Arial"/>
          <w:sz w:val="24"/>
          <w:szCs w:val="24"/>
        </w:rPr>
      </w:pPr>
      <w:r w:rsidRPr="00D06D21">
        <w:rPr>
          <w:rFonts w:ascii="Arial" w:hAnsi="Arial" w:cs="Arial"/>
          <w:b/>
          <w:bCs/>
          <w:sz w:val="24"/>
          <w:szCs w:val="24"/>
        </w:rPr>
        <w:t>Criticism:</w:t>
      </w:r>
      <w:r w:rsidRPr="00D06D21">
        <w:rPr>
          <w:rFonts w:ascii="Arial" w:hAnsi="Arial" w:cs="Arial"/>
          <w:sz w:val="24"/>
          <w:szCs w:val="24"/>
        </w:rPr>
        <w:t> </w:t>
      </w:r>
      <w:r w:rsidR="00D06D21" w:rsidRPr="00D06D21">
        <w:rPr>
          <w:rFonts w:ascii="Arial" w:hAnsi="Arial" w:cs="Arial"/>
          <w:sz w:val="24"/>
          <w:szCs w:val="24"/>
        </w:rPr>
        <w:t>Some academics contend that if the model is used carelessly, it may perpetuate preconceptions, oversimplify cultures, and rely on out-of-date data.</w:t>
      </w:r>
    </w:p>
    <w:p w14:paraId="2CCFCA43" w14:textId="24F981E4" w:rsidR="00841D52" w:rsidRPr="00D06D21" w:rsidRDefault="00841D52" w:rsidP="000C0D68">
      <w:pPr>
        <w:numPr>
          <w:ilvl w:val="0"/>
          <w:numId w:val="10"/>
        </w:numPr>
        <w:spacing w:line="360" w:lineRule="auto"/>
        <w:rPr>
          <w:rFonts w:ascii="Arial" w:hAnsi="Arial" w:cs="Arial"/>
          <w:sz w:val="24"/>
          <w:szCs w:val="24"/>
        </w:rPr>
      </w:pPr>
      <w:r w:rsidRPr="00D06D21">
        <w:rPr>
          <w:rFonts w:ascii="Arial" w:hAnsi="Arial" w:cs="Arial"/>
          <w:b/>
          <w:bCs/>
          <w:sz w:val="24"/>
          <w:szCs w:val="24"/>
        </w:rPr>
        <w:lastRenderedPageBreak/>
        <w:t>Relevance:</w:t>
      </w:r>
      <w:r w:rsidRPr="00D06D21">
        <w:rPr>
          <w:rFonts w:ascii="Arial" w:hAnsi="Arial" w:cs="Arial"/>
          <w:sz w:val="24"/>
          <w:szCs w:val="24"/>
        </w:rPr>
        <w:t> </w:t>
      </w:r>
      <w:r w:rsidR="00D06D21" w:rsidRPr="00D06D21">
        <w:rPr>
          <w:rFonts w:ascii="Arial" w:hAnsi="Arial" w:cs="Arial"/>
          <w:sz w:val="24"/>
          <w:szCs w:val="24"/>
        </w:rPr>
        <w:t xml:space="preserve">Because of its useful insights into cultural diversity, the framework is still widely utilized in business, research, and international affairs despite its shortcomings. </w:t>
      </w:r>
      <w:r w:rsidR="000C0D68" w:rsidRPr="00D06D21">
        <w:rPr>
          <w:rFonts w:ascii="Arial" w:hAnsi="Arial" w:cs="Arial"/>
          <w:sz w:val="24"/>
          <w:szCs w:val="24"/>
        </w:rPr>
        <w:t>(Nickerson, 2025).</w:t>
      </w:r>
    </w:p>
    <w:p w14:paraId="25565369" w14:textId="422F54AA" w:rsidR="004F42E7" w:rsidRPr="004F42E7" w:rsidRDefault="004F42E7" w:rsidP="009655AD">
      <w:pPr>
        <w:spacing w:line="360" w:lineRule="auto"/>
        <w:rPr>
          <w:rFonts w:ascii="Arial" w:hAnsi="Arial" w:cs="Arial"/>
          <w:sz w:val="24"/>
          <w:szCs w:val="24"/>
        </w:rPr>
      </w:pPr>
      <w:r w:rsidRPr="004F42E7">
        <w:rPr>
          <w:rFonts w:ascii="Arial" w:hAnsi="Arial" w:cs="Arial"/>
          <w:sz w:val="24"/>
          <w:szCs w:val="24"/>
        </w:rPr>
        <w:t>Toyota reflects several key dimensions identified by Hofstede (2001):</w:t>
      </w:r>
    </w:p>
    <w:p w14:paraId="7BCAA767" w14:textId="77777777" w:rsidR="004F42E7" w:rsidRPr="004F42E7" w:rsidRDefault="004F42E7" w:rsidP="009655AD">
      <w:pPr>
        <w:pStyle w:val="ListParagraph"/>
        <w:numPr>
          <w:ilvl w:val="0"/>
          <w:numId w:val="4"/>
        </w:numPr>
        <w:spacing w:line="360" w:lineRule="auto"/>
        <w:rPr>
          <w:rFonts w:ascii="Arial" w:hAnsi="Arial" w:cs="Arial"/>
          <w:sz w:val="24"/>
          <w:szCs w:val="24"/>
        </w:rPr>
      </w:pPr>
      <w:r w:rsidRPr="004F42E7">
        <w:rPr>
          <w:rFonts w:ascii="Arial" w:hAnsi="Arial" w:cs="Arial"/>
          <w:b/>
          <w:bCs/>
          <w:sz w:val="24"/>
          <w:szCs w:val="24"/>
        </w:rPr>
        <w:t>High collectivism:</w:t>
      </w:r>
      <w:r w:rsidRPr="004F42E7">
        <w:rPr>
          <w:rFonts w:ascii="Arial" w:hAnsi="Arial" w:cs="Arial"/>
          <w:sz w:val="24"/>
          <w:szCs w:val="24"/>
        </w:rPr>
        <w:t xml:space="preserve"> Emphasis on teamwork and group harmony</w:t>
      </w:r>
    </w:p>
    <w:p w14:paraId="28850677" w14:textId="77777777" w:rsidR="004F42E7" w:rsidRPr="004F42E7" w:rsidRDefault="004F42E7" w:rsidP="009655AD">
      <w:pPr>
        <w:pStyle w:val="ListParagraph"/>
        <w:numPr>
          <w:ilvl w:val="0"/>
          <w:numId w:val="4"/>
        </w:numPr>
        <w:spacing w:line="360" w:lineRule="auto"/>
        <w:rPr>
          <w:rFonts w:ascii="Arial" w:hAnsi="Arial" w:cs="Arial"/>
          <w:sz w:val="24"/>
          <w:szCs w:val="24"/>
        </w:rPr>
      </w:pPr>
      <w:r w:rsidRPr="004F42E7">
        <w:rPr>
          <w:rFonts w:ascii="Arial" w:hAnsi="Arial" w:cs="Arial"/>
          <w:b/>
          <w:bCs/>
          <w:sz w:val="24"/>
          <w:szCs w:val="24"/>
        </w:rPr>
        <w:t>High uncertainty avoidance:</w:t>
      </w:r>
      <w:r w:rsidRPr="004F42E7">
        <w:rPr>
          <w:rFonts w:ascii="Arial" w:hAnsi="Arial" w:cs="Arial"/>
          <w:sz w:val="24"/>
          <w:szCs w:val="24"/>
        </w:rPr>
        <w:t xml:space="preserve"> Strong processes and standardisation</w:t>
      </w:r>
    </w:p>
    <w:p w14:paraId="1255DA60" w14:textId="77777777" w:rsidR="004F42E7" w:rsidRPr="004F42E7" w:rsidRDefault="004F42E7" w:rsidP="009655AD">
      <w:pPr>
        <w:pStyle w:val="ListParagraph"/>
        <w:numPr>
          <w:ilvl w:val="0"/>
          <w:numId w:val="4"/>
        </w:numPr>
        <w:spacing w:line="360" w:lineRule="auto"/>
        <w:rPr>
          <w:rFonts w:ascii="Arial" w:hAnsi="Arial" w:cs="Arial"/>
          <w:sz w:val="24"/>
          <w:szCs w:val="24"/>
        </w:rPr>
      </w:pPr>
      <w:r w:rsidRPr="004F42E7">
        <w:rPr>
          <w:rFonts w:ascii="Arial" w:hAnsi="Arial" w:cs="Arial"/>
          <w:b/>
          <w:bCs/>
          <w:sz w:val="24"/>
          <w:szCs w:val="24"/>
        </w:rPr>
        <w:t>Long-term orientation:</w:t>
      </w:r>
      <w:r w:rsidRPr="004F42E7">
        <w:rPr>
          <w:rFonts w:ascii="Arial" w:hAnsi="Arial" w:cs="Arial"/>
          <w:sz w:val="24"/>
          <w:szCs w:val="24"/>
        </w:rPr>
        <w:t xml:space="preserve"> Focus on sustainability and continuous improvement</w:t>
      </w:r>
    </w:p>
    <w:p w14:paraId="02A751DF" w14:textId="77777777" w:rsidR="004F42E7" w:rsidRDefault="004F42E7" w:rsidP="009655AD">
      <w:pPr>
        <w:spacing w:line="360" w:lineRule="auto"/>
        <w:rPr>
          <w:rFonts w:ascii="Arial" w:hAnsi="Arial" w:cs="Arial"/>
          <w:sz w:val="24"/>
          <w:szCs w:val="24"/>
        </w:rPr>
      </w:pPr>
      <w:r w:rsidRPr="004F42E7">
        <w:rPr>
          <w:rFonts w:ascii="Arial" w:hAnsi="Arial" w:cs="Arial"/>
          <w:sz w:val="24"/>
          <w:szCs w:val="24"/>
        </w:rPr>
        <w:t>These characteristics support Toyota’s structured and process-driven approach.</w:t>
      </w:r>
    </w:p>
    <w:p w14:paraId="15636829" w14:textId="5EF779A0" w:rsidR="009655AD" w:rsidRPr="004F42E7" w:rsidRDefault="009655AD" w:rsidP="009655AD">
      <w:pPr>
        <w:spacing w:line="360" w:lineRule="auto"/>
        <w:rPr>
          <w:rFonts w:ascii="Arial" w:hAnsi="Arial" w:cs="Arial"/>
          <w:sz w:val="24"/>
          <w:szCs w:val="24"/>
        </w:rPr>
      </w:pPr>
      <w:r w:rsidRPr="009655AD">
        <w:rPr>
          <w:rFonts w:ascii="Arial" w:hAnsi="Arial" w:cs="Arial"/>
          <w:sz w:val="24"/>
          <w:szCs w:val="24"/>
        </w:rPr>
        <w:t>Hofstede’s (2001) cultural dimensions further enhance the analysis by providing insight into the national cultural influences embedded within Toyota. The organisation demonstrates strong collectivist characteristics, where teamwork and group harmony are prioritised over individual achievement. Additionally, Toyota exhibits high uncertainty avoidance, reflected in its reliance on structured processes, standardisation, and risk minimisation. Its strong long-term orientation is evident in its sustained investment in innovation and continuous improvement, reinforcing strategic stability and resilience.</w:t>
      </w:r>
    </w:p>
    <w:p w14:paraId="7031FD47" w14:textId="77777777" w:rsidR="004F42E7" w:rsidRPr="004F42E7" w:rsidRDefault="004F42E7" w:rsidP="004F42E7">
      <w:pPr>
        <w:pStyle w:val="ListParagraph"/>
        <w:spacing w:line="360" w:lineRule="auto"/>
        <w:rPr>
          <w:rFonts w:ascii="Arial" w:hAnsi="Arial" w:cs="Arial"/>
          <w:sz w:val="24"/>
          <w:szCs w:val="24"/>
        </w:rPr>
      </w:pPr>
    </w:p>
    <w:p w14:paraId="5A1788C0" w14:textId="77777777" w:rsidR="004F42E7" w:rsidRPr="004F42E7" w:rsidRDefault="004F42E7" w:rsidP="004F42E7">
      <w:pPr>
        <w:pStyle w:val="ListParagraph"/>
        <w:numPr>
          <w:ilvl w:val="0"/>
          <w:numId w:val="2"/>
        </w:num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sidRPr="004F42E7">
        <w:rPr>
          <w:rFonts w:ascii="Arial" w:eastAsia="Times New Roman" w:hAnsi="Arial" w:cs="Arial"/>
          <w:b/>
          <w:bCs/>
          <w:kern w:val="0"/>
          <w:sz w:val="32"/>
          <w:szCs w:val="32"/>
          <w:lang w:eastAsia="en-GB"/>
          <w14:ligatures w14:val="none"/>
        </w:rPr>
        <w:t>Handy’s Cultural Types</w:t>
      </w:r>
    </w:p>
    <w:p w14:paraId="378AF386" w14:textId="77777777" w:rsidR="00D06D21" w:rsidRDefault="00D06D21" w:rsidP="00D06D21">
      <w:pPr>
        <w:spacing w:before="100" w:beforeAutospacing="1" w:after="100" w:afterAutospacing="1" w:line="360" w:lineRule="auto"/>
        <w:rPr>
          <w:rFonts w:ascii="Arial" w:eastAsia="Times New Roman" w:hAnsi="Arial" w:cs="Arial"/>
          <w:kern w:val="0"/>
          <w:sz w:val="24"/>
          <w:szCs w:val="24"/>
          <w:lang w:eastAsia="en-GB"/>
          <w14:ligatures w14:val="none"/>
        </w:rPr>
      </w:pPr>
      <w:r w:rsidRPr="00D06D21">
        <w:rPr>
          <w:rFonts w:ascii="Arial" w:eastAsia="Times New Roman" w:hAnsi="Arial" w:cs="Arial"/>
          <w:kern w:val="0"/>
          <w:sz w:val="24"/>
          <w:szCs w:val="24"/>
          <w:lang w:eastAsia="en-GB"/>
          <w14:ligatures w14:val="none"/>
        </w:rPr>
        <w:t>Handy's Organizational Model British organizational scientist Charles Handy created the framework known as "culture." According to the paradigm, there are four fundamental categories of organizational cultures:</w:t>
      </w:r>
    </w:p>
    <w:p w14:paraId="1AA099E6" w14:textId="77777777" w:rsidR="00D06D21" w:rsidRDefault="000C0D68" w:rsidP="000C0D68">
      <w:pPr>
        <w:pStyle w:val="ListParagraph"/>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D06D21">
        <w:rPr>
          <w:rFonts w:ascii="Arial" w:eastAsia="Times New Roman" w:hAnsi="Arial" w:cs="Arial"/>
          <w:b/>
          <w:bCs/>
          <w:kern w:val="0"/>
          <w:sz w:val="24"/>
          <w:szCs w:val="24"/>
          <w:lang w:eastAsia="en-GB"/>
          <w14:ligatures w14:val="none"/>
        </w:rPr>
        <w:t>Power culture</w:t>
      </w:r>
      <w:r w:rsidRPr="00D06D21">
        <w:rPr>
          <w:rFonts w:ascii="Arial" w:eastAsia="Times New Roman" w:hAnsi="Arial" w:cs="Arial"/>
          <w:kern w:val="0"/>
          <w:sz w:val="24"/>
          <w:szCs w:val="24"/>
          <w:lang w:eastAsia="en-GB"/>
          <w14:ligatures w14:val="none"/>
        </w:rPr>
        <w:t xml:space="preserve">, </w:t>
      </w:r>
      <w:r w:rsidR="00D06D21" w:rsidRPr="00D06D21">
        <w:rPr>
          <w:rFonts w:ascii="Arial" w:eastAsia="Times New Roman" w:hAnsi="Arial" w:cs="Arial"/>
          <w:kern w:val="0"/>
          <w:sz w:val="24"/>
          <w:szCs w:val="24"/>
          <w:lang w:eastAsia="en-GB"/>
          <w14:ligatures w14:val="none"/>
        </w:rPr>
        <w:t>in which authority is hierarchical and decision-making is centralized.</w:t>
      </w:r>
    </w:p>
    <w:p w14:paraId="28D152EF" w14:textId="042F2304" w:rsidR="000C0D68" w:rsidRPr="00D06D21" w:rsidRDefault="000C0D68" w:rsidP="000C0D68">
      <w:pPr>
        <w:pStyle w:val="ListParagraph"/>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D06D21">
        <w:rPr>
          <w:rFonts w:ascii="Arial" w:eastAsia="Times New Roman" w:hAnsi="Arial" w:cs="Arial"/>
          <w:b/>
          <w:bCs/>
          <w:kern w:val="0"/>
          <w:sz w:val="24"/>
          <w:szCs w:val="24"/>
          <w:lang w:eastAsia="en-GB"/>
          <w14:ligatures w14:val="none"/>
        </w:rPr>
        <w:t>Role culture</w:t>
      </w:r>
      <w:r w:rsidRPr="00D06D21">
        <w:rPr>
          <w:rFonts w:ascii="Arial" w:eastAsia="Times New Roman" w:hAnsi="Arial" w:cs="Arial"/>
          <w:kern w:val="0"/>
          <w:sz w:val="24"/>
          <w:szCs w:val="24"/>
          <w:lang w:eastAsia="en-GB"/>
          <w14:ligatures w14:val="none"/>
        </w:rPr>
        <w:t xml:space="preserve">, </w:t>
      </w:r>
      <w:r w:rsidR="00232F34" w:rsidRPr="00232F34">
        <w:rPr>
          <w:rFonts w:ascii="Arial" w:eastAsia="Times New Roman" w:hAnsi="Arial" w:cs="Arial"/>
          <w:kern w:val="0"/>
          <w:sz w:val="24"/>
          <w:szCs w:val="24"/>
          <w:lang w:eastAsia="en-GB"/>
          <w14:ligatures w14:val="none"/>
        </w:rPr>
        <w:t>where people are required to adhere to established protocols and roles and responsibilities are clearly defined.</w:t>
      </w:r>
    </w:p>
    <w:p w14:paraId="01675725" w14:textId="6516D321" w:rsidR="000C0D68" w:rsidRPr="000C0D68" w:rsidRDefault="000C0D68" w:rsidP="000C0D68">
      <w:pPr>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0C0D68">
        <w:rPr>
          <w:rFonts w:ascii="Arial" w:eastAsia="Times New Roman" w:hAnsi="Arial" w:cs="Arial"/>
          <w:b/>
          <w:bCs/>
          <w:kern w:val="0"/>
          <w:sz w:val="24"/>
          <w:szCs w:val="24"/>
          <w:lang w:eastAsia="en-GB"/>
          <w14:ligatures w14:val="none"/>
        </w:rPr>
        <w:t>Task culture</w:t>
      </w:r>
      <w:r w:rsidRPr="000C0D68">
        <w:rPr>
          <w:rFonts w:ascii="Arial" w:eastAsia="Times New Roman" w:hAnsi="Arial" w:cs="Arial"/>
          <w:kern w:val="0"/>
          <w:sz w:val="24"/>
          <w:szCs w:val="24"/>
          <w:lang w:eastAsia="en-GB"/>
          <w14:ligatures w14:val="none"/>
        </w:rPr>
        <w:t xml:space="preserve">, </w:t>
      </w:r>
      <w:r w:rsidR="00232F34" w:rsidRPr="00232F34">
        <w:rPr>
          <w:rFonts w:ascii="Arial" w:eastAsia="Times New Roman" w:hAnsi="Arial" w:cs="Arial"/>
          <w:kern w:val="0"/>
          <w:sz w:val="24"/>
          <w:szCs w:val="24"/>
          <w:lang w:eastAsia="en-GB"/>
          <w14:ligatures w14:val="none"/>
        </w:rPr>
        <w:t>where teams are motivated by common objectives and built around certain tasks or projects.</w:t>
      </w:r>
    </w:p>
    <w:p w14:paraId="4EA3BE70" w14:textId="77777777" w:rsidR="00232F34" w:rsidRDefault="000C0D68" w:rsidP="000C0D68">
      <w:pPr>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232F34">
        <w:rPr>
          <w:rFonts w:ascii="Arial" w:eastAsia="Times New Roman" w:hAnsi="Arial" w:cs="Arial"/>
          <w:b/>
          <w:bCs/>
          <w:kern w:val="0"/>
          <w:sz w:val="24"/>
          <w:szCs w:val="24"/>
          <w:lang w:eastAsia="en-GB"/>
          <w14:ligatures w14:val="none"/>
        </w:rPr>
        <w:t>Person culture,</w:t>
      </w:r>
      <w:r w:rsidRPr="00232F34">
        <w:rPr>
          <w:rFonts w:ascii="Arial" w:eastAsia="Times New Roman" w:hAnsi="Arial" w:cs="Arial"/>
          <w:kern w:val="0"/>
          <w:sz w:val="24"/>
          <w:szCs w:val="24"/>
          <w:lang w:eastAsia="en-GB"/>
          <w14:ligatures w14:val="none"/>
        </w:rPr>
        <w:t xml:space="preserve"> </w:t>
      </w:r>
      <w:r w:rsidR="00232F34" w:rsidRPr="00232F34">
        <w:rPr>
          <w:rFonts w:ascii="Arial" w:eastAsia="Times New Roman" w:hAnsi="Arial" w:cs="Arial"/>
          <w:kern w:val="0"/>
          <w:sz w:val="24"/>
          <w:szCs w:val="24"/>
          <w:lang w:eastAsia="en-GB"/>
          <w14:ligatures w14:val="none"/>
        </w:rPr>
        <w:t>where people are encouraged to be unique and appreciated for their special contributions.</w:t>
      </w:r>
    </w:p>
    <w:p w14:paraId="75A7AF6D" w14:textId="3933C159" w:rsidR="000C0D68" w:rsidRPr="00232F34" w:rsidRDefault="00232F34" w:rsidP="00232F34">
      <w:pPr>
        <w:spacing w:before="100" w:beforeAutospacing="1" w:after="100" w:afterAutospacing="1" w:line="360" w:lineRule="auto"/>
        <w:rPr>
          <w:rFonts w:ascii="Arial" w:eastAsia="Times New Roman" w:hAnsi="Arial" w:cs="Arial"/>
          <w:kern w:val="0"/>
          <w:sz w:val="24"/>
          <w:szCs w:val="24"/>
          <w:lang w:eastAsia="en-GB"/>
          <w14:ligatures w14:val="none"/>
        </w:rPr>
      </w:pPr>
      <w:r w:rsidRPr="00232F34">
        <w:rPr>
          <w:rFonts w:ascii="Arial" w:eastAsia="Times New Roman" w:hAnsi="Arial" w:cs="Arial"/>
          <w:kern w:val="0"/>
          <w:sz w:val="24"/>
          <w:szCs w:val="24"/>
          <w:lang w:eastAsia="en-GB"/>
          <w14:ligatures w14:val="none"/>
        </w:rPr>
        <w:lastRenderedPageBreak/>
        <w:t xml:space="preserve">According to Handy's </w:t>
      </w:r>
      <w:r>
        <w:rPr>
          <w:rFonts w:ascii="Arial" w:eastAsia="Times New Roman" w:hAnsi="Arial" w:cs="Arial"/>
          <w:kern w:val="0"/>
          <w:sz w:val="24"/>
          <w:szCs w:val="24"/>
          <w:lang w:eastAsia="en-GB"/>
          <w14:ligatures w14:val="none"/>
        </w:rPr>
        <w:t>model</w:t>
      </w:r>
      <w:r w:rsidRPr="00232F34">
        <w:rPr>
          <w:rFonts w:ascii="Arial" w:eastAsia="Times New Roman" w:hAnsi="Arial" w:cs="Arial"/>
          <w:kern w:val="0"/>
          <w:sz w:val="24"/>
          <w:szCs w:val="24"/>
          <w:lang w:eastAsia="en-GB"/>
          <w14:ligatures w14:val="none"/>
        </w:rPr>
        <w:t>, companies can switch between these cultures based on their priorities and needs, and different cultures might work better in different situations</w:t>
      </w:r>
      <w:r>
        <w:rPr>
          <w:rFonts w:ascii="Arial" w:eastAsia="Times New Roman" w:hAnsi="Arial" w:cs="Arial"/>
          <w:kern w:val="0"/>
          <w:sz w:val="24"/>
          <w:szCs w:val="24"/>
          <w:lang w:eastAsia="en-GB"/>
          <w14:ligatures w14:val="none"/>
        </w:rPr>
        <w:t xml:space="preserve"> </w:t>
      </w:r>
      <w:r w:rsidR="000C0D68" w:rsidRPr="00232F34">
        <w:rPr>
          <w:rFonts w:ascii="Arial" w:eastAsia="Times New Roman" w:hAnsi="Arial" w:cs="Arial"/>
          <w:kern w:val="0"/>
          <w:sz w:val="24"/>
          <w:szCs w:val="24"/>
          <w:lang w:eastAsia="en-GB"/>
          <w14:ligatures w14:val="none"/>
        </w:rPr>
        <w:t>(Handy, 1993).</w:t>
      </w:r>
    </w:p>
    <w:p w14:paraId="262B0C83" w14:textId="0EDDCC6A" w:rsidR="00CF5151" w:rsidRPr="004F42E7" w:rsidRDefault="004F42E7" w:rsidP="009655AD">
      <w:pPr>
        <w:spacing w:before="100" w:beforeAutospacing="1" w:after="100" w:afterAutospacing="1" w:line="360" w:lineRule="auto"/>
        <w:rPr>
          <w:rFonts w:ascii="Arial" w:eastAsia="Times New Roman" w:hAnsi="Arial" w:cs="Arial"/>
          <w:kern w:val="0"/>
          <w:sz w:val="24"/>
          <w:szCs w:val="24"/>
          <w:lang w:eastAsia="en-GB"/>
          <w14:ligatures w14:val="none"/>
        </w:rPr>
      </w:pPr>
      <w:r w:rsidRPr="004F42E7">
        <w:rPr>
          <w:rFonts w:ascii="Arial" w:eastAsia="Times New Roman" w:hAnsi="Arial" w:cs="Arial"/>
          <w:kern w:val="0"/>
          <w:sz w:val="24"/>
          <w:szCs w:val="24"/>
          <w:lang w:eastAsia="en-GB"/>
          <w14:ligatures w14:val="none"/>
        </w:rPr>
        <w:t xml:space="preserve">According to Handy (1993), Toyota can be classified primarily as a </w:t>
      </w:r>
      <w:r w:rsidRPr="004F42E7">
        <w:rPr>
          <w:rFonts w:ascii="Arial" w:eastAsia="Times New Roman" w:hAnsi="Arial" w:cs="Arial"/>
          <w:b/>
          <w:bCs/>
          <w:kern w:val="0"/>
          <w:sz w:val="24"/>
          <w:szCs w:val="24"/>
          <w:lang w:eastAsia="en-GB"/>
          <w14:ligatures w14:val="none"/>
        </w:rPr>
        <w:t>role culture</w:t>
      </w:r>
      <w:r w:rsidRPr="004F42E7">
        <w:rPr>
          <w:rFonts w:ascii="Arial" w:eastAsia="Times New Roman" w:hAnsi="Arial" w:cs="Arial"/>
          <w:kern w:val="0"/>
          <w:sz w:val="24"/>
          <w:szCs w:val="24"/>
          <w:lang w:eastAsia="en-GB"/>
          <w14:ligatures w14:val="none"/>
        </w:rPr>
        <w:t xml:space="preserve">, characterised by structured systems and clearly defined roles. However, elements of </w:t>
      </w:r>
      <w:r w:rsidRPr="004F42E7">
        <w:rPr>
          <w:rFonts w:ascii="Arial" w:eastAsia="Times New Roman" w:hAnsi="Arial" w:cs="Arial"/>
          <w:b/>
          <w:bCs/>
          <w:kern w:val="0"/>
          <w:sz w:val="24"/>
          <w:szCs w:val="24"/>
          <w:lang w:eastAsia="en-GB"/>
          <w14:ligatures w14:val="none"/>
        </w:rPr>
        <w:t>task culture</w:t>
      </w:r>
      <w:r w:rsidRPr="004F42E7">
        <w:rPr>
          <w:rFonts w:ascii="Arial" w:eastAsia="Times New Roman" w:hAnsi="Arial" w:cs="Arial"/>
          <w:kern w:val="0"/>
          <w:sz w:val="24"/>
          <w:szCs w:val="24"/>
          <w:lang w:eastAsia="en-GB"/>
          <w14:ligatures w14:val="none"/>
        </w:rPr>
        <w:t xml:space="preserve"> are also present through teamwork and problem-solving groups.</w:t>
      </w:r>
      <w:r w:rsidR="009655AD">
        <w:rPr>
          <w:rFonts w:ascii="Arial" w:eastAsia="Times New Roman" w:hAnsi="Arial" w:cs="Arial"/>
          <w:kern w:val="0"/>
          <w:sz w:val="24"/>
          <w:szCs w:val="24"/>
          <w:lang w:eastAsia="en-GB"/>
          <w14:ligatures w14:val="none"/>
        </w:rPr>
        <w:t xml:space="preserve"> </w:t>
      </w:r>
      <w:r w:rsidR="009655AD" w:rsidRPr="009655AD">
        <w:rPr>
          <w:rFonts w:ascii="Arial" w:eastAsia="Times New Roman" w:hAnsi="Arial" w:cs="Arial"/>
          <w:kern w:val="0"/>
          <w:sz w:val="24"/>
          <w:szCs w:val="24"/>
          <w:lang w:eastAsia="en-GB"/>
          <w14:ligatures w14:val="none"/>
        </w:rPr>
        <w:t>Handy’s (1993) cultural typology suggests that Toyota primarily reflects a role culture, characterised by formal structures, clearly defined responsibilities, and established procedures. However, this classification alone does not fully capture the dynamic nature of Toyota’s operations. Elements of task culture are also present, particularly in team-based problem-solving and continuous improvement initiatives. This hybrid cultural form enables both stability and adaptability, although tensions may arise between control and flexibility</w:t>
      </w:r>
      <w:r w:rsidR="00CF5151">
        <w:rPr>
          <w:rFonts w:ascii="Arial" w:eastAsia="Times New Roman" w:hAnsi="Arial" w:cs="Arial"/>
          <w:kern w:val="0"/>
          <w:sz w:val="24"/>
          <w:szCs w:val="24"/>
          <w:lang w:eastAsia="en-GB"/>
          <w14:ligatures w14:val="none"/>
        </w:rPr>
        <w:t>.</w:t>
      </w:r>
    </w:p>
    <w:p w14:paraId="48EC5AB4" w14:textId="6AE39A08" w:rsidR="004F42E7" w:rsidRPr="00CF5151" w:rsidRDefault="004F42E7" w:rsidP="004F42E7">
      <w:pPr>
        <w:spacing w:line="360" w:lineRule="auto"/>
        <w:rPr>
          <w:rFonts w:ascii="Arial" w:hAnsi="Arial" w:cs="Arial"/>
          <w:b/>
          <w:bCs/>
          <w:sz w:val="32"/>
          <w:szCs w:val="32"/>
        </w:rPr>
      </w:pPr>
      <w:r w:rsidRPr="00CF5151">
        <w:rPr>
          <w:rFonts w:ascii="Arial" w:hAnsi="Arial" w:cs="Arial"/>
          <w:b/>
          <w:bCs/>
          <w:sz w:val="24"/>
          <w:szCs w:val="24"/>
        </w:rPr>
        <w:t>Prevailing Culture</w:t>
      </w:r>
      <w:r w:rsidR="00CF5151">
        <w:rPr>
          <w:rFonts w:ascii="Arial" w:hAnsi="Arial" w:cs="Arial"/>
          <w:b/>
          <w:bCs/>
          <w:sz w:val="24"/>
          <w:szCs w:val="24"/>
        </w:rPr>
        <w:t xml:space="preserve"> </w:t>
      </w:r>
      <w:r w:rsidR="00CF5151" w:rsidRPr="00CF5151">
        <w:rPr>
          <w:rFonts w:ascii="Arial" w:hAnsi="Arial" w:cs="Arial"/>
          <w:b/>
          <w:bCs/>
          <w:sz w:val="24"/>
          <w:szCs w:val="24"/>
        </w:rPr>
        <w:t xml:space="preserve">- </w:t>
      </w:r>
      <w:r w:rsidRPr="004F42E7">
        <w:rPr>
          <w:rFonts w:ascii="Arial" w:hAnsi="Arial" w:cs="Arial"/>
          <w:sz w:val="24"/>
          <w:szCs w:val="24"/>
        </w:rPr>
        <w:t xml:space="preserve">Toyota’s prevailing culture can be described as a </w:t>
      </w:r>
      <w:r w:rsidRPr="004F42E7">
        <w:rPr>
          <w:rFonts w:ascii="Arial" w:hAnsi="Arial" w:cs="Arial"/>
          <w:b/>
          <w:bCs/>
          <w:sz w:val="24"/>
          <w:szCs w:val="24"/>
        </w:rPr>
        <w:t>lean, continuous improvement-oriented culture with strong collectivist values</w:t>
      </w:r>
      <w:r w:rsidRPr="004F42E7">
        <w:rPr>
          <w:rFonts w:ascii="Arial" w:hAnsi="Arial" w:cs="Arial"/>
          <w:sz w:val="24"/>
          <w:szCs w:val="24"/>
        </w:rPr>
        <w:t>. This culture is highly integrated into its operations and strategy.</w:t>
      </w:r>
    </w:p>
    <w:p w14:paraId="428408E3" w14:textId="06516904" w:rsidR="009655AD" w:rsidRDefault="009655AD" w:rsidP="004F42E7">
      <w:pPr>
        <w:spacing w:line="360" w:lineRule="auto"/>
        <w:rPr>
          <w:rFonts w:ascii="Arial" w:hAnsi="Arial" w:cs="Arial"/>
          <w:sz w:val="24"/>
          <w:szCs w:val="24"/>
        </w:rPr>
      </w:pPr>
      <w:r w:rsidRPr="009655AD">
        <w:rPr>
          <w:rFonts w:ascii="Arial" w:hAnsi="Arial" w:cs="Arial"/>
          <w:sz w:val="24"/>
          <w:szCs w:val="24"/>
        </w:rPr>
        <w:t>Overall, the integration of these models indicates that Toyota possesses a deeply embedded, strong organisational culture that is both structured and adaptive, providing a foundation for sustained performance while also presenting potential limitations.</w:t>
      </w:r>
    </w:p>
    <w:p w14:paraId="7083A20E" w14:textId="77777777" w:rsidR="004F42E7" w:rsidRPr="004F42E7" w:rsidRDefault="004F42E7" w:rsidP="004F42E7">
      <w:pPr>
        <w:spacing w:line="360" w:lineRule="auto"/>
        <w:rPr>
          <w:rFonts w:ascii="Arial" w:hAnsi="Arial" w:cs="Arial"/>
          <w:b/>
          <w:bCs/>
          <w:sz w:val="32"/>
          <w:szCs w:val="32"/>
        </w:rPr>
      </w:pPr>
      <w:r w:rsidRPr="004F42E7">
        <w:rPr>
          <w:rFonts w:ascii="Arial" w:hAnsi="Arial" w:cs="Arial"/>
          <w:b/>
          <w:bCs/>
          <w:sz w:val="32"/>
          <w:szCs w:val="32"/>
        </w:rPr>
        <w:t>Culture and Adaptation to External Environment</w:t>
      </w:r>
    </w:p>
    <w:p w14:paraId="111D0BD8" w14:textId="77777777" w:rsidR="00CF5151" w:rsidRPr="00CF5151" w:rsidRDefault="00CF5151" w:rsidP="00CF5151">
      <w:pPr>
        <w:spacing w:line="360" w:lineRule="auto"/>
        <w:rPr>
          <w:rFonts w:ascii="Arial" w:hAnsi="Arial" w:cs="Arial"/>
          <w:sz w:val="24"/>
          <w:szCs w:val="24"/>
        </w:rPr>
      </w:pPr>
      <w:r w:rsidRPr="00CF5151">
        <w:rPr>
          <w:rFonts w:ascii="Arial" w:hAnsi="Arial" w:cs="Arial"/>
          <w:sz w:val="24"/>
          <w:szCs w:val="24"/>
        </w:rPr>
        <w:t>Toyota’s organisational culture plays a critical role in enabling the organisation to respond effectively to external environmental pressures, including technological change, economic uncertainty, regulatory demands, and increasing global competition. The company’s deeply embedded philosophy of continuous improvement (Kaizen) fosters an organisational mindset that prioritises learning, adaptation, and incremental innovation. This cultural orientation allows Toyota to respond proactively to changes in its external environment rather than reacting passively, thereby enhancing its long-term strategic resilience (Liker, 2004).</w:t>
      </w:r>
    </w:p>
    <w:p w14:paraId="225C1884" w14:textId="77777777" w:rsidR="00CF5151" w:rsidRPr="00CF5151" w:rsidRDefault="00CF5151" w:rsidP="00CF5151">
      <w:pPr>
        <w:spacing w:line="360" w:lineRule="auto"/>
        <w:rPr>
          <w:rFonts w:ascii="Arial" w:hAnsi="Arial" w:cs="Arial"/>
          <w:sz w:val="24"/>
          <w:szCs w:val="24"/>
        </w:rPr>
      </w:pPr>
      <w:r w:rsidRPr="00CF5151">
        <w:rPr>
          <w:rFonts w:ascii="Arial" w:hAnsi="Arial" w:cs="Arial"/>
          <w:sz w:val="24"/>
          <w:szCs w:val="24"/>
        </w:rPr>
        <w:lastRenderedPageBreak/>
        <w:t>One of the most significant ways Toyota leverages its culture is through its ability to align internal processes with external environmental demands. For example, the development of hybrid technology, particularly the Toyota Prius, demonstrates how the organisation utilised its culture of innovation and long-term thinking to respond to growing environmental concerns and regulatory pressures regarding emissions (Cusumano, 2011). This reflects not only technological adaptation but also cultural alignment with sustainability objectives, reinforcing Toyota’s reputation as an environmentally responsible organisation.</w:t>
      </w:r>
    </w:p>
    <w:p w14:paraId="42253886" w14:textId="716B216D" w:rsidR="00CF5151" w:rsidRPr="00CF5151" w:rsidRDefault="00CF5151" w:rsidP="00CF5151">
      <w:pPr>
        <w:spacing w:line="360" w:lineRule="auto"/>
        <w:rPr>
          <w:rFonts w:ascii="Arial" w:hAnsi="Arial" w:cs="Arial"/>
          <w:sz w:val="24"/>
          <w:szCs w:val="24"/>
        </w:rPr>
      </w:pPr>
      <w:r w:rsidRPr="00CF5151">
        <w:rPr>
          <w:rFonts w:ascii="Arial" w:hAnsi="Arial" w:cs="Arial"/>
          <w:sz w:val="24"/>
          <w:szCs w:val="24"/>
        </w:rPr>
        <w:t>Furthermore, Toyota’s culture supports organisational learning and knowledge sharing, which are essential for adapting to globalisation. The company operates across diverse international markets, each with distinct cultural, economic, and regulatory conditions. Through its emphasis on teamwork, standardisation, and continuous improvement, Toyota can transfer best practices across its global operations while also allowing for local adaptation. This balance between global integration and local responsiveness is critical in maintaining competitiveness in international markets (Mullins and Christy, 2016).</w:t>
      </w:r>
    </w:p>
    <w:p w14:paraId="28F64BD7" w14:textId="16172538" w:rsidR="00CF5151" w:rsidRPr="00CF5151" w:rsidRDefault="00CF5151" w:rsidP="00CF5151">
      <w:pPr>
        <w:spacing w:line="360" w:lineRule="auto"/>
        <w:rPr>
          <w:rFonts w:ascii="Arial" w:hAnsi="Arial" w:cs="Arial"/>
          <w:sz w:val="24"/>
          <w:szCs w:val="24"/>
        </w:rPr>
      </w:pPr>
      <w:r w:rsidRPr="00CF5151">
        <w:rPr>
          <w:rFonts w:ascii="Arial" w:hAnsi="Arial" w:cs="Arial"/>
          <w:sz w:val="24"/>
          <w:szCs w:val="24"/>
        </w:rPr>
        <w:t>Toyota’s response to external crises highlights the strength of its organisational culture. Following disruptions such as the 2011 earthquake in Japan, the organisation demonstrated resilience by rapidly restructuring its supply chain through collaborative problem-solving and strong supplier relationships. This adaptability is rooted in cultural values that emphasise trust, long-term partnerships, and collective responsibility (Pettigrew et al., 2001).</w:t>
      </w:r>
    </w:p>
    <w:p w14:paraId="0BC844CF" w14:textId="0626DFBC" w:rsidR="00CF5151" w:rsidRPr="00CF5151" w:rsidRDefault="00CF5151" w:rsidP="00CF5151">
      <w:pPr>
        <w:spacing w:line="360" w:lineRule="auto"/>
        <w:rPr>
          <w:rFonts w:ascii="Arial" w:hAnsi="Arial" w:cs="Arial"/>
          <w:sz w:val="24"/>
          <w:szCs w:val="24"/>
        </w:rPr>
      </w:pPr>
      <w:r>
        <w:rPr>
          <w:rFonts w:ascii="Arial" w:hAnsi="Arial" w:cs="Arial"/>
          <w:sz w:val="24"/>
          <w:szCs w:val="24"/>
        </w:rPr>
        <w:t>While</w:t>
      </w:r>
      <w:r w:rsidRPr="00CF5151">
        <w:rPr>
          <w:rFonts w:ascii="Arial" w:hAnsi="Arial" w:cs="Arial"/>
          <w:sz w:val="24"/>
          <w:szCs w:val="24"/>
        </w:rPr>
        <w:t xml:space="preserve"> Toyota’s culture generally supports adaptation, it can also impose limitations. The organisation’s strong reliance on established processes and consensus-based decision-making may reduce its ability to respond quickly to rapidly changing environments, particularly in areas such as digital transformation and the shift towards electric vehicles. Competitors that adopt more flexible and risk-taking cultures may be able to innovate more rapidly, potentially challenging Toyota’s market position.</w:t>
      </w:r>
    </w:p>
    <w:p w14:paraId="5F02DB4F" w14:textId="3A214614" w:rsidR="00CF5151" w:rsidRDefault="00CF5151" w:rsidP="004F42E7">
      <w:pPr>
        <w:spacing w:line="360" w:lineRule="auto"/>
        <w:rPr>
          <w:rFonts w:ascii="Arial" w:hAnsi="Arial" w:cs="Arial"/>
          <w:sz w:val="24"/>
          <w:szCs w:val="24"/>
        </w:rPr>
      </w:pPr>
      <w:r w:rsidRPr="00CF5151">
        <w:rPr>
          <w:rFonts w:ascii="Arial" w:hAnsi="Arial" w:cs="Arial"/>
          <w:sz w:val="24"/>
          <w:szCs w:val="24"/>
        </w:rPr>
        <w:t xml:space="preserve">Overall, Toyota’s organisational culture acts as a significant enabler of adaptation by promoting continuous improvement, learning, and resilience. Nevertheless, the </w:t>
      </w:r>
      <w:r w:rsidRPr="00CF5151">
        <w:rPr>
          <w:rFonts w:ascii="Arial" w:hAnsi="Arial" w:cs="Arial"/>
          <w:sz w:val="24"/>
          <w:szCs w:val="24"/>
        </w:rPr>
        <w:lastRenderedPageBreak/>
        <w:t>effectiveness of this culture depends on its ability to evolve in response to increasingly dynamic and uncertain external environments.</w:t>
      </w:r>
    </w:p>
    <w:p w14:paraId="7C307670" w14:textId="1FC24DFD" w:rsidR="004F42E7" w:rsidRPr="004F42E7" w:rsidRDefault="004F42E7" w:rsidP="004F42E7">
      <w:pPr>
        <w:spacing w:line="360" w:lineRule="auto"/>
        <w:rPr>
          <w:rFonts w:ascii="Arial" w:hAnsi="Arial" w:cs="Arial"/>
          <w:b/>
          <w:bCs/>
          <w:sz w:val="32"/>
          <w:szCs w:val="32"/>
        </w:rPr>
      </w:pPr>
      <w:r w:rsidRPr="004F42E7">
        <w:rPr>
          <w:rFonts w:ascii="Arial" w:hAnsi="Arial" w:cs="Arial"/>
          <w:b/>
          <w:bCs/>
          <w:sz w:val="32"/>
          <w:szCs w:val="32"/>
        </w:rPr>
        <w:t>Culture as a Barrier or Enabler</w:t>
      </w:r>
    </w:p>
    <w:p w14:paraId="13BB9927" w14:textId="77777777" w:rsidR="009655AD" w:rsidRPr="009655AD" w:rsidRDefault="009655AD" w:rsidP="009655AD">
      <w:pPr>
        <w:spacing w:line="360" w:lineRule="auto"/>
        <w:rPr>
          <w:rFonts w:ascii="Arial" w:hAnsi="Arial" w:cs="Arial"/>
          <w:sz w:val="24"/>
          <w:szCs w:val="24"/>
        </w:rPr>
      </w:pPr>
      <w:r w:rsidRPr="009655AD">
        <w:rPr>
          <w:rFonts w:ascii="Arial" w:hAnsi="Arial" w:cs="Arial"/>
          <w:sz w:val="24"/>
          <w:szCs w:val="24"/>
        </w:rPr>
        <w:t>Toyota’s organisational culture functions predominantly as an enabler of organisational effectiveness; however, it also introduces certain constraints that must be critically evaluated. The cultural emphasis on continuous improvement and standardisation has enabled Toyota to achieve exceptional levels of efficiency, quality, and operational consistency. By embedding these values into everyday practices, the organisation fosters a high-performance environment in which employees are actively engaged in problem-solving and process improvement. This alignment between culture and operations supports long-term strategic success and reinforces Toyota’s competitive advantage (Liker, 2004).</w:t>
      </w:r>
    </w:p>
    <w:p w14:paraId="1EEF3720" w14:textId="77777777" w:rsidR="009655AD" w:rsidRPr="009655AD" w:rsidRDefault="009655AD" w:rsidP="009655AD">
      <w:pPr>
        <w:spacing w:line="360" w:lineRule="auto"/>
        <w:rPr>
          <w:rFonts w:ascii="Arial" w:hAnsi="Arial" w:cs="Arial"/>
          <w:sz w:val="24"/>
          <w:szCs w:val="24"/>
        </w:rPr>
      </w:pPr>
      <w:r w:rsidRPr="009655AD">
        <w:rPr>
          <w:rFonts w:ascii="Arial" w:hAnsi="Arial" w:cs="Arial"/>
          <w:sz w:val="24"/>
          <w:szCs w:val="24"/>
        </w:rPr>
        <w:t xml:space="preserve">Despite these strengths, aspects of Toyota’s culture can also act as barriers, particularly in rapidly changing and highly competitive environments. The consensus-based decision-making process, known as </w:t>
      </w:r>
      <w:proofErr w:type="spellStart"/>
      <w:r w:rsidRPr="009655AD">
        <w:rPr>
          <w:rFonts w:ascii="Arial" w:hAnsi="Arial" w:cs="Arial"/>
          <w:sz w:val="24"/>
          <w:szCs w:val="24"/>
        </w:rPr>
        <w:t>Nemawashi</w:t>
      </w:r>
      <w:proofErr w:type="spellEnd"/>
      <w:r w:rsidRPr="009655AD">
        <w:rPr>
          <w:rFonts w:ascii="Arial" w:hAnsi="Arial" w:cs="Arial"/>
          <w:sz w:val="24"/>
          <w:szCs w:val="24"/>
        </w:rPr>
        <w:t>, while effective in building agreement and reducing conflict, can result in slower decision-making and reduced organisational agility. In industries characterised by rapid technological change, such as the automotive sector’s transition to electric and autonomous vehicles, this lack of speed may hinder responsiveness to market opportunities.</w:t>
      </w:r>
    </w:p>
    <w:p w14:paraId="5A2284D0" w14:textId="77777777" w:rsidR="009655AD" w:rsidRPr="009655AD" w:rsidRDefault="009655AD" w:rsidP="009655AD">
      <w:pPr>
        <w:spacing w:line="360" w:lineRule="auto"/>
        <w:rPr>
          <w:rFonts w:ascii="Arial" w:hAnsi="Arial" w:cs="Arial"/>
          <w:sz w:val="24"/>
          <w:szCs w:val="24"/>
        </w:rPr>
      </w:pPr>
      <w:r w:rsidRPr="009655AD">
        <w:rPr>
          <w:rFonts w:ascii="Arial" w:hAnsi="Arial" w:cs="Arial"/>
          <w:sz w:val="24"/>
          <w:szCs w:val="24"/>
        </w:rPr>
        <w:t>Furthermore, the strong adherence to established practices and cultural norms may limit the organisation’s capacity for radical innovation. While incremental improvements are highly valued, there may be resistance to disruptive change that challenges existing systems. This cultural rigidity can also create difficulties in global contexts, where diverse cultural expectations require greater flexibility and adaptation (Mullins and Christy, 2016).</w:t>
      </w:r>
    </w:p>
    <w:p w14:paraId="794E169F" w14:textId="77777777" w:rsidR="009655AD" w:rsidRDefault="009655AD" w:rsidP="009655AD">
      <w:pPr>
        <w:spacing w:line="360" w:lineRule="auto"/>
        <w:rPr>
          <w:rFonts w:ascii="Arial" w:hAnsi="Arial" w:cs="Arial"/>
          <w:sz w:val="24"/>
          <w:szCs w:val="24"/>
        </w:rPr>
      </w:pPr>
      <w:r w:rsidRPr="009655AD">
        <w:rPr>
          <w:rFonts w:ascii="Arial" w:hAnsi="Arial" w:cs="Arial"/>
          <w:sz w:val="24"/>
          <w:szCs w:val="24"/>
        </w:rPr>
        <w:t>Therefore, while Toyota’s culture is a significant organisational strength, it must be continuously adapted to ensure it does not become a constraint on innovation and responsiveness.</w:t>
      </w:r>
    </w:p>
    <w:p w14:paraId="11406CDC" w14:textId="77777777" w:rsidR="000C0D68" w:rsidRDefault="000C0D68" w:rsidP="009655AD">
      <w:pPr>
        <w:spacing w:line="360" w:lineRule="auto"/>
        <w:rPr>
          <w:rFonts w:ascii="Arial" w:hAnsi="Arial" w:cs="Arial"/>
          <w:sz w:val="24"/>
          <w:szCs w:val="24"/>
        </w:rPr>
      </w:pPr>
    </w:p>
    <w:p w14:paraId="716605B9" w14:textId="77777777" w:rsidR="000C0D68" w:rsidRPr="009655AD" w:rsidRDefault="000C0D68" w:rsidP="009655AD">
      <w:pPr>
        <w:spacing w:line="360" w:lineRule="auto"/>
        <w:rPr>
          <w:rFonts w:ascii="Arial" w:hAnsi="Arial" w:cs="Arial"/>
          <w:sz w:val="24"/>
          <w:szCs w:val="24"/>
        </w:rPr>
      </w:pPr>
    </w:p>
    <w:p w14:paraId="018E322F" w14:textId="77777777" w:rsidR="004F42E7" w:rsidRPr="004F42E7" w:rsidRDefault="004F42E7" w:rsidP="009655AD">
      <w:pPr>
        <w:spacing w:line="360" w:lineRule="auto"/>
        <w:rPr>
          <w:rFonts w:ascii="Arial" w:hAnsi="Arial" w:cs="Arial"/>
          <w:b/>
          <w:bCs/>
          <w:sz w:val="32"/>
          <w:szCs w:val="32"/>
        </w:rPr>
      </w:pPr>
      <w:r w:rsidRPr="004F42E7">
        <w:rPr>
          <w:rFonts w:ascii="Arial" w:hAnsi="Arial" w:cs="Arial"/>
          <w:b/>
          <w:bCs/>
          <w:sz w:val="32"/>
          <w:szCs w:val="32"/>
        </w:rPr>
        <w:lastRenderedPageBreak/>
        <w:t>Impact of Culture on Organisational Performance</w:t>
      </w:r>
    </w:p>
    <w:p w14:paraId="0EA8537A" w14:textId="5125F20C" w:rsidR="009655AD" w:rsidRPr="009655AD" w:rsidRDefault="009655AD" w:rsidP="009655AD">
      <w:pPr>
        <w:spacing w:line="360" w:lineRule="auto"/>
        <w:rPr>
          <w:rFonts w:ascii="Arial" w:hAnsi="Arial" w:cs="Arial"/>
          <w:sz w:val="24"/>
          <w:szCs w:val="24"/>
        </w:rPr>
      </w:pPr>
      <w:r w:rsidRPr="009655AD">
        <w:rPr>
          <w:rFonts w:ascii="Arial" w:hAnsi="Arial" w:cs="Arial"/>
          <w:sz w:val="24"/>
          <w:szCs w:val="24"/>
        </w:rPr>
        <w:t>Organisational culture has a profound and multifaceted impact on Toyota’s performance, influencing both operational outcomes and long-term strategic success. The organisation’s commitment to continuous improvement and waste reduction has resulted in high levels of productivity, efficiency, and product quality, which are central to its global competitiveness. The Toyota Production System, underpinned by cultural values, enables the organisation to minimise inefficiencies while maintaining consistent standards, thereby enhancing overall performance (Ohno, 1988).</w:t>
      </w:r>
    </w:p>
    <w:p w14:paraId="42BD022E" w14:textId="52F6624C" w:rsidR="009655AD" w:rsidRPr="009655AD" w:rsidRDefault="009655AD" w:rsidP="009655AD">
      <w:pPr>
        <w:spacing w:line="360" w:lineRule="auto"/>
        <w:rPr>
          <w:rFonts w:ascii="Arial" w:hAnsi="Arial" w:cs="Arial"/>
          <w:sz w:val="24"/>
          <w:szCs w:val="24"/>
        </w:rPr>
      </w:pPr>
      <w:r w:rsidRPr="009655AD">
        <w:rPr>
          <w:rFonts w:ascii="Arial" w:hAnsi="Arial" w:cs="Arial"/>
          <w:sz w:val="24"/>
          <w:szCs w:val="24"/>
        </w:rPr>
        <w:t>In addition to operational efficiency, Toyota’s culture positively influences employee motivation and engagement. By fostering a sense of collective responsibility and encouraging employee involvement in decision-making, the organisation enhances job satisfaction and organisational commitment. This, in turn, contributes to improved performance outcomes, as employees are more likely to be proactive and committed to achieving organisational goals (Robbins and Judge, 2017).</w:t>
      </w:r>
    </w:p>
    <w:p w14:paraId="4C51A2B1" w14:textId="37264A1F" w:rsidR="009655AD" w:rsidRPr="009655AD" w:rsidRDefault="009655AD" w:rsidP="009655AD">
      <w:pPr>
        <w:spacing w:line="360" w:lineRule="auto"/>
        <w:rPr>
          <w:rFonts w:ascii="Arial" w:hAnsi="Arial" w:cs="Arial"/>
          <w:sz w:val="24"/>
          <w:szCs w:val="24"/>
        </w:rPr>
      </w:pPr>
      <w:r w:rsidRPr="009655AD">
        <w:rPr>
          <w:rFonts w:ascii="Arial" w:hAnsi="Arial" w:cs="Arial"/>
          <w:sz w:val="24"/>
          <w:szCs w:val="24"/>
        </w:rPr>
        <w:t>However, the impact of culture is not exclusively positive. The same cultural characteristics that drive efficiency and consistency may also limit flexibility and adaptability. In the context of rapid technological advancements and shifting consumer preferences, an over-reliance on established practices may hinder the organisation’s ability to innovate and respond effectively to change. For example, Toyota has faced criticism for being slower than some competitors in transitioning fully to electric vehicles, which may reflect a cautious and process-driven culture.</w:t>
      </w:r>
    </w:p>
    <w:p w14:paraId="55FE04C1" w14:textId="0D094199" w:rsidR="009655AD" w:rsidRDefault="009655AD" w:rsidP="009655AD">
      <w:pPr>
        <w:spacing w:line="360" w:lineRule="auto"/>
        <w:rPr>
          <w:rFonts w:ascii="Arial" w:hAnsi="Arial" w:cs="Arial"/>
          <w:sz w:val="24"/>
          <w:szCs w:val="24"/>
        </w:rPr>
      </w:pPr>
      <w:r w:rsidRPr="009655AD">
        <w:rPr>
          <w:rFonts w:ascii="Arial" w:hAnsi="Arial" w:cs="Arial"/>
          <w:sz w:val="24"/>
          <w:szCs w:val="24"/>
        </w:rPr>
        <w:t>Consequently, while Toyota’s organisational culture remains a critical driver of performance, its long-term effectiveness depends on the organisation’s ability to balance stability with innovation and adaptability.</w:t>
      </w:r>
    </w:p>
    <w:p w14:paraId="3E809587" w14:textId="2C15A8EB" w:rsidR="004F42E7" w:rsidRPr="004F42E7" w:rsidRDefault="004F42E7" w:rsidP="009655AD">
      <w:pPr>
        <w:spacing w:line="360" w:lineRule="auto"/>
        <w:rPr>
          <w:rFonts w:ascii="Arial" w:hAnsi="Arial" w:cs="Arial"/>
          <w:b/>
          <w:bCs/>
          <w:sz w:val="32"/>
          <w:szCs w:val="32"/>
        </w:rPr>
      </w:pPr>
      <w:r w:rsidRPr="004F42E7">
        <w:rPr>
          <w:rFonts w:ascii="Arial" w:hAnsi="Arial" w:cs="Arial"/>
          <w:b/>
          <w:bCs/>
          <w:sz w:val="32"/>
          <w:szCs w:val="32"/>
        </w:rPr>
        <w:t>Recommendations</w:t>
      </w:r>
    </w:p>
    <w:p w14:paraId="65F53FFF" w14:textId="77777777" w:rsidR="004F42E7" w:rsidRPr="004F42E7" w:rsidRDefault="004F42E7" w:rsidP="004F42E7">
      <w:pPr>
        <w:spacing w:line="360" w:lineRule="auto"/>
        <w:rPr>
          <w:rFonts w:ascii="Arial" w:hAnsi="Arial" w:cs="Arial"/>
          <w:sz w:val="24"/>
          <w:szCs w:val="24"/>
        </w:rPr>
      </w:pPr>
      <w:r w:rsidRPr="004F42E7">
        <w:rPr>
          <w:rFonts w:ascii="Arial" w:hAnsi="Arial" w:cs="Arial"/>
          <w:sz w:val="24"/>
          <w:szCs w:val="24"/>
        </w:rPr>
        <w:t>Based on the analysis, the following recommendations are proposed:</w:t>
      </w:r>
    </w:p>
    <w:p w14:paraId="0CA4FF51" w14:textId="77777777" w:rsidR="004F42E7" w:rsidRPr="004F42E7" w:rsidRDefault="004F42E7" w:rsidP="004F42E7">
      <w:pPr>
        <w:numPr>
          <w:ilvl w:val="0"/>
          <w:numId w:val="7"/>
        </w:numPr>
        <w:spacing w:line="360" w:lineRule="auto"/>
        <w:rPr>
          <w:rFonts w:ascii="Arial" w:hAnsi="Arial" w:cs="Arial"/>
          <w:sz w:val="24"/>
          <w:szCs w:val="24"/>
        </w:rPr>
      </w:pPr>
      <w:r w:rsidRPr="004F42E7">
        <w:rPr>
          <w:rFonts w:ascii="Arial" w:hAnsi="Arial" w:cs="Arial"/>
          <w:b/>
          <w:bCs/>
          <w:sz w:val="24"/>
          <w:szCs w:val="24"/>
        </w:rPr>
        <w:t>Enhance Decision-Making Speed:</w:t>
      </w:r>
      <w:r w:rsidRPr="004F42E7">
        <w:rPr>
          <w:rFonts w:ascii="Arial" w:hAnsi="Arial" w:cs="Arial"/>
          <w:sz w:val="24"/>
          <w:szCs w:val="24"/>
        </w:rPr>
        <w:br/>
        <w:t>Introduce more flexible decision-making processes to complement consensus-based approaches.</w:t>
      </w:r>
    </w:p>
    <w:p w14:paraId="30E38C8F" w14:textId="77777777" w:rsidR="004F42E7" w:rsidRPr="004F42E7" w:rsidRDefault="004F42E7" w:rsidP="004F42E7">
      <w:pPr>
        <w:numPr>
          <w:ilvl w:val="0"/>
          <w:numId w:val="7"/>
        </w:numPr>
        <w:spacing w:line="360" w:lineRule="auto"/>
        <w:rPr>
          <w:rFonts w:ascii="Arial" w:hAnsi="Arial" w:cs="Arial"/>
          <w:sz w:val="24"/>
          <w:szCs w:val="24"/>
        </w:rPr>
      </w:pPr>
      <w:r w:rsidRPr="004F42E7">
        <w:rPr>
          <w:rFonts w:ascii="Arial" w:hAnsi="Arial" w:cs="Arial"/>
          <w:b/>
          <w:bCs/>
          <w:sz w:val="24"/>
          <w:szCs w:val="24"/>
        </w:rPr>
        <w:lastRenderedPageBreak/>
        <w:t>Encourage Innovation Culture:</w:t>
      </w:r>
      <w:r w:rsidRPr="004F42E7">
        <w:rPr>
          <w:rFonts w:ascii="Arial" w:hAnsi="Arial" w:cs="Arial"/>
          <w:sz w:val="24"/>
          <w:szCs w:val="24"/>
        </w:rPr>
        <w:br/>
        <w:t>Foster a more experimental mindset to support disruptive innovation.</w:t>
      </w:r>
    </w:p>
    <w:p w14:paraId="24942464" w14:textId="77777777" w:rsidR="004F42E7" w:rsidRPr="004F42E7" w:rsidRDefault="004F42E7" w:rsidP="004F42E7">
      <w:pPr>
        <w:numPr>
          <w:ilvl w:val="0"/>
          <w:numId w:val="7"/>
        </w:numPr>
        <w:spacing w:line="360" w:lineRule="auto"/>
        <w:rPr>
          <w:rFonts w:ascii="Arial" w:hAnsi="Arial" w:cs="Arial"/>
          <w:sz w:val="24"/>
          <w:szCs w:val="24"/>
        </w:rPr>
      </w:pPr>
      <w:r w:rsidRPr="004F42E7">
        <w:rPr>
          <w:rFonts w:ascii="Arial" w:hAnsi="Arial" w:cs="Arial"/>
          <w:b/>
          <w:bCs/>
          <w:sz w:val="24"/>
          <w:szCs w:val="24"/>
        </w:rPr>
        <w:t>Strengthen Global Cultural Integration:</w:t>
      </w:r>
      <w:r w:rsidRPr="004F42E7">
        <w:rPr>
          <w:rFonts w:ascii="Arial" w:hAnsi="Arial" w:cs="Arial"/>
          <w:sz w:val="24"/>
          <w:szCs w:val="24"/>
        </w:rPr>
        <w:br/>
        <w:t>Adapt cultural practices to better align with diverse international markets.</w:t>
      </w:r>
    </w:p>
    <w:p w14:paraId="783958B9" w14:textId="77777777" w:rsidR="00AB4F1C" w:rsidRDefault="004F42E7" w:rsidP="00AB4F1C">
      <w:pPr>
        <w:numPr>
          <w:ilvl w:val="0"/>
          <w:numId w:val="7"/>
        </w:numPr>
        <w:spacing w:line="360" w:lineRule="auto"/>
        <w:rPr>
          <w:rFonts w:ascii="Arial" w:hAnsi="Arial" w:cs="Arial"/>
          <w:sz w:val="24"/>
          <w:szCs w:val="24"/>
        </w:rPr>
      </w:pPr>
      <w:r w:rsidRPr="004F42E7">
        <w:rPr>
          <w:rFonts w:ascii="Arial" w:hAnsi="Arial" w:cs="Arial"/>
          <w:b/>
          <w:bCs/>
          <w:sz w:val="24"/>
          <w:szCs w:val="24"/>
        </w:rPr>
        <w:t>Leverage Digital Transformation:</w:t>
      </w:r>
      <w:r w:rsidRPr="004F42E7">
        <w:rPr>
          <w:rFonts w:ascii="Arial" w:hAnsi="Arial" w:cs="Arial"/>
          <w:sz w:val="24"/>
          <w:szCs w:val="24"/>
        </w:rPr>
        <w:br/>
        <w:t>Integrate digital technologies into operations while maintaining core cultural values.</w:t>
      </w:r>
    </w:p>
    <w:p w14:paraId="355BF5AF" w14:textId="4ECDE225"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 xml:space="preserve">To sustain its competitive advantage in an increasingly dynamic and technologically driven environment, Toyota must evolve aspects of its organisational culture while preserving its core strengths. The first recommendation is to enhance decision-making speed by introducing a more flexible approach alongside the traditional consensus-based </w:t>
      </w:r>
      <w:proofErr w:type="spellStart"/>
      <w:r w:rsidRPr="00AB4F1C">
        <w:rPr>
          <w:rFonts w:ascii="Arial" w:hAnsi="Arial" w:cs="Arial"/>
          <w:sz w:val="24"/>
          <w:szCs w:val="24"/>
        </w:rPr>
        <w:t>Nemawashi</w:t>
      </w:r>
      <w:proofErr w:type="spellEnd"/>
      <w:r w:rsidRPr="00AB4F1C">
        <w:rPr>
          <w:rFonts w:ascii="Arial" w:hAnsi="Arial" w:cs="Arial"/>
          <w:sz w:val="24"/>
          <w:szCs w:val="24"/>
        </w:rPr>
        <w:t xml:space="preserve"> process. While consensus ensures high-quality decisions, incorporating more decentralised and time-sensitive decision-making mechanisms in certain contexts would improve organisational agility. This is particularly important in responding to rapid technological changes, where delays can result in missed opportunities.</w:t>
      </w:r>
    </w:p>
    <w:p w14:paraId="23ED1A7C" w14:textId="77777777" w:rsidR="00AB4F1C" w:rsidRPr="00AB4F1C" w:rsidRDefault="00AB4F1C" w:rsidP="00AB4F1C">
      <w:pPr>
        <w:pStyle w:val="isselectedend"/>
        <w:spacing w:line="360" w:lineRule="auto"/>
        <w:rPr>
          <w:rFonts w:ascii="Arial" w:hAnsi="Arial" w:cs="Arial"/>
        </w:rPr>
      </w:pPr>
      <w:r w:rsidRPr="00AB4F1C">
        <w:rPr>
          <w:rFonts w:ascii="Arial" w:hAnsi="Arial" w:cs="Arial"/>
        </w:rPr>
        <w:t>Secondly, Toyota should actively cultivate a culture that supports more radical innovation in addition to incremental improvement. While Kaizen has been instrumental in driving efficiency, the organisation must also encourage experimentation and risk-taking to remain competitive in areas such as electric and autonomous vehicles. This could involve creating innovation-focused teams or divisions with greater autonomy, thereby balancing control with creativity.</w:t>
      </w:r>
    </w:p>
    <w:p w14:paraId="5A1DCDB4" w14:textId="5ABC2BAC" w:rsidR="00AB4F1C" w:rsidRPr="00AB4F1C" w:rsidRDefault="00AB4F1C" w:rsidP="00AB4F1C">
      <w:pPr>
        <w:pStyle w:val="isselectedend"/>
        <w:spacing w:line="360" w:lineRule="auto"/>
        <w:rPr>
          <w:rFonts w:ascii="Arial" w:hAnsi="Arial" w:cs="Arial"/>
        </w:rPr>
      </w:pPr>
      <w:r w:rsidRPr="00AB4F1C">
        <w:rPr>
          <w:rFonts w:ascii="Arial" w:hAnsi="Arial" w:cs="Arial"/>
        </w:rPr>
        <w:t>Furthermore, Toyota should strengthen its global cultural adaptability by integrating local cultural practices within its overarching organisational framework. As Mullins and Christy (2016) highlight, managing diverse workforces requires cultural flexibility, and Toyota must ensure its practices are not overly rigid when operating in international markets.</w:t>
      </w:r>
    </w:p>
    <w:p w14:paraId="4469573F" w14:textId="77777777" w:rsidR="00AB4F1C" w:rsidRPr="00AB4F1C" w:rsidRDefault="00AB4F1C" w:rsidP="00AB4F1C">
      <w:pPr>
        <w:pStyle w:val="NormalWeb"/>
        <w:spacing w:line="360" w:lineRule="auto"/>
        <w:rPr>
          <w:rFonts w:ascii="Arial" w:hAnsi="Arial" w:cs="Arial"/>
        </w:rPr>
      </w:pPr>
      <w:r w:rsidRPr="00AB4F1C">
        <w:rPr>
          <w:rFonts w:ascii="Arial" w:hAnsi="Arial" w:cs="Arial"/>
        </w:rPr>
        <w:t xml:space="preserve">Finally, the organisation should accelerate its digital transformation by embedding digital technologies into its operational and strategic processes. This includes leveraging data analytics and automation while ensuring that these developments </w:t>
      </w:r>
      <w:r w:rsidRPr="00AB4F1C">
        <w:rPr>
          <w:rFonts w:ascii="Arial" w:hAnsi="Arial" w:cs="Arial"/>
        </w:rPr>
        <w:lastRenderedPageBreak/>
        <w:t>align with its cultural values of continuous improvement and efficiency. Collectively, these recommendations aim to ensure that Toyota’s culture remains a strategic asset rather than a limitation in an evolving business environment.</w:t>
      </w:r>
    </w:p>
    <w:p w14:paraId="13DD3E95" w14:textId="77777777" w:rsidR="004F42E7" w:rsidRPr="00AB4F1C" w:rsidRDefault="004F42E7" w:rsidP="00AB4F1C">
      <w:pPr>
        <w:spacing w:line="360" w:lineRule="auto"/>
        <w:rPr>
          <w:rFonts w:ascii="Arial" w:hAnsi="Arial" w:cs="Arial"/>
          <w:sz w:val="24"/>
          <w:szCs w:val="24"/>
        </w:rPr>
      </w:pPr>
    </w:p>
    <w:p w14:paraId="5E294509" w14:textId="77777777" w:rsidR="004F42E7" w:rsidRDefault="004F42E7" w:rsidP="004F42E7">
      <w:pPr>
        <w:spacing w:line="360" w:lineRule="auto"/>
        <w:rPr>
          <w:rFonts w:ascii="Arial" w:hAnsi="Arial" w:cs="Arial"/>
          <w:sz w:val="24"/>
          <w:szCs w:val="24"/>
        </w:rPr>
      </w:pPr>
    </w:p>
    <w:p w14:paraId="6EC179B5" w14:textId="77777777" w:rsidR="004F42E7" w:rsidRDefault="004F42E7" w:rsidP="004F42E7">
      <w:pPr>
        <w:spacing w:line="360" w:lineRule="auto"/>
        <w:rPr>
          <w:rFonts w:ascii="Arial" w:hAnsi="Arial" w:cs="Arial"/>
          <w:sz w:val="24"/>
          <w:szCs w:val="24"/>
        </w:rPr>
      </w:pPr>
    </w:p>
    <w:p w14:paraId="00624F57" w14:textId="77777777" w:rsidR="004F42E7" w:rsidRDefault="004F42E7" w:rsidP="004F42E7">
      <w:pPr>
        <w:spacing w:line="360" w:lineRule="auto"/>
        <w:rPr>
          <w:rFonts w:ascii="Arial" w:hAnsi="Arial" w:cs="Arial"/>
          <w:sz w:val="24"/>
          <w:szCs w:val="24"/>
        </w:rPr>
      </w:pPr>
    </w:p>
    <w:p w14:paraId="667280AA" w14:textId="77777777" w:rsidR="004F42E7" w:rsidRDefault="004F42E7" w:rsidP="004F42E7">
      <w:pPr>
        <w:spacing w:line="360" w:lineRule="auto"/>
        <w:rPr>
          <w:rFonts w:ascii="Arial" w:hAnsi="Arial" w:cs="Arial"/>
          <w:sz w:val="24"/>
          <w:szCs w:val="24"/>
        </w:rPr>
      </w:pPr>
    </w:p>
    <w:p w14:paraId="2AB1CE68" w14:textId="77777777" w:rsidR="00AB4F1C" w:rsidRDefault="00AB4F1C" w:rsidP="004F42E7">
      <w:pPr>
        <w:spacing w:line="360" w:lineRule="auto"/>
        <w:rPr>
          <w:rFonts w:ascii="Arial" w:hAnsi="Arial" w:cs="Arial"/>
          <w:sz w:val="24"/>
          <w:szCs w:val="24"/>
        </w:rPr>
      </w:pPr>
    </w:p>
    <w:p w14:paraId="25E0C1C2" w14:textId="77777777" w:rsidR="00AB4F1C" w:rsidRDefault="00AB4F1C" w:rsidP="004F42E7">
      <w:pPr>
        <w:spacing w:line="360" w:lineRule="auto"/>
        <w:rPr>
          <w:rFonts w:ascii="Arial" w:hAnsi="Arial" w:cs="Arial"/>
          <w:sz w:val="24"/>
          <w:szCs w:val="24"/>
        </w:rPr>
      </w:pPr>
    </w:p>
    <w:p w14:paraId="5D2AF2C8" w14:textId="77777777" w:rsidR="00AB4F1C" w:rsidRDefault="00AB4F1C" w:rsidP="004F42E7">
      <w:pPr>
        <w:spacing w:line="360" w:lineRule="auto"/>
        <w:rPr>
          <w:rFonts w:ascii="Arial" w:hAnsi="Arial" w:cs="Arial"/>
          <w:sz w:val="24"/>
          <w:szCs w:val="24"/>
        </w:rPr>
      </w:pPr>
    </w:p>
    <w:p w14:paraId="3F169BFB" w14:textId="77777777" w:rsidR="00AB4F1C" w:rsidRDefault="00AB4F1C" w:rsidP="004F42E7">
      <w:pPr>
        <w:spacing w:line="360" w:lineRule="auto"/>
        <w:rPr>
          <w:rFonts w:ascii="Arial" w:hAnsi="Arial" w:cs="Arial"/>
          <w:sz w:val="24"/>
          <w:szCs w:val="24"/>
        </w:rPr>
      </w:pPr>
    </w:p>
    <w:p w14:paraId="1A1D3069" w14:textId="77777777" w:rsidR="000C0D68" w:rsidRDefault="000C0D68" w:rsidP="004F42E7">
      <w:pPr>
        <w:spacing w:line="360" w:lineRule="auto"/>
        <w:rPr>
          <w:rFonts w:ascii="Arial" w:hAnsi="Arial" w:cs="Arial"/>
          <w:sz w:val="24"/>
          <w:szCs w:val="24"/>
        </w:rPr>
      </w:pPr>
    </w:p>
    <w:p w14:paraId="0DC3009B" w14:textId="77777777" w:rsidR="000C0D68" w:rsidRDefault="000C0D68" w:rsidP="004F42E7">
      <w:pPr>
        <w:spacing w:line="360" w:lineRule="auto"/>
        <w:rPr>
          <w:rFonts w:ascii="Arial" w:hAnsi="Arial" w:cs="Arial"/>
          <w:sz w:val="24"/>
          <w:szCs w:val="24"/>
        </w:rPr>
      </w:pPr>
    </w:p>
    <w:p w14:paraId="10F70FE7" w14:textId="77777777" w:rsidR="000C0D68" w:rsidRDefault="000C0D68" w:rsidP="004F42E7">
      <w:pPr>
        <w:spacing w:line="360" w:lineRule="auto"/>
        <w:rPr>
          <w:rFonts w:ascii="Arial" w:hAnsi="Arial" w:cs="Arial"/>
          <w:sz w:val="24"/>
          <w:szCs w:val="24"/>
        </w:rPr>
      </w:pPr>
    </w:p>
    <w:p w14:paraId="6B34DECA" w14:textId="77777777" w:rsidR="000C0D68" w:rsidRDefault="000C0D68" w:rsidP="004F42E7">
      <w:pPr>
        <w:spacing w:line="360" w:lineRule="auto"/>
        <w:rPr>
          <w:rFonts w:ascii="Arial" w:hAnsi="Arial" w:cs="Arial"/>
          <w:sz w:val="24"/>
          <w:szCs w:val="24"/>
        </w:rPr>
      </w:pPr>
    </w:p>
    <w:p w14:paraId="3CBB28A7" w14:textId="77777777" w:rsidR="000C0D68" w:rsidRDefault="000C0D68" w:rsidP="004F42E7">
      <w:pPr>
        <w:spacing w:line="360" w:lineRule="auto"/>
        <w:rPr>
          <w:rFonts w:ascii="Arial" w:hAnsi="Arial" w:cs="Arial"/>
          <w:sz w:val="24"/>
          <w:szCs w:val="24"/>
        </w:rPr>
      </w:pPr>
    </w:p>
    <w:p w14:paraId="4ABCB37A" w14:textId="77777777" w:rsidR="000C0D68" w:rsidRDefault="000C0D68" w:rsidP="004F42E7">
      <w:pPr>
        <w:spacing w:line="360" w:lineRule="auto"/>
        <w:rPr>
          <w:rFonts w:ascii="Arial" w:hAnsi="Arial" w:cs="Arial"/>
          <w:sz w:val="24"/>
          <w:szCs w:val="24"/>
        </w:rPr>
      </w:pPr>
    </w:p>
    <w:p w14:paraId="1EA4283E" w14:textId="77777777" w:rsidR="000C0D68" w:rsidRDefault="000C0D68" w:rsidP="004F42E7">
      <w:pPr>
        <w:spacing w:line="360" w:lineRule="auto"/>
        <w:rPr>
          <w:rFonts w:ascii="Arial" w:hAnsi="Arial" w:cs="Arial"/>
          <w:sz w:val="24"/>
          <w:szCs w:val="24"/>
        </w:rPr>
      </w:pPr>
    </w:p>
    <w:p w14:paraId="51205D87" w14:textId="0B3D024F" w:rsidR="000C0D68" w:rsidRDefault="000C0D68" w:rsidP="004F42E7">
      <w:pPr>
        <w:spacing w:line="360" w:lineRule="auto"/>
        <w:rPr>
          <w:rFonts w:ascii="Arial" w:hAnsi="Arial" w:cs="Arial"/>
          <w:sz w:val="24"/>
          <w:szCs w:val="24"/>
        </w:rPr>
      </w:pPr>
    </w:p>
    <w:p w14:paraId="73477F1A" w14:textId="77777777" w:rsidR="000C0D68" w:rsidRDefault="000C0D68" w:rsidP="004F42E7">
      <w:pPr>
        <w:spacing w:line="360" w:lineRule="auto"/>
        <w:rPr>
          <w:rFonts w:ascii="Arial" w:hAnsi="Arial" w:cs="Arial"/>
          <w:sz w:val="24"/>
          <w:szCs w:val="24"/>
        </w:rPr>
      </w:pPr>
    </w:p>
    <w:p w14:paraId="7EA2A041" w14:textId="77777777" w:rsidR="000C0D68" w:rsidRDefault="000C0D68" w:rsidP="004F42E7">
      <w:pPr>
        <w:spacing w:line="360" w:lineRule="auto"/>
        <w:rPr>
          <w:rFonts w:ascii="Arial" w:hAnsi="Arial" w:cs="Arial"/>
          <w:sz w:val="24"/>
          <w:szCs w:val="24"/>
        </w:rPr>
      </w:pPr>
    </w:p>
    <w:p w14:paraId="322C7727" w14:textId="77777777" w:rsidR="000C0D68" w:rsidRDefault="000C0D68" w:rsidP="004F42E7">
      <w:pPr>
        <w:spacing w:line="360" w:lineRule="auto"/>
        <w:rPr>
          <w:rFonts w:ascii="Arial" w:hAnsi="Arial" w:cs="Arial"/>
          <w:sz w:val="24"/>
          <w:szCs w:val="24"/>
        </w:rPr>
      </w:pPr>
    </w:p>
    <w:p w14:paraId="35A6FE54" w14:textId="77777777" w:rsidR="000C0D68" w:rsidRDefault="000C0D68" w:rsidP="004F42E7">
      <w:pPr>
        <w:spacing w:line="360" w:lineRule="auto"/>
        <w:rPr>
          <w:rFonts w:ascii="Arial" w:hAnsi="Arial" w:cs="Arial"/>
          <w:sz w:val="24"/>
          <w:szCs w:val="24"/>
        </w:rPr>
      </w:pPr>
    </w:p>
    <w:p w14:paraId="21B8FF7B" w14:textId="77777777" w:rsidR="000C0D68" w:rsidRDefault="000C0D68" w:rsidP="004F42E7">
      <w:pPr>
        <w:spacing w:line="360" w:lineRule="auto"/>
        <w:rPr>
          <w:rFonts w:ascii="Arial" w:hAnsi="Arial" w:cs="Arial"/>
          <w:sz w:val="24"/>
          <w:szCs w:val="24"/>
        </w:rPr>
      </w:pPr>
    </w:p>
    <w:p w14:paraId="1CA48BB8" w14:textId="77777777" w:rsidR="004F42E7" w:rsidRPr="004F42E7" w:rsidRDefault="004F42E7" w:rsidP="004F42E7">
      <w:pPr>
        <w:spacing w:line="360" w:lineRule="auto"/>
        <w:rPr>
          <w:rFonts w:ascii="Arial" w:hAnsi="Arial" w:cs="Arial"/>
          <w:b/>
          <w:bCs/>
          <w:sz w:val="32"/>
          <w:szCs w:val="32"/>
        </w:rPr>
      </w:pPr>
      <w:r w:rsidRPr="004F42E7">
        <w:rPr>
          <w:rFonts w:ascii="Arial" w:hAnsi="Arial" w:cs="Arial"/>
          <w:b/>
          <w:bCs/>
          <w:sz w:val="32"/>
          <w:szCs w:val="32"/>
        </w:rPr>
        <w:lastRenderedPageBreak/>
        <w:t>Conclusion</w:t>
      </w:r>
    </w:p>
    <w:p w14:paraId="72C3E67A" w14:textId="77777777"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This report has demonstrated that organisational culture is a fundamental determinant of Toyota’s structure, decision-making processes, and overall organisational performance. Consistent with the argument presented by Mullins and Christy (2016), Toyota’s culture shapes “how things are done,” influencing not only operational efficiency but also strategic direction. The analysis has shown that Toyota’s culture, deeply rooted in continuous improvement and respect for people, has enabled the organisation to achieve global success through high levels of quality, efficiency, and employee engagement.</w:t>
      </w:r>
    </w:p>
    <w:p w14:paraId="606DC224" w14:textId="77777777"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The application of Schein’s model, Hofstede’s cultural dimensions, and Handy’s cultural typologies has revealed that Toyota possesses a strong, deeply embedded culture characterised by collectivism, standardisation, and long-term orientation. While this culture provides stability and consistency, it also introduces limitations, particularly in terms of decision-making speed and the capacity for radical innovation. As demonstrated, Toyota’s culture functions both as an enabler and, in certain contexts, a potential barrier to organisational effectiveness.</w:t>
      </w:r>
    </w:p>
    <w:p w14:paraId="6DBDC79A" w14:textId="701EA1C5" w:rsidR="00AB4F1C" w:rsidRPr="00AB4F1C" w:rsidRDefault="00AB4F1C" w:rsidP="00AB4F1C">
      <w:pPr>
        <w:spacing w:line="360" w:lineRule="auto"/>
        <w:rPr>
          <w:rFonts w:ascii="Arial" w:hAnsi="Arial" w:cs="Arial"/>
          <w:sz w:val="24"/>
          <w:szCs w:val="24"/>
        </w:rPr>
      </w:pPr>
      <w:r>
        <w:rPr>
          <w:rFonts w:ascii="Arial" w:hAnsi="Arial" w:cs="Arial"/>
          <w:sz w:val="24"/>
          <w:szCs w:val="24"/>
        </w:rPr>
        <w:t>The</w:t>
      </w:r>
      <w:r w:rsidRPr="00AB4F1C">
        <w:rPr>
          <w:rFonts w:ascii="Arial" w:hAnsi="Arial" w:cs="Arial"/>
          <w:sz w:val="24"/>
          <w:szCs w:val="24"/>
        </w:rPr>
        <w:t xml:space="preserve"> report has highlighted the critical role of culture in enabling Toyota to adapt to external environmental pressures, including technological advancements and globalisation. However, the increasing pace of change within the automotive industry necessitates a more flexible and adaptive cultural approach.</w:t>
      </w:r>
    </w:p>
    <w:p w14:paraId="249F47B2" w14:textId="77777777" w:rsidR="00AB4F1C" w:rsidRPr="00AB4F1C" w:rsidRDefault="00AB4F1C" w:rsidP="00AB4F1C">
      <w:pPr>
        <w:spacing w:line="360" w:lineRule="auto"/>
        <w:rPr>
          <w:rFonts w:ascii="Arial" w:hAnsi="Arial" w:cs="Arial"/>
          <w:sz w:val="24"/>
          <w:szCs w:val="24"/>
        </w:rPr>
      </w:pPr>
      <w:r w:rsidRPr="00AB4F1C">
        <w:rPr>
          <w:rFonts w:ascii="Arial" w:hAnsi="Arial" w:cs="Arial"/>
          <w:sz w:val="24"/>
          <w:szCs w:val="24"/>
        </w:rPr>
        <w:t>In conclusion, while Toyota’s organisational culture remains a significant source of competitive advantage, its long-term success will depend on its ability to evolve. By balancing its traditional strengths with greater agility, innovation, and global responsiveness, Toyota can ensure that its culture continues to support, rather than constrain, its future growth and performance.</w:t>
      </w:r>
    </w:p>
    <w:p w14:paraId="23B6A480" w14:textId="77777777" w:rsidR="004F42E7" w:rsidRPr="004F42E7" w:rsidRDefault="004F42E7" w:rsidP="004F42E7">
      <w:pPr>
        <w:spacing w:line="360" w:lineRule="auto"/>
        <w:rPr>
          <w:rFonts w:ascii="Arial" w:hAnsi="Arial" w:cs="Arial"/>
          <w:sz w:val="24"/>
          <w:szCs w:val="24"/>
        </w:rPr>
      </w:pPr>
    </w:p>
    <w:p w14:paraId="4BA103DA" w14:textId="77777777" w:rsidR="004F42E7" w:rsidRPr="004F42E7" w:rsidRDefault="004F42E7" w:rsidP="004F42E7">
      <w:pPr>
        <w:spacing w:line="360" w:lineRule="auto"/>
        <w:rPr>
          <w:rFonts w:ascii="Arial" w:hAnsi="Arial" w:cs="Arial"/>
          <w:sz w:val="24"/>
          <w:szCs w:val="24"/>
        </w:rPr>
      </w:pPr>
    </w:p>
    <w:p w14:paraId="47ED23CE" w14:textId="77777777" w:rsidR="004F42E7" w:rsidRDefault="004F42E7" w:rsidP="004F42E7">
      <w:pPr>
        <w:spacing w:line="360" w:lineRule="auto"/>
        <w:rPr>
          <w:rFonts w:ascii="Arial" w:hAnsi="Arial" w:cs="Arial"/>
          <w:sz w:val="24"/>
          <w:szCs w:val="24"/>
        </w:rPr>
      </w:pPr>
    </w:p>
    <w:p w14:paraId="6A8E9154" w14:textId="77777777" w:rsidR="004F42E7" w:rsidRPr="004F42E7" w:rsidRDefault="004F42E7" w:rsidP="004F42E7">
      <w:pPr>
        <w:spacing w:line="360" w:lineRule="auto"/>
        <w:rPr>
          <w:rFonts w:ascii="Arial" w:hAnsi="Arial" w:cs="Arial"/>
          <w:sz w:val="24"/>
          <w:szCs w:val="24"/>
        </w:rPr>
      </w:pPr>
    </w:p>
    <w:p w14:paraId="53A15AF4" w14:textId="77777777" w:rsidR="004F42E7" w:rsidRPr="004F42E7" w:rsidRDefault="004F42E7" w:rsidP="004F42E7">
      <w:pPr>
        <w:spacing w:line="360" w:lineRule="auto"/>
        <w:rPr>
          <w:rFonts w:ascii="Arial" w:hAnsi="Arial" w:cs="Arial"/>
          <w:sz w:val="24"/>
          <w:szCs w:val="24"/>
        </w:rPr>
      </w:pPr>
    </w:p>
    <w:p w14:paraId="100AE193" w14:textId="32DB98C4" w:rsidR="004F42E7" w:rsidRDefault="00AB4F1C" w:rsidP="004F42E7">
      <w:pPr>
        <w:spacing w:line="360" w:lineRule="auto"/>
        <w:rPr>
          <w:rFonts w:ascii="Arial" w:hAnsi="Arial" w:cs="Arial"/>
          <w:b/>
          <w:bCs/>
          <w:sz w:val="32"/>
          <w:szCs w:val="32"/>
        </w:rPr>
      </w:pPr>
      <w:r w:rsidRPr="00AB4F1C">
        <w:rPr>
          <w:rFonts w:ascii="Arial" w:hAnsi="Arial" w:cs="Arial"/>
          <w:b/>
          <w:bCs/>
          <w:sz w:val="32"/>
          <w:szCs w:val="32"/>
        </w:rPr>
        <w:lastRenderedPageBreak/>
        <w:t>References</w:t>
      </w:r>
    </w:p>
    <w:p w14:paraId="7C896808" w14:textId="43FFE64A" w:rsidR="0012232C" w:rsidRDefault="0012232C" w:rsidP="0012232C">
      <w:pPr>
        <w:pStyle w:val="NormalWeb"/>
        <w:numPr>
          <w:ilvl w:val="0"/>
          <w:numId w:val="13"/>
        </w:numPr>
        <w:spacing w:before="0" w:beforeAutospacing="0" w:after="240" w:afterAutospacing="0" w:line="360" w:lineRule="auto"/>
      </w:pPr>
      <w:r>
        <w:t xml:space="preserve">Cusumano, M.A. (2011). Staying power: the Eye Has It. </w:t>
      </w:r>
      <w:r>
        <w:rPr>
          <w:i/>
          <w:iCs/>
        </w:rPr>
        <w:t>British Journalism Review</w:t>
      </w:r>
      <w:r>
        <w:t xml:space="preserve">, 22(3), pp.7–10. Doi: </w:t>
      </w:r>
      <w:hyperlink r:id="rId8" w:history="1">
        <w:r w:rsidRPr="005E7EC7">
          <w:rPr>
            <w:rStyle w:val="Hyperlink"/>
          </w:rPr>
          <w:t>HTTPs://doi.org/10.1177/09564748110220030103</w:t>
        </w:r>
      </w:hyperlink>
      <w:r>
        <w:t>.</w:t>
      </w:r>
    </w:p>
    <w:p w14:paraId="28485FA4" w14:textId="595BF38B" w:rsidR="0012232C" w:rsidRDefault="0012232C" w:rsidP="0012232C">
      <w:pPr>
        <w:pStyle w:val="NormalWeb"/>
        <w:numPr>
          <w:ilvl w:val="0"/>
          <w:numId w:val="13"/>
        </w:numPr>
        <w:spacing w:before="0" w:beforeAutospacing="0" w:after="240" w:afterAutospacing="0" w:line="360" w:lineRule="auto"/>
      </w:pPr>
      <w:r>
        <w:t xml:space="preserve">Deal, T.E. and Kennedy, A.A. (2000). </w:t>
      </w:r>
      <w:r>
        <w:rPr>
          <w:i/>
          <w:iCs/>
        </w:rPr>
        <w:t xml:space="preserve">Corporate Cultures: </w:t>
      </w:r>
      <w:proofErr w:type="gramStart"/>
      <w:r>
        <w:rPr>
          <w:i/>
          <w:iCs/>
        </w:rPr>
        <w:t>the</w:t>
      </w:r>
      <w:proofErr w:type="gramEnd"/>
      <w:r>
        <w:rPr>
          <w:i/>
          <w:iCs/>
        </w:rPr>
        <w:t xml:space="preserve"> Rites and Rituals of Corporate Life</w:t>
      </w:r>
      <w:r>
        <w:t>. Reading (Mass.): Addison-Wesley.</w:t>
      </w:r>
    </w:p>
    <w:p w14:paraId="70C0222D" w14:textId="680B9097" w:rsidR="0012232C" w:rsidRDefault="0012232C" w:rsidP="0012232C">
      <w:pPr>
        <w:pStyle w:val="NormalWeb"/>
        <w:numPr>
          <w:ilvl w:val="0"/>
          <w:numId w:val="13"/>
        </w:numPr>
        <w:spacing w:before="0" w:beforeAutospacing="0" w:after="240" w:afterAutospacing="0" w:line="360" w:lineRule="auto"/>
      </w:pPr>
      <w:r>
        <w:t xml:space="preserve">Geraghty, T. (2023). </w:t>
      </w:r>
      <w:r>
        <w:rPr>
          <w:i/>
          <w:iCs/>
        </w:rPr>
        <w:t>Edgar Schein’s Three Layers of Organisational Culture</w:t>
      </w:r>
      <w:r>
        <w:t xml:space="preserve">. [online] Psych Safety. Available at: </w:t>
      </w:r>
      <w:hyperlink r:id="rId9" w:history="1">
        <w:r w:rsidRPr="005E7EC7">
          <w:rPr>
            <w:rStyle w:val="Hyperlink"/>
          </w:rPr>
          <w:t>https://psychsafety.com/psychological-safety-edgar-scheins-three-layers-of-organisational-culture/</w:t>
        </w:r>
      </w:hyperlink>
      <w:r>
        <w:t>.</w:t>
      </w:r>
    </w:p>
    <w:p w14:paraId="7302F92E" w14:textId="488F8CD5" w:rsidR="0012232C" w:rsidRDefault="0012232C" w:rsidP="0012232C">
      <w:pPr>
        <w:pStyle w:val="NormalWeb"/>
        <w:numPr>
          <w:ilvl w:val="0"/>
          <w:numId w:val="13"/>
        </w:numPr>
        <w:spacing w:before="0" w:beforeAutospacing="0" w:after="240" w:afterAutospacing="0" w:line="360" w:lineRule="auto"/>
      </w:pPr>
      <w:r>
        <w:t xml:space="preserve">Grant, R.M. (2019). The Rhetoric of Signs. </w:t>
      </w:r>
      <w:r>
        <w:rPr>
          <w:i/>
          <w:iCs/>
        </w:rPr>
        <w:t>Contemporary Sociology: A Journal of Reviews</w:t>
      </w:r>
      <w:r>
        <w:t xml:space="preserve">, 48(5), pp.564–565. Doi: </w:t>
      </w:r>
      <w:hyperlink r:id="rId10" w:history="1">
        <w:r w:rsidRPr="005E7EC7">
          <w:rPr>
            <w:rStyle w:val="Hyperlink"/>
          </w:rPr>
          <w:t>HTTPs://doi.org/10.1177/0094306119867060dd</w:t>
        </w:r>
      </w:hyperlink>
      <w:r>
        <w:t>.</w:t>
      </w:r>
    </w:p>
    <w:p w14:paraId="15CF568D" w14:textId="77777777" w:rsidR="0012232C" w:rsidRDefault="0012232C" w:rsidP="0012232C">
      <w:pPr>
        <w:pStyle w:val="NormalWeb"/>
        <w:numPr>
          <w:ilvl w:val="0"/>
          <w:numId w:val="13"/>
        </w:numPr>
        <w:spacing w:before="0" w:beforeAutospacing="0" w:after="240" w:afterAutospacing="0" w:line="360" w:lineRule="auto"/>
      </w:pPr>
      <w:r>
        <w:t xml:space="preserve">Handy, C.B. (1993). </w:t>
      </w:r>
      <w:r>
        <w:rPr>
          <w:i/>
          <w:iCs/>
        </w:rPr>
        <w:t>Understanding Organizations</w:t>
      </w:r>
      <w:r>
        <w:t>. New York: Oxford University Press.</w:t>
      </w:r>
    </w:p>
    <w:p w14:paraId="603DCFD5" w14:textId="7D34B551" w:rsidR="0012232C" w:rsidRDefault="0012232C" w:rsidP="0012232C">
      <w:pPr>
        <w:pStyle w:val="NormalWeb"/>
        <w:numPr>
          <w:ilvl w:val="0"/>
          <w:numId w:val="13"/>
        </w:numPr>
        <w:spacing w:before="0" w:beforeAutospacing="0" w:after="240" w:afterAutospacing="0" w:line="360" w:lineRule="auto"/>
      </w:pPr>
      <w:r>
        <w:t xml:space="preserve">Hofstede, G. (2001). </w:t>
      </w:r>
      <w:r>
        <w:rPr>
          <w:i/>
          <w:iCs/>
        </w:rPr>
        <w:t>Culture’s Consequences: Comparing values, behaviours, institutions, and Organizations across Nations</w:t>
      </w:r>
      <w:r>
        <w:t>. 2nd ed. Thousand Oaks, Calif.; London: Sage.</w:t>
      </w:r>
    </w:p>
    <w:p w14:paraId="6834AFF3" w14:textId="77777777" w:rsidR="0012232C" w:rsidRDefault="0012232C" w:rsidP="0012232C">
      <w:pPr>
        <w:pStyle w:val="NormalWeb"/>
        <w:numPr>
          <w:ilvl w:val="0"/>
          <w:numId w:val="13"/>
        </w:numPr>
        <w:spacing w:before="0" w:beforeAutospacing="0" w:after="240" w:afterAutospacing="0" w:line="360" w:lineRule="auto"/>
      </w:pPr>
      <w:r>
        <w:t xml:space="preserve">Johnson, G., Scholes, K. and Whittington, R. (2017). </w:t>
      </w:r>
      <w:r>
        <w:rPr>
          <w:i/>
          <w:iCs/>
        </w:rPr>
        <w:t>Exploring Corporate Strategy: Text and Cases</w:t>
      </w:r>
      <w:r>
        <w:t>. 8th ed. Harlow: FT Prentice Hall.</w:t>
      </w:r>
    </w:p>
    <w:p w14:paraId="19E898C3" w14:textId="77777777" w:rsidR="0012232C" w:rsidRDefault="0012232C" w:rsidP="0012232C">
      <w:pPr>
        <w:pStyle w:val="NormalWeb"/>
        <w:numPr>
          <w:ilvl w:val="0"/>
          <w:numId w:val="13"/>
        </w:numPr>
        <w:spacing w:before="0" w:beforeAutospacing="0" w:after="240" w:afterAutospacing="0" w:line="360" w:lineRule="auto"/>
      </w:pPr>
      <w:r>
        <w:t xml:space="preserve">Liker, J.K. (2004). </w:t>
      </w:r>
      <w:r>
        <w:rPr>
          <w:i/>
          <w:iCs/>
        </w:rPr>
        <w:t>The Toyota Way: 14 Management Principles from the World’s Greatest Manufacturer</w:t>
      </w:r>
      <w:r>
        <w:t xml:space="preserve">. New York </w:t>
      </w:r>
      <w:proofErr w:type="spellStart"/>
      <w:r>
        <w:t>Mcgraw</w:t>
      </w:r>
      <w:proofErr w:type="spellEnd"/>
      <w:r>
        <w:t xml:space="preserve"> Hill Professional.</w:t>
      </w:r>
    </w:p>
    <w:p w14:paraId="11A325AB" w14:textId="77777777" w:rsidR="0012232C" w:rsidRDefault="0012232C" w:rsidP="0012232C">
      <w:pPr>
        <w:pStyle w:val="NormalWeb"/>
        <w:numPr>
          <w:ilvl w:val="0"/>
          <w:numId w:val="13"/>
        </w:numPr>
        <w:spacing w:before="0" w:beforeAutospacing="0" w:after="240" w:afterAutospacing="0" w:line="360" w:lineRule="auto"/>
      </w:pPr>
      <w:r>
        <w:t xml:space="preserve">Mullins, L.J. and Christy, G. (2016). </w:t>
      </w:r>
      <w:r>
        <w:rPr>
          <w:i/>
          <w:iCs/>
        </w:rPr>
        <w:t>Management &amp; Organisational Behaviour</w:t>
      </w:r>
      <w:r>
        <w:t>. 11th ed. Harlow: Pearson.</w:t>
      </w:r>
    </w:p>
    <w:p w14:paraId="66E6F039" w14:textId="7141CC3B" w:rsidR="0012232C" w:rsidRDefault="0012232C" w:rsidP="0012232C">
      <w:pPr>
        <w:pStyle w:val="NormalWeb"/>
        <w:numPr>
          <w:ilvl w:val="0"/>
          <w:numId w:val="13"/>
        </w:numPr>
        <w:spacing w:before="0" w:beforeAutospacing="0" w:after="240" w:afterAutospacing="0" w:line="360" w:lineRule="auto"/>
      </w:pPr>
      <w:r>
        <w:t xml:space="preserve">Nickerson, C. (2025). </w:t>
      </w:r>
      <w:r>
        <w:rPr>
          <w:i/>
          <w:iCs/>
        </w:rPr>
        <w:t>Hofstede’s Cultural Dimensions Theory &amp; Examples</w:t>
      </w:r>
      <w:r>
        <w:t xml:space="preserve">. [online] Simply Psychology. Available at: </w:t>
      </w:r>
      <w:hyperlink r:id="rId11" w:history="1">
        <w:r w:rsidRPr="005E7EC7">
          <w:rPr>
            <w:rStyle w:val="Hyperlink"/>
          </w:rPr>
          <w:t>https://www.simplypsychology.org/hofstedes-cultural-dimensions-theory.html</w:t>
        </w:r>
      </w:hyperlink>
      <w:r>
        <w:t>.</w:t>
      </w:r>
    </w:p>
    <w:p w14:paraId="49165FBD" w14:textId="09CDF875" w:rsidR="0012232C" w:rsidRDefault="0012232C" w:rsidP="0012232C">
      <w:pPr>
        <w:pStyle w:val="NormalWeb"/>
        <w:numPr>
          <w:ilvl w:val="0"/>
          <w:numId w:val="13"/>
        </w:numPr>
        <w:spacing w:before="0" w:beforeAutospacing="0" w:after="240" w:afterAutospacing="0" w:line="360" w:lineRule="auto"/>
      </w:pPr>
      <w:proofErr w:type="spellStart"/>
      <w:r>
        <w:t>Ōhno</w:t>
      </w:r>
      <w:proofErr w:type="spellEnd"/>
      <w:r>
        <w:t xml:space="preserve">, T. (1988). </w:t>
      </w:r>
      <w:r>
        <w:rPr>
          <w:i/>
          <w:iCs/>
        </w:rPr>
        <w:t>Toyota Production System: beyond large-scale Production</w:t>
      </w:r>
      <w:r>
        <w:t>. New York: Productivity Press.</w:t>
      </w:r>
    </w:p>
    <w:p w14:paraId="50D6BD8A" w14:textId="511EAEFC" w:rsidR="00F5635B" w:rsidRDefault="00F5635B" w:rsidP="00F5635B">
      <w:pPr>
        <w:pStyle w:val="NormalWeb"/>
        <w:numPr>
          <w:ilvl w:val="0"/>
          <w:numId w:val="13"/>
        </w:numPr>
        <w:spacing w:before="0" w:beforeAutospacing="0" w:after="240" w:afterAutospacing="0" w:line="360" w:lineRule="auto"/>
      </w:pPr>
      <w:r>
        <w:lastRenderedPageBreak/>
        <w:t xml:space="preserve">Pettigrew, A.M., Woodman, R.W. and Cameron, K.S. (2001). Studying Organizational Change and Development: Challenges for Future Research. </w:t>
      </w:r>
      <w:r>
        <w:rPr>
          <w:i/>
          <w:iCs/>
        </w:rPr>
        <w:t>Academy of Management Journal</w:t>
      </w:r>
      <w:r>
        <w:t xml:space="preserve">, 44(4), pp.697–713. </w:t>
      </w:r>
      <w:proofErr w:type="spellStart"/>
      <w:r>
        <w:t>doi</w:t>
      </w:r>
      <w:proofErr w:type="spellEnd"/>
      <w:r>
        <w:t xml:space="preserve">: </w:t>
      </w:r>
      <w:hyperlink r:id="rId12" w:history="1">
        <w:r w:rsidRPr="005E7EC7">
          <w:rPr>
            <w:rStyle w:val="Hyperlink"/>
          </w:rPr>
          <w:t>https://doi.org/10.2307/3069411</w:t>
        </w:r>
      </w:hyperlink>
      <w:r>
        <w:t>.</w:t>
      </w:r>
    </w:p>
    <w:p w14:paraId="4CDD87AF" w14:textId="77777777" w:rsidR="00F5635B" w:rsidRDefault="00F5635B" w:rsidP="00F5635B">
      <w:pPr>
        <w:pStyle w:val="NormalWeb"/>
        <w:numPr>
          <w:ilvl w:val="0"/>
          <w:numId w:val="13"/>
        </w:numPr>
        <w:spacing w:before="0" w:beforeAutospacing="0" w:after="240" w:afterAutospacing="0" w:line="360" w:lineRule="auto"/>
      </w:pPr>
      <w:r>
        <w:t xml:space="preserve">Robbins, S.P. and Judge, T. (2017). </w:t>
      </w:r>
      <w:r>
        <w:rPr>
          <w:i/>
          <w:iCs/>
        </w:rPr>
        <w:t>Organizational Behaviour</w:t>
      </w:r>
      <w:r>
        <w:t>. Pearson.</w:t>
      </w:r>
    </w:p>
    <w:p w14:paraId="38A28C10" w14:textId="77777777" w:rsidR="00F5635B" w:rsidRDefault="00F5635B" w:rsidP="00F5635B">
      <w:pPr>
        <w:pStyle w:val="NormalWeb"/>
        <w:numPr>
          <w:ilvl w:val="0"/>
          <w:numId w:val="13"/>
        </w:numPr>
        <w:spacing w:before="0" w:beforeAutospacing="0" w:after="240" w:afterAutospacing="0" w:line="360" w:lineRule="auto"/>
      </w:pPr>
      <w:r>
        <w:t xml:space="preserve">Schein, E.H. (2010). </w:t>
      </w:r>
      <w:r>
        <w:rPr>
          <w:i/>
          <w:iCs/>
        </w:rPr>
        <w:t>Organizational Culture and Leadership</w:t>
      </w:r>
      <w:r>
        <w:t>. 5th ed. Hoboken, New Jersey Wiley.</w:t>
      </w:r>
    </w:p>
    <w:p w14:paraId="2A8424D1" w14:textId="6F87DDB1" w:rsidR="00F5635B" w:rsidRDefault="00F5635B" w:rsidP="00F5635B">
      <w:pPr>
        <w:pStyle w:val="NormalWeb"/>
        <w:numPr>
          <w:ilvl w:val="0"/>
          <w:numId w:val="13"/>
        </w:numPr>
        <w:spacing w:before="0" w:beforeAutospacing="0" w:after="240" w:afterAutospacing="0" w:line="360" w:lineRule="auto"/>
      </w:pPr>
      <w:r>
        <w:t xml:space="preserve">Trompenaars, F. and Hampden-Turner, C. (2012). </w:t>
      </w:r>
      <w:r>
        <w:rPr>
          <w:i/>
          <w:iCs/>
        </w:rPr>
        <w:t>Riding the Waves of Culture.</w:t>
      </w:r>
      <w:r>
        <w:t xml:space="preserve"> London: Nicholas Brealey.</w:t>
      </w:r>
    </w:p>
    <w:p w14:paraId="294D8499" w14:textId="77777777" w:rsidR="00F5635B" w:rsidRDefault="00F5635B" w:rsidP="00F5635B">
      <w:pPr>
        <w:pStyle w:val="NormalWeb"/>
        <w:numPr>
          <w:ilvl w:val="0"/>
          <w:numId w:val="13"/>
        </w:numPr>
        <w:spacing w:before="0" w:beforeAutospacing="0" w:after="240" w:afterAutospacing="0" w:line="360" w:lineRule="auto"/>
      </w:pPr>
      <w:r>
        <w:t xml:space="preserve">Womack, J.P., Jones, D.T. and </w:t>
      </w:r>
      <w:proofErr w:type="spellStart"/>
      <w:r>
        <w:t>Roos</w:t>
      </w:r>
      <w:proofErr w:type="spellEnd"/>
      <w:r>
        <w:t xml:space="preserve">, D. (2007). </w:t>
      </w:r>
      <w:r>
        <w:rPr>
          <w:i/>
          <w:iCs/>
        </w:rPr>
        <w:t>The Machine That Changed the World</w:t>
      </w:r>
      <w:r>
        <w:t>. New York: Free Press.</w:t>
      </w:r>
    </w:p>
    <w:p w14:paraId="64D77D38" w14:textId="7AA1AAB5" w:rsidR="000C0D68" w:rsidRPr="00F5635B" w:rsidRDefault="00F5635B" w:rsidP="00F5635B">
      <w:pPr>
        <w:pStyle w:val="NormalWeb"/>
        <w:numPr>
          <w:ilvl w:val="0"/>
          <w:numId w:val="13"/>
        </w:numPr>
        <w:spacing w:before="0" w:beforeAutospacing="0" w:after="240" w:afterAutospacing="0" w:line="360" w:lineRule="auto"/>
      </w:pPr>
      <w:r>
        <w:t xml:space="preserve">Yukl, G. (2013). An Improved Measure of Ethical Leadership. </w:t>
      </w:r>
      <w:r>
        <w:rPr>
          <w:i/>
          <w:iCs/>
        </w:rPr>
        <w:t>Journal of Leadership &amp; Organizational Studies</w:t>
      </w:r>
      <w:r>
        <w:t>, 20(1), pp.38-48.</w:t>
      </w:r>
    </w:p>
    <w:p w14:paraId="329D4EC2" w14:textId="77777777" w:rsidR="00AB4F1C" w:rsidRPr="004F42E7" w:rsidRDefault="00AB4F1C" w:rsidP="004F42E7">
      <w:pPr>
        <w:spacing w:line="360" w:lineRule="auto"/>
        <w:rPr>
          <w:rFonts w:ascii="Arial" w:hAnsi="Arial" w:cs="Arial"/>
          <w:sz w:val="24"/>
          <w:szCs w:val="24"/>
        </w:rPr>
      </w:pPr>
    </w:p>
    <w:p w14:paraId="1FDFA8D3" w14:textId="77777777" w:rsidR="00AE297F" w:rsidRPr="00AE297F" w:rsidRDefault="00AE297F" w:rsidP="00AE297F">
      <w:pPr>
        <w:spacing w:line="360" w:lineRule="auto"/>
        <w:rPr>
          <w:rFonts w:ascii="Arial" w:hAnsi="Arial" w:cs="Arial"/>
          <w:sz w:val="24"/>
          <w:szCs w:val="24"/>
        </w:rPr>
      </w:pPr>
    </w:p>
    <w:p w14:paraId="4E71D09C" w14:textId="1C12717F" w:rsidR="00AE297F" w:rsidRPr="00AE297F" w:rsidRDefault="00AE297F" w:rsidP="00AE297F">
      <w:pPr>
        <w:spacing w:line="360" w:lineRule="auto"/>
        <w:rPr>
          <w:rFonts w:ascii="Arial" w:hAnsi="Arial" w:cs="Arial"/>
          <w:sz w:val="24"/>
          <w:szCs w:val="24"/>
        </w:rPr>
      </w:pPr>
      <w:r w:rsidRPr="00AE297F">
        <w:rPr>
          <w:rFonts w:ascii="Arial" w:hAnsi="Arial" w:cs="Arial"/>
          <w:sz w:val="24"/>
          <w:szCs w:val="24"/>
        </w:rPr>
        <w:t xml:space="preserve">       </w:t>
      </w:r>
    </w:p>
    <w:p w14:paraId="261D31E9" w14:textId="531E5A0F" w:rsidR="00AE297F" w:rsidRPr="00AE297F" w:rsidRDefault="00AE297F" w:rsidP="00AE297F">
      <w:pPr>
        <w:spacing w:line="360" w:lineRule="auto"/>
        <w:rPr>
          <w:rFonts w:ascii="Arial" w:hAnsi="Arial" w:cs="Arial"/>
          <w:b/>
          <w:bCs/>
          <w:sz w:val="32"/>
          <w:szCs w:val="32"/>
        </w:rPr>
      </w:pPr>
      <w:r w:rsidRPr="00AE297F">
        <w:rPr>
          <w:rFonts w:ascii="Arial" w:hAnsi="Arial" w:cs="Arial"/>
          <w:b/>
          <w:bCs/>
          <w:sz w:val="32"/>
          <w:szCs w:val="32"/>
        </w:rPr>
        <w:t xml:space="preserve">     </w:t>
      </w:r>
    </w:p>
    <w:p w14:paraId="48B462A1" w14:textId="77777777" w:rsidR="00AE297F" w:rsidRPr="00AE297F" w:rsidRDefault="00AE297F" w:rsidP="00AE297F">
      <w:pPr>
        <w:spacing w:line="360" w:lineRule="auto"/>
        <w:rPr>
          <w:rFonts w:ascii="Arial" w:hAnsi="Arial" w:cs="Arial"/>
          <w:b/>
          <w:bCs/>
          <w:sz w:val="40"/>
          <w:szCs w:val="40"/>
        </w:rPr>
      </w:pPr>
    </w:p>
    <w:sectPr w:rsidR="00AE297F" w:rsidRPr="00AE297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F2405" w14:textId="77777777" w:rsidR="00855D8E" w:rsidRDefault="00855D8E" w:rsidP="00D24D41">
      <w:pPr>
        <w:spacing w:after="0" w:line="240" w:lineRule="auto"/>
      </w:pPr>
      <w:r>
        <w:separator/>
      </w:r>
    </w:p>
  </w:endnote>
  <w:endnote w:type="continuationSeparator" w:id="0">
    <w:p w14:paraId="4FBAC1DD" w14:textId="77777777" w:rsidR="00855D8E" w:rsidRDefault="00855D8E" w:rsidP="00D24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457608"/>
      <w:docPartObj>
        <w:docPartGallery w:val="Page Numbers (Bottom of Page)"/>
        <w:docPartUnique/>
      </w:docPartObj>
    </w:sdtPr>
    <w:sdtEndPr/>
    <w:sdtContent>
      <w:sdt>
        <w:sdtPr>
          <w:id w:val="-1769616900"/>
          <w:docPartObj>
            <w:docPartGallery w:val="Page Numbers (Top of Page)"/>
            <w:docPartUnique/>
          </w:docPartObj>
        </w:sdtPr>
        <w:sdtEndPr/>
        <w:sdtContent>
          <w:p w14:paraId="612C9F56" w14:textId="2533C82C" w:rsidR="00D24D41" w:rsidRDefault="00D24D4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04B2F93" w14:textId="77777777" w:rsidR="00D24D41" w:rsidRDefault="00D24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05CD5" w14:textId="77777777" w:rsidR="00855D8E" w:rsidRDefault="00855D8E" w:rsidP="00D24D41">
      <w:pPr>
        <w:spacing w:after="0" w:line="240" w:lineRule="auto"/>
      </w:pPr>
      <w:r>
        <w:separator/>
      </w:r>
    </w:p>
  </w:footnote>
  <w:footnote w:type="continuationSeparator" w:id="0">
    <w:p w14:paraId="1B6A0E83" w14:textId="77777777" w:rsidR="00855D8E" w:rsidRDefault="00855D8E" w:rsidP="00D24D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82F73"/>
    <w:multiLevelType w:val="hybridMultilevel"/>
    <w:tmpl w:val="90C0953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B182CF9"/>
    <w:multiLevelType w:val="multilevel"/>
    <w:tmpl w:val="34A4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D2814"/>
    <w:multiLevelType w:val="multilevel"/>
    <w:tmpl w:val="99AA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4376FF"/>
    <w:multiLevelType w:val="hybridMultilevel"/>
    <w:tmpl w:val="DBF2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14E8F"/>
    <w:multiLevelType w:val="multilevel"/>
    <w:tmpl w:val="37A6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9D135C"/>
    <w:multiLevelType w:val="hybridMultilevel"/>
    <w:tmpl w:val="6EB48064"/>
    <w:lvl w:ilvl="0" w:tplc="88A483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CA269C"/>
    <w:multiLevelType w:val="hybridMultilevel"/>
    <w:tmpl w:val="EF74B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54F38"/>
    <w:multiLevelType w:val="hybridMultilevel"/>
    <w:tmpl w:val="B1C2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E41CB"/>
    <w:multiLevelType w:val="multilevel"/>
    <w:tmpl w:val="AB12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65F8B"/>
    <w:multiLevelType w:val="hybridMultilevel"/>
    <w:tmpl w:val="2BAE2B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5F36B4"/>
    <w:multiLevelType w:val="multilevel"/>
    <w:tmpl w:val="BCA4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6A672B"/>
    <w:multiLevelType w:val="multilevel"/>
    <w:tmpl w:val="4880B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9E42E8"/>
    <w:multiLevelType w:val="multilevel"/>
    <w:tmpl w:val="0FE0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E30A5E"/>
    <w:multiLevelType w:val="hybridMultilevel"/>
    <w:tmpl w:val="F24A9B84"/>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4" w15:restartNumberingAfterBreak="0">
    <w:nsid w:val="7B251C77"/>
    <w:multiLevelType w:val="hybridMultilevel"/>
    <w:tmpl w:val="D5BE5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3879730">
    <w:abstractNumId w:val="4"/>
  </w:num>
  <w:num w:numId="2" w16cid:durableId="1363936458">
    <w:abstractNumId w:val="14"/>
  </w:num>
  <w:num w:numId="3" w16cid:durableId="916741445">
    <w:abstractNumId w:val="2"/>
  </w:num>
  <w:num w:numId="4" w16cid:durableId="156458915">
    <w:abstractNumId w:val="0"/>
  </w:num>
  <w:num w:numId="5" w16cid:durableId="827328891">
    <w:abstractNumId w:val="8"/>
  </w:num>
  <w:num w:numId="6" w16cid:durableId="698891788">
    <w:abstractNumId w:val="10"/>
  </w:num>
  <w:num w:numId="7" w16cid:durableId="1433547606">
    <w:abstractNumId w:val="12"/>
  </w:num>
  <w:num w:numId="8" w16cid:durableId="432478127">
    <w:abstractNumId w:val="7"/>
  </w:num>
  <w:num w:numId="9" w16cid:durableId="1717973917">
    <w:abstractNumId w:val="5"/>
  </w:num>
  <w:num w:numId="10" w16cid:durableId="720862060">
    <w:abstractNumId w:val="11"/>
  </w:num>
  <w:num w:numId="11" w16cid:durableId="1547642225">
    <w:abstractNumId w:val="3"/>
  </w:num>
  <w:num w:numId="12" w16cid:durableId="139813415">
    <w:abstractNumId w:val="1"/>
  </w:num>
  <w:num w:numId="13" w16cid:durableId="200018782">
    <w:abstractNumId w:val="9"/>
  </w:num>
  <w:num w:numId="14" w16cid:durableId="1511793521">
    <w:abstractNumId w:val="13"/>
  </w:num>
  <w:num w:numId="15" w16cid:durableId="11099312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41"/>
    <w:rsid w:val="000C0D68"/>
    <w:rsid w:val="0012232C"/>
    <w:rsid w:val="00232F34"/>
    <w:rsid w:val="004F42E7"/>
    <w:rsid w:val="0058055F"/>
    <w:rsid w:val="006657B2"/>
    <w:rsid w:val="007A468C"/>
    <w:rsid w:val="007B7755"/>
    <w:rsid w:val="00841D52"/>
    <w:rsid w:val="00855D8E"/>
    <w:rsid w:val="009655AD"/>
    <w:rsid w:val="00AB4F1C"/>
    <w:rsid w:val="00AC3682"/>
    <w:rsid w:val="00AE297F"/>
    <w:rsid w:val="00B91323"/>
    <w:rsid w:val="00CF5151"/>
    <w:rsid w:val="00D06D21"/>
    <w:rsid w:val="00D24D41"/>
    <w:rsid w:val="00E430CF"/>
    <w:rsid w:val="00E85354"/>
    <w:rsid w:val="00F55949"/>
    <w:rsid w:val="00F5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1A048"/>
  <w15:chartTrackingRefBased/>
  <w15:docId w15:val="{C7C6E31B-8D76-4C89-B2F0-A3449723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D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4D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4D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D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D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D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D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D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D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D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4D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4D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D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D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D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D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D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D41"/>
    <w:rPr>
      <w:rFonts w:eastAsiaTheme="majorEastAsia" w:cstheme="majorBidi"/>
      <w:color w:val="272727" w:themeColor="text1" w:themeTint="D8"/>
    </w:rPr>
  </w:style>
  <w:style w:type="paragraph" w:styleId="Title">
    <w:name w:val="Title"/>
    <w:basedOn w:val="Normal"/>
    <w:next w:val="Normal"/>
    <w:link w:val="TitleChar"/>
    <w:uiPriority w:val="10"/>
    <w:qFormat/>
    <w:rsid w:val="00D24D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D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D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D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D41"/>
    <w:pPr>
      <w:spacing w:before="160"/>
      <w:jc w:val="center"/>
    </w:pPr>
    <w:rPr>
      <w:i/>
      <w:iCs/>
      <w:color w:val="404040" w:themeColor="text1" w:themeTint="BF"/>
    </w:rPr>
  </w:style>
  <w:style w:type="character" w:customStyle="1" w:styleId="QuoteChar">
    <w:name w:val="Quote Char"/>
    <w:basedOn w:val="DefaultParagraphFont"/>
    <w:link w:val="Quote"/>
    <w:uiPriority w:val="29"/>
    <w:rsid w:val="00D24D41"/>
    <w:rPr>
      <w:i/>
      <w:iCs/>
      <w:color w:val="404040" w:themeColor="text1" w:themeTint="BF"/>
    </w:rPr>
  </w:style>
  <w:style w:type="paragraph" w:styleId="ListParagraph">
    <w:name w:val="List Paragraph"/>
    <w:basedOn w:val="Normal"/>
    <w:uiPriority w:val="34"/>
    <w:qFormat/>
    <w:rsid w:val="00D24D41"/>
    <w:pPr>
      <w:ind w:left="720"/>
      <w:contextualSpacing/>
    </w:pPr>
  </w:style>
  <w:style w:type="character" w:styleId="IntenseEmphasis">
    <w:name w:val="Intense Emphasis"/>
    <w:basedOn w:val="DefaultParagraphFont"/>
    <w:uiPriority w:val="21"/>
    <w:qFormat/>
    <w:rsid w:val="00D24D41"/>
    <w:rPr>
      <w:i/>
      <w:iCs/>
      <w:color w:val="0F4761" w:themeColor="accent1" w:themeShade="BF"/>
    </w:rPr>
  </w:style>
  <w:style w:type="paragraph" w:styleId="IntenseQuote">
    <w:name w:val="Intense Quote"/>
    <w:basedOn w:val="Normal"/>
    <w:next w:val="Normal"/>
    <w:link w:val="IntenseQuoteChar"/>
    <w:uiPriority w:val="30"/>
    <w:qFormat/>
    <w:rsid w:val="00D24D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D41"/>
    <w:rPr>
      <w:i/>
      <w:iCs/>
      <w:color w:val="0F4761" w:themeColor="accent1" w:themeShade="BF"/>
    </w:rPr>
  </w:style>
  <w:style w:type="character" w:styleId="IntenseReference">
    <w:name w:val="Intense Reference"/>
    <w:basedOn w:val="DefaultParagraphFont"/>
    <w:uiPriority w:val="32"/>
    <w:qFormat/>
    <w:rsid w:val="00D24D41"/>
    <w:rPr>
      <w:b/>
      <w:bCs/>
      <w:smallCaps/>
      <w:color w:val="0F4761" w:themeColor="accent1" w:themeShade="BF"/>
      <w:spacing w:val="5"/>
    </w:rPr>
  </w:style>
  <w:style w:type="paragraph" w:styleId="Header">
    <w:name w:val="header"/>
    <w:basedOn w:val="Normal"/>
    <w:link w:val="HeaderChar"/>
    <w:uiPriority w:val="99"/>
    <w:unhideWhenUsed/>
    <w:rsid w:val="00D24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D41"/>
  </w:style>
  <w:style w:type="paragraph" w:styleId="Footer">
    <w:name w:val="footer"/>
    <w:basedOn w:val="Normal"/>
    <w:link w:val="FooterChar"/>
    <w:uiPriority w:val="99"/>
    <w:unhideWhenUsed/>
    <w:rsid w:val="00D24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D41"/>
  </w:style>
  <w:style w:type="paragraph" w:customStyle="1" w:styleId="isselectedend">
    <w:name w:val="isselectedend"/>
    <w:basedOn w:val="Normal"/>
    <w:rsid w:val="004F42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42E7"/>
    <w:rPr>
      <w:b/>
      <w:bCs/>
    </w:rPr>
  </w:style>
  <w:style w:type="paragraph" w:styleId="NormalWeb">
    <w:name w:val="Normal (Web)"/>
    <w:basedOn w:val="Normal"/>
    <w:uiPriority w:val="99"/>
    <w:unhideWhenUsed/>
    <w:rsid w:val="00AB4F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2232C"/>
    <w:rPr>
      <w:color w:val="467886" w:themeColor="hyperlink"/>
      <w:u w:val="single"/>
    </w:rPr>
  </w:style>
  <w:style w:type="character" w:styleId="UnresolvedMention">
    <w:name w:val="Unresolved Mention"/>
    <w:basedOn w:val="DefaultParagraphFont"/>
    <w:uiPriority w:val="99"/>
    <w:semiHidden/>
    <w:unhideWhenUsed/>
    <w:rsid w:val="001223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956474811022003010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doi.org/10.2307/30694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hofstedes-cultural-dimensions-theory.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0094306119867060dd" TargetMode="External"/><Relationship Id="rId4" Type="http://schemas.openxmlformats.org/officeDocument/2006/relationships/webSettings" Target="webSettings.xml"/><Relationship Id="rId9" Type="http://schemas.openxmlformats.org/officeDocument/2006/relationships/hyperlink" Target="https://psychsafety.com/psychological-safety-edgar-scheins-three-layers-of-organisational-cult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4071</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cp:revision>
  <dcterms:created xsi:type="dcterms:W3CDTF">2026-07-11T21:59:00Z</dcterms:created>
  <dcterms:modified xsi:type="dcterms:W3CDTF">2026-07-11T21:59:00Z</dcterms:modified>
</cp:coreProperties>
</file>