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98"/>
        <w:gridCol w:w="3828"/>
      </w:tblGrid>
      <w:tr w:rsidR="00FC10ED" w:rsidRPr="00FC10ED" w14:paraId="7D6A9474" w14:textId="77777777">
        <w:trPr>
          <w:trHeight w:val="285"/>
        </w:trPr>
        <w:tc>
          <w:tcPr>
            <w:tcW w:w="5160" w:type="dxa"/>
            <w:tcBorders>
              <w:top w:val="nil"/>
              <w:left w:val="nil"/>
              <w:bottom w:val="nil"/>
              <w:right w:val="nil"/>
            </w:tcBorders>
            <w:shd w:val="clear" w:color="auto" w:fill="215E99"/>
            <w:hideMark/>
          </w:tcPr>
          <w:p w14:paraId="5AC18B39" w14:textId="605650E3" w:rsidR="00FC10ED" w:rsidRPr="00FC10ED" w:rsidRDefault="00FC10ED" w:rsidP="00FC10ED">
            <w:pPr>
              <w:pStyle w:val="Heading1"/>
              <w:spacing w:line="360" w:lineRule="auto"/>
            </w:pPr>
            <w:bookmarkStart w:id="0" w:name="_Toc225366294"/>
            <w:r w:rsidRPr="00FC10ED">
              <w:rPr>
                <w:rFonts w:ascii="Arial" w:hAnsi="Arial" w:cs="Arial"/>
              </w:rPr>
              <w:t> </w:t>
            </w:r>
            <w:r w:rsidRPr="00FC10ED">
              <w:t> </w:t>
            </w:r>
            <w:r w:rsidR="00C7438A" w:rsidRPr="00FC10ED">
              <w:rPr>
                <w:noProof/>
              </w:rPr>
              <w:drawing>
                <wp:inline distT="0" distB="0" distL="0" distR="0" wp14:anchorId="6A69ED8D" wp14:editId="7CCB394C">
                  <wp:extent cx="3200400" cy="1428750"/>
                  <wp:effectExtent l="0" t="0" r="0" b="0"/>
                  <wp:docPr id="2084296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428750"/>
                          </a:xfrm>
                          <a:prstGeom prst="rect">
                            <a:avLst/>
                          </a:prstGeom>
                          <a:noFill/>
                          <a:ln>
                            <a:noFill/>
                          </a:ln>
                        </pic:spPr>
                      </pic:pic>
                    </a:graphicData>
                  </a:graphic>
                </wp:inline>
              </w:drawing>
            </w:r>
            <w:bookmarkEnd w:id="0"/>
          </w:p>
        </w:tc>
        <w:tc>
          <w:tcPr>
            <w:tcW w:w="3840" w:type="dxa"/>
            <w:tcBorders>
              <w:top w:val="nil"/>
              <w:left w:val="nil"/>
              <w:bottom w:val="nil"/>
              <w:right w:val="nil"/>
            </w:tcBorders>
            <w:shd w:val="clear" w:color="auto" w:fill="215E99"/>
            <w:hideMark/>
          </w:tcPr>
          <w:p w14:paraId="4E06FED2" w14:textId="54A0C68C" w:rsidR="00FC10ED" w:rsidRPr="00FC10ED" w:rsidRDefault="00FC10ED" w:rsidP="00FC10ED">
            <w:pPr>
              <w:pStyle w:val="Heading1"/>
              <w:spacing w:line="360" w:lineRule="auto"/>
            </w:pPr>
          </w:p>
        </w:tc>
      </w:tr>
    </w:tbl>
    <w:p w14:paraId="7CCE21FE" w14:textId="77777777" w:rsidR="00FC10ED" w:rsidRPr="00FC10ED" w:rsidRDefault="00FC10ED" w:rsidP="00FC10ED">
      <w:pPr>
        <w:pStyle w:val="Heading1"/>
        <w:spacing w:line="360" w:lineRule="auto"/>
      </w:pPr>
      <w:bookmarkStart w:id="1" w:name="_Toc225272963"/>
      <w:bookmarkStart w:id="2" w:name="_Toc225366295"/>
      <w:r w:rsidRPr="00FC10ED">
        <w:rPr>
          <w:b/>
          <w:bCs/>
        </w:rPr>
        <w:t>Student Name</w:t>
      </w:r>
      <w:r w:rsidRPr="00FC10ED">
        <w:t>:</w:t>
      </w:r>
      <w:r w:rsidRPr="00FC10ED">
        <w:rPr>
          <w:rFonts w:ascii="Arial" w:hAnsi="Arial" w:cs="Arial"/>
        </w:rPr>
        <w:t> </w:t>
      </w:r>
      <w:r w:rsidRPr="00FC10ED">
        <w:tab/>
      </w:r>
      <w:r w:rsidRPr="00FC10ED">
        <w:tab/>
        <w:t>Shajna Azad</w:t>
      </w:r>
      <w:r w:rsidRPr="00FC10ED">
        <w:rPr>
          <w:rFonts w:ascii="Arial" w:hAnsi="Arial" w:cs="Arial"/>
        </w:rPr>
        <w:t> </w:t>
      </w:r>
      <w:bookmarkEnd w:id="1"/>
      <w:bookmarkEnd w:id="2"/>
      <w:r w:rsidRPr="00FC10ED">
        <w:t> </w:t>
      </w:r>
    </w:p>
    <w:p w14:paraId="29194305" w14:textId="76E4E338" w:rsidR="0075316B" w:rsidRDefault="00FC10ED" w:rsidP="0075316B">
      <w:pPr>
        <w:pStyle w:val="Heading1"/>
        <w:spacing w:line="360" w:lineRule="auto"/>
      </w:pPr>
      <w:bookmarkStart w:id="3" w:name="_Toc225272964"/>
      <w:bookmarkStart w:id="4" w:name="_Toc225366296"/>
      <w:r w:rsidRPr="00FC10ED">
        <w:rPr>
          <w:b/>
          <w:bCs/>
        </w:rPr>
        <w:t>Student ID</w:t>
      </w:r>
      <w:r w:rsidRPr="00FC10ED">
        <w:t>:</w:t>
      </w:r>
      <w:r w:rsidRPr="00FC10ED">
        <w:rPr>
          <w:rFonts w:ascii="Arial" w:hAnsi="Arial" w:cs="Arial"/>
        </w:rPr>
        <w:t> </w:t>
      </w:r>
      <w:r w:rsidRPr="00FC10ED">
        <w:tab/>
      </w:r>
      <w:r w:rsidRPr="00FC10ED">
        <w:tab/>
      </w:r>
      <w:r w:rsidRPr="00FC10ED">
        <w:tab/>
        <w:t>2232143</w:t>
      </w:r>
      <w:r w:rsidRPr="00FC10ED">
        <w:rPr>
          <w:rFonts w:ascii="Arial" w:hAnsi="Arial" w:cs="Arial"/>
        </w:rPr>
        <w:t> </w:t>
      </w:r>
      <w:bookmarkEnd w:id="3"/>
      <w:bookmarkEnd w:id="4"/>
      <w:r w:rsidRPr="00FC10ED">
        <w:t> </w:t>
      </w:r>
    </w:p>
    <w:p w14:paraId="5902B244" w14:textId="535B402C" w:rsidR="0075316B" w:rsidRDefault="00FC10ED" w:rsidP="0075316B">
      <w:pPr>
        <w:pStyle w:val="Heading1"/>
        <w:spacing w:line="360" w:lineRule="auto"/>
        <w:rPr>
          <w:rFonts w:ascii="Arial" w:hAnsi="Arial" w:cs="Arial"/>
          <w:b/>
          <w:sz w:val="36"/>
          <w:szCs w:val="36"/>
        </w:rPr>
      </w:pPr>
      <w:bookmarkStart w:id="5" w:name="_Toc225272965"/>
      <w:bookmarkStart w:id="6" w:name="_Toc225366297"/>
      <w:r w:rsidRPr="00FC10ED">
        <w:rPr>
          <w:b/>
          <w:bCs/>
        </w:rPr>
        <w:t>Module Name</w:t>
      </w:r>
      <w:r w:rsidRPr="00FC10ED">
        <w:t>:           </w:t>
      </w:r>
      <w:r w:rsidR="0075316B">
        <w:tab/>
      </w:r>
      <w:r w:rsidR="0075316B" w:rsidRPr="0075316B">
        <w:rPr>
          <w:rFonts w:ascii="Arial" w:hAnsi="Arial" w:cs="Arial"/>
          <w:b/>
          <w:sz w:val="36"/>
          <w:szCs w:val="36"/>
        </w:rPr>
        <w:t>Health Care System</w:t>
      </w:r>
      <w:bookmarkEnd w:id="5"/>
      <w:bookmarkEnd w:id="6"/>
      <w:r w:rsidR="0075316B">
        <w:rPr>
          <w:rFonts w:ascii="Arial" w:hAnsi="Arial" w:cs="Arial"/>
          <w:b/>
          <w:sz w:val="36"/>
          <w:szCs w:val="36"/>
        </w:rPr>
        <w:t xml:space="preserve"> </w:t>
      </w:r>
    </w:p>
    <w:p w14:paraId="2FE35A2D" w14:textId="233F6D92" w:rsidR="0075316B" w:rsidRPr="0075316B" w:rsidRDefault="0075316B" w:rsidP="0075316B">
      <w:pPr>
        <w:pStyle w:val="Heading1"/>
        <w:spacing w:line="360" w:lineRule="auto"/>
        <w:ind w:left="2880"/>
      </w:pPr>
      <w:r>
        <w:rPr>
          <w:rFonts w:ascii="Arial" w:hAnsi="Arial" w:cs="Arial"/>
          <w:b/>
          <w:sz w:val="36"/>
          <w:szCs w:val="36"/>
        </w:rPr>
        <w:t xml:space="preserve">       </w:t>
      </w:r>
      <w:bookmarkStart w:id="7" w:name="_Toc225272966"/>
      <w:bookmarkStart w:id="8" w:name="_Toc225366298"/>
      <w:r w:rsidRPr="0075316B">
        <w:rPr>
          <w:rFonts w:ascii="Arial" w:hAnsi="Arial" w:cs="Arial"/>
          <w:b/>
          <w:sz w:val="36"/>
          <w:szCs w:val="36"/>
        </w:rPr>
        <w:t>Organisation and Leadership</w:t>
      </w:r>
      <w:bookmarkEnd w:id="7"/>
      <w:bookmarkEnd w:id="8"/>
      <w:r w:rsidRPr="0075316B">
        <w:rPr>
          <w:b/>
          <w:bCs/>
        </w:rPr>
        <w:t xml:space="preserve"> </w:t>
      </w:r>
    </w:p>
    <w:p w14:paraId="5327D828" w14:textId="763D7CA2" w:rsidR="00FC10ED" w:rsidRPr="00FC10ED" w:rsidRDefault="00FC10ED" w:rsidP="0075316B">
      <w:pPr>
        <w:pStyle w:val="Heading1"/>
        <w:spacing w:line="360" w:lineRule="auto"/>
      </w:pPr>
      <w:bookmarkStart w:id="9" w:name="_Toc225272967"/>
      <w:bookmarkStart w:id="10" w:name="_Toc225366299"/>
      <w:r w:rsidRPr="00FC10ED">
        <w:rPr>
          <w:b/>
          <w:bCs/>
        </w:rPr>
        <w:t>Module Code</w:t>
      </w:r>
      <w:r w:rsidRPr="00FC10ED">
        <w:t>:</w:t>
      </w:r>
      <w:r w:rsidRPr="00FC10ED">
        <w:rPr>
          <w:rFonts w:ascii="Arial" w:hAnsi="Arial" w:cs="Arial"/>
        </w:rPr>
        <w:t> </w:t>
      </w:r>
      <w:r w:rsidRPr="00FC10ED">
        <w:tab/>
      </w:r>
      <w:r w:rsidRPr="00FC10ED">
        <w:tab/>
        <w:t>LCHS700</w:t>
      </w:r>
      <w:r w:rsidR="00C245D7">
        <w:t>2</w:t>
      </w:r>
      <w:bookmarkEnd w:id="9"/>
      <w:bookmarkEnd w:id="10"/>
    </w:p>
    <w:p w14:paraId="3A9C5025" w14:textId="6018F59C" w:rsidR="00FC10ED" w:rsidRPr="00FC10ED" w:rsidRDefault="00FC10ED" w:rsidP="00FC10ED">
      <w:pPr>
        <w:pStyle w:val="Heading1"/>
        <w:spacing w:line="360" w:lineRule="auto"/>
      </w:pPr>
      <w:bookmarkStart w:id="11" w:name="_Toc225272968"/>
      <w:bookmarkStart w:id="12" w:name="_Toc225366300"/>
      <w:r w:rsidRPr="00FC10ED">
        <w:rPr>
          <w:b/>
          <w:bCs/>
        </w:rPr>
        <w:t>Assignment Title</w:t>
      </w:r>
      <w:r w:rsidRPr="00FC10ED">
        <w:t>:</w:t>
      </w:r>
      <w:r w:rsidRPr="00FC10ED">
        <w:tab/>
      </w:r>
      <w:r w:rsidR="00C245D7">
        <w:t>Case Study, Analysis Report</w:t>
      </w:r>
      <w:bookmarkEnd w:id="11"/>
      <w:bookmarkEnd w:id="12"/>
      <w:r w:rsidRPr="00FC10ED">
        <w:t> </w:t>
      </w:r>
    </w:p>
    <w:p w14:paraId="64FEBC4A" w14:textId="39EDEFB2" w:rsidR="0075316B" w:rsidRDefault="00FC10ED" w:rsidP="0075316B">
      <w:pPr>
        <w:pStyle w:val="Heading1"/>
        <w:spacing w:line="360" w:lineRule="auto"/>
      </w:pPr>
      <w:bookmarkStart w:id="13" w:name="_Toc225272969"/>
      <w:bookmarkStart w:id="14" w:name="_Toc225366301"/>
      <w:r w:rsidRPr="00FC10ED">
        <w:rPr>
          <w:b/>
          <w:bCs/>
        </w:rPr>
        <w:t>Lecturer</w:t>
      </w:r>
      <w:r w:rsidRPr="00FC10ED">
        <w:t>:</w:t>
      </w:r>
      <w:r w:rsidRPr="00FC10ED">
        <w:rPr>
          <w:rFonts w:ascii="Arial" w:hAnsi="Arial" w:cs="Arial"/>
        </w:rPr>
        <w:t> </w:t>
      </w:r>
      <w:r w:rsidRPr="00FC10ED">
        <w:tab/>
      </w:r>
      <w:r w:rsidRPr="00FC10ED">
        <w:tab/>
      </w:r>
      <w:r w:rsidRPr="00FC10ED">
        <w:tab/>
        <w:t xml:space="preserve">Dr </w:t>
      </w:r>
      <w:r w:rsidR="00C245D7">
        <w:t>Fahad Khan</w:t>
      </w:r>
      <w:bookmarkEnd w:id="13"/>
      <w:bookmarkEnd w:id="14"/>
      <w:r w:rsidR="00C245D7">
        <w:t xml:space="preserve"> </w:t>
      </w:r>
      <w:r w:rsidRPr="00FC10ED">
        <w:t> </w:t>
      </w:r>
    </w:p>
    <w:p w14:paraId="50AAA001" w14:textId="77777777" w:rsidR="00AD0089" w:rsidRDefault="00AD0089" w:rsidP="00AD0089"/>
    <w:p w14:paraId="75FEFA29" w14:textId="77777777" w:rsidR="00AD0089" w:rsidRPr="00FC10ED" w:rsidRDefault="00AD0089" w:rsidP="00AD0089"/>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FC10ED" w:rsidRPr="00FC10ED" w14:paraId="5177583C" w14:textId="77777777" w:rsidTr="00C7438A">
        <w:trPr>
          <w:trHeight w:val="285"/>
        </w:trPr>
        <w:tc>
          <w:tcPr>
            <w:tcW w:w="4500" w:type="dxa"/>
            <w:tcBorders>
              <w:top w:val="nil"/>
              <w:left w:val="nil"/>
              <w:bottom w:val="nil"/>
              <w:right w:val="nil"/>
            </w:tcBorders>
            <w:shd w:val="clear" w:color="auto" w:fill="215E99"/>
            <w:hideMark/>
          </w:tcPr>
          <w:p w14:paraId="426D14D9" w14:textId="60B2CD05" w:rsidR="00FC10ED" w:rsidRPr="00FC10ED" w:rsidRDefault="00FC10ED" w:rsidP="00FC10ED">
            <w:pPr>
              <w:pStyle w:val="Heading1"/>
              <w:spacing w:line="360" w:lineRule="auto"/>
            </w:pPr>
            <w:r w:rsidRPr="00FC10ED">
              <w:t> </w:t>
            </w:r>
            <w:bookmarkStart w:id="15" w:name="_Toc225272970"/>
            <w:bookmarkStart w:id="16" w:name="_Toc225366302"/>
            <w:r w:rsidRPr="00FC10ED">
              <w:rPr>
                <w:rFonts w:ascii="Arial" w:hAnsi="Arial" w:cs="Arial"/>
              </w:rPr>
              <w:t> </w:t>
            </w:r>
            <w:bookmarkEnd w:id="15"/>
            <w:bookmarkEnd w:id="16"/>
            <w:r w:rsidRPr="00FC10ED">
              <w:t> </w:t>
            </w:r>
          </w:p>
        </w:tc>
        <w:tc>
          <w:tcPr>
            <w:tcW w:w="4500" w:type="dxa"/>
            <w:tcBorders>
              <w:top w:val="nil"/>
              <w:left w:val="nil"/>
              <w:bottom w:val="nil"/>
              <w:right w:val="nil"/>
            </w:tcBorders>
            <w:shd w:val="clear" w:color="auto" w:fill="215E99"/>
            <w:hideMark/>
          </w:tcPr>
          <w:p w14:paraId="6DC59F26" w14:textId="77777777" w:rsidR="00FC10ED" w:rsidRPr="00FC10ED" w:rsidRDefault="00FC10ED" w:rsidP="00FC10ED">
            <w:pPr>
              <w:pStyle w:val="Heading1"/>
              <w:spacing w:line="360" w:lineRule="auto"/>
            </w:pPr>
            <w:bookmarkStart w:id="17" w:name="_Toc225272971"/>
            <w:bookmarkStart w:id="18" w:name="_Toc225366303"/>
            <w:r w:rsidRPr="00FC10ED">
              <w:rPr>
                <w:rFonts w:ascii="Arial" w:hAnsi="Arial" w:cs="Arial"/>
              </w:rPr>
              <w:t> </w:t>
            </w:r>
            <w:bookmarkEnd w:id="17"/>
            <w:bookmarkEnd w:id="18"/>
            <w:r w:rsidRPr="00FC10ED">
              <w:t> </w:t>
            </w:r>
          </w:p>
        </w:tc>
      </w:tr>
    </w:tbl>
    <w:p w14:paraId="5EDBB50A" w14:textId="77777777" w:rsidR="0075316B" w:rsidRDefault="0075316B" w:rsidP="7B69A92E">
      <w:pPr>
        <w:pStyle w:val="Heading1"/>
        <w:keepNext w:val="0"/>
        <w:keepLines w:val="0"/>
        <w:spacing w:line="360" w:lineRule="auto"/>
      </w:pPr>
    </w:p>
    <w:sdt>
      <w:sdtPr>
        <w:rPr>
          <w:rFonts w:asciiTheme="minorHAnsi" w:eastAsiaTheme="minorEastAsia" w:hAnsiTheme="minorHAnsi" w:cstheme="minorBidi"/>
          <w:color w:val="auto"/>
          <w:sz w:val="36"/>
          <w:szCs w:val="36"/>
          <w:lang w:eastAsia="ja-JP"/>
        </w:rPr>
        <w:id w:val="-961493994"/>
        <w:docPartObj>
          <w:docPartGallery w:val="Table of Contents"/>
          <w:docPartUnique/>
        </w:docPartObj>
      </w:sdtPr>
      <w:sdtEndPr>
        <w:rPr>
          <w:b/>
          <w:bCs/>
          <w:sz w:val="32"/>
          <w:szCs w:val="32"/>
        </w:rPr>
      </w:sdtEndPr>
      <w:sdtContent>
        <w:p w14:paraId="6E5701CF" w14:textId="4283D482" w:rsidR="00744410" w:rsidRPr="001B3DF2" w:rsidRDefault="00744410">
          <w:pPr>
            <w:pStyle w:val="TOCHeading"/>
            <w:rPr>
              <w:sz w:val="36"/>
              <w:szCs w:val="36"/>
            </w:rPr>
          </w:pPr>
        </w:p>
        <w:p w14:paraId="618C239E" w14:textId="5CDEB0D3" w:rsidR="00F21457" w:rsidRPr="006D7737" w:rsidRDefault="00744410" w:rsidP="006D7737">
          <w:pPr>
            <w:pStyle w:val="TOC1"/>
            <w:rPr>
              <w:kern w:val="2"/>
              <w:sz w:val="32"/>
              <w:szCs w:val="32"/>
              <w:lang w:eastAsia="en-GB"/>
              <w14:ligatures w14:val="standardContextual"/>
            </w:rPr>
          </w:pPr>
          <w:r w:rsidRPr="006D7737">
            <w:rPr>
              <w:sz w:val="32"/>
              <w:szCs w:val="32"/>
            </w:rPr>
            <w:fldChar w:fldCharType="begin"/>
          </w:r>
          <w:r w:rsidRPr="006D7737">
            <w:rPr>
              <w:sz w:val="32"/>
              <w:szCs w:val="32"/>
            </w:rPr>
            <w:instrText xml:space="preserve"> TOC \o "1-3" \h \z \u </w:instrText>
          </w:r>
          <w:r w:rsidRPr="006D7737">
            <w:rPr>
              <w:sz w:val="32"/>
              <w:szCs w:val="32"/>
            </w:rPr>
            <w:fldChar w:fldCharType="separate"/>
          </w:r>
          <w:hyperlink w:anchor="_Toc225366294" w:history="1">
            <w:r w:rsidR="00F21457" w:rsidRPr="006D7737">
              <w:rPr>
                <w:rStyle w:val="Hyperlink"/>
                <w:rFonts w:ascii="Arial" w:hAnsi="Arial" w:cs="Arial"/>
                <w:sz w:val="32"/>
                <w:szCs w:val="32"/>
              </w:rPr>
              <w:t> </w:t>
            </w:r>
            <w:r w:rsidR="00F21457" w:rsidRPr="006D7737">
              <w:rPr>
                <w:rStyle w:val="Hyperlink"/>
                <w:sz w:val="32"/>
                <w:szCs w:val="32"/>
              </w:rPr>
              <w:t> </w:t>
            </w:r>
            <w:r w:rsidR="00F21457" w:rsidRPr="006D7737">
              <w:rPr>
                <w:rStyle w:val="Hyperlink"/>
                <w:sz w:val="32"/>
                <w:szCs w:val="32"/>
              </w:rPr>
              <w:drawing>
                <wp:inline distT="0" distB="0" distL="0" distR="0" wp14:anchorId="2ED48AA1" wp14:editId="2AD6FF2F">
                  <wp:extent cx="3200400" cy="1428750"/>
                  <wp:effectExtent l="0" t="0" r="0" b="0"/>
                  <wp:docPr id="1909992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428750"/>
                          </a:xfrm>
                          <a:prstGeom prst="rect">
                            <a:avLst/>
                          </a:prstGeom>
                          <a:noFill/>
                          <a:ln>
                            <a:noFill/>
                          </a:ln>
                        </pic:spPr>
                      </pic:pic>
                    </a:graphicData>
                  </a:graphic>
                </wp:inline>
              </w:drawing>
            </w:r>
            <w:r w:rsidR="00F21457" w:rsidRPr="006D7737">
              <w:rPr>
                <w:webHidden/>
                <w:sz w:val="32"/>
                <w:szCs w:val="32"/>
              </w:rPr>
              <w:tab/>
            </w:r>
          </w:hyperlink>
        </w:p>
        <w:p w14:paraId="64B9A1E2" w14:textId="2FB6CAA2" w:rsidR="00F21457" w:rsidRPr="006D7737" w:rsidRDefault="00F21457" w:rsidP="006D7737">
          <w:pPr>
            <w:pStyle w:val="TOC1"/>
            <w:rPr>
              <w:rStyle w:val="Hyperlink"/>
              <w:sz w:val="32"/>
              <w:szCs w:val="32"/>
            </w:rPr>
          </w:pPr>
          <w:hyperlink w:anchor="_Toc225366304" w:history="1">
            <w:r w:rsidRPr="006D7737">
              <w:rPr>
                <w:rStyle w:val="Hyperlink"/>
                <w:sz w:val="32"/>
                <w:szCs w:val="32"/>
              </w:rPr>
              <w:t>Introduction</w:t>
            </w:r>
            <w:r w:rsidRPr="006D7737">
              <w:rPr>
                <w:webHidden/>
                <w:sz w:val="32"/>
                <w:szCs w:val="32"/>
              </w:rPr>
              <w:tab/>
            </w:r>
            <w:r w:rsidRPr="006D7737">
              <w:rPr>
                <w:webHidden/>
                <w:sz w:val="32"/>
                <w:szCs w:val="32"/>
              </w:rPr>
              <w:fldChar w:fldCharType="begin"/>
            </w:r>
            <w:r w:rsidRPr="006D7737">
              <w:rPr>
                <w:webHidden/>
                <w:sz w:val="32"/>
                <w:szCs w:val="32"/>
              </w:rPr>
              <w:instrText xml:space="preserve"> PAGEREF _Toc225366304 \h </w:instrText>
            </w:r>
            <w:r w:rsidRPr="006D7737">
              <w:rPr>
                <w:webHidden/>
                <w:sz w:val="32"/>
                <w:szCs w:val="32"/>
              </w:rPr>
            </w:r>
            <w:r w:rsidRPr="006D7737">
              <w:rPr>
                <w:webHidden/>
                <w:sz w:val="32"/>
                <w:szCs w:val="32"/>
              </w:rPr>
              <w:fldChar w:fldCharType="separate"/>
            </w:r>
            <w:r w:rsidRPr="006D7737">
              <w:rPr>
                <w:webHidden/>
                <w:sz w:val="32"/>
                <w:szCs w:val="32"/>
              </w:rPr>
              <w:t>3</w:t>
            </w:r>
            <w:r w:rsidRPr="006D7737">
              <w:rPr>
                <w:webHidden/>
                <w:sz w:val="32"/>
                <w:szCs w:val="32"/>
              </w:rPr>
              <w:fldChar w:fldCharType="end"/>
            </w:r>
          </w:hyperlink>
        </w:p>
        <w:p w14:paraId="478E071F" w14:textId="77777777" w:rsidR="006D7737" w:rsidRPr="006D7737" w:rsidRDefault="006D7737" w:rsidP="006D7737">
          <w:pPr>
            <w:rPr>
              <w:sz w:val="32"/>
              <w:szCs w:val="32"/>
            </w:rPr>
          </w:pPr>
        </w:p>
        <w:p w14:paraId="40843EC2" w14:textId="1907DD9D" w:rsidR="00F21457" w:rsidRPr="006D7737" w:rsidRDefault="00F21457">
          <w:pPr>
            <w:pStyle w:val="TOC2"/>
            <w:tabs>
              <w:tab w:val="right" w:leader="dot" w:pos="9016"/>
            </w:tabs>
            <w:rPr>
              <w:rStyle w:val="Hyperlink"/>
              <w:noProof/>
              <w:sz w:val="32"/>
              <w:szCs w:val="32"/>
            </w:rPr>
          </w:pPr>
          <w:hyperlink w:anchor="_Toc225366305" w:history="1">
            <w:r w:rsidRPr="006D7737">
              <w:rPr>
                <w:rStyle w:val="Hyperlink"/>
                <w:noProof/>
                <w:sz w:val="32"/>
                <w:szCs w:val="32"/>
              </w:rPr>
              <w:t>Identifying the Problem and Setting the System Context</w:t>
            </w:r>
            <w:r w:rsidRPr="006D7737">
              <w:rPr>
                <w:noProof/>
                <w:webHidden/>
                <w:sz w:val="32"/>
                <w:szCs w:val="32"/>
              </w:rPr>
              <w:tab/>
            </w:r>
            <w:r w:rsidRPr="006D7737">
              <w:rPr>
                <w:noProof/>
                <w:webHidden/>
                <w:sz w:val="32"/>
                <w:szCs w:val="32"/>
              </w:rPr>
              <w:fldChar w:fldCharType="begin"/>
            </w:r>
            <w:r w:rsidRPr="006D7737">
              <w:rPr>
                <w:noProof/>
                <w:webHidden/>
                <w:sz w:val="32"/>
                <w:szCs w:val="32"/>
              </w:rPr>
              <w:instrText xml:space="preserve"> PAGEREF _Toc225366305 \h </w:instrText>
            </w:r>
            <w:r w:rsidRPr="006D7737">
              <w:rPr>
                <w:noProof/>
                <w:webHidden/>
                <w:sz w:val="32"/>
                <w:szCs w:val="32"/>
              </w:rPr>
            </w:r>
            <w:r w:rsidRPr="006D7737">
              <w:rPr>
                <w:noProof/>
                <w:webHidden/>
                <w:sz w:val="32"/>
                <w:szCs w:val="32"/>
              </w:rPr>
              <w:fldChar w:fldCharType="separate"/>
            </w:r>
            <w:r w:rsidRPr="006D7737">
              <w:rPr>
                <w:noProof/>
                <w:webHidden/>
                <w:sz w:val="32"/>
                <w:szCs w:val="32"/>
              </w:rPr>
              <w:t>5</w:t>
            </w:r>
            <w:r w:rsidRPr="006D7737">
              <w:rPr>
                <w:noProof/>
                <w:webHidden/>
                <w:sz w:val="32"/>
                <w:szCs w:val="32"/>
              </w:rPr>
              <w:fldChar w:fldCharType="end"/>
            </w:r>
          </w:hyperlink>
        </w:p>
        <w:p w14:paraId="4987750D" w14:textId="77777777" w:rsidR="006D7737" w:rsidRPr="006D7737" w:rsidRDefault="006D7737" w:rsidP="006D7737">
          <w:pPr>
            <w:rPr>
              <w:sz w:val="32"/>
              <w:szCs w:val="32"/>
            </w:rPr>
          </w:pPr>
        </w:p>
        <w:p w14:paraId="2C686248" w14:textId="3400DECF" w:rsidR="00F21457" w:rsidRPr="006D7737" w:rsidRDefault="00F21457">
          <w:pPr>
            <w:pStyle w:val="TOC2"/>
            <w:tabs>
              <w:tab w:val="right" w:leader="dot" w:pos="9016"/>
            </w:tabs>
            <w:rPr>
              <w:rStyle w:val="Hyperlink"/>
              <w:noProof/>
              <w:sz w:val="32"/>
              <w:szCs w:val="32"/>
            </w:rPr>
          </w:pPr>
          <w:hyperlink w:anchor="_Toc225366306" w:history="1">
            <w:r w:rsidRPr="006D7737">
              <w:rPr>
                <w:rStyle w:val="Hyperlink"/>
                <w:noProof/>
                <w:sz w:val="32"/>
                <w:szCs w:val="32"/>
              </w:rPr>
              <w:t>Systems Thinking</w:t>
            </w:r>
            <w:r w:rsidRPr="006D7737">
              <w:rPr>
                <w:noProof/>
                <w:webHidden/>
                <w:sz w:val="32"/>
                <w:szCs w:val="32"/>
              </w:rPr>
              <w:tab/>
            </w:r>
            <w:r w:rsidRPr="006D7737">
              <w:rPr>
                <w:noProof/>
                <w:webHidden/>
                <w:sz w:val="32"/>
                <w:szCs w:val="32"/>
              </w:rPr>
              <w:fldChar w:fldCharType="begin"/>
            </w:r>
            <w:r w:rsidRPr="006D7737">
              <w:rPr>
                <w:noProof/>
                <w:webHidden/>
                <w:sz w:val="32"/>
                <w:szCs w:val="32"/>
              </w:rPr>
              <w:instrText xml:space="preserve"> PAGEREF _Toc225366306 \h </w:instrText>
            </w:r>
            <w:r w:rsidRPr="006D7737">
              <w:rPr>
                <w:noProof/>
                <w:webHidden/>
                <w:sz w:val="32"/>
                <w:szCs w:val="32"/>
              </w:rPr>
            </w:r>
            <w:r w:rsidRPr="006D7737">
              <w:rPr>
                <w:noProof/>
                <w:webHidden/>
                <w:sz w:val="32"/>
                <w:szCs w:val="32"/>
              </w:rPr>
              <w:fldChar w:fldCharType="separate"/>
            </w:r>
            <w:r w:rsidRPr="006D7737">
              <w:rPr>
                <w:noProof/>
                <w:webHidden/>
                <w:sz w:val="32"/>
                <w:szCs w:val="32"/>
              </w:rPr>
              <w:t>8</w:t>
            </w:r>
            <w:r w:rsidRPr="006D7737">
              <w:rPr>
                <w:noProof/>
                <w:webHidden/>
                <w:sz w:val="32"/>
                <w:szCs w:val="32"/>
              </w:rPr>
              <w:fldChar w:fldCharType="end"/>
            </w:r>
          </w:hyperlink>
        </w:p>
        <w:p w14:paraId="32D7F349" w14:textId="77777777" w:rsidR="006D7737" w:rsidRPr="006D7737" w:rsidRDefault="006D7737" w:rsidP="006D7737">
          <w:pPr>
            <w:rPr>
              <w:sz w:val="32"/>
              <w:szCs w:val="32"/>
            </w:rPr>
          </w:pPr>
        </w:p>
        <w:p w14:paraId="3B8F3AC6" w14:textId="1711694B" w:rsidR="00F21457" w:rsidRPr="006D7737" w:rsidRDefault="00F21457">
          <w:pPr>
            <w:pStyle w:val="TOC2"/>
            <w:tabs>
              <w:tab w:val="right" w:leader="dot" w:pos="9016"/>
            </w:tabs>
            <w:rPr>
              <w:rStyle w:val="Hyperlink"/>
              <w:noProof/>
              <w:sz w:val="32"/>
              <w:szCs w:val="32"/>
            </w:rPr>
          </w:pPr>
          <w:hyperlink w:anchor="_Toc225366307" w:history="1">
            <w:r w:rsidRPr="006D7737">
              <w:rPr>
                <w:rStyle w:val="Hyperlink"/>
                <w:noProof/>
                <w:sz w:val="32"/>
                <w:szCs w:val="32"/>
              </w:rPr>
              <w:t>Centralisation or Decentralisation within the Case Study</w:t>
            </w:r>
            <w:r w:rsidRPr="006D7737">
              <w:rPr>
                <w:noProof/>
                <w:webHidden/>
                <w:sz w:val="32"/>
                <w:szCs w:val="32"/>
              </w:rPr>
              <w:tab/>
            </w:r>
            <w:r w:rsidRPr="006D7737">
              <w:rPr>
                <w:noProof/>
                <w:webHidden/>
                <w:sz w:val="32"/>
                <w:szCs w:val="32"/>
              </w:rPr>
              <w:fldChar w:fldCharType="begin"/>
            </w:r>
            <w:r w:rsidRPr="006D7737">
              <w:rPr>
                <w:noProof/>
                <w:webHidden/>
                <w:sz w:val="32"/>
                <w:szCs w:val="32"/>
              </w:rPr>
              <w:instrText xml:space="preserve"> PAGEREF _Toc225366307 \h </w:instrText>
            </w:r>
            <w:r w:rsidRPr="006D7737">
              <w:rPr>
                <w:noProof/>
                <w:webHidden/>
                <w:sz w:val="32"/>
                <w:szCs w:val="32"/>
              </w:rPr>
            </w:r>
            <w:r w:rsidRPr="006D7737">
              <w:rPr>
                <w:noProof/>
                <w:webHidden/>
                <w:sz w:val="32"/>
                <w:szCs w:val="32"/>
              </w:rPr>
              <w:fldChar w:fldCharType="separate"/>
            </w:r>
            <w:r w:rsidRPr="006D7737">
              <w:rPr>
                <w:noProof/>
                <w:webHidden/>
                <w:sz w:val="32"/>
                <w:szCs w:val="32"/>
              </w:rPr>
              <w:t>9</w:t>
            </w:r>
            <w:r w:rsidRPr="006D7737">
              <w:rPr>
                <w:noProof/>
                <w:webHidden/>
                <w:sz w:val="32"/>
                <w:szCs w:val="32"/>
              </w:rPr>
              <w:fldChar w:fldCharType="end"/>
            </w:r>
          </w:hyperlink>
        </w:p>
        <w:p w14:paraId="2AA01250" w14:textId="77777777" w:rsidR="006D7737" w:rsidRPr="006D7737" w:rsidRDefault="006D7737" w:rsidP="006D7737">
          <w:pPr>
            <w:rPr>
              <w:sz w:val="32"/>
              <w:szCs w:val="32"/>
            </w:rPr>
          </w:pPr>
        </w:p>
        <w:p w14:paraId="00CE96E0" w14:textId="4D74B9D8" w:rsidR="00F21457" w:rsidRPr="006D7737" w:rsidRDefault="00F21457">
          <w:pPr>
            <w:pStyle w:val="TOC2"/>
            <w:tabs>
              <w:tab w:val="right" w:leader="dot" w:pos="9016"/>
            </w:tabs>
            <w:rPr>
              <w:rStyle w:val="Hyperlink"/>
              <w:noProof/>
              <w:sz w:val="32"/>
              <w:szCs w:val="32"/>
            </w:rPr>
          </w:pPr>
          <w:hyperlink w:anchor="_Toc225366308" w:history="1">
            <w:r w:rsidRPr="006D7737">
              <w:rPr>
                <w:rStyle w:val="Hyperlink"/>
                <w:noProof/>
                <w:sz w:val="32"/>
                <w:szCs w:val="32"/>
              </w:rPr>
              <w:t>Leadership Theories and Application to the Case Study</w:t>
            </w:r>
            <w:r w:rsidRPr="006D7737">
              <w:rPr>
                <w:noProof/>
                <w:webHidden/>
                <w:sz w:val="32"/>
                <w:szCs w:val="32"/>
              </w:rPr>
              <w:tab/>
            </w:r>
            <w:r w:rsidRPr="006D7737">
              <w:rPr>
                <w:noProof/>
                <w:webHidden/>
                <w:sz w:val="32"/>
                <w:szCs w:val="32"/>
              </w:rPr>
              <w:fldChar w:fldCharType="begin"/>
            </w:r>
            <w:r w:rsidRPr="006D7737">
              <w:rPr>
                <w:noProof/>
                <w:webHidden/>
                <w:sz w:val="32"/>
                <w:szCs w:val="32"/>
              </w:rPr>
              <w:instrText xml:space="preserve"> PAGEREF _Toc225366308 \h </w:instrText>
            </w:r>
            <w:r w:rsidRPr="006D7737">
              <w:rPr>
                <w:noProof/>
                <w:webHidden/>
                <w:sz w:val="32"/>
                <w:szCs w:val="32"/>
              </w:rPr>
            </w:r>
            <w:r w:rsidRPr="006D7737">
              <w:rPr>
                <w:noProof/>
                <w:webHidden/>
                <w:sz w:val="32"/>
                <w:szCs w:val="32"/>
              </w:rPr>
              <w:fldChar w:fldCharType="separate"/>
            </w:r>
            <w:r w:rsidRPr="006D7737">
              <w:rPr>
                <w:noProof/>
                <w:webHidden/>
                <w:sz w:val="32"/>
                <w:szCs w:val="32"/>
              </w:rPr>
              <w:t>11</w:t>
            </w:r>
            <w:r w:rsidRPr="006D7737">
              <w:rPr>
                <w:noProof/>
                <w:webHidden/>
                <w:sz w:val="32"/>
                <w:szCs w:val="32"/>
              </w:rPr>
              <w:fldChar w:fldCharType="end"/>
            </w:r>
          </w:hyperlink>
        </w:p>
        <w:p w14:paraId="1F992027" w14:textId="77777777" w:rsidR="006D7737" w:rsidRPr="006D7737" w:rsidRDefault="006D7737" w:rsidP="006D7737">
          <w:pPr>
            <w:rPr>
              <w:sz w:val="32"/>
              <w:szCs w:val="32"/>
            </w:rPr>
          </w:pPr>
        </w:p>
        <w:p w14:paraId="107EB3CB" w14:textId="38745A51" w:rsidR="00F21457" w:rsidRPr="006D7737" w:rsidRDefault="00F21457">
          <w:pPr>
            <w:pStyle w:val="TOC2"/>
            <w:tabs>
              <w:tab w:val="right" w:leader="dot" w:pos="9016"/>
            </w:tabs>
            <w:rPr>
              <w:rStyle w:val="Hyperlink"/>
              <w:noProof/>
              <w:sz w:val="32"/>
              <w:szCs w:val="32"/>
            </w:rPr>
          </w:pPr>
          <w:hyperlink w:anchor="_Toc225366309" w:history="1">
            <w:r w:rsidRPr="006D7737">
              <w:rPr>
                <w:rStyle w:val="Hyperlink"/>
                <w:noProof/>
                <w:sz w:val="32"/>
                <w:szCs w:val="32"/>
              </w:rPr>
              <w:t>Critique, Improvements, and Lessons Learned</w:t>
            </w:r>
            <w:r w:rsidRPr="006D7737">
              <w:rPr>
                <w:noProof/>
                <w:webHidden/>
                <w:sz w:val="32"/>
                <w:szCs w:val="32"/>
              </w:rPr>
              <w:tab/>
            </w:r>
            <w:r w:rsidRPr="006D7737">
              <w:rPr>
                <w:noProof/>
                <w:webHidden/>
                <w:sz w:val="32"/>
                <w:szCs w:val="32"/>
              </w:rPr>
              <w:fldChar w:fldCharType="begin"/>
            </w:r>
            <w:r w:rsidRPr="006D7737">
              <w:rPr>
                <w:noProof/>
                <w:webHidden/>
                <w:sz w:val="32"/>
                <w:szCs w:val="32"/>
              </w:rPr>
              <w:instrText xml:space="preserve"> PAGEREF _Toc225366309 \h </w:instrText>
            </w:r>
            <w:r w:rsidRPr="006D7737">
              <w:rPr>
                <w:noProof/>
                <w:webHidden/>
                <w:sz w:val="32"/>
                <w:szCs w:val="32"/>
              </w:rPr>
            </w:r>
            <w:r w:rsidRPr="006D7737">
              <w:rPr>
                <w:noProof/>
                <w:webHidden/>
                <w:sz w:val="32"/>
                <w:szCs w:val="32"/>
              </w:rPr>
              <w:fldChar w:fldCharType="separate"/>
            </w:r>
            <w:r w:rsidRPr="006D7737">
              <w:rPr>
                <w:noProof/>
                <w:webHidden/>
                <w:sz w:val="32"/>
                <w:szCs w:val="32"/>
              </w:rPr>
              <w:t>14</w:t>
            </w:r>
            <w:r w:rsidRPr="006D7737">
              <w:rPr>
                <w:noProof/>
                <w:webHidden/>
                <w:sz w:val="32"/>
                <w:szCs w:val="32"/>
              </w:rPr>
              <w:fldChar w:fldCharType="end"/>
            </w:r>
          </w:hyperlink>
        </w:p>
        <w:p w14:paraId="6D302CAE" w14:textId="77777777" w:rsidR="006D7737" w:rsidRPr="006D7737" w:rsidRDefault="006D7737" w:rsidP="006D7737">
          <w:pPr>
            <w:rPr>
              <w:sz w:val="32"/>
              <w:szCs w:val="32"/>
            </w:rPr>
          </w:pPr>
        </w:p>
        <w:p w14:paraId="67C430DC" w14:textId="05EAB362" w:rsidR="00F21457" w:rsidRPr="006D7737" w:rsidRDefault="00F21457" w:rsidP="006D7737">
          <w:pPr>
            <w:pStyle w:val="TOC1"/>
            <w:rPr>
              <w:rStyle w:val="Hyperlink"/>
              <w:sz w:val="32"/>
              <w:szCs w:val="32"/>
            </w:rPr>
          </w:pPr>
          <w:hyperlink w:anchor="_Toc225366310" w:history="1">
            <w:r w:rsidRPr="006D7737">
              <w:rPr>
                <w:rStyle w:val="Hyperlink"/>
                <w:sz w:val="32"/>
                <w:szCs w:val="32"/>
              </w:rPr>
              <w:t>Recommendations</w:t>
            </w:r>
            <w:r w:rsidRPr="006D7737">
              <w:rPr>
                <w:webHidden/>
                <w:sz w:val="32"/>
                <w:szCs w:val="32"/>
              </w:rPr>
              <w:tab/>
            </w:r>
            <w:r w:rsidRPr="006D7737">
              <w:rPr>
                <w:webHidden/>
                <w:sz w:val="32"/>
                <w:szCs w:val="32"/>
              </w:rPr>
              <w:fldChar w:fldCharType="begin"/>
            </w:r>
            <w:r w:rsidRPr="006D7737">
              <w:rPr>
                <w:webHidden/>
                <w:sz w:val="32"/>
                <w:szCs w:val="32"/>
              </w:rPr>
              <w:instrText xml:space="preserve"> PAGEREF _Toc225366310 \h </w:instrText>
            </w:r>
            <w:r w:rsidRPr="006D7737">
              <w:rPr>
                <w:webHidden/>
                <w:sz w:val="32"/>
                <w:szCs w:val="32"/>
              </w:rPr>
            </w:r>
            <w:r w:rsidRPr="006D7737">
              <w:rPr>
                <w:webHidden/>
                <w:sz w:val="32"/>
                <w:szCs w:val="32"/>
              </w:rPr>
              <w:fldChar w:fldCharType="separate"/>
            </w:r>
            <w:r w:rsidRPr="006D7737">
              <w:rPr>
                <w:webHidden/>
                <w:sz w:val="32"/>
                <w:szCs w:val="32"/>
              </w:rPr>
              <w:t>17</w:t>
            </w:r>
            <w:r w:rsidRPr="006D7737">
              <w:rPr>
                <w:webHidden/>
                <w:sz w:val="32"/>
                <w:szCs w:val="32"/>
              </w:rPr>
              <w:fldChar w:fldCharType="end"/>
            </w:r>
          </w:hyperlink>
        </w:p>
        <w:p w14:paraId="62BFFAA7" w14:textId="77777777" w:rsidR="006D7737" w:rsidRPr="006D7737" w:rsidRDefault="006D7737" w:rsidP="006D7737">
          <w:pPr>
            <w:rPr>
              <w:sz w:val="32"/>
              <w:szCs w:val="32"/>
            </w:rPr>
          </w:pPr>
        </w:p>
        <w:p w14:paraId="6C936384" w14:textId="7C9E18E2" w:rsidR="00F21457" w:rsidRPr="006D7737" w:rsidRDefault="00F21457" w:rsidP="006D7737">
          <w:pPr>
            <w:pStyle w:val="TOC1"/>
            <w:rPr>
              <w:rStyle w:val="Hyperlink"/>
              <w:sz w:val="32"/>
              <w:szCs w:val="32"/>
            </w:rPr>
          </w:pPr>
          <w:hyperlink w:anchor="_Toc225366311" w:history="1">
            <w:r w:rsidRPr="006D7737">
              <w:rPr>
                <w:rStyle w:val="Hyperlink"/>
                <w:sz w:val="32"/>
                <w:szCs w:val="32"/>
              </w:rPr>
              <w:t>Conclusion</w:t>
            </w:r>
            <w:r w:rsidRPr="006D7737">
              <w:rPr>
                <w:webHidden/>
                <w:sz w:val="32"/>
                <w:szCs w:val="32"/>
              </w:rPr>
              <w:tab/>
            </w:r>
            <w:r w:rsidRPr="006D7737">
              <w:rPr>
                <w:webHidden/>
                <w:sz w:val="32"/>
                <w:szCs w:val="32"/>
              </w:rPr>
              <w:fldChar w:fldCharType="begin"/>
            </w:r>
            <w:r w:rsidRPr="006D7737">
              <w:rPr>
                <w:webHidden/>
                <w:sz w:val="32"/>
                <w:szCs w:val="32"/>
              </w:rPr>
              <w:instrText xml:space="preserve"> PAGEREF _Toc225366311 \h </w:instrText>
            </w:r>
            <w:r w:rsidRPr="006D7737">
              <w:rPr>
                <w:webHidden/>
                <w:sz w:val="32"/>
                <w:szCs w:val="32"/>
              </w:rPr>
            </w:r>
            <w:r w:rsidRPr="006D7737">
              <w:rPr>
                <w:webHidden/>
                <w:sz w:val="32"/>
                <w:szCs w:val="32"/>
              </w:rPr>
              <w:fldChar w:fldCharType="separate"/>
            </w:r>
            <w:r w:rsidRPr="006D7737">
              <w:rPr>
                <w:webHidden/>
                <w:sz w:val="32"/>
                <w:szCs w:val="32"/>
              </w:rPr>
              <w:t>19</w:t>
            </w:r>
            <w:r w:rsidRPr="006D7737">
              <w:rPr>
                <w:webHidden/>
                <w:sz w:val="32"/>
                <w:szCs w:val="32"/>
              </w:rPr>
              <w:fldChar w:fldCharType="end"/>
            </w:r>
          </w:hyperlink>
        </w:p>
        <w:p w14:paraId="6313A404" w14:textId="77777777" w:rsidR="006D7737" w:rsidRPr="006D7737" w:rsidRDefault="006D7737" w:rsidP="006D7737">
          <w:pPr>
            <w:rPr>
              <w:sz w:val="32"/>
              <w:szCs w:val="32"/>
            </w:rPr>
          </w:pPr>
        </w:p>
        <w:p w14:paraId="6D5D9D36" w14:textId="1AA43D60" w:rsidR="00F21457" w:rsidRPr="006D7737" w:rsidRDefault="00F21457" w:rsidP="006D7737">
          <w:pPr>
            <w:pStyle w:val="TOC1"/>
            <w:rPr>
              <w:kern w:val="2"/>
              <w:sz w:val="32"/>
              <w:szCs w:val="32"/>
              <w:lang w:eastAsia="en-GB"/>
              <w14:ligatures w14:val="standardContextual"/>
            </w:rPr>
          </w:pPr>
          <w:hyperlink w:anchor="_Toc225366312" w:history="1">
            <w:r w:rsidRPr="006D7737">
              <w:rPr>
                <w:rStyle w:val="Hyperlink"/>
                <w:sz w:val="32"/>
                <w:szCs w:val="32"/>
              </w:rPr>
              <w:t>Reference</w:t>
            </w:r>
            <w:r w:rsidR="006D7737">
              <w:rPr>
                <w:rStyle w:val="Hyperlink"/>
                <w:sz w:val="32"/>
                <w:szCs w:val="32"/>
              </w:rPr>
              <w:t>s</w:t>
            </w:r>
            <w:r w:rsidRPr="006D7737">
              <w:rPr>
                <w:webHidden/>
                <w:sz w:val="32"/>
                <w:szCs w:val="32"/>
              </w:rPr>
              <w:tab/>
            </w:r>
            <w:r w:rsidRPr="006D7737">
              <w:rPr>
                <w:webHidden/>
                <w:sz w:val="32"/>
                <w:szCs w:val="32"/>
              </w:rPr>
              <w:fldChar w:fldCharType="begin"/>
            </w:r>
            <w:r w:rsidRPr="006D7737">
              <w:rPr>
                <w:webHidden/>
                <w:sz w:val="32"/>
                <w:szCs w:val="32"/>
              </w:rPr>
              <w:instrText xml:space="preserve"> PAGEREF _Toc225366312 \h </w:instrText>
            </w:r>
            <w:r w:rsidRPr="006D7737">
              <w:rPr>
                <w:webHidden/>
                <w:sz w:val="32"/>
                <w:szCs w:val="32"/>
              </w:rPr>
            </w:r>
            <w:r w:rsidRPr="006D7737">
              <w:rPr>
                <w:webHidden/>
                <w:sz w:val="32"/>
                <w:szCs w:val="32"/>
              </w:rPr>
              <w:fldChar w:fldCharType="separate"/>
            </w:r>
            <w:r w:rsidRPr="006D7737">
              <w:rPr>
                <w:webHidden/>
                <w:sz w:val="32"/>
                <w:szCs w:val="32"/>
              </w:rPr>
              <w:t>20</w:t>
            </w:r>
            <w:r w:rsidRPr="006D7737">
              <w:rPr>
                <w:webHidden/>
                <w:sz w:val="32"/>
                <w:szCs w:val="32"/>
              </w:rPr>
              <w:fldChar w:fldCharType="end"/>
            </w:r>
          </w:hyperlink>
        </w:p>
        <w:p w14:paraId="1AED573D" w14:textId="3B650DF0" w:rsidR="00744410" w:rsidRPr="001B3DF2" w:rsidRDefault="00744410">
          <w:pPr>
            <w:rPr>
              <w:sz w:val="36"/>
              <w:szCs w:val="36"/>
            </w:rPr>
          </w:pPr>
          <w:r w:rsidRPr="006D7737">
            <w:rPr>
              <w:b/>
              <w:bCs/>
              <w:sz w:val="32"/>
              <w:szCs w:val="32"/>
            </w:rPr>
            <w:fldChar w:fldCharType="end"/>
          </w:r>
        </w:p>
      </w:sdtContent>
    </w:sdt>
    <w:p w14:paraId="4B541E21" w14:textId="77777777" w:rsidR="0075316B" w:rsidRPr="001B3DF2" w:rsidRDefault="0075316B">
      <w:pPr>
        <w:rPr>
          <w:rFonts w:asciiTheme="majorHAnsi" w:eastAsiaTheme="majorEastAsia" w:hAnsiTheme="majorHAnsi" w:cstheme="majorBidi"/>
          <w:color w:val="0F4761" w:themeColor="accent1" w:themeShade="BF"/>
          <w:sz w:val="36"/>
          <w:szCs w:val="36"/>
        </w:rPr>
      </w:pPr>
      <w:r w:rsidRPr="001B3DF2">
        <w:rPr>
          <w:sz w:val="36"/>
          <w:szCs w:val="36"/>
        </w:rPr>
        <w:br w:type="page"/>
      </w:r>
    </w:p>
    <w:p w14:paraId="3D93C406" w14:textId="2DBD1ED2" w:rsidR="7C5B8E0E" w:rsidRDefault="7C5B8E0E" w:rsidP="7B69A92E">
      <w:pPr>
        <w:pStyle w:val="Heading1"/>
        <w:keepNext w:val="0"/>
        <w:keepLines w:val="0"/>
        <w:spacing w:line="360" w:lineRule="auto"/>
      </w:pPr>
      <w:bookmarkStart w:id="19" w:name="_Toc225366304"/>
      <w:r w:rsidRPr="7B69A92E">
        <w:lastRenderedPageBreak/>
        <w:t>Introduction</w:t>
      </w:r>
      <w:bookmarkEnd w:id="19"/>
    </w:p>
    <w:p w14:paraId="0482609F" w14:textId="2B5CE882" w:rsidR="7C5B8E0E" w:rsidRDefault="7C5B8E0E" w:rsidP="7B69A92E">
      <w:pPr>
        <w:spacing w:before="240" w:after="240" w:line="360" w:lineRule="auto"/>
      </w:pPr>
      <w:r w:rsidRPr="7B69A92E">
        <w:rPr>
          <w:rFonts w:ascii="Arial" w:eastAsia="Arial" w:hAnsi="Arial" w:cs="Arial"/>
        </w:rPr>
        <w:t xml:space="preserve">Patient safety is a fundamental priority within health and social care systems; however, medication errors remain a significant cause of preventable harm worldwide. According to the World Health Organization, medication-related harm affects millions of patients each year and results in approximately 1.3 million injuries annually across global healthcare systems (WHO, 2017). This report examines a case involving a four-week-old infant from the </w:t>
      </w:r>
      <w:proofErr w:type="gramStart"/>
      <w:r w:rsidRPr="7B69A92E">
        <w:rPr>
          <w:rFonts w:ascii="Arial" w:eastAsia="Arial" w:hAnsi="Arial" w:cs="Arial"/>
        </w:rPr>
        <w:t>North East</w:t>
      </w:r>
      <w:proofErr w:type="gramEnd"/>
      <w:r w:rsidRPr="7B69A92E">
        <w:rPr>
          <w:rFonts w:ascii="Arial" w:eastAsia="Arial" w:hAnsi="Arial" w:cs="Arial"/>
        </w:rPr>
        <w:t xml:space="preserve"> and Yorkshire region of England who was admitted to an Accident and Emergency department after receiving an overdose of morphine sulphate oral solution. The overdose occurred because the parents were supplied with a medication strength of 10 mg/5 ml instead of the intended preparation of 100 micrograms/ml, resulting in the infant receiving approximately twenty times the intended dose. Although the baby survived following treatment with naloxone, national incident reviews indicate that this is the fifth similar occurrence reported since 2018, with one previous incident resulting in the death of an infant. The incident highlights significant concerns regarding medication safety, communication processes, and governance systems within healthcare organisations.</w:t>
      </w:r>
    </w:p>
    <w:p w14:paraId="557BA3F0" w14:textId="7738C873" w:rsidR="7C5B8E0E" w:rsidRDefault="7C5B8E0E" w:rsidP="7B69A92E">
      <w:pPr>
        <w:spacing w:before="240" w:after="240" w:line="360" w:lineRule="auto"/>
      </w:pPr>
      <w:r w:rsidRPr="7B69A92E">
        <w:rPr>
          <w:rFonts w:ascii="Arial" w:eastAsia="Arial" w:hAnsi="Arial" w:cs="Arial"/>
        </w:rPr>
        <w:t>Leadership plays a crucial role in ensuring safe and effective healthcare delivery. In health and social care contexts, leadership can be defined as the process of influencing individuals and teams to achieve shared goals related to patient safety, quality improvement, and organisational performance (Yukl, 2020). Effective leadership is particularly important in complex healthcare environments where professionals must collaborate across multidisciplinary teams, manage clinical risks, and respond to rapidly evolving situations.</w:t>
      </w:r>
    </w:p>
    <w:p w14:paraId="7C48B6E2" w14:textId="26741C88" w:rsidR="7C5B8E0E" w:rsidRDefault="7C5B8E0E" w:rsidP="7B69A92E">
      <w:pPr>
        <w:spacing w:before="240" w:after="240" w:line="360" w:lineRule="auto"/>
      </w:pPr>
      <w:r w:rsidRPr="7B69A92E">
        <w:rPr>
          <w:rFonts w:ascii="Arial" w:eastAsia="Arial" w:hAnsi="Arial" w:cs="Arial"/>
        </w:rPr>
        <w:t xml:space="preserve">Healthcare organisations operate within governance structures that balance centralisation and decentralisation. Centralisation refers to decision-making authority being concentrated at higher organisational levels, such as national health authorities or executive leadership teams responsible for establishing policies and standards. In contrast, decentralisation distributes authority to local levels, enabling healthcare professionals and departments to make decisions that reflect operational and patient care needs. Decentralised systems can improve responsiveness and </w:t>
      </w:r>
      <w:r w:rsidRPr="7B69A92E">
        <w:rPr>
          <w:rFonts w:ascii="Arial" w:eastAsia="Arial" w:hAnsi="Arial" w:cs="Arial"/>
        </w:rPr>
        <w:lastRenderedPageBreak/>
        <w:t>flexibility, while centralised structures provide coordinated policies and consistent standards across healthcare systems (</w:t>
      </w:r>
      <w:proofErr w:type="spellStart"/>
      <w:r w:rsidRPr="7B69A92E">
        <w:rPr>
          <w:rFonts w:ascii="Arial" w:eastAsia="Arial" w:hAnsi="Arial" w:cs="Arial"/>
        </w:rPr>
        <w:t>Sreeramareddy</w:t>
      </w:r>
      <w:proofErr w:type="spellEnd"/>
      <w:r w:rsidRPr="7B69A92E">
        <w:rPr>
          <w:rFonts w:ascii="Arial" w:eastAsia="Arial" w:hAnsi="Arial" w:cs="Arial"/>
        </w:rPr>
        <w:t xml:space="preserve"> and Sathyanarayana, 2019).</w:t>
      </w:r>
    </w:p>
    <w:p w14:paraId="3AE7A8AC" w14:textId="0FDDE242" w:rsidR="7C5B8E0E" w:rsidRDefault="7C5B8E0E" w:rsidP="7B69A92E">
      <w:pPr>
        <w:spacing w:before="240" w:after="240" w:line="360" w:lineRule="auto"/>
      </w:pPr>
      <w:r w:rsidRPr="7B69A92E">
        <w:rPr>
          <w:rFonts w:ascii="Arial" w:eastAsia="Arial" w:hAnsi="Arial" w:cs="Arial"/>
        </w:rPr>
        <w:t>Leadership theories provide useful frameworks for understanding how leaders guide teams and manage organisational challenges. Transformational leadership focuses on inspiring staff and promoting a shared vision for improvement, while transactional leadership emphasises structured processes, performance monitoring, and compliance with organisational rules</w:t>
      </w:r>
      <w:r w:rsidR="661C59EF" w:rsidRPr="7B69A92E">
        <w:rPr>
          <w:rFonts w:ascii="Arial" w:eastAsia="Arial" w:hAnsi="Arial" w:cs="Arial"/>
        </w:rPr>
        <w:t xml:space="preserve"> (IMD, 2025)</w:t>
      </w:r>
      <w:r w:rsidRPr="7B69A92E">
        <w:rPr>
          <w:rFonts w:ascii="Arial" w:eastAsia="Arial" w:hAnsi="Arial" w:cs="Arial"/>
        </w:rPr>
        <w:t>. Situational leadership suggests that leaders should adapt their approach according to the circumstances and needs of their team (Yukl, 2020). In contrast, autocratic leadership involves leaders making decisions independently with limited input from others and may be used in situations that require rapid decision-making and clear authority (Nickerson, 2024). Different leadership styles influence organisational performance, staff engagement, and decision-making effectiveness within complex organisations such as healthcare systems (IMD, 2025).</w:t>
      </w:r>
    </w:p>
    <w:p w14:paraId="267453D6" w14:textId="3102D8D4" w:rsidR="7C5B8E0E" w:rsidRDefault="7C5B8E0E" w:rsidP="7B69A92E">
      <w:pPr>
        <w:spacing w:before="240" w:after="240" w:line="360" w:lineRule="auto"/>
      </w:pPr>
      <w:r w:rsidRPr="7B69A92E">
        <w:rPr>
          <w:rFonts w:ascii="Arial" w:eastAsia="Arial" w:hAnsi="Arial" w:cs="Arial"/>
        </w:rPr>
        <w:t>Selecting the appropriate leadership style is particularly important during periods of organisational change or crisis. Leadership decisions can directly influence patient safety outcomes, staff morale, and the effectiveness of governance systems designed to prevent clinical errors</w:t>
      </w:r>
      <w:r w:rsidR="180CB0B0" w:rsidRPr="7B69A92E">
        <w:rPr>
          <w:rFonts w:ascii="Arial" w:eastAsia="Arial" w:hAnsi="Arial" w:cs="Arial"/>
        </w:rPr>
        <w:t xml:space="preserve"> (Yukl, 2020)</w:t>
      </w:r>
      <w:r w:rsidRPr="7B69A92E">
        <w:rPr>
          <w:rFonts w:ascii="Arial" w:eastAsia="Arial" w:hAnsi="Arial" w:cs="Arial"/>
        </w:rPr>
        <w:t>. Strong leadership can therefore promote a culture of accountability, learning, and continuous improvement following safety incidents</w:t>
      </w:r>
      <w:r w:rsidR="1C261244" w:rsidRPr="7B69A92E">
        <w:rPr>
          <w:rFonts w:ascii="Arial" w:eastAsia="Arial" w:hAnsi="Arial" w:cs="Arial"/>
        </w:rPr>
        <w:t xml:space="preserve"> </w:t>
      </w:r>
      <w:r w:rsidR="1C261244" w:rsidRPr="7B69A92E">
        <w:rPr>
          <w:rFonts w:ascii="Times New Roman" w:eastAsia="Times New Roman" w:hAnsi="Times New Roman" w:cs="Times New Roman"/>
        </w:rPr>
        <w:t>(NHS Leadership Academy, 2023)</w:t>
      </w:r>
      <w:r w:rsidRPr="7B69A92E">
        <w:rPr>
          <w:rFonts w:ascii="Arial" w:eastAsia="Arial" w:hAnsi="Arial" w:cs="Arial"/>
        </w:rPr>
        <w:t>.</w:t>
      </w:r>
    </w:p>
    <w:p w14:paraId="21879978" w14:textId="7BFB3944" w:rsidR="7C5B8E0E" w:rsidRDefault="7C5B8E0E" w:rsidP="7B69A92E">
      <w:pPr>
        <w:spacing w:before="240" w:after="240" w:line="360" w:lineRule="auto"/>
      </w:pPr>
      <w:r w:rsidRPr="7B69A92E">
        <w:rPr>
          <w:rFonts w:ascii="Arial" w:eastAsia="Arial" w:hAnsi="Arial" w:cs="Arial"/>
        </w:rPr>
        <w:t xml:space="preserve">This report aims to analyse the infant morphine overdose case using systems thinking, leadership theory, and governance analysis. It will examine the underlying causes of the incident, explore how centralised and decentralised organisational structures influenced decision-making, and evaluate the effectiveness of leadership approaches within the case study. The report will also identify key lessons learned and propose evidence-based recommendations to strengthen leadership, governance, and communication processes </w:t>
      </w:r>
      <w:r w:rsidR="006B380B" w:rsidRPr="7B69A92E">
        <w:rPr>
          <w:rFonts w:ascii="Arial" w:eastAsia="Arial" w:hAnsi="Arial" w:cs="Arial"/>
        </w:rPr>
        <w:t>to</w:t>
      </w:r>
      <w:r w:rsidRPr="7B69A92E">
        <w:rPr>
          <w:rFonts w:ascii="Arial" w:eastAsia="Arial" w:hAnsi="Arial" w:cs="Arial"/>
        </w:rPr>
        <w:t xml:space="preserve"> improve patient safety outcomes within healthcare organisations.</w:t>
      </w:r>
    </w:p>
    <w:p w14:paraId="1E81EC28" w14:textId="7DE0FE88" w:rsidR="492A45AC" w:rsidRDefault="492A45AC" w:rsidP="7B69A92E">
      <w:pPr>
        <w:pStyle w:val="Heading3"/>
        <w:keepNext w:val="0"/>
        <w:keepLines w:val="0"/>
        <w:spacing w:before="240" w:after="240" w:line="360" w:lineRule="auto"/>
        <w:rPr>
          <w:rFonts w:ascii="Arial" w:eastAsia="Arial" w:hAnsi="Arial" w:cs="Arial"/>
          <w:b/>
          <w:bCs/>
        </w:rPr>
      </w:pPr>
    </w:p>
    <w:p w14:paraId="0E5A259A" w14:textId="6A04A179" w:rsidR="492A45AC" w:rsidRDefault="492A45AC" w:rsidP="17064D07">
      <w:r>
        <w:br w:type="page"/>
      </w:r>
    </w:p>
    <w:p w14:paraId="66DFA482" w14:textId="709B2288" w:rsidR="492A45AC" w:rsidRDefault="6440B1F0" w:rsidP="7B69A92E">
      <w:pPr>
        <w:pStyle w:val="Heading2"/>
        <w:keepNext w:val="0"/>
        <w:keepLines w:val="0"/>
      </w:pPr>
      <w:bookmarkStart w:id="20" w:name="_Toc225366305"/>
      <w:r w:rsidRPr="7B69A92E">
        <w:lastRenderedPageBreak/>
        <w:t xml:space="preserve">Identifying the Problem and </w:t>
      </w:r>
      <w:r w:rsidRPr="001B3DF2">
        <w:rPr>
          <w:u w:val="single"/>
        </w:rPr>
        <w:t>Setting</w:t>
      </w:r>
      <w:r w:rsidRPr="7B69A92E">
        <w:t xml:space="preserve"> the System Context</w:t>
      </w:r>
      <w:bookmarkEnd w:id="20"/>
      <w:r w:rsidR="50B7A30C" w:rsidRPr="7B69A92E">
        <w:t xml:space="preserve"> </w:t>
      </w:r>
      <w:r w:rsidRPr="7B69A92E">
        <w:t xml:space="preserve"> </w:t>
      </w:r>
    </w:p>
    <w:p w14:paraId="181B1B03" w14:textId="6852942E" w:rsidR="492A45AC" w:rsidRDefault="6440B1F0" w:rsidP="7B69A92E">
      <w:pPr>
        <w:spacing w:before="240" w:after="240" w:line="360" w:lineRule="auto"/>
      </w:pPr>
      <w:r w:rsidRPr="7B69A92E">
        <w:rPr>
          <w:rFonts w:ascii="Arial" w:eastAsia="Arial" w:hAnsi="Arial" w:cs="Arial"/>
        </w:rPr>
        <w:t>The central problem in this case study is a systemic medication safety failure that resulted in a four-week-old infant receiving a morphine sulphate dose approximately twenty times higher than intended. The error occurred due to the prescribing and dispensing of an incorrect formulation across multiple stages of care, despite governance indicating that this medication should remain under specialist hospital control. The recurrence of similar incidents nationally suggests that this reflects broader system-level weaknesses rather than an isolated error.</w:t>
      </w:r>
    </w:p>
    <w:p w14:paraId="7228029E" w14:textId="13135A2D" w:rsidR="492A45AC" w:rsidRDefault="6440B1F0" w:rsidP="7B69A92E">
      <w:pPr>
        <w:spacing w:before="240" w:after="240" w:line="360" w:lineRule="auto"/>
      </w:pPr>
      <w:r w:rsidRPr="7B69A92E">
        <w:rPr>
          <w:rFonts w:ascii="Arial" w:eastAsia="Arial" w:hAnsi="Arial" w:cs="Arial"/>
        </w:rPr>
        <w:t xml:space="preserve">Medication errors are a significant global patient safety concern. The World Health Organization estimates that medication-related harm causes approximately 1.3 million injuries annually worldwide, demonstrating the widespread impact of failures across prescribing, dispensing, and administration processes (WHO, 2017). High-risk medicines such as opioids require </w:t>
      </w:r>
      <w:r w:rsidR="765A0388" w:rsidRPr="7B69A92E">
        <w:rPr>
          <w:rFonts w:ascii="Arial" w:eastAsia="Arial" w:hAnsi="Arial" w:cs="Arial"/>
        </w:rPr>
        <w:t>caution</w:t>
      </w:r>
      <w:r w:rsidRPr="7B69A92E">
        <w:rPr>
          <w:rFonts w:ascii="Arial" w:eastAsia="Arial" w:hAnsi="Arial" w:cs="Arial"/>
        </w:rPr>
        <w:t>, as small variations in dose or formulation can result in severe harm.</w:t>
      </w:r>
    </w:p>
    <w:p w14:paraId="48DA836D" w14:textId="274F93C5" w:rsidR="492A45AC" w:rsidRDefault="6440B1F0" w:rsidP="7B69A92E">
      <w:pPr>
        <w:spacing w:before="240" w:after="240" w:line="360" w:lineRule="auto"/>
      </w:pPr>
      <w:r w:rsidRPr="7B69A92E">
        <w:rPr>
          <w:rFonts w:ascii="Arial" w:eastAsia="Arial" w:hAnsi="Arial" w:cs="Arial"/>
        </w:rPr>
        <w:t>At a national level, similar patterns are evident. Research in England estimates approximately 237 million medication errors annually, with around 66 million considered potentially clinically significant (Elliott et al., 2021). Although not all errors result in harm, incidents involving vulnerable patients and high-risk medicines can have serious consequences. These findings reinforce that medication errors are systemic in nature and occur across healthcare settings.</w:t>
      </w:r>
    </w:p>
    <w:p w14:paraId="14DA16D7" w14:textId="35683897" w:rsidR="492A45AC" w:rsidRDefault="6440B1F0" w:rsidP="7B69A92E">
      <w:pPr>
        <w:spacing w:before="240" w:after="240" w:line="360" w:lineRule="auto"/>
      </w:pPr>
      <w:r w:rsidRPr="7B69A92E">
        <w:rPr>
          <w:rFonts w:ascii="Arial" w:eastAsia="Arial" w:hAnsi="Arial" w:cs="Arial"/>
        </w:rPr>
        <w:t>Medication errors frequently arise across multiple stages of the medication pathway, including prescribing, dispensing, administration, and patient use (</w:t>
      </w:r>
      <w:r w:rsidR="063DC437" w:rsidRPr="7B69A92E">
        <w:rPr>
          <w:rFonts w:ascii="Arial" w:eastAsia="Arial" w:hAnsi="Arial" w:cs="Arial"/>
        </w:rPr>
        <w:t>Tariq</w:t>
      </w:r>
      <w:r w:rsidRPr="7B69A92E">
        <w:rPr>
          <w:rFonts w:ascii="Arial" w:eastAsia="Arial" w:hAnsi="Arial" w:cs="Arial"/>
        </w:rPr>
        <w:t xml:space="preserve"> et al., 2024). This case reflects that pattern, as the error originated at hospital discharge, continued through GP prescribing and pharmacy dispensing, and ultimately resulted in incorrect administration by the infant’s parents. This progression demonstrates how system weaknesses can allow errors to pass through several stages of care without being intercepted.</w:t>
      </w:r>
    </w:p>
    <w:p w14:paraId="3468BFB8" w14:textId="44CCF60C" w:rsidR="492A45AC" w:rsidRDefault="6440B1F0" w:rsidP="7B69A92E">
      <w:pPr>
        <w:spacing w:before="240" w:after="240" w:line="360" w:lineRule="auto"/>
      </w:pPr>
      <w:r w:rsidRPr="7B69A92E">
        <w:rPr>
          <w:rFonts w:ascii="Arial" w:eastAsia="Arial" w:hAnsi="Arial" w:cs="Arial"/>
        </w:rPr>
        <w:t xml:space="preserve">Several interrelated system weaknesses contributed to the incident. A key issue was the clarity of communication within the hospital discharge process. The discharge summary was handwritten, used the abbreviation “mcg,” and included the brand name “Oramorph,” creating ambiguity. The GP, unaware of the specialist 100 </w:t>
      </w:r>
      <w:r w:rsidRPr="7B69A92E">
        <w:rPr>
          <w:rFonts w:ascii="Arial" w:eastAsia="Arial" w:hAnsi="Arial" w:cs="Arial"/>
        </w:rPr>
        <w:lastRenderedPageBreak/>
        <w:t>micrograms/ml formulation, prescribed the more commonly available 10 mg/5 ml preparation. These factors highlight broader weaknesses, including poor communication, limited accountability across the medication pathway, and gaps in knowledge regarding high-risk medicines. Responsibility for identifying and preventing the error was distributed across multiple professionals, yet no single point of accountability ensured that the prescribing decision was verified.</w:t>
      </w:r>
    </w:p>
    <w:p w14:paraId="49A6A7EB" w14:textId="6BF7AEE1" w:rsidR="492A45AC" w:rsidRDefault="6440B1F0" w:rsidP="7B69A92E">
      <w:pPr>
        <w:spacing w:before="240" w:after="240" w:line="360" w:lineRule="auto"/>
      </w:pPr>
      <w:r w:rsidRPr="7B69A92E">
        <w:rPr>
          <w:rFonts w:ascii="Arial" w:eastAsia="Arial" w:hAnsi="Arial" w:cs="Arial"/>
        </w:rPr>
        <w:t>Communication between healthcare professionals further contributed to the incident. The community pharmacist identified concerns regarding the prescribed dose; however, communication with the GP occurred indirectly through reception staff rather than through direct clinician-to-clinician interaction. This increased the risk of misinterpretation and reduced the effectiveness of safety checks. Reliance on indirect communication pathways represents a systemic weakness, particularly when dealing with complex or high-risk prescriptions.</w:t>
      </w:r>
    </w:p>
    <w:p w14:paraId="5B88E5A3" w14:textId="3F8C0749" w:rsidR="492A45AC" w:rsidRDefault="6440B1F0" w:rsidP="7B69A92E">
      <w:pPr>
        <w:spacing w:before="240" w:after="240" w:line="360" w:lineRule="auto"/>
      </w:pPr>
      <w:r w:rsidRPr="7B69A92E">
        <w:rPr>
          <w:rFonts w:ascii="Arial" w:eastAsia="Arial" w:hAnsi="Arial" w:cs="Arial"/>
        </w:rPr>
        <w:t>Medication labelling and patient understanding also represent critical safety barriers. The safe use of medicines depends on individuals being able to interpret and act on information provided on dispensing labels (HSSIB, 2022). In this case, the label did not include clear instructions regarding the volume to be administered, and an appropriate 1 ml syringe was not provided. As a result, the parents continued administering the same volume used with the hospital-supplied formulation, leading to a significantly higher dose being given. This highlights the importance of clear labelling, effective counselling, and ensuring patient understanding.</w:t>
      </w:r>
    </w:p>
    <w:p w14:paraId="427A1B1D" w14:textId="72D6BECB" w:rsidR="492A45AC" w:rsidRDefault="6440B1F0" w:rsidP="7B69A92E">
      <w:pPr>
        <w:spacing w:before="240" w:after="240" w:line="360" w:lineRule="auto"/>
      </w:pPr>
      <w:r w:rsidRPr="7B69A92E">
        <w:rPr>
          <w:rFonts w:ascii="Arial" w:eastAsia="Arial" w:hAnsi="Arial" w:cs="Arial"/>
        </w:rPr>
        <w:t>Governance structures also influenced the incident. At the local level, hospital discharge processes, GP prescribing, and pharmacy dispensing formed part of the medication pathway. At the regional level, the classification of morphine sulphate 100 micrograms/ml as a ‘RED drug’ was intended to restrict prescribing to secondary care. However, this control was not effectively implemented, as the discharge summary requested continuation of prescribing in primary care. At the national level, broader medication safety policies exist to guide safe practice. This case therefore demonstrates a governance failure, where centrally defined policies did not translate into effective oversight at the point of care.</w:t>
      </w:r>
    </w:p>
    <w:p w14:paraId="1C8E3656" w14:textId="3D116401" w:rsidR="492A45AC" w:rsidRDefault="6440B1F0" w:rsidP="7B69A92E">
      <w:pPr>
        <w:spacing w:before="240" w:after="240" w:line="360" w:lineRule="auto"/>
      </w:pPr>
      <w:r w:rsidRPr="7B69A92E">
        <w:rPr>
          <w:rFonts w:ascii="Arial" w:eastAsia="Arial" w:hAnsi="Arial" w:cs="Arial"/>
        </w:rPr>
        <w:lastRenderedPageBreak/>
        <w:t>Underlying system pressures also contributed to the situation. Workforce shortages, increasing demand, and time constraints within primary care can limit opportunities for direct communication and thorough verification of complex prescriptions. NHS workforce data highlights ongoing pressures affecting service capacity (NHS England, 2023), while research from the British Medical Association identifies the impact of rising demand on coordination and communication (BMA, 2022). In this case, such pressures may have contributed to communication being routed through reception staff rather than occurring directly between clinicians.</w:t>
      </w:r>
    </w:p>
    <w:p w14:paraId="0D51A70C" w14:textId="74D71C2D" w:rsidR="492A45AC" w:rsidRDefault="6440B1F0" w:rsidP="7B69A92E">
      <w:pPr>
        <w:spacing w:before="240" w:after="240" w:line="360" w:lineRule="auto"/>
      </w:pPr>
      <w:r w:rsidRPr="7B69A92E">
        <w:rPr>
          <w:rFonts w:ascii="Arial" w:eastAsia="Arial" w:hAnsi="Arial" w:cs="Arial"/>
        </w:rPr>
        <w:t>A further limitation relates to weak feedback mechanisms. There was no effective process for real-time verification or escalation once concerns were raised, and no immediate feedback loop to ensure that potential errors were reviewed before medication was supplied</w:t>
      </w:r>
      <w:r w:rsidR="0094548E">
        <w:rPr>
          <w:rFonts w:ascii="Arial" w:eastAsia="Arial" w:hAnsi="Arial" w:cs="Arial"/>
        </w:rPr>
        <w:t xml:space="preserve"> </w:t>
      </w:r>
      <w:r w:rsidR="0094548E">
        <w:rPr>
          <w:rFonts w:ascii="Arial" w:eastAsia="Arial" w:hAnsi="Arial" w:cs="Arial"/>
        </w:rPr>
        <w:t>(</w:t>
      </w:r>
      <w:r w:rsidR="0094548E" w:rsidRPr="00560730">
        <w:rPr>
          <w:rFonts w:ascii="Arial" w:eastAsia="Arial" w:hAnsi="Arial" w:cs="Arial"/>
        </w:rPr>
        <w:t>Johnson, 2020)</w:t>
      </w:r>
      <w:r w:rsidRPr="7B69A92E">
        <w:rPr>
          <w:rFonts w:ascii="Arial" w:eastAsia="Arial" w:hAnsi="Arial" w:cs="Arial"/>
        </w:rPr>
        <w:t>. Effective systems rely on incident reporting, monitoring, and audit processes; however, in this case, these mechanisms were either absent or insufficient</w:t>
      </w:r>
      <w:r w:rsidR="0094548E">
        <w:rPr>
          <w:rFonts w:ascii="Arial" w:eastAsia="Arial" w:hAnsi="Arial" w:cs="Arial"/>
        </w:rPr>
        <w:t>.</w:t>
      </w:r>
      <w:r w:rsidR="00560730">
        <w:rPr>
          <w:rFonts w:ascii="Arial" w:eastAsia="Arial" w:hAnsi="Arial" w:cs="Arial"/>
        </w:rPr>
        <w:t xml:space="preserve"> </w:t>
      </w:r>
    </w:p>
    <w:p w14:paraId="3C626CF7" w14:textId="42F16081" w:rsidR="492A45AC" w:rsidRDefault="6440B1F0" w:rsidP="7B69A92E">
      <w:pPr>
        <w:spacing w:before="240" w:after="240" w:line="360" w:lineRule="auto"/>
      </w:pPr>
      <w:r w:rsidRPr="7B69A92E">
        <w:rPr>
          <w:rFonts w:ascii="Arial" w:eastAsia="Arial" w:hAnsi="Arial" w:cs="Arial"/>
        </w:rPr>
        <w:t>The system can therefore be understood as involving multiple interacting actors, including hospital clinicians, general practitioners, community pharmacists, administrative staff, and the infant’s parents. These actors were connected through key processes such as discharge communication, prescribing, dispensing, and medication administration, shaped by organisational structures including hierarchical communication pathways, prescribing systems, and governance policies.</w:t>
      </w:r>
    </w:p>
    <w:p w14:paraId="02E46C07" w14:textId="4EBFC43B" w:rsidR="492A45AC" w:rsidRDefault="6440B1F0" w:rsidP="7B69A92E">
      <w:pPr>
        <w:spacing w:before="240" w:after="240" w:line="360" w:lineRule="auto"/>
      </w:pPr>
      <w:r w:rsidRPr="7B69A92E">
        <w:rPr>
          <w:rFonts w:ascii="Arial" w:eastAsia="Arial" w:hAnsi="Arial" w:cs="Arial"/>
        </w:rPr>
        <w:t>The incident also has an emotional dimension, with potential anxiety among healthcare professionals and fear and uncertainty experienced by the infant’s parents. These factors influence how individuals respond to risk and communication challenges within complex healthcare environments</w:t>
      </w:r>
      <w:r w:rsidR="0094548E">
        <w:rPr>
          <w:rFonts w:ascii="Arial" w:eastAsia="Arial" w:hAnsi="Arial" w:cs="Arial"/>
        </w:rPr>
        <w:t xml:space="preserve"> </w:t>
      </w:r>
      <w:r w:rsidR="0094548E">
        <w:rPr>
          <w:rFonts w:ascii="Arial" w:eastAsia="Arial" w:hAnsi="Arial" w:cs="Arial"/>
        </w:rPr>
        <w:t>(</w:t>
      </w:r>
      <w:r w:rsidR="0094548E" w:rsidRPr="00560730">
        <w:rPr>
          <w:rFonts w:ascii="Arial" w:eastAsia="Arial" w:hAnsi="Arial" w:cs="Arial"/>
        </w:rPr>
        <w:t>Johnson, 2020</w:t>
      </w:r>
      <w:proofErr w:type="gramStart"/>
      <w:r w:rsidR="0094548E" w:rsidRPr="00560730">
        <w:rPr>
          <w:rFonts w:ascii="Arial" w:eastAsia="Arial" w:hAnsi="Arial" w:cs="Arial"/>
        </w:rPr>
        <w:t>)</w:t>
      </w:r>
      <w:r w:rsidR="0094548E">
        <w:rPr>
          <w:rFonts w:ascii="Arial" w:eastAsia="Arial" w:hAnsi="Arial" w:cs="Arial"/>
        </w:rPr>
        <w:t>.</w:t>
      </w:r>
      <w:r w:rsidRPr="7B69A92E">
        <w:rPr>
          <w:rFonts w:ascii="Arial" w:eastAsia="Arial" w:hAnsi="Arial" w:cs="Arial"/>
        </w:rPr>
        <w:t>.</w:t>
      </w:r>
      <w:proofErr w:type="gramEnd"/>
    </w:p>
    <w:p w14:paraId="3605FBA0" w14:textId="77777777" w:rsidR="00743459" w:rsidRDefault="00743459">
      <w:pPr>
        <w:rPr>
          <w:rFonts w:asciiTheme="majorHAnsi" w:eastAsiaTheme="majorEastAsia" w:hAnsiTheme="majorHAnsi" w:cstheme="majorBidi"/>
          <w:color w:val="0F4761" w:themeColor="accent1" w:themeShade="BF"/>
          <w:sz w:val="32"/>
          <w:szCs w:val="32"/>
        </w:rPr>
      </w:pPr>
      <w:r>
        <w:br w:type="page"/>
      </w:r>
    </w:p>
    <w:p w14:paraId="5B428B3E" w14:textId="6DA0345E" w:rsidR="492A45AC" w:rsidRDefault="2BEF21E0" w:rsidP="7B69A92E">
      <w:pPr>
        <w:pStyle w:val="Heading2"/>
        <w:keepNext w:val="0"/>
        <w:keepLines w:val="0"/>
      </w:pPr>
      <w:bookmarkStart w:id="21" w:name="_Toc225366306"/>
      <w:r w:rsidRPr="7B69A92E">
        <w:lastRenderedPageBreak/>
        <w:t>Systems Thinking</w:t>
      </w:r>
      <w:bookmarkEnd w:id="21"/>
    </w:p>
    <w:p w14:paraId="4442B1D4" w14:textId="78B6143D" w:rsidR="492A45AC" w:rsidRDefault="6440B1F0" w:rsidP="7B69A92E">
      <w:pPr>
        <w:spacing w:before="240" w:after="240" w:line="360" w:lineRule="auto"/>
      </w:pPr>
      <w:r w:rsidRPr="7B69A92E">
        <w:rPr>
          <w:rFonts w:ascii="Arial" w:eastAsia="Arial" w:hAnsi="Arial" w:cs="Arial"/>
        </w:rPr>
        <w:t>Applying systems thinking highlights how multiple safety barriers failed simultaneously across the medication pathway, including discharge communication, prescribing clarity, clinician-to-clinician communication, dispensing processes, and patient counselling. The incident demonstrates how interacting system weaknesses allowed a high-risk prescribing error to progress across multiple stages of care, ultimately resulting in patient harm.</w:t>
      </w:r>
    </w:p>
    <w:p w14:paraId="727B3A7F" w14:textId="28C4F8BD" w:rsidR="492A45AC" w:rsidRDefault="6440B1F0" w:rsidP="7B69A92E">
      <w:pPr>
        <w:spacing w:before="240" w:after="240" w:line="360" w:lineRule="auto"/>
      </w:pPr>
      <w:r w:rsidRPr="7B69A92E">
        <w:rPr>
          <w:rFonts w:ascii="Arial" w:eastAsia="Arial" w:hAnsi="Arial" w:cs="Arial"/>
        </w:rPr>
        <w:t>Figure 1 presents a Rich Picture, developed using Soft Systems Methodology (</w:t>
      </w:r>
      <w:proofErr w:type="spellStart"/>
      <w:r w:rsidRPr="7B69A92E">
        <w:rPr>
          <w:rFonts w:ascii="Arial" w:eastAsia="Arial" w:hAnsi="Arial" w:cs="Arial"/>
        </w:rPr>
        <w:t>Checkland</w:t>
      </w:r>
      <w:proofErr w:type="spellEnd"/>
      <w:r w:rsidRPr="7B69A92E">
        <w:rPr>
          <w:rFonts w:ascii="Arial" w:eastAsia="Arial" w:hAnsi="Arial" w:cs="Arial"/>
        </w:rPr>
        <w:t xml:space="preserve">, 1981; </w:t>
      </w:r>
      <w:proofErr w:type="spellStart"/>
      <w:r w:rsidRPr="7B69A92E">
        <w:rPr>
          <w:rFonts w:ascii="Arial" w:eastAsia="Arial" w:hAnsi="Arial" w:cs="Arial"/>
        </w:rPr>
        <w:t>Checkland</w:t>
      </w:r>
      <w:proofErr w:type="spellEnd"/>
      <w:r w:rsidRPr="7B69A92E">
        <w:rPr>
          <w:rFonts w:ascii="Arial" w:eastAsia="Arial" w:hAnsi="Arial" w:cs="Arial"/>
        </w:rPr>
        <w:t xml:space="preserve"> and Scholes, 1990; </w:t>
      </w:r>
      <w:proofErr w:type="spellStart"/>
      <w:r w:rsidRPr="7B69A92E">
        <w:rPr>
          <w:rFonts w:ascii="Arial" w:eastAsia="Arial" w:hAnsi="Arial" w:cs="Arial"/>
        </w:rPr>
        <w:t>Checkland</w:t>
      </w:r>
      <w:proofErr w:type="spellEnd"/>
      <w:r w:rsidRPr="7B69A92E">
        <w:rPr>
          <w:rFonts w:ascii="Arial" w:eastAsia="Arial" w:hAnsi="Arial" w:cs="Arial"/>
        </w:rPr>
        <w:t xml:space="preserve"> and Poulter, 2020), illustrating the interaction between hospital discharge, GP prescribing, pharmacy dispensing, and parental administration. Figure 2 provides a refined electronic version. </w:t>
      </w:r>
    </w:p>
    <w:p w14:paraId="1551D939" w14:textId="5B4E29CF" w:rsidR="492A45AC" w:rsidRDefault="492A45AC" w:rsidP="7B69A92E">
      <w:pPr>
        <w:spacing w:line="360" w:lineRule="auto"/>
        <w:rPr>
          <w:rFonts w:ascii="Arial" w:eastAsia="Arial" w:hAnsi="Arial" w:cs="Arial"/>
          <w:color w:val="000000" w:themeColor="text1"/>
        </w:rPr>
      </w:pPr>
      <w:r w:rsidRPr="7B69A92E">
        <w:rPr>
          <w:rFonts w:ascii="Arial" w:eastAsia="Arial" w:hAnsi="Arial" w:cs="Arial"/>
          <w:color w:val="000000" w:themeColor="text1"/>
        </w:rPr>
        <w:t xml:space="preserve">Figure 1. Rich Picture. Handwritten. </w:t>
      </w:r>
    </w:p>
    <w:p w14:paraId="57947C4B" w14:textId="1C18CEC0" w:rsidR="492A45AC" w:rsidRDefault="492A45AC" w:rsidP="7B69A92E">
      <w:pPr>
        <w:spacing w:line="360" w:lineRule="auto"/>
        <w:rPr>
          <w:rFonts w:ascii="Arial" w:eastAsia="Arial" w:hAnsi="Arial" w:cs="Arial"/>
          <w:color w:val="000000" w:themeColor="text1"/>
        </w:rPr>
      </w:pPr>
      <w:r>
        <w:rPr>
          <w:noProof/>
        </w:rPr>
        <w:drawing>
          <wp:inline distT="0" distB="0" distL="0" distR="0" wp14:anchorId="7F762580" wp14:editId="4FA0D1D1">
            <wp:extent cx="5724525" cy="4524375"/>
            <wp:effectExtent l="0" t="0" r="0" b="0"/>
            <wp:docPr id="788620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62080" name="Picture 78862080"/>
                    <pic:cNvPicPr/>
                  </pic:nvPicPr>
                  <pic:blipFill>
                    <a:blip r:embed="rId9">
                      <a:extLst>
                        <a:ext uri="{28A0092B-C50C-407E-A947-70E740481C1C}">
                          <a14:useLocalDpi xmlns:a14="http://schemas.microsoft.com/office/drawing/2010/main"/>
                        </a:ext>
                      </a:extLst>
                    </a:blip>
                    <a:stretch>
                      <a:fillRect/>
                    </a:stretch>
                  </pic:blipFill>
                  <pic:spPr>
                    <a:xfrm>
                      <a:off x="0" y="0"/>
                      <a:ext cx="5724525" cy="4524375"/>
                    </a:xfrm>
                    <a:prstGeom prst="rect">
                      <a:avLst/>
                    </a:prstGeom>
                  </pic:spPr>
                </pic:pic>
              </a:graphicData>
            </a:graphic>
          </wp:inline>
        </w:drawing>
      </w:r>
    </w:p>
    <w:p w14:paraId="3986343C" w14:textId="1E3C81D8" w:rsidR="492A45AC" w:rsidRDefault="492A45AC" w:rsidP="7B69A92E">
      <w:pPr>
        <w:spacing w:line="360" w:lineRule="auto"/>
        <w:rPr>
          <w:rFonts w:ascii="Arial" w:eastAsia="Arial" w:hAnsi="Arial" w:cs="Arial"/>
          <w:color w:val="000000" w:themeColor="text1"/>
        </w:rPr>
      </w:pPr>
      <w:r w:rsidRPr="7B69A92E">
        <w:rPr>
          <w:rFonts w:ascii="Arial" w:eastAsia="Arial" w:hAnsi="Arial" w:cs="Arial"/>
          <w:color w:val="000000" w:themeColor="text1"/>
        </w:rPr>
        <w:lastRenderedPageBreak/>
        <w:t xml:space="preserve">Figure 2. Rich Picture. Electronic Mark Up. </w:t>
      </w:r>
    </w:p>
    <w:p w14:paraId="56FA183A" w14:textId="53A5CB53" w:rsidR="492A45AC" w:rsidRDefault="492A45AC" w:rsidP="7B69A92E">
      <w:pPr>
        <w:spacing w:line="360" w:lineRule="auto"/>
        <w:rPr>
          <w:rFonts w:ascii="Arial" w:eastAsia="Arial" w:hAnsi="Arial" w:cs="Arial"/>
          <w:color w:val="000000" w:themeColor="text1"/>
        </w:rPr>
      </w:pPr>
      <w:r>
        <w:rPr>
          <w:noProof/>
        </w:rPr>
        <w:drawing>
          <wp:inline distT="0" distB="0" distL="0" distR="0" wp14:anchorId="5E1AB4D2" wp14:editId="2AA0E6AF">
            <wp:extent cx="5724525" cy="3819525"/>
            <wp:effectExtent l="0" t="0" r="0" b="0"/>
            <wp:docPr id="215766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6672" name="Picture 21576672"/>
                    <pic:cNvPicPr/>
                  </pic:nvPicPr>
                  <pic:blipFill>
                    <a:blip r:embed="rId10">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14:paraId="64DEE876" w14:textId="33AE5898" w:rsidR="17064D07" w:rsidRDefault="45F5D117" w:rsidP="7B69A92E">
      <w:pPr>
        <w:spacing w:before="240" w:after="240" w:line="360" w:lineRule="auto"/>
        <w:rPr>
          <w:rFonts w:ascii="Arial" w:eastAsia="Arial" w:hAnsi="Arial" w:cs="Arial"/>
        </w:rPr>
      </w:pPr>
      <w:r w:rsidRPr="7B69A92E">
        <w:rPr>
          <w:rFonts w:ascii="Arial" w:eastAsia="Arial" w:hAnsi="Arial" w:cs="Arial"/>
        </w:rPr>
        <w:t>These diagrams highlight the actors, processes, communication gaps, governance influences, system pressures, and feedback limitations that contributed to the incident.</w:t>
      </w:r>
    </w:p>
    <w:p w14:paraId="359A1A6E" w14:textId="1E5E818C" w:rsidR="63FB0B99" w:rsidRDefault="63FB0B99" w:rsidP="7B69A92E">
      <w:pPr>
        <w:pStyle w:val="Heading2"/>
        <w:keepNext w:val="0"/>
        <w:keepLines w:val="0"/>
        <w:rPr>
          <w:rFonts w:ascii="Arial" w:eastAsia="Arial" w:hAnsi="Arial" w:cs="Arial"/>
          <w:sz w:val="28"/>
          <w:szCs w:val="28"/>
        </w:rPr>
      </w:pPr>
      <w:bookmarkStart w:id="22" w:name="_Toc225366307"/>
      <w:r w:rsidRPr="7B69A92E">
        <w:t>Centralisation or Decentralisation within the Case Study</w:t>
      </w:r>
      <w:bookmarkEnd w:id="22"/>
    </w:p>
    <w:p w14:paraId="40BDA6CF" w14:textId="6228FB9E" w:rsidR="63FB0B99" w:rsidRDefault="63FB0B99" w:rsidP="7B69A92E">
      <w:pPr>
        <w:spacing w:before="240" w:after="240" w:line="360" w:lineRule="auto"/>
        <w:rPr>
          <w:rFonts w:ascii="Arial" w:eastAsia="Arial" w:hAnsi="Arial" w:cs="Arial"/>
          <w:color w:val="000000" w:themeColor="text1"/>
        </w:rPr>
      </w:pPr>
      <w:r w:rsidRPr="7B69A92E">
        <w:rPr>
          <w:rFonts w:ascii="Arial" w:eastAsia="Arial" w:hAnsi="Arial" w:cs="Arial"/>
          <w:color w:val="000000" w:themeColor="text1"/>
        </w:rPr>
        <w:t>The healthcare system in this case reflects a hybrid model combining both centralised and decentralised elements, which is characteristic of the NHS. Centralised control is evident through national governance, policy frameworks, and drug classification systems, while decentralised decision-making occurs at the level of general practitioners, hospital teams, and community pharmacy. In this case, the interaction between these two system structures contributed significantly to the medication error.</w:t>
      </w:r>
    </w:p>
    <w:p w14:paraId="4998E5FE" w14:textId="1D51DD99" w:rsidR="63FB0B99" w:rsidRDefault="63FB0B99" w:rsidP="7B69A92E">
      <w:pPr>
        <w:spacing w:before="240" w:after="240" w:line="360" w:lineRule="auto"/>
        <w:rPr>
          <w:rFonts w:ascii="Arial" w:eastAsia="Arial" w:hAnsi="Arial" w:cs="Arial"/>
          <w:color w:val="000000" w:themeColor="text1"/>
        </w:rPr>
      </w:pPr>
      <w:r w:rsidRPr="7B69A92E">
        <w:rPr>
          <w:rFonts w:ascii="Arial" w:eastAsia="Arial" w:hAnsi="Arial" w:cs="Arial"/>
          <w:color w:val="000000" w:themeColor="text1"/>
        </w:rPr>
        <w:t xml:space="preserve">Centralisation refers to decision-making, funding, and policy being controlled by a national authority such as NHS England. In this case, the classification of morphine sulphate 100 micrograms/ml as a ‘RED drug’ represents a centralised safety mechanism designed to restrict prescribing to secondary care. Centralised systems </w:t>
      </w:r>
      <w:r w:rsidRPr="7B69A92E">
        <w:rPr>
          <w:rFonts w:ascii="Arial" w:eastAsia="Arial" w:hAnsi="Arial" w:cs="Arial"/>
          <w:color w:val="000000" w:themeColor="text1"/>
        </w:rPr>
        <w:lastRenderedPageBreak/>
        <w:t>offer advantages such as standardisation, consistency, and economies of scale. For example, national programmes such as childhood immunisation have achieved approximately 91.2% coverage in England, demonstrating how central coordination can ensure equitable healthcare delivery (NHS Digital, 2025). Additionally, centralised responses, such as the rapid development of Nightingale hospitals during COVID-19, highlight the ability of national systems to mobilise resources efficiently (Hacker, 2024).</w:t>
      </w:r>
    </w:p>
    <w:p w14:paraId="730F5B05" w14:textId="67DE6D0F" w:rsidR="63FB0B99" w:rsidRDefault="63FB0B99" w:rsidP="7B69A92E">
      <w:pPr>
        <w:spacing w:before="240" w:after="240" w:line="360" w:lineRule="auto"/>
        <w:jc w:val="both"/>
        <w:rPr>
          <w:color w:val="000000" w:themeColor="text1"/>
          <w:sz w:val="22"/>
          <w:szCs w:val="22"/>
        </w:rPr>
      </w:pPr>
      <w:r w:rsidRPr="7B69A92E">
        <w:rPr>
          <w:color w:val="000000" w:themeColor="text1"/>
          <w:sz w:val="22"/>
          <w:szCs w:val="22"/>
        </w:rPr>
        <w:t>However, this case illustrates key limitations of centralisation. Despite clear governance policies, the hospital discharge summary incorrectly requested the GP prescribe a RED drug in primary care. This demonstrates a breakdown between policy and practice. Centralised systems rely on local implementation, and when this fails, safety mechanisms can be bypassed. Propper and Phillips (2020) argue that centralisation can create a false sense of control if local organisations do not adhere to national guidance. In this case, the existence of central policy did not prevent unsafe prescribing.</w:t>
      </w:r>
    </w:p>
    <w:p w14:paraId="1F54C709" w14:textId="4E19D2C1" w:rsidR="63FB0B99" w:rsidRDefault="63FB0B99" w:rsidP="7B69A92E">
      <w:pPr>
        <w:spacing w:before="240" w:after="240" w:line="360" w:lineRule="auto"/>
        <w:jc w:val="both"/>
        <w:rPr>
          <w:color w:val="000000" w:themeColor="text1"/>
          <w:sz w:val="22"/>
          <w:szCs w:val="22"/>
        </w:rPr>
      </w:pPr>
      <w:r w:rsidRPr="7B69A92E">
        <w:rPr>
          <w:color w:val="000000" w:themeColor="text1"/>
          <w:sz w:val="22"/>
          <w:szCs w:val="22"/>
        </w:rPr>
        <w:t xml:space="preserve">Decentralisation involves distributing decision-making authority to local healthcare providers (Charles, 2022). Within this case, decentralisation is evident in the autonomy of the GP to prescribe and the community pharmacy to dispense medication. This model allows flexibility and responsiveness to patient needs. For example, devolved healthcare systems such as Greater Manchester have demonstrated improved outcomes, including an 11.1% reduction in alcohol-related admissions and a 14.4% reduction in violence-related admissions between 2016 and 2020 (Greater Manchester Integrated Care Partnership, 2023). </w:t>
      </w:r>
    </w:p>
    <w:p w14:paraId="35936842" w14:textId="37FC8193" w:rsidR="63FB0B99" w:rsidRDefault="63FB0B99" w:rsidP="7B69A92E">
      <w:pPr>
        <w:spacing w:before="240" w:after="240" w:line="360" w:lineRule="auto"/>
        <w:jc w:val="both"/>
        <w:rPr>
          <w:color w:val="000000" w:themeColor="text1"/>
          <w:sz w:val="22"/>
          <w:szCs w:val="22"/>
        </w:rPr>
      </w:pPr>
      <w:r w:rsidRPr="7B69A92E">
        <w:rPr>
          <w:color w:val="000000" w:themeColor="text1"/>
          <w:sz w:val="22"/>
          <w:szCs w:val="22"/>
        </w:rPr>
        <w:t>However, decentralisation also introduces variability and risk. In this case, both the GP and community pharmacists were unaware of the availability of the 100 micrograms/ml formulation, demonstrating gaps in knowledge at the local level.</w:t>
      </w:r>
    </w:p>
    <w:p w14:paraId="186ADEC7" w14:textId="09965ED6" w:rsidR="1998D6E6" w:rsidRDefault="1998D6E6" w:rsidP="7B69A92E">
      <w:pPr>
        <w:spacing w:before="240" w:after="240" w:line="360" w:lineRule="auto"/>
        <w:jc w:val="both"/>
        <w:rPr>
          <w:color w:val="000000" w:themeColor="text1"/>
          <w:sz w:val="22"/>
          <w:szCs w:val="22"/>
        </w:rPr>
      </w:pPr>
      <w:r w:rsidRPr="7B69A92E">
        <w:rPr>
          <w:color w:val="000000" w:themeColor="text1"/>
          <w:sz w:val="22"/>
          <w:szCs w:val="22"/>
        </w:rPr>
        <w:t>Furthermore, communication between the pharmacy and GP occurred indirectly through reception staff rather than directly between clinicians. This fragmented communication pathway reduced the effectiveness of safety checks and increased the likelihood of misinterpretation. Workforce pressures within primary care may also have contributed, limiting the time available for direct clinician-to-clinician communication.</w:t>
      </w:r>
    </w:p>
    <w:p w14:paraId="4B94AE33" w14:textId="16B2C168" w:rsidR="1998D6E6" w:rsidRDefault="1998D6E6" w:rsidP="7B69A92E">
      <w:pPr>
        <w:spacing w:before="240" w:after="240" w:line="360" w:lineRule="auto"/>
        <w:jc w:val="both"/>
        <w:rPr>
          <w:color w:val="000000" w:themeColor="text1"/>
          <w:sz w:val="22"/>
          <w:szCs w:val="22"/>
        </w:rPr>
      </w:pPr>
      <w:r w:rsidRPr="7B69A92E">
        <w:rPr>
          <w:color w:val="000000" w:themeColor="text1"/>
          <w:sz w:val="22"/>
          <w:szCs w:val="22"/>
        </w:rPr>
        <w:t xml:space="preserve">Critically, the interaction between centralised and decentralised elements in this case hindered effective decision-making and accountability. Centralised governance established clear rules regarding RED drugs, yet decentralised practice allowed these rules to be bypassed without effective oversight. The hospital initiated the error, the GP followed the discharge summary, </w:t>
      </w:r>
      <w:r w:rsidRPr="7B69A92E">
        <w:rPr>
          <w:color w:val="000000" w:themeColor="text1"/>
          <w:sz w:val="22"/>
          <w:szCs w:val="22"/>
        </w:rPr>
        <w:lastRenderedPageBreak/>
        <w:t>and the pharmacy was unable to escalate concerns effectively. As a result, accountability became dispersed across multiple stages of the system. This fragmentation reflects a lack of system integration, where centralised governance fails to effectively influence decentralised clinical behaviour, increasing the risk of patient safety incidents.</w:t>
      </w:r>
    </w:p>
    <w:p w14:paraId="45B705A9" w14:textId="6F274FEC" w:rsidR="00743459" w:rsidRDefault="1998D6E6" w:rsidP="7B69A92E">
      <w:pPr>
        <w:spacing w:before="240" w:after="240" w:line="360" w:lineRule="auto"/>
        <w:jc w:val="both"/>
        <w:rPr>
          <w:color w:val="000000" w:themeColor="text1"/>
          <w:sz w:val="22"/>
          <w:szCs w:val="22"/>
        </w:rPr>
      </w:pPr>
      <w:r w:rsidRPr="7B69A92E">
        <w:rPr>
          <w:color w:val="000000" w:themeColor="text1"/>
          <w:sz w:val="22"/>
          <w:szCs w:val="22"/>
        </w:rPr>
        <w:t xml:space="preserve">Overall, this case demonstrates that neither centralisation nor decentralisation alone ensures patient safety. Centralised systems provide structure and standardisation but depend on local compliance, while decentralised systems allow flexibility but can introduce variation and communication gaps. The key failure in this case was the lack of integration between </w:t>
      </w:r>
      <w:r w:rsidR="7F2BAAC3" w:rsidRPr="7B69A92E">
        <w:rPr>
          <w:color w:val="000000" w:themeColor="text1"/>
          <w:sz w:val="22"/>
          <w:szCs w:val="22"/>
        </w:rPr>
        <w:t>the tw</w:t>
      </w:r>
      <w:r w:rsidRPr="7B69A92E">
        <w:rPr>
          <w:color w:val="000000" w:themeColor="text1"/>
          <w:sz w:val="22"/>
          <w:szCs w:val="22"/>
        </w:rPr>
        <w:t>o approaches. The system structure ultimately hindered safe decision-making by allowing the prescribing error to progress through multiple stages without interception, highlighting the need for stronger alignment between national policy and local clinical practice.</w:t>
      </w:r>
    </w:p>
    <w:p w14:paraId="260ACD8B" w14:textId="698702A7" w:rsidR="17064D07" w:rsidRDefault="148648CA" w:rsidP="7B69A92E">
      <w:pPr>
        <w:pStyle w:val="Heading2"/>
        <w:keepNext w:val="0"/>
        <w:keepLines w:val="0"/>
        <w:rPr>
          <w:rFonts w:asciiTheme="minorHAnsi" w:eastAsiaTheme="minorEastAsia" w:hAnsiTheme="minorHAnsi" w:cstheme="minorBidi"/>
          <w:sz w:val="22"/>
          <w:szCs w:val="22"/>
        </w:rPr>
      </w:pPr>
      <w:bookmarkStart w:id="23" w:name="_Toc225366308"/>
      <w:r w:rsidRPr="7B69A92E">
        <w:t>Leadership Theories and Application to the Case Study</w:t>
      </w:r>
      <w:bookmarkEnd w:id="23"/>
    </w:p>
    <w:p w14:paraId="2D6D635B" w14:textId="74CCDD99"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Leadership within healthcare systems directly influences communication, decision-making, and patient safety outcomes. In this case, the morphine overdose incident highlights how limitations in leadership across multiple stages of care contributed to a failure to prevent a high-risk medication error. Applying leadership theories provides insight into how individual behaviours, leadership approaches, and organisational dynamics influenced the progression of the incident.</w:t>
      </w:r>
    </w:p>
    <w:p w14:paraId="796014DF" w14:textId="673B2E1F"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Foundational leadership theories, including the Great Man, Trait, and Behavioural theories, offer a basis for understanding leadership effectiveness. The Great Man Theory suggests that leadership emerges through individuals who possess inherent authority and influence, particularly in critical situations. However, in this case, there was no evidence of decisive leadership emerging at key points in the medication pathway, particularly during hospital discharge and prescribing. This absence highlights a limitation of relying on individual authority, as complex healthcare systems require coordinated team-based leadership rather than dependence on a single individual. Evidence suggests that over-reliance on individual leadership can reduce system resilience and increase vulnerability to error (WHO, 2020).</w:t>
      </w:r>
    </w:p>
    <w:p w14:paraId="6D2A81D5" w14:textId="0C4D2545"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 xml:space="preserve">Trait Theory focuses on the personal characteristics associated with effective leadership, such as confidence, accountability, and emotional intelligence. In this case, the lack of challenge to the discharge summary and prescribing decisions suggests gaps in these leadership traits across multiple professionals. For example, the GP did not question the appropriateness of prescribing a RED drug in primary care, and the pharmacist did not escalate concerns through direct communication. Evidence from NHS staff surveys indicates that teams led by </w:t>
      </w:r>
      <w:r w:rsidRPr="7B69A92E">
        <w:rPr>
          <w:color w:val="000000" w:themeColor="text1"/>
          <w:sz w:val="22"/>
          <w:szCs w:val="22"/>
        </w:rPr>
        <w:lastRenderedPageBreak/>
        <w:t>emotionally intelligent leaders report significantly higher levels of engagement and satisfaction, with improvements of approximately 22% compared to less supportive leadership environments (NHS Staff Survey, 2021). The absence of these traits in this case may have contributed to reduced communication and limited critical challenge.</w:t>
      </w:r>
    </w:p>
    <w:p w14:paraId="40F882B6" w14:textId="659DB6B1"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Behavioural theories shift the focus from individual traits to observable leadership actions, particularly the balance between task-oriented and people-oriented behaviours. In this case, there was a strong emphasis on task completion, such as processing prescriptions and following discharge instructions, but limited attention to communication and collaborative verification. This imbalance reflects a task-focused leadership approach, where operational processes are prioritised over team interaction and safety checks. Evidence suggests that healthcare organisations demonstrating a balance between task and people-oriented leadership experience up to 30% fewer patient safety incidents (Wong et al., 2018). The lack of this balance in the case contributed to missed opportunities for identifying and correcting the prescribing error.</w:t>
      </w:r>
    </w:p>
    <w:p w14:paraId="28939300" w14:textId="72E9418C"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Situational and contingency leadership theories emphasise the need to adapt leadership style based on the complexity and risk of the situation. In high-risk clinical scenarios, such as prescribing opioids for infants, a more directive and collaborative leadership approach is required. However, in this case, leadership did not adapt to the level of risk involved. The prescribing and dispensing processes were treated as routine tasks rather than high-risk clinical decisions, resulting in insufficient scrutiny. Research indicates that adaptive leadership is associated with faster response times and improved outcomes in clinical incidents, with improvements of approximately 15–20% in recovery times (OECD, 2026). The absence of adaptive leadership in this case contributed to the progression of the error.</w:t>
      </w:r>
    </w:p>
    <w:p w14:paraId="22A6BAA5" w14:textId="6F750BAA"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The Tannenbaum and Schmidt continuum highlights the importance of balancing autocratic and participative leadership approaches depending on the situation. In this case, neither approach was effectively applied. There was a lack of autocratic leadership to enforce adherence to RED drug policies, and limited democratic leadership to support collaborative decision-making. Communication between the pharmacy and GP occurred indirectly through reception staff, reducing opportunities for shared clinical discussion. Evidence suggests that organisations adopting a balanced leadership approach experience improved staff retention, with reductions in turnover of approximately 12% (NHS Workforce Report, 2023). The absence of such balance in this case contributed to fragmented communication and accountability.</w:t>
      </w:r>
    </w:p>
    <w:p w14:paraId="7CFEBEAB" w14:textId="7376564C"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 xml:space="preserve">Transformational leadership, which focuses on creating a shared vision and promoting proactive engagement, is strongly associated with improved patient safety outcomes. In this </w:t>
      </w:r>
      <w:r w:rsidRPr="7B69A92E">
        <w:rPr>
          <w:color w:val="000000" w:themeColor="text1"/>
          <w:sz w:val="22"/>
          <w:szCs w:val="22"/>
        </w:rPr>
        <w:lastRenderedPageBreak/>
        <w:t>case, leadership was largely reactive rather than proactive, with actions taken only after the incident occurred. There was no evidence of a shared focus on risk anticipation or system-wide safety improvement. Transformational leadership has been shown to improve safety outcomes by approximately 19% and increase staff morale by 23% (Boamah et al., 2018). The absence of this leadership approach in the case limited opportunities to prevent the error and strengthen safety culture.</w:t>
      </w:r>
    </w:p>
    <w:p w14:paraId="7806A59C" w14:textId="066AF6BF"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Critically, the leadership approaches observed in this case were not appropriate for the complexity and risk involved. Leadership was fragmented across multiple stages of care, with no clear ownership or coordinated oversight. Decision-making was largely reactive and process-driven, rather than proactive and safety-focused. The lack of direct communication between clinicians further weakened the system’s ability to identify and respond to risk.</w:t>
      </w:r>
    </w:p>
    <w:p w14:paraId="65B11501" w14:textId="6E233BB1"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A more effective approach would have involved a combination of adaptive, transformational, and distributed leadership. Direct clinician-to-clinician communication, stronger enforcement of governance policies, and a culture encouraging critical challenge would have improved decision-making and reduced the likelihood of error. Emotionally intelligent leadership could also have supported open communication and increased psychological safety, enabling healthcare professionals to escalate concerns more effectively.</w:t>
      </w:r>
    </w:p>
    <w:p w14:paraId="4B35FD66" w14:textId="5820C2CE" w:rsidR="17064D07" w:rsidRDefault="148648CA" w:rsidP="00743459">
      <w:pPr>
        <w:spacing w:before="240" w:after="240" w:line="360" w:lineRule="auto"/>
        <w:jc w:val="both"/>
        <w:rPr>
          <w:color w:val="000000" w:themeColor="text1"/>
          <w:sz w:val="22"/>
          <w:szCs w:val="22"/>
        </w:rPr>
      </w:pPr>
      <w:r w:rsidRPr="7B69A92E">
        <w:rPr>
          <w:color w:val="000000" w:themeColor="text1"/>
          <w:sz w:val="22"/>
          <w:szCs w:val="22"/>
        </w:rPr>
        <w:t>In conclusion, this case demonstrates that leadership is a critical determinant of patient safety. The absence of proactive, adaptive, and collaborative leadership contributed to communication failures, lack of accountability, and ultimately the medication error. Strengthening leadership through evidence-based approaches is essential to improving safety outcomes and preventing similar incidents in the future.</w:t>
      </w:r>
    </w:p>
    <w:p w14:paraId="16B543BD" w14:textId="77777777" w:rsidR="00743459" w:rsidRPr="00743459" w:rsidRDefault="00743459" w:rsidP="00743459">
      <w:pPr>
        <w:spacing w:before="240" w:after="240" w:line="360" w:lineRule="auto"/>
        <w:jc w:val="both"/>
        <w:rPr>
          <w:color w:val="000000" w:themeColor="text1"/>
          <w:sz w:val="22"/>
          <w:szCs w:val="22"/>
        </w:rPr>
      </w:pPr>
    </w:p>
    <w:p w14:paraId="5E3570C2" w14:textId="77777777" w:rsidR="00743459" w:rsidRDefault="00743459">
      <w:pPr>
        <w:rPr>
          <w:rFonts w:asciiTheme="majorHAnsi" w:eastAsiaTheme="majorEastAsia" w:hAnsiTheme="majorHAnsi" w:cstheme="majorBidi"/>
          <w:color w:val="0F4761" w:themeColor="accent1" w:themeShade="BF"/>
          <w:sz w:val="32"/>
          <w:szCs w:val="32"/>
        </w:rPr>
      </w:pPr>
      <w:r>
        <w:br w:type="page"/>
      </w:r>
    </w:p>
    <w:p w14:paraId="3B3A53D4" w14:textId="5C45009D" w:rsidR="17064D07" w:rsidRDefault="4906CF91" w:rsidP="7B69A92E">
      <w:pPr>
        <w:pStyle w:val="Heading2"/>
        <w:keepNext w:val="0"/>
        <w:keepLines w:val="0"/>
        <w:rPr>
          <w:rFonts w:asciiTheme="minorHAnsi" w:eastAsiaTheme="minorEastAsia" w:hAnsiTheme="minorHAnsi" w:cstheme="minorBidi"/>
          <w:b/>
          <w:bCs/>
          <w:sz w:val="22"/>
          <w:szCs w:val="22"/>
        </w:rPr>
      </w:pPr>
      <w:bookmarkStart w:id="24" w:name="_Toc225366309"/>
      <w:r w:rsidRPr="7B69A92E">
        <w:lastRenderedPageBreak/>
        <w:t>Critique, Improvements, and Lessons Learned</w:t>
      </w:r>
      <w:bookmarkEnd w:id="24"/>
    </w:p>
    <w:p w14:paraId="4D78142A" w14:textId="0C617559" w:rsidR="17064D07" w:rsidRDefault="4906CF91" w:rsidP="7B69A92E">
      <w:pPr>
        <w:spacing w:before="240" w:after="240" w:line="360" w:lineRule="auto"/>
        <w:jc w:val="both"/>
        <w:rPr>
          <w:sz w:val="22"/>
          <w:szCs w:val="22"/>
        </w:rPr>
      </w:pPr>
      <w:r w:rsidRPr="7B69A92E">
        <w:rPr>
          <w:sz w:val="22"/>
          <w:szCs w:val="22"/>
        </w:rPr>
        <w:t>The morphine overdose incident reflects a complex interaction of failures across communication, governance, leadership, and system feedback mechanisms. These failures did not occur in isolation but aligned across the medication pathway, allowing a high-risk prescribing error to progress from hospital discharge to patient administration. This demonstrates that medication errors are rarely the result of a single mistake but instead arise from weaknesses within interconnected healthcare systems.</w:t>
      </w:r>
    </w:p>
    <w:p w14:paraId="6B18B9F6" w14:textId="1EB9C2AB" w:rsidR="17064D07" w:rsidRDefault="4906CF91" w:rsidP="7B69A92E">
      <w:pPr>
        <w:spacing w:before="240" w:after="240" w:line="360" w:lineRule="auto"/>
        <w:jc w:val="both"/>
        <w:rPr>
          <w:sz w:val="22"/>
          <w:szCs w:val="22"/>
        </w:rPr>
      </w:pPr>
      <w:r w:rsidRPr="7B69A92E">
        <w:rPr>
          <w:sz w:val="22"/>
          <w:szCs w:val="22"/>
        </w:rPr>
        <w:t xml:space="preserve">A key problem in this case was ineffective escalation and poor clinician-to-clinician communication. Although the community pharmacist identified concerns regarding the prescribed dose, this was not escalated directly to the prescribing GP. Instead, communication occurred </w:t>
      </w:r>
      <w:r w:rsidR="42F0889B" w:rsidRPr="7B69A92E">
        <w:rPr>
          <w:sz w:val="22"/>
          <w:szCs w:val="22"/>
        </w:rPr>
        <w:t xml:space="preserve">between a Pharmacy Technician and GP </w:t>
      </w:r>
      <w:r w:rsidR="4C30920C" w:rsidRPr="7B69A92E">
        <w:rPr>
          <w:sz w:val="22"/>
          <w:szCs w:val="22"/>
        </w:rPr>
        <w:t xml:space="preserve">administrative </w:t>
      </w:r>
      <w:r w:rsidRPr="7B69A92E">
        <w:rPr>
          <w:sz w:val="22"/>
          <w:szCs w:val="22"/>
        </w:rPr>
        <w:t xml:space="preserve">reception staff, increasing the risk of misinterpretation and delaying clinical clarification. Evidence indicates that communication failures are a leading contributor to patient safety incidents, particularly within complex, multi-professional environments (Tariq et al., 2024). Additionally, research highlights that healthcare staff may be reluctant to raise concerns due to organisational culture and lack of psychological safety, further limiting effective escalation </w:t>
      </w:r>
      <w:r w:rsidR="3C42C76D" w:rsidRPr="7B69A92E">
        <w:rPr>
          <w:sz w:val="22"/>
          <w:szCs w:val="22"/>
        </w:rPr>
        <w:t>(Bullen et al., 2020)</w:t>
      </w:r>
      <w:r w:rsidRPr="7B69A92E">
        <w:rPr>
          <w:sz w:val="22"/>
          <w:szCs w:val="22"/>
        </w:rPr>
        <w:t>. In this case, both structural barriers and leadership limitations contributed to a failure to act on early warning signs.</w:t>
      </w:r>
    </w:p>
    <w:p w14:paraId="4BD93CF5" w14:textId="1C605752" w:rsidR="17064D07" w:rsidRDefault="4906CF91" w:rsidP="7B69A92E">
      <w:pPr>
        <w:spacing w:before="240" w:after="240" w:line="360" w:lineRule="auto"/>
        <w:jc w:val="both"/>
        <w:rPr>
          <w:sz w:val="22"/>
          <w:szCs w:val="22"/>
        </w:rPr>
      </w:pPr>
      <w:r w:rsidRPr="7B69A92E">
        <w:rPr>
          <w:sz w:val="22"/>
          <w:szCs w:val="22"/>
        </w:rPr>
        <w:t>To address this, healthcare organisations should implement clear escalation protocols requiring direct clinician-to-clinician communication for high-risk medication queries. Leadership must also prioritise psychological safety, ensuring that staff feel empowered to challenge decisions and raise concerns. Training in assertive communication and multidisciplinary collaboration should be embedded into practice, as evidence shows that improved communication significantly reduces medication-related harm.</w:t>
      </w:r>
    </w:p>
    <w:p w14:paraId="6B611292" w14:textId="5D240A98" w:rsidR="17064D07" w:rsidRDefault="4906CF91" w:rsidP="7B69A92E">
      <w:pPr>
        <w:spacing w:before="240" w:after="240" w:line="360" w:lineRule="auto"/>
        <w:jc w:val="both"/>
        <w:rPr>
          <w:sz w:val="22"/>
          <w:szCs w:val="22"/>
        </w:rPr>
      </w:pPr>
      <w:r w:rsidRPr="7B69A92E">
        <w:rPr>
          <w:sz w:val="22"/>
          <w:szCs w:val="22"/>
        </w:rPr>
        <w:t xml:space="preserve">A second critical issue was the absence of effective feedback and monitoring systems. Although a prescribing query was raised, there was no mechanism to ensure that this concern was reviewed and resolved before the medication was dispensed. This reflects a failure in system feedback loops, which are essential for identifying and correcting errors in real time. Research demonstrates that medication errors often pass through multiple stages of care when such feedback mechanisms are weak or delayed </w:t>
      </w:r>
      <w:r w:rsidR="63DE8D3C" w:rsidRPr="7B69A92E">
        <w:rPr>
          <w:sz w:val="22"/>
          <w:szCs w:val="22"/>
        </w:rPr>
        <w:t>(</w:t>
      </w:r>
      <w:proofErr w:type="spellStart"/>
      <w:r w:rsidR="63DE8D3C" w:rsidRPr="7B69A92E">
        <w:rPr>
          <w:sz w:val="22"/>
          <w:szCs w:val="22"/>
        </w:rPr>
        <w:t>Alrowily</w:t>
      </w:r>
      <w:proofErr w:type="spellEnd"/>
      <w:r w:rsidR="63DE8D3C" w:rsidRPr="7B69A92E">
        <w:rPr>
          <w:sz w:val="22"/>
          <w:szCs w:val="22"/>
        </w:rPr>
        <w:t xml:space="preserve"> et al., 2024)</w:t>
      </w:r>
      <w:r w:rsidRPr="7B69A92E">
        <w:rPr>
          <w:sz w:val="22"/>
          <w:szCs w:val="22"/>
        </w:rPr>
        <w:t>. In many healthcare settings, delays in error reporting further reduce opportunities for early intervention, allowing risks to persist undetected.</w:t>
      </w:r>
    </w:p>
    <w:p w14:paraId="011B7C17" w14:textId="4E3A441F" w:rsidR="17064D07" w:rsidRDefault="4906CF91" w:rsidP="7B69A92E">
      <w:pPr>
        <w:spacing w:before="240" w:after="240" w:line="360" w:lineRule="auto"/>
        <w:jc w:val="both"/>
        <w:rPr>
          <w:sz w:val="22"/>
          <w:szCs w:val="22"/>
        </w:rPr>
      </w:pPr>
      <w:r w:rsidRPr="7B69A92E">
        <w:rPr>
          <w:sz w:val="22"/>
          <w:szCs w:val="22"/>
        </w:rPr>
        <w:lastRenderedPageBreak/>
        <w:t>Improvement strategies should focus on strengthening system feedback through integrated digital reporting and clinical decision support systems. These systems should provide real-time alerts for high-risk medications and require additional verification steps before prescribing or dispensing. Regular audit processes and shared learning mechanisms should also be implemented to ensure continuous monitoring and improvement. The Specialist Pharmacy Service emphasises that errors often occur across the entire “medicines journey,” reinforcing the need for coordinated, system-wide feedback and communication processes.</w:t>
      </w:r>
    </w:p>
    <w:p w14:paraId="3917B1BA" w14:textId="563F81BF" w:rsidR="17064D07" w:rsidRDefault="4906CF91" w:rsidP="7B69A92E">
      <w:pPr>
        <w:spacing w:before="240" w:after="240" w:line="360" w:lineRule="auto"/>
        <w:jc w:val="both"/>
        <w:rPr>
          <w:sz w:val="22"/>
          <w:szCs w:val="22"/>
        </w:rPr>
      </w:pPr>
      <w:r w:rsidRPr="7B69A92E">
        <w:rPr>
          <w:sz w:val="22"/>
          <w:szCs w:val="22"/>
        </w:rPr>
        <w:t>Medication safety failures were further evident in the labelling and administration stage. The dispensing label did not clearly state the volume to be administered, and appropriate dosing equipment was not provided, resulting in incorrect administration by the infant’s parents. Evidence from NHS Resolution indicates that high-risk medications, including opioids, are among the most frequently implicated in medication-related incidents (NHS Resolution, 2023). This highlights the need for additional safeguards when managing such medications, particularly in vulnerable populations.</w:t>
      </w:r>
    </w:p>
    <w:p w14:paraId="30FA2DF1" w14:textId="79283955" w:rsidR="17064D07" w:rsidRDefault="4906CF91" w:rsidP="7B69A92E">
      <w:pPr>
        <w:spacing w:before="240" w:after="240" w:line="360" w:lineRule="auto"/>
        <w:jc w:val="both"/>
        <w:rPr>
          <w:sz w:val="22"/>
          <w:szCs w:val="22"/>
        </w:rPr>
      </w:pPr>
      <w:r w:rsidRPr="7B69A92E">
        <w:rPr>
          <w:sz w:val="22"/>
          <w:szCs w:val="22"/>
        </w:rPr>
        <w:t>To improve safety, standardised labelling practices should include both dose and volume, supported by clear formatting and improved readability. The introduction of barcode scanning systems and safer packaging design can further reduce the risk of error. In addition, patient counselling must be strengthened to ensure understanding, using techniques such as teach-back to confirm comprehension. Providing appropriate dosing equipment, such as 1 ml syringes, should be mandatory when administering small volumes.</w:t>
      </w:r>
    </w:p>
    <w:p w14:paraId="2DD36323" w14:textId="5D707C57" w:rsidR="17064D07" w:rsidRDefault="4906CF91" w:rsidP="7B69A92E">
      <w:pPr>
        <w:spacing w:before="240" w:after="240" w:line="360" w:lineRule="auto"/>
        <w:jc w:val="both"/>
        <w:rPr>
          <w:sz w:val="22"/>
          <w:szCs w:val="22"/>
        </w:rPr>
      </w:pPr>
      <w:r w:rsidRPr="7B69A92E">
        <w:rPr>
          <w:sz w:val="22"/>
          <w:szCs w:val="22"/>
        </w:rPr>
        <w:t>Weak governance and accountability also played a significant role in the incident. Despite morphine sulphate 100 micrograms/ml being classified as a ‘RED drug’, this restriction was not enforced, and prescribing occurred in primary care. This reflects a disconnect between centralised governance policies and decentralised clinical decision-making. The Care Quality Commission has highlighted that variation in medication safety practices and gaps in oversight remain persistent challenges across NHS organisations. In this case, no system effectively prevented or challenged the inappropriate prescribing decision, indicating a failure of governance mechanisms.</w:t>
      </w:r>
    </w:p>
    <w:p w14:paraId="28A2B9D9" w14:textId="6338FC8B" w:rsidR="17064D07" w:rsidRDefault="4906CF91" w:rsidP="7B69A92E">
      <w:pPr>
        <w:spacing w:before="240" w:after="240" w:line="360" w:lineRule="auto"/>
        <w:jc w:val="both"/>
        <w:rPr>
          <w:sz w:val="22"/>
          <w:szCs w:val="22"/>
        </w:rPr>
      </w:pPr>
      <w:r w:rsidRPr="7B69A92E">
        <w:rPr>
          <w:sz w:val="22"/>
          <w:szCs w:val="22"/>
        </w:rPr>
        <w:t>Strengthening governance requires embedding policy into practice through system-level controls. Electronic prescribing systems should clearly flag restricted medications and prevent inappropriate prescribing. Shared governance frameworks across care settings would improve accountability and ensure consistent application of safety standards. Regular audits and compliance checks are also essential to monitor adherence and identify risks.</w:t>
      </w:r>
    </w:p>
    <w:p w14:paraId="32CF8966" w14:textId="02C87A48" w:rsidR="17064D07" w:rsidRDefault="4906CF91" w:rsidP="7B69A92E">
      <w:pPr>
        <w:spacing w:before="240" w:after="240" w:line="360" w:lineRule="auto"/>
        <w:jc w:val="both"/>
        <w:rPr>
          <w:sz w:val="22"/>
          <w:szCs w:val="22"/>
        </w:rPr>
      </w:pPr>
      <w:r w:rsidRPr="7B69A92E">
        <w:rPr>
          <w:sz w:val="22"/>
          <w:szCs w:val="22"/>
        </w:rPr>
        <w:lastRenderedPageBreak/>
        <w:t xml:space="preserve">Underlying system pressures, including workload and time constraints, further contributed to the incident. Research in primary care highlights that increasing workload and service demand can negatively impact communication, coordination, and patient safety </w:t>
      </w:r>
      <w:r w:rsidR="632236D7" w:rsidRPr="7B69A92E">
        <w:rPr>
          <w:sz w:val="22"/>
          <w:szCs w:val="22"/>
        </w:rPr>
        <w:t>(Slight et al., 2013)</w:t>
      </w:r>
      <w:r w:rsidRPr="7B69A92E">
        <w:rPr>
          <w:sz w:val="22"/>
          <w:szCs w:val="22"/>
        </w:rPr>
        <w:t xml:space="preserve">. In this case, workload pressures may have contributed to reliance on indirect communication pathways and reduced opportunities for critical review of prescribing decisions. Human factors research also demonstrates that cognitive overload and interruptions increase the likelihood of errors in high-pressure environments </w:t>
      </w:r>
      <w:r w:rsidR="27C3D7C6" w:rsidRPr="7B69A92E">
        <w:rPr>
          <w:sz w:val="22"/>
          <w:szCs w:val="22"/>
        </w:rPr>
        <w:t>(Bullen et al., 2020)</w:t>
      </w:r>
      <w:r w:rsidRPr="7B69A92E">
        <w:rPr>
          <w:sz w:val="22"/>
          <w:szCs w:val="22"/>
        </w:rPr>
        <w:t>.</w:t>
      </w:r>
    </w:p>
    <w:p w14:paraId="4B55509C" w14:textId="79BCF92F" w:rsidR="17064D07" w:rsidRDefault="4906CF91" w:rsidP="7B69A92E">
      <w:pPr>
        <w:spacing w:before="240" w:after="240" w:line="360" w:lineRule="auto"/>
        <w:jc w:val="both"/>
        <w:rPr>
          <w:sz w:val="22"/>
          <w:szCs w:val="22"/>
        </w:rPr>
      </w:pPr>
      <w:r w:rsidRPr="7B69A92E">
        <w:rPr>
          <w:sz w:val="22"/>
          <w:szCs w:val="22"/>
        </w:rPr>
        <w:t>Critically, this case demonstrates that the interaction between system structure, leadership, and feedback mechanisms was central to the incident. The decentralised nature of primary care allowed prescribing decisions to occur without sufficient oversight, while centralised governance policies were not effectively enforced. Leadership across the system was largely reactive and task-focused, limiting proactive risk identification and collaborative decision-making. At the same time, weak feedback mechanisms prevented concerns from being escalated and addressed. Together, these factors created a system in which a high-risk prescribing error progressed across multiple stages of care without interception.</w:t>
      </w:r>
    </w:p>
    <w:p w14:paraId="281B625F" w14:textId="37B99D2A" w:rsidR="17064D07" w:rsidRDefault="4906CF91" w:rsidP="7B69A92E">
      <w:pPr>
        <w:spacing w:before="240" w:after="240" w:line="360" w:lineRule="auto"/>
        <w:jc w:val="both"/>
        <w:rPr>
          <w:sz w:val="22"/>
          <w:szCs w:val="22"/>
        </w:rPr>
      </w:pPr>
      <w:r w:rsidRPr="7B69A92E">
        <w:rPr>
          <w:sz w:val="22"/>
          <w:szCs w:val="22"/>
        </w:rPr>
        <w:t>Several key lessons can be drawn for healthcare organisations. Firstly, patient safety systems must be designed to reduce reliance on individual vigilance and instead embed safety within processes and structures. Secondly, alignment between centralised governance and decentralised practice is essential to prevent accountability gaps. Thirdly, leadership must promote open communication, shared responsibility, and psychological safety to support effective escalation. Finally, the use of evidence, data, and continuous feedback mechanisms</w:t>
      </w:r>
      <w:r w:rsidR="2A5DFDD8" w:rsidRPr="7B69A92E">
        <w:rPr>
          <w:sz w:val="22"/>
          <w:szCs w:val="22"/>
        </w:rPr>
        <w:t xml:space="preserve">, </w:t>
      </w:r>
      <w:r w:rsidRPr="7B69A92E">
        <w:rPr>
          <w:sz w:val="22"/>
          <w:szCs w:val="22"/>
        </w:rPr>
        <w:t>including real-time reporting, audit processes, and system-wide learning</w:t>
      </w:r>
      <w:r w:rsidR="749B93F0" w:rsidRPr="7B69A92E">
        <w:rPr>
          <w:sz w:val="22"/>
          <w:szCs w:val="22"/>
        </w:rPr>
        <w:t xml:space="preserve">, </w:t>
      </w:r>
      <w:r w:rsidRPr="7B69A92E">
        <w:rPr>
          <w:sz w:val="22"/>
          <w:szCs w:val="22"/>
        </w:rPr>
        <w:t>is essential for ensuring continuous improvement and accountability.</w:t>
      </w:r>
    </w:p>
    <w:p w14:paraId="1FB9B3B2" w14:textId="22B334BB" w:rsidR="17064D07" w:rsidRDefault="4906CF91" w:rsidP="7B69A92E">
      <w:pPr>
        <w:spacing w:before="240" w:after="240" w:line="360" w:lineRule="auto"/>
        <w:jc w:val="both"/>
        <w:rPr>
          <w:sz w:val="22"/>
          <w:szCs w:val="22"/>
        </w:rPr>
      </w:pPr>
      <w:r w:rsidRPr="7B69A92E">
        <w:rPr>
          <w:sz w:val="22"/>
          <w:szCs w:val="22"/>
        </w:rPr>
        <w:t>In conclusion, the morphine overdose incident illustrates how communication failures, governance breakdowns, system pressures, and inadequate feedback mechanisms can interact to produce significant patient harm. Addressing these issues requires a coordinated, system-wide approach that integrates leadership, governance, and continuous learning to improve patient safety outcomes.</w:t>
      </w:r>
    </w:p>
    <w:p w14:paraId="2FB2AD92" w14:textId="77777777" w:rsidR="00743459" w:rsidRDefault="00743459">
      <w:pPr>
        <w:rPr>
          <w:rFonts w:asciiTheme="majorHAnsi" w:eastAsiaTheme="majorEastAsia" w:hAnsiTheme="majorHAnsi" w:cstheme="majorBidi"/>
          <w:color w:val="0F4761" w:themeColor="accent1" w:themeShade="BF"/>
          <w:sz w:val="40"/>
          <w:szCs w:val="40"/>
        </w:rPr>
      </w:pPr>
      <w:r>
        <w:br w:type="page"/>
      </w:r>
    </w:p>
    <w:p w14:paraId="1D975C4C" w14:textId="4333A7A1" w:rsidR="17064D07" w:rsidRDefault="08A82C3B" w:rsidP="7B69A92E">
      <w:pPr>
        <w:pStyle w:val="Heading1"/>
        <w:keepNext w:val="0"/>
        <w:keepLines w:val="0"/>
        <w:rPr>
          <w:rFonts w:asciiTheme="minorHAnsi" w:eastAsiaTheme="minorEastAsia" w:hAnsiTheme="minorHAnsi" w:cstheme="minorBidi"/>
          <w:b/>
          <w:bCs/>
          <w:sz w:val="22"/>
          <w:szCs w:val="22"/>
        </w:rPr>
      </w:pPr>
      <w:bookmarkStart w:id="25" w:name="_Toc225366310"/>
      <w:r w:rsidRPr="7B69A92E">
        <w:lastRenderedPageBreak/>
        <w:t>Recommendations</w:t>
      </w:r>
      <w:bookmarkEnd w:id="25"/>
    </w:p>
    <w:p w14:paraId="7C29809B" w14:textId="45A4C35A" w:rsidR="17064D07" w:rsidRDefault="08A82C3B" w:rsidP="7B69A92E">
      <w:pPr>
        <w:spacing w:before="240" w:after="240" w:line="360" w:lineRule="auto"/>
        <w:jc w:val="both"/>
        <w:rPr>
          <w:sz w:val="22"/>
          <w:szCs w:val="22"/>
        </w:rPr>
      </w:pPr>
      <w:r w:rsidRPr="7B69A92E">
        <w:rPr>
          <w:sz w:val="22"/>
          <w:szCs w:val="22"/>
        </w:rPr>
        <w:t>Based on the analysis of the morphine overdose incident, the following targeted recommendations are proposed to address the key system failures identified, focusing on leadership, prescribing safety, communication, and patient understanding.</w:t>
      </w:r>
    </w:p>
    <w:p w14:paraId="34CA4620" w14:textId="0EA2259E" w:rsidR="17064D07" w:rsidRDefault="08A82C3B" w:rsidP="7B69A92E">
      <w:pPr>
        <w:spacing w:before="240" w:after="240" w:line="360" w:lineRule="auto"/>
        <w:jc w:val="both"/>
        <w:rPr>
          <w:sz w:val="22"/>
          <w:szCs w:val="22"/>
        </w:rPr>
      </w:pPr>
      <w:r w:rsidRPr="7B69A92E">
        <w:rPr>
          <w:sz w:val="22"/>
          <w:szCs w:val="22"/>
        </w:rPr>
        <w:t>Firstly, healthcare organisations should adopt transformational leadership approaches to promote a culture of psychological safety and open communication. Leaders must actively encourage staff to raise concerns, challenge decisions, and engage in collaborative problem-solving without fear of blame. In this case, earlier escalation by the community pharmacist may have prevented the prescribing error from progressing. Transformational leadership supports shared responsibility and proactive risk identification, which are essential in high-risk clinical environments.</w:t>
      </w:r>
    </w:p>
    <w:p w14:paraId="2A8F5961" w14:textId="4A557CAA" w:rsidR="17064D07" w:rsidRDefault="08A82C3B" w:rsidP="7B69A92E">
      <w:pPr>
        <w:spacing w:before="240" w:after="240" w:line="360" w:lineRule="auto"/>
        <w:jc w:val="both"/>
        <w:rPr>
          <w:sz w:val="22"/>
          <w:szCs w:val="22"/>
        </w:rPr>
      </w:pPr>
      <w:r w:rsidRPr="7B69A92E">
        <w:rPr>
          <w:sz w:val="22"/>
          <w:szCs w:val="22"/>
        </w:rPr>
        <w:t>Secondly, prescribing processes should incorporate mandatory safety verification at the point of prescribing. All prescriptions, whether electronic or handwritten, should undergo a standardised safety check through an integrated clinical database capable of reviewing medication type, formulation, and dosing instructions. For electronic prescriptions, this can be embedded within prescribing systems. For handwritten prescriptions, a practical solution would involve scanning or photographing the prescription to enable real-time verification without disrupting clinical workflow. Additionally, a formal verification element, such as a confirmation field on FP10 prescriptions, should be introduced to ensure that safety checks have been completed. This approach would strengthen prescribing accuracy while maintaining clinical autonomy.</w:t>
      </w:r>
    </w:p>
    <w:p w14:paraId="226C8E1D" w14:textId="7194BC27" w:rsidR="17064D07" w:rsidRDefault="08A82C3B" w:rsidP="7B69A92E">
      <w:pPr>
        <w:spacing w:before="240" w:after="240" w:line="360" w:lineRule="auto"/>
        <w:jc w:val="both"/>
        <w:rPr>
          <w:sz w:val="22"/>
          <w:szCs w:val="22"/>
        </w:rPr>
      </w:pPr>
      <w:r w:rsidRPr="7B69A92E">
        <w:rPr>
          <w:sz w:val="22"/>
          <w:szCs w:val="22"/>
        </w:rPr>
        <w:t>Thirdly, medication labelling and patient understanding must be prioritised as critical safety barriers. Dispensing labels should clearly include both dose and volume, particularly for paediatric and high-risk medications. However, labelling alone is insufficient. Healthcare professionals must ensure that patients or caregivers fully understand how to administer medication correctly. Rather than simply handing over dispensed medication, pharmacists should actively engage patients by asking them to explain the instructions back, confirming comprehension. This approach would have been particularly important in this case, where misunderstanding of dosage contributed directly to the overdose.</w:t>
      </w:r>
    </w:p>
    <w:p w14:paraId="4EE956C9" w14:textId="04A93038" w:rsidR="17064D07" w:rsidRDefault="08A82C3B" w:rsidP="7B69A92E">
      <w:pPr>
        <w:spacing w:before="240" w:after="240" w:line="360" w:lineRule="auto"/>
        <w:jc w:val="both"/>
        <w:rPr>
          <w:sz w:val="22"/>
          <w:szCs w:val="22"/>
        </w:rPr>
      </w:pPr>
      <w:r w:rsidRPr="7B69A92E">
        <w:rPr>
          <w:sz w:val="22"/>
          <w:szCs w:val="22"/>
        </w:rPr>
        <w:t xml:space="preserve">Finally, leadership must be recognised as pivotal across all stages of care in supporting safe practice and effective communication. Applying </w:t>
      </w:r>
      <w:r w:rsidR="20DC8E73" w:rsidRPr="7B69A92E">
        <w:rPr>
          <w:sz w:val="22"/>
          <w:szCs w:val="22"/>
        </w:rPr>
        <w:t xml:space="preserve">Fiedler’s </w:t>
      </w:r>
      <w:r w:rsidRPr="7B69A92E">
        <w:rPr>
          <w:sz w:val="22"/>
          <w:szCs w:val="22"/>
        </w:rPr>
        <w:t>contingency theory, leadership approaches should be adapted to the level of clinical risk and complexity</w:t>
      </w:r>
      <w:r w:rsidR="60EE53B1" w:rsidRPr="7B69A92E">
        <w:rPr>
          <w:sz w:val="22"/>
          <w:szCs w:val="22"/>
        </w:rPr>
        <w:t xml:space="preserve"> (Sutton, 2024)</w:t>
      </w:r>
      <w:r w:rsidRPr="7B69A92E">
        <w:rPr>
          <w:sz w:val="22"/>
          <w:szCs w:val="22"/>
        </w:rPr>
        <w:t xml:space="preserve">. In high-risk situations, such as prescribing opioids for infants, leadership should be more </w:t>
      </w:r>
      <w:r w:rsidRPr="7B69A92E">
        <w:rPr>
          <w:sz w:val="22"/>
          <w:szCs w:val="22"/>
        </w:rPr>
        <w:lastRenderedPageBreak/>
        <w:t>directive and collaborative, ensuring clear communication and verification. In this case, a more adaptive leadership approach may have facilitated direct communication between the pharmacist and GP, enabling earlier intervention. Contingency theory emphasises that no single leadership style is universally effective; instead, leaders must adjust their approach based on the situation to achieve optimal outcomes.</w:t>
      </w:r>
    </w:p>
    <w:p w14:paraId="0F21E092" w14:textId="34EA4E4C" w:rsidR="17064D07" w:rsidRDefault="08A82C3B" w:rsidP="7B69A92E">
      <w:pPr>
        <w:spacing w:before="240" w:after="240" w:line="360" w:lineRule="auto"/>
        <w:jc w:val="both"/>
        <w:rPr>
          <w:sz w:val="22"/>
          <w:szCs w:val="22"/>
        </w:rPr>
      </w:pPr>
      <w:r w:rsidRPr="7B69A92E">
        <w:rPr>
          <w:sz w:val="22"/>
          <w:szCs w:val="22"/>
        </w:rPr>
        <w:t>In conclusion, these recommendations emphasise the importance of integrating leadership, system design, and patient engagement to improve medication safety. By embedding safety checks within prescribing processes, strengthening communication, and ensuring patient understanding, healthcare organisations can reduce the risk of similar incidents and enhance overall quality of care.</w:t>
      </w:r>
    </w:p>
    <w:p w14:paraId="748FC714" w14:textId="77777777" w:rsidR="00567B40" w:rsidRDefault="00567B40">
      <w:pPr>
        <w:rPr>
          <w:rFonts w:asciiTheme="majorHAnsi" w:eastAsiaTheme="majorEastAsia" w:hAnsiTheme="majorHAnsi" w:cstheme="majorBidi"/>
          <w:color w:val="0F4761" w:themeColor="accent1" w:themeShade="BF"/>
          <w:sz w:val="40"/>
          <w:szCs w:val="40"/>
        </w:rPr>
      </w:pPr>
      <w:r>
        <w:br w:type="page"/>
      </w:r>
    </w:p>
    <w:p w14:paraId="089CFBA0" w14:textId="654A75A2" w:rsidR="17064D07" w:rsidRDefault="09F6C830" w:rsidP="7B69A92E">
      <w:pPr>
        <w:pStyle w:val="Heading1"/>
        <w:keepNext w:val="0"/>
        <w:keepLines w:val="0"/>
        <w:rPr>
          <w:rFonts w:asciiTheme="minorHAnsi" w:eastAsiaTheme="minorEastAsia" w:hAnsiTheme="minorHAnsi" w:cstheme="minorBidi"/>
          <w:b/>
          <w:bCs/>
          <w:sz w:val="22"/>
          <w:szCs w:val="22"/>
        </w:rPr>
      </w:pPr>
      <w:bookmarkStart w:id="26" w:name="_Toc225366311"/>
      <w:r w:rsidRPr="7B69A92E">
        <w:lastRenderedPageBreak/>
        <w:t>Conclusion</w:t>
      </w:r>
      <w:bookmarkEnd w:id="26"/>
    </w:p>
    <w:p w14:paraId="2CB1DEBB" w14:textId="435BC3EC" w:rsidR="17064D07" w:rsidRDefault="09F6C830" w:rsidP="7B69A92E">
      <w:pPr>
        <w:spacing w:before="240" w:after="240" w:line="360" w:lineRule="auto"/>
        <w:jc w:val="both"/>
        <w:rPr>
          <w:sz w:val="22"/>
          <w:szCs w:val="22"/>
        </w:rPr>
      </w:pPr>
      <w:r w:rsidRPr="7B69A92E">
        <w:rPr>
          <w:sz w:val="22"/>
          <w:szCs w:val="22"/>
        </w:rPr>
        <w:t>This case study has examined a serious medication safety incident involving a morphine overdose in a four-week-old infant, demonstrating how failures across multiple stages of the healthcare system can lead to significant patient harm. The analysis showed that the incident was not the result of a single error, but rather a combination of weaknesses in communication, governance, prescribing processes, and patient understanding.</w:t>
      </w:r>
    </w:p>
    <w:p w14:paraId="2F279907" w14:textId="2099579C" w:rsidR="17064D07" w:rsidRDefault="09F6C830" w:rsidP="7B69A92E">
      <w:pPr>
        <w:spacing w:before="240" w:after="240" w:line="360" w:lineRule="auto"/>
        <w:jc w:val="both"/>
        <w:rPr>
          <w:sz w:val="22"/>
          <w:szCs w:val="22"/>
        </w:rPr>
      </w:pPr>
      <w:r w:rsidRPr="7B69A92E">
        <w:rPr>
          <w:sz w:val="22"/>
          <w:szCs w:val="22"/>
        </w:rPr>
        <w:t>Applying systems thinking highlighted how interconnected failures across hospital discharge, GP prescribing, pharmacy dispensing, and parental administration allowed the error to progress without interception. The case also illustrated how misalignment between centralised governance structures, such as ‘RED drug’ policies, and decentralised clinical practice created gaps in accountability. Furthermore, the absence of effective feedback mechanisms and real-time verification processes prevented early identification and correction of the error.</w:t>
      </w:r>
    </w:p>
    <w:p w14:paraId="468C2C88" w14:textId="63D9D81B" w:rsidR="17064D07" w:rsidRDefault="09F6C830" w:rsidP="7B69A92E">
      <w:pPr>
        <w:spacing w:before="240" w:after="240" w:line="360" w:lineRule="auto"/>
        <w:jc w:val="both"/>
        <w:rPr>
          <w:sz w:val="22"/>
          <w:szCs w:val="22"/>
        </w:rPr>
      </w:pPr>
      <w:r w:rsidRPr="7B69A92E">
        <w:rPr>
          <w:sz w:val="22"/>
          <w:szCs w:val="22"/>
        </w:rPr>
        <w:t>Leadership analysis demonstrated that approaches within this case were largely reactive and task-focused, with limited evidence of proactive, adaptive, or collaborative leadership. The lack of direct communication between clinicians and insufficient escalation of concerns reflected weaknesses in leadership behaviours and organisational culture. The application of leadership theories, including behavioural and contingency approaches, emphasised the importance of adapting leadership styles to clinical risk and promoting psychological safety.</w:t>
      </w:r>
    </w:p>
    <w:p w14:paraId="50945540" w14:textId="627F0B36" w:rsidR="17064D07" w:rsidRDefault="09F6C830" w:rsidP="7B69A92E">
      <w:pPr>
        <w:spacing w:before="240" w:after="240" w:line="360" w:lineRule="auto"/>
        <w:jc w:val="both"/>
        <w:rPr>
          <w:sz w:val="22"/>
          <w:szCs w:val="22"/>
        </w:rPr>
      </w:pPr>
      <w:r w:rsidRPr="7B69A92E">
        <w:rPr>
          <w:sz w:val="22"/>
          <w:szCs w:val="22"/>
        </w:rPr>
        <w:t>The report has identified key areas for improvement, including the need for stronger governance controls, enhanced prescribing verification systems, clearer communication pathways, and improved patient understanding of medication instructions. Central to these improvements is the role of leadership in fostering a culture that prioritises safety, accountability, and continuous learning.</w:t>
      </w:r>
    </w:p>
    <w:p w14:paraId="0FB337F4" w14:textId="6FE4F1B3" w:rsidR="17064D07" w:rsidRDefault="09F6C830" w:rsidP="7B69A92E">
      <w:pPr>
        <w:spacing w:before="240" w:after="240" w:line="360" w:lineRule="auto"/>
        <w:jc w:val="both"/>
        <w:rPr>
          <w:sz w:val="22"/>
          <w:szCs w:val="22"/>
        </w:rPr>
      </w:pPr>
      <w:r w:rsidRPr="7B69A92E">
        <w:rPr>
          <w:sz w:val="22"/>
          <w:szCs w:val="22"/>
        </w:rPr>
        <w:t>In conclusion, this case highlights the critical importance of integrating leadership, governance, and system design to improve patient safety. By embedding robust processes, supporting effective communication, and ensuring that both healthcare professionals and patients are equipped with the necessary knowledge and tools, healthcare organisations can reduce the risk of similar incidents and deliver safer, higher-quality care.</w:t>
      </w:r>
    </w:p>
    <w:p w14:paraId="7049955C" w14:textId="77777777" w:rsidR="00567B40" w:rsidRDefault="00567B40">
      <w:pPr>
        <w:rPr>
          <w:rFonts w:asciiTheme="majorHAnsi" w:eastAsiaTheme="majorEastAsia" w:hAnsiTheme="majorHAnsi" w:cstheme="majorBidi"/>
          <w:color w:val="0F4761" w:themeColor="accent1" w:themeShade="BF"/>
          <w:sz w:val="40"/>
          <w:szCs w:val="40"/>
        </w:rPr>
      </w:pPr>
      <w:r>
        <w:br w:type="page"/>
      </w:r>
    </w:p>
    <w:p w14:paraId="2E5288EB" w14:textId="2F27884A" w:rsidR="00E20CF4" w:rsidRDefault="00E20CF4" w:rsidP="7B69A92E">
      <w:pPr>
        <w:pStyle w:val="Heading1"/>
        <w:keepNext w:val="0"/>
        <w:keepLines w:val="0"/>
        <w:rPr>
          <w:rFonts w:asciiTheme="minorHAnsi" w:eastAsiaTheme="minorEastAsia" w:hAnsiTheme="minorHAnsi" w:cstheme="minorBidi"/>
          <w:sz w:val="22"/>
          <w:szCs w:val="22"/>
        </w:rPr>
      </w:pPr>
      <w:bookmarkStart w:id="27" w:name="_Toc225366312"/>
      <w:r w:rsidRPr="7B69A92E">
        <w:lastRenderedPageBreak/>
        <w:t>Reference</w:t>
      </w:r>
      <w:bookmarkEnd w:id="27"/>
      <w:r w:rsidR="006D7737">
        <w:t>s</w:t>
      </w:r>
    </w:p>
    <w:p w14:paraId="4A56BD63" w14:textId="3ADC9E58" w:rsidR="3B7B0F23" w:rsidRDefault="3B7B0F23" w:rsidP="7B69A92E">
      <w:pPr>
        <w:spacing w:before="240" w:after="240" w:line="360" w:lineRule="auto"/>
        <w:rPr>
          <w:rFonts w:ascii="Arial" w:eastAsia="Arial" w:hAnsi="Arial" w:cs="Arial"/>
          <w:sz w:val="22"/>
          <w:szCs w:val="22"/>
        </w:rPr>
      </w:pPr>
      <w:proofErr w:type="spellStart"/>
      <w:r w:rsidRPr="7B69A92E">
        <w:rPr>
          <w:rFonts w:ascii="Arial" w:eastAsia="Arial" w:hAnsi="Arial" w:cs="Arial"/>
          <w:sz w:val="22"/>
          <w:szCs w:val="22"/>
        </w:rPr>
        <w:t>Alrowily</w:t>
      </w:r>
      <w:proofErr w:type="spellEnd"/>
      <w:r w:rsidRPr="7B69A92E">
        <w:rPr>
          <w:rFonts w:ascii="Arial" w:eastAsia="Arial" w:hAnsi="Arial" w:cs="Arial"/>
          <w:sz w:val="22"/>
          <w:szCs w:val="22"/>
        </w:rPr>
        <w:t xml:space="preserve">, A., </w:t>
      </w:r>
      <w:proofErr w:type="spellStart"/>
      <w:r w:rsidRPr="7B69A92E">
        <w:rPr>
          <w:rFonts w:ascii="Arial" w:eastAsia="Arial" w:hAnsi="Arial" w:cs="Arial"/>
          <w:sz w:val="22"/>
          <w:szCs w:val="22"/>
        </w:rPr>
        <w:t>Alfaraidy</w:t>
      </w:r>
      <w:proofErr w:type="spellEnd"/>
      <w:r w:rsidRPr="7B69A92E">
        <w:rPr>
          <w:rFonts w:ascii="Arial" w:eastAsia="Arial" w:hAnsi="Arial" w:cs="Arial"/>
          <w:sz w:val="22"/>
          <w:szCs w:val="22"/>
        </w:rPr>
        <w:t xml:space="preserve">, K., Almutairi, S., Alamri, A., </w:t>
      </w:r>
      <w:proofErr w:type="spellStart"/>
      <w:r w:rsidRPr="7B69A92E">
        <w:rPr>
          <w:rFonts w:ascii="Arial" w:eastAsia="Arial" w:hAnsi="Arial" w:cs="Arial"/>
          <w:sz w:val="22"/>
          <w:szCs w:val="22"/>
        </w:rPr>
        <w:t>Alrowily</w:t>
      </w:r>
      <w:proofErr w:type="spellEnd"/>
      <w:r w:rsidRPr="7B69A92E">
        <w:rPr>
          <w:rFonts w:ascii="Arial" w:eastAsia="Arial" w:hAnsi="Arial" w:cs="Arial"/>
          <w:sz w:val="22"/>
          <w:szCs w:val="22"/>
        </w:rPr>
        <w:t xml:space="preserve">, W., Abutaleb, M., </w:t>
      </w:r>
      <w:proofErr w:type="spellStart"/>
      <w:r w:rsidRPr="7B69A92E">
        <w:rPr>
          <w:rFonts w:ascii="Arial" w:eastAsia="Arial" w:hAnsi="Arial" w:cs="Arial"/>
          <w:sz w:val="22"/>
          <w:szCs w:val="22"/>
        </w:rPr>
        <w:t>Zaitoun</w:t>
      </w:r>
      <w:proofErr w:type="spellEnd"/>
      <w:r w:rsidRPr="7B69A92E">
        <w:rPr>
          <w:rFonts w:ascii="Arial" w:eastAsia="Arial" w:hAnsi="Arial" w:cs="Arial"/>
          <w:sz w:val="22"/>
          <w:szCs w:val="22"/>
        </w:rPr>
        <w:t xml:space="preserve">, M., </w:t>
      </w:r>
      <w:proofErr w:type="spellStart"/>
      <w:r w:rsidRPr="7B69A92E">
        <w:rPr>
          <w:rFonts w:ascii="Arial" w:eastAsia="Arial" w:hAnsi="Arial" w:cs="Arial"/>
          <w:sz w:val="22"/>
          <w:szCs w:val="22"/>
        </w:rPr>
        <w:t>Sarawi</w:t>
      </w:r>
      <w:proofErr w:type="spellEnd"/>
      <w:r w:rsidRPr="7B69A92E">
        <w:rPr>
          <w:rFonts w:ascii="Arial" w:eastAsia="Arial" w:hAnsi="Arial" w:cs="Arial"/>
          <w:sz w:val="22"/>
          <w:szCs w:val="22"/>
        </w:rPr>
        <w:t xml:space="preserve">, W. and </w:t>
      </w:r>
      <w:proofErr w:type="spellStart"/>
      <w:r w:rsidRPr="7B69A92E">
        <w:rPr>
          <w:rFonts w:ascii="Arial" w:eastAsia="Arial" w:hAnsi="Arial" w:cs="Arial"/>
          <w:sz w:val="22"/>
          <w:szCs w:val="22"/>
        </w:rPr>
        <w:t>Aljead</w:t>
      </w:r>
      <w:proofErr w:type="spellEnd"/>
      <w:r w:rsidRPr="7B69A92E">
        <w:rPr>
          <w:rFonts w:ascii="Arial" w:eastAsia="Arial" w:hAnsi="Arial" w:cs="Arial"/>
          <w:sz w:val="22"/>
          <w:szCs w:val="22"/>
        </w:rPr>
        <w:t xml:space="preserve">, M. (2024). High-risk Medication errors: Insight from the UK National Reporting and Learning System. Exploratory Research in Clinical and Social Pharmacy, [online] 17(100531), p.100531. </w:t>
      </w:r>
      <w:proofErr w:type="spellStart"/>
      <w:r w:rsidRPr="7B69A92E">
        <w:rPr>
          <w:rFonts w:ascii="Arial" w:eastAsia="Arial" w:hAnsi="Arial" w:cs="Arial"/>
          <w:sz w:val="22"/>
          <w:szCs w:val="22"/>
        </w:rPr>
        <w:t>doi:</w:t>
      </w:r>
      <w:hyperlink r:id="rId11">
        <w:r w:rsidRPr="7B69A92E">
          <w:rPr>
            <w:rStyle w:val="Hyperlink"/>
            <w:rFonts w:ascii="Arial" w:eastAsia="Arial" w:hAnsi="Arial" w:cs="Arial"/>
            <w:sz w:val="22"/>
            <w:szCs w:val="22"/>
          </w:rPr>
          <w:t>https</w:t>
        </w:r>
        <w:proofErr w:type="spellEnd"/>
        <w:r w:rsidRPr="7B69A92E">
          <w:rPr>
            <w:rStyle w:val="Hyperlink"/>
            <w:rFonts w:ascii="Arial" w:eastAsia="Arial" w:hAnsi="Arial" w:cs="Arial"/>
            <w:sz w:val="22"/>
            <w:szCs w:val="22"/>
          </w:rPr>
          <w:t>://doi.org/10.1016/j.rcsop.2024.100531</w:t>
        </w:r>
      </w:hyperlink>
      <w:r w:rsidRPr="7B69A92E">
        <w:rPr>
          <w:rFonts w:ascii="Arial" w:eastAsia="Arial" w:hAnsi="Arial" w:cs="Arial"/>
          <w:sz w:val="22"/>
          <w:szCs w:val="22"/>
        </w:rPr>
        <w:t>.</w:t>
      </w:r>
    </w:p>
    <w:p w14:paraId="0F69CA61" w14:textId="0E33E972" w:rsidR="002A2AB2" w:rsidRDefault="002A2AB2" w:rsidP="002A2AB2">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Anon (n.d.) Michael West: Collaborative and compassionate leadership | The King’s Fund. </w:t>
      </w:r>
      <w:hyperlink r:id="rId12">
        <w:r w:rsidRPr="7B69A92E">
          <w:rPr>
            <w:rStyle w:val="Hyperlink"/>
            <w:rFonts w:ascii="Arial" w:eastAsia="Arial" w:hAnsi="Arial" w:cs="Arial"/>
            <w:sz w:val="22"/>
            <w:szCs w:val="22"/>
          </w:rPr>
          <w:t>https://www.kingsfund.org.uk/audio-video/michael-west-collaborative-compassionate-leadership</w:t>
        </w:r>
      </w:hyperlink>
      <w:r w:rsidRPr="7B69A92E">
        <w:rPr>
          <w:rFonts w:ascii="Arial" w:eastAsia="Arial" w:hAnsi="Arial" w:cs="Arial"/>
          <w:sz w:val="22"/>
          <w:szCs w:val="22"/>
        </w:rPr>
        <w:t>. (Accessed: 15 March. 2026)</w:t>
      </w:r>
    </w:p>
    <w:p w14:paraId="411613F0" w14:textId="4F21A3F6"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Birkinshaw, J. (2016) The ambidextrous leader: when to step in and how to step back. London Business School. Available at: </w:t>
      </w:r>
      <w:hyperlink r:id="rId13">
        <w:r w:rsidRPr="7B69A92E">
          <w:rPr>
            <w:rStyle w:val="Hyperlink"/>
            <w:rFonts w:ascii="Arial" w:eastAsia="Arial" w:hAnsi="Arial" w:cs="Arial"/>
            <w:sz w:val="22"/>
            <w:szCs w:val="22"/>
          </w:rPr>
          <w:t>https://www.london.edu</w:t>
        </w:r>
      </w:hyperlink>
      <w:r w:rsidRPr="7B69A92E">
        <w:rPr>
          <w:rFonts w:ascii="Arial" w:eastAsia="Arial" w:hAnsi="Arial" w:cs="Arial"/>
          <w:sz w:val="22"/>
          <w:szCs w:val="22"/>
        </w:rPr>
        <w:t xml:space="preserve"> (Accessed: 20 Ma</w:t>
      </w:r>
      <w:r w:rsidR="0D65480B" w:rsidRPr="7B69A92E">
        <w:rPr>
          <w:rFonts w:ascii="Arial" w:eastAsia="Arial" w:hAnsi="Arial" w:cs="Arial"/>
          <w:sz w:val="22"/>
          <w:szCs w:val="22"/>
        </w:rPr>
        <w:t>rch</w:t>
      </w:r>
      <w:r w:rsidR="73415A8A" w:rsidRPr="7B69A92E">
        <w:rPr>
          <w:rFonts w:ascii="Arial" w:eastAsia="Arial" w:hAnsi="Arial" w:cs="Arial"/>
          <w:sz w:val="22"/>
          <w:szCs w:val="22"/>
        </w:rPr>
        <w:t>.</w:t>
      </w:r>
      <w:r w:rsidRPr="7B69A92E">
        <w:rPr>
          <w:rFonts w:ascii="Arial" w:eastAsia="Arial" w:hAnsi="Arial" w:cs="Arial"/>
          <w:sz w:val="22"/>
          <w:szCs w:val="22"/>
        </w:rPr>
        <w:t xml:space="preserve"> 202</w:t>
      </w:r>
      <w:r w:rsidR="62BD61C2" w:rsidRPr="7B69A92E">
        <w:rPr>
          <w:rFonts w:ascii="Arial" w:eastAsia="Arial" w:hAnsi="Arial" w:cs="Arial"/>
          <w:sz w:val="22"/>
          <w:szCs w:val="22"/>
        </w:rPr>
        <w:t>6</w:t>
      </w:r>
      <w:r w:rsidRPr="7B69A92E">
        <w:rPr>
          <w:rFonts w:ascii="Arial" w:eastAsia="Arial" w:hAnsi="Arial" w:cs="Arial"/>
          <w:sz w:val="22"/>
          <w:szCs w:val="22"/>
        </w:rPr>
        <w:t>).</w:t>
      </w:r>
    </w:p>
    <w:p w14:paraId="38BFA146" w14:textId="1C77AF15"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Boamah, S.A., Laschinger, H.K.S., Wong, C. and Clarke, S. (2018). Effect of transformational leadership on job satisfaction and patient safety outcomes. Nursing Outlook, 66(2), pp.180–189. </w:t>
      </w:r>
      <w:proofErr w:type="spellStart"/>
      <w:r w:rsidRPr="7B69A92E">
        <w:rPr>
          <w:rFonts w:ascii="Arial" w:eastAsia="Arial" w:hAnsi="Arial" w:cs="Arial"/>
          <w:sz w:val="22"/>
          <w:szCs w:val="22"/>
        </w:rPr>
        <w:t>doi:</w:t>
      </w:r>
      <w:hyperlink r:id="rId14">
        <w:r w:rsidRPr="7B69A92E">
          <w:rPr>
            <w:rStyle w:val="Hyperlink"/>
            <w:rFonts w:ascii="Arial" w:eastAsia="Arial" w:hAnsi="Arial" w:cs="Arial"/>
            <w:sz w:val="22"/>
            <w:szCs w:val="22"/>
          </w:rPr>
          <w:t>https</w:t>
        </w:r>
        <w:proofErr w:type="spellEnd"/>
        <w:r w:rsidRPr="7B69A92E">
          <w:rPr>
            <w:rStyle w:val="Hyperlink"/>
            <w:rFonts w:ascii="Arial" w:eastAsia="Arial" w:hAnsi="Arial" w:cs="Arial"/>
            <w:sz w:val="22"/>
            <w:szCs w:val="22"/>
          </w:rPr>
          <w:t>://doi.org/10.1016/j.outlook.2017.10.004</w:t>
        </w:r>
      </w:hyperlink>
      <w:r w:rsidRPr="7B69A92E">
        <w:rPr>
          <w:rFonts w:ascii="Arial" w:eastAsia="Arial" w:hAnsi="Arial" w:cs="Arial"/>
          <w:sz w:val="22"/>
          <w:szCs w:val="22"/>
        </w:rPr>
        <w:t>.</w:t>
      </w:r>
    </w:p>
    <w:p w14:paraId="3F3050CF" w14:textId="13EB42D0" w:rsidR="002A2AB2" w:rsidRDefault="002A2AB2"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British Medical Association (2022) Pressures in general practice. London: BMA.</w:t>
      </w:r>
    </w:p>
    <w:p w14:paraId="0535045F" w14:textId="27A51E4D"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Bullen, K., Hall, N., Sherwood, J., Wake, N. and Donovan, G. (2020). Prescribing error reporting in primary care: a narrative synthesis systematic review. Integrated Healthcare Journal, 2(1), p.e000026. </w:t>
      </w:r>
      <w:proofErr w:type="spellStart"/>
      <w:r w:rsidRPr="7B69A92E">
        <w:rPr>
          <w:rFonts w:ascii="Arial" w:eastAsia="Arial" w:hAnsi="Arial" w:cs="Arial"/>
          <w:sz w:val="22"/>
          <w:szCs w:val="22"/>
        </w:rPr>
        <w:t>doi:</w:t>
      </w:r>
      <w:hyperlink r:id="rId15">
        <w:r w:rsidRPr="7B69A92E">
          <w:rPr>
            <w:rStyle w:val="Hyperlink"/>
            <w:rFonts w:ascii="Arial" w:eastAsia="Arial" w:hAnsi="Arial" w:cs="Arial"/>
            <w:sz w:val="22"/>
            <w:szCs w:val="22"/>
          </w:rPr>
          <w:t>https</w:t>
        </w:r>
        <w:proofErr w:type="spellEnd"/>
        <w:r w:rsidRPr="7B69A92E">
          <w:rPr>
            <w:rStyle w:val="Hyperlink"/>
            <w:rFonts w:ascii="Arial" w:eastAsia="Arial" w:hAnsi="Arial" w:cs="Arial"/>
            <w:sz w:val="22"/>
            <w:szCs w:val="22"/>
          </w:rPr>
          <w:t>://doi.org/10.1136/ihj-2019-000026</w:t>
        </w:r>
      </w:hyperlink>
      <w:r w:rsidRPr="7B69A92E">
        <w:rPr>
          <w:rFonts w:ascii="Arial" w:eastAsia="Arial" w:hAnsi="Arial" w:cs="Arial"/>
          <w:sz w:val="22"/>
          <w:szCs w:val="22"/>
        </w:rPr>
        <w:t>.</w:t>
      </w:r>
    </w:p>
    <w:p w14:paraId="08B54B10" w14:textId="14241D71"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Charles, A. (2022). Integrated Care Systems Explained. The King’s Fund. Available at: </w:t>
      </w:r>
      <w:hyperlink r:id="rId16">
        <w:r w:rsidRPr="7B69A92E">
          <w:rPr>
            <w:rStyle w:val="Hyperlink"/>
            <w:rFonts w:ascii="Arial" w:eastAsia="Arial" w:hAnsi="Arial" w:cs="Arial"/>
            <w:sz w:val="22"/>
            <w:szCs w:val="22"/>
          </w:rPr>
          <w:t>https://www.kingsfund.org.uk/insight-and-analysis/long-reads/integrated-care-systems-explained</w:t>
        </w:r>
      </w:hyperlink>
      <w:r w:rsidRPr="7B69A92E">
        <w:rPr>
          <w:rFonts w:ascii="Arial" w:eastAsia="Arial" w:hAnsi="Arial" w:cs="Arial"/>
          <w:sz w:val="22"/>
          <w:szCs w:val="22"/>
        </w:rPr>
        <w:t>.</w:t>
      </w:r>
      <w:r w:rsidR="7ED8DBD0" w:rsidRPr="7B69A92E">
        <w:rPr>
          <w:rFonts w:ascii="Arial" w:eastAsia="Arial" w:hAnsi="Arial" w:cs="Arial"/>
          <w:sz w:val="22"/>
          <w:szCs w:val="22"/>
        </w:rPr>
        <w:t xml:space="preserve"> (Accessed: 15 March. 2026).</w:t>
      </w:r>
    </w:p>
    <w:p w14:paraId="5D4054AF" w14:textId="4970C4CA" w:rsidR="3B7B0F23" w:rsidRDefault="3B7B0F23" w:rsidP="7B69A92E">
      <w:pPr>
        <w:spacing w:before="240" w:after="240" w:line="360" w:lineRule="auto"/>
        <w:rPr>
          <w:rFonts w:ascii="Arial" w:eastAsia="Arial" w:hAnsi="Arial" w:cs="Arial"/>
          <w:sz w:val="22"/>
          <w:szCs w:val="22"/>
        </w:rPr>
      </w:pPr>
      <w:proofErr w:type="spellStart"/>
      <w:r w:rsidRPr="7B69A92E">
        <w:rPr>
          <w:rFonts w:ascii="Arial" w:eastAsia="Arial" w:hAnsi="Arial" w:cs="Arial"/>
          <w:sz w:val="22"/>
          <w:szCs w:val="22"/>
        </w:rPr>
        <w:t>Checkland</w:t>
      </w:r>
      <w:proofErr w:type="spellEnd"/>
      <w:r w:rsidRPr="7B69A92E">
        <w:rPr>
          <w:rFonts w:ascii="Arial" w:eastAsia="Arial" w:hAnsi="Arial" w:cs="Arial"/>
          <w:sz w:val="22"/>
          <w:szCs w:val="22"/>
        </w:rPr>
        <w:t>, P. (1981) Systems thinking, systems practice, Chichester, UK, John Wiley &amp; Sons.</w:t>
      </w:r>
    </w:p>
    <w:p w14:paraId="11E00D42" w14:textId="165B3A31" w:rsidR="3B7B0F23" w:rsidRDefault="3B7B0F23" w:rsidP="7B69A92E">
      <w:pPr>
        <w:spacing w:before="240" w:after="240" w:line="360" w:lineRule="auto"/>
        <w:rPr>
          <w:rFonts w:ascii="Arial" w:eastAsia="Arial" w:hAnsi="Arial" w:cs="Arial"/>
          <w:sz w:val="22"/>
          <w:szCs w:val="22"/>
        </w:rPr>
      </w:pPr>
      <w:proofErr w:type="spellStart"/>
      <w:r w:rsidRPr="7B69A92E">
        <w:rPr>
          <w:rFonts w:ascii="Arial" w:eastAsia="Arial" w:hAnsi="Arial" w:cs="Arial"/>
          <w:sz w:val="22"/>
          <w:szCs w:val="22"/>
        </w:rPr>
        <w:t>Checkland</w:t>
      </w:r>
      <w:proofErr w:type="spellEnd"/>
      <w:r w:rsidRPr="7B69A92E">
        <w:rPr>
          <w:rFonts w:ascii="Arial" w:eastAsia="Arial" w:hAnsi="Arial" w:cs="Arial"/>
          <w:sz w:val="22"/>
          <w:szCs w:val="22"/>
        </w:rPr>
        <w:t>, P. and Scholes, J. (1990) Soft systems in action, Chichester, UK, John Wiley &amp; Sons.</w:t>
      </w:r>
    </w:p>
    <w:p w14:paraId="406E38A4" w14:textId="765E48CA" w:rsidR="3B7B0F23" w:rsidRDefault="3B7B0F23" w:rsidP="7B69A92E">
      <w:pPr>
        <w:spacing w:before="240" w:after="240" w:line="360" w:lineRule="auto"/>
        <w:rPr>
          <w:rFonts w:ascii="Arial" w:eastAsia="Arial" w:hAnsi="Arial" w:cs="Arial"/>
          <w:sz w:val="22"/>
          <w:szCs w:val="22"/>
        </w:rPr>
      </w:pPr>
      <w:proofErr w:type="spellStart"/>
      <w:r w:rsidRPr="7B69A92E">
        <w:rPr>
          <w:rFonts w:ascii="Arial" w:eastAsia="Arial" w:hAnsi="Arial" w:cs="Arial"/>
          <w:sz w:val="22"/>
          <w:szCs w:val="22"/>
        </w:rPr>
        <w:t>Checkland</w:t>
      </w:r>
      <w:proofErr w:type="spellEnd"/>
      <w:r w:rsidRPr="7B69A92E">
        <w:rPr>
          <w:rFonts w:ascii="Arial" w:eastAsia="Arial" w:hAnsi="Arial" w:cs="Arial"/>
          <w:sz w:val="22"/>
          <w:szCs w:val="22"/>
        </w:rPr>
        <w:t>, P., &amp; Poulter, J. (2020). Soft systems methodology. In M. Reynolds and S. Holwell (eds.) Systems approaches to making change: A practical guide (pp. 201-253). Springer, London.</w:t>
      </w:r>
    </w:p>
    <w:p w14:paraId="1A47BC20" w14:textId="64F24DA8"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lastRenderedPageBreak/>
        <w:t xml:space="preserve">Cherry, K., 2023. The Fiedler Contingency Model of Leadership. </w:t>
      </w:r>
      <w:proofErr w:type="spellStart"/>
      <w:r w:rsidRPr="7B69A92E">
        <w:rPr>
          <w:rFonts w:ascii="Arial" w:eastAsia="Arial" w:hAnsi="Arial" w:cs="Arial"/>
          <w:sz w:val="22"/>
          <w:szCs w:val="22"/>
        </w:rPr>
        <w:t>Verywell</w:t>
      </w:r>
      <w:proofErr w:type="spellEnd"/>
      <w:r w:rsidRPr="7B69A92E">
        <w:rPr>
          <w:rFonts w:ascii="Arial" w:eastAsia="Arial" w:hAnsi="Arial" w:cs="Arial"/>
          <w:sz w:val="22"/>
          <w:szCs w:val="22"/>
        </w:rPr>
        <w:t xml:space="preserve"> Mind. Available at: </w:t>
      </w:r>
      <w:hyperlink r:id="rId17">
        <w:r w:rsidRPr="7B69A92E">
          <w:rPr>
            <w:rStyle w:val="Hyperlink"/>
            <w:rFonts w:ascii="Arial" w:eastAsia="Arial" w:hAnsi="Arial" w:cs="Arial"/>
            <w:sz w:val="22"/>
            <w:szCs w:val="22"/>
          </w:rPr>
          <w:t>https://www.verywellmind.com/the-fiedler-contingency-model-8621997</w:t>
        </w:r>
      </w:hyperlink>
      <w:r w:rsidRPr="7B69A92E">
        <w:rPr>
          <w:rFonts w:ascii="Arial" w:eastAsia="Arial" w:hAnsi="Arial" w:cs="Arial"/>
          <w:sz w:val="22"/>
          <w:szCs w:val="22"/>
        </w:rPr>
        <w:t xml:space="preserve"> </w:t>
      </w:r>
      <w:r w:rsidR="67774DA7" w:rsidRPr="7B69A92E">
        <w:rPr>
          <w:rFonts w:ascii="Arial" w:eastAsia="Arial" w:hAnsi="Arial" w:cs="Arial"/>
          <w:sz w:val="22"/>
          <w:szCs w:val="22"/>
        </w:rPr>
        <w:t>(</w:t>
      </w:r>
      <w:r w:rsidRPr="7B69A92E">
        <w:rPr>
          <w:rFonts w:ascii="Arial" w:eastAsia="Arial" w:hAnsi="Arial" w:cs="Arial"/>
          <w:sz w:val="22"/>
          <w:szCs w:val="22"/>
        </w:rPr>
        <w:t xml:space="preserve">Accessed 18 </w:t>
      </w:r>
      <w:r w:rsidR="22D79899" w:rsidRPr="7B69A92E">
        <w:rPr>
          <w:rFonts w:ascii="Arial" w:eastAsia="Arial" w:hAnsi="Arial" w:cs="Arial"/>
          <w:sz w:val="22"/>
          <w:szCs w:val="22"/>
        </w:rPr>
        <w:t>March</w:t>
      </w:r>
      <w:r w:rsidRPr="7B69A92E">
        <w:rPr>
          <w:rFonts w:ascii="Arial" w:eastAsia="Arial" w:hAnsi="Arial" w:cs="Arial"/>
          <w:sz w:val="22"/>
          <w:szCs w:val="22"/>
        </w:rPr>
        <w:t>. 202</w:t>
      </w:r>
      <w:r w:rsidR="471D4E21" w:rsidRPr="7B69A92E">
        <w:rPr>
          <w:rFonts w:ascii="Arial" w:eastAsia="Arial" w:hAnsi="Arial" w:cs="Arial"/>
          <w:sz w:val="22"/>
          <w:szCs w:val="22"/>
        </w:rPr>
        <w:t>6</w:t>
      </w:r>
      <w:r w:rsidR="11403740" w:rsidRPr="7B69A92E">
        <w:rPr>
          <w:rFonts w:ascii="Arial" w:eastAsia="Arial" w:hAnsi="Arial" w:cs="Arial"/>
          <w:sz w:val="22"/>
          <w:szCs w:val="22"/>
        </w:rPr>
        <w:t>)</w:t>
      </w:r>
      <w:r w:rsidRPr="7B69A92E">
        <w:rPr>
          <w:rFonts w:ascii="Arial" w:eastAsia="Arial" w:hAnsi="Arial" w:cs="Arial"/>
          <w:sz w:val="22"/>
          <w:szCs w:val="22"/>
        </w:rPr>
        <w:t>.</w:t>
      </w:r>
    </w:p>
    <w:p w14:paraId="6AF2AEE5" w14:textId="7A862D8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Elliott, R.A., Camacho, E., Jankovic, D., </w:t>
      </w:r>
      <w:proofErr w:type="spellStart"/>
      <w:r w:rsidRPr="7B69A92E">
        <w:rPr>
          <w:rFonts w:ascii="Arial" w:eastAsia="Arial" w:hAnsi="Arial" w:cs="Arial"/>
          <w:sz w:val="22"/>
          <w:szCs w:val="22"/>
        </w:rPr>
        <w:t>Sculpher</w:t>
      </w:r>
      <w:proofErr w:type="spellEnd"/>
      <w:r w:rsidRPr="7B69A92E">
        <w:rPr>
          <w:rFonts w:ascii="Arial" w:eastAsia="Arial" w:hAnsi="Arial" w:cs="Arial"/>
          <w:sz w:val="22"/>
          <w:szCs w:val="22"/>
        </w:rPr>
        <w:t xml:space="preserve">, M.J. and Faria, R. (2021). Economic Analysis of the Prevalence and Clinical and Economic Burden of Medication Error in England. BMJ Quality &amp; Safety, 30(2), pp.96–105. </w:t>
      </w:r>
      <w:proofErr w:type="spellStart"/>
      <w:r w:rsidRPr="7B69A92E">
        <w:rPr>
          <w:rFonts w:ascii="Arial" w:eastAsia="Arial" w:hAnsi="Arial" w:cs="Arial"/>
          <w:sz w:val="22"/>
          <w:szCs w:val="22"/>
        </w:rPr>
        <w:t>doi:</w:t>
      </w:r>
      <w:hyperlink r:id="rId18">
        <w:r w:rsidRPr="7B69A92E">
          <w:rPr>
            <w:rStyle w:val="Hyperlink"/>
            <w:rFonts w:ascii="Arial" w:eastAsia="Arial" w:hAnsi="Arial" w:cs="Arial"/>
            <w:sz w:val="22"/>
            <w:szCs w:val="22"/>
          </w:rPr>
          <w:t>https</w:t>
        </w:r>
        <w:proofErr w:type="spellEnd"/>
        <w:r w:rsidRPr="7B69A92E">
          <w:rPr>
            <w:rStyle w:val="Hyperlink"/>
            <w:rFonts w:ascii="Arial" w:eastAsia="Arial" w:hAnsi="Arial" w:cs="Arial"/>
            <w:sz w:val="22"/>
            <w:szCs w:val="22"/>
          </w:rPr>
          <w:t>://doi.org/10.1136/bmjqs-2019-010206</w:t>
        </w:r>
      </w:hyperlink>
      <w:r w:rsidRPr="7B69A92E">
        <w:rPr>
          <w:rFonts w:ascii="Arial" w:eastAsia="Arial" w:hAnsi="Arial" w:cs="Arial"/>
          <w:sz w:val="22"/>
          <w:szCs w:val="22"/>
        </w:rPr>
        <w:t>.</w:t>
      </w:r>
    </w:p>
    <w:p w14:paraId="035C8618" w14:textId="51E8C261" w:rsidR="3B7B0F23" w:rsidRDefault="3B7B0F23" w:rsidP="7B69A92E">
      <w:pPr>
        <w:spacing w:before="240" w:after="240" w:line="360" w:lineRule="auto"/>
        <w:rPr>
          <w:rFonts w:ascii="Arial" w:eastAsia="Arial" w:hAnsi="Arial" w:cs="Arial"/>
          <w:sz w:val="22"/>
          <w:szCs w:val="22"/>
        </w:rPr>
      </w:pPr>
      <w:proofErr w:type="spellStart"/>
      <w:r w:rsidRPr="7B69A92E">
        <w:rPr>
          <w:rFonts w:ascii="Arial" w:eastAsia="Arial" w:hAnsi="Arial" w:cs="Arial"/>
          <w:sz w:val="22"/>
          <w:szCs w:val="22"/>
        </w:rPr>
        <w:t>Enticott</w:t>
      </w:r>
      <w:proofErr w:type="spellEnd"/>
      <w:r w:rsidRPr="7B69A92E">
        <w:rPr>
          <w:rFonts w:ascii="Arial" w:eastAsia="Arial" w:hAnsi="Arial" w:cs="Arial"/>
          <w:sz w:val="22"/>
          <w:szCs w:val="22"/>
        </w:rPr>
        <w:t xml:space="preserve">, J., Johnson, A. &amp; </w:t>
      </w:r>
      <w:proofErr w:type="spellStart"/>
      <w:r w:rsidRPr="7B69A92E">
        <w:rPr>
          <w:rFonts w:ascii="Arial" w:eastAsia="Arial" w:hAnsi="Arial" w:cs="Arial"/>
          <w:sz w:val="22"/>
          <w:szCs w:val="22"/>
        </w:rPr>
        <w:t>Teede</w:t>
      </w:r>
      <w:proofErr w:type="spellEnd"/>
      <w:r w:rsidRPr="7B69A92E">
        <w:rPr>
          <w:rFonts w:ascii="Arial" w:eastAsia="Arial" w:hAnsi="Arial" w:cs="Arial"/>
          <w:sz w:val="22"/>
          <w:szCs w:val="22"/>
        </w:rPr>
        <w:t>, H. (2021) Learning health systems using data to drive healthcare improvement and impact: a systematic review. BMC health services research. 21 (1), 200–200. doi:10.1186/s12913-021-06215-8.</w:t>
      </w:r>
    </w:p>
    <w:p w14:paraId="2A11B4F9" w14:textId="3E6EB849"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Full Fact (2019). Full Fact - Full Fact is the UK’s independent factchecking organisation. Full Fact. Available at: </w:t>
      </w:r>
      <w:hyperlink r:id="rId19">
        <w:r w:rsidRPr="7B69A92E">
          <w:rPr>
            <w:rStyle w:val="Hyperlink"/>
            <w:rFonts w:ascii="Arial" w:eastAsia="Arial" w:hAnsi="Arial" w:cs="Arial"/>
            <w:sz w:val="22"/>
            <w:szCs w:val="22"/>
          </w:rPr>
          <w:t>https://fullfact.org/</w:t>
        </w:r>
      </w:hyperlink>
      <w:r w:rsidRPr="7B69A92E">
        <w:rPr>
          <w:rFonts w:ascii="Arial" w:eastAsia="Arial" w:hAnsi="Arial" w:cs="Arial"/>
          <w:sz w:val="22"/>
          <w:szCs w:val="22"/>
        </w:rPr>
        <w:t>.</w:t>
      </w:r>
      <w:r w:rsidR="24DBFA58" w:rsidRPr="7B69A92E">
        <w:rPr>
          <w:rFonts w:ascii="Arial" w:eastAsia="Arial" w:hAnsi="Arial" w:cs="Arial"/>
          <w:sz w:val="22"/>
          <w:szCs w:val="22"/>
        </w:rPr>
        <w:t xml:space="preserve"> (Accessed: 10 March. 2026).</w:t>
      </w:r>
    </w:p>
    <w:p w14:paraId="2475C48C" w14:textId="7AC1CFB7" w:rsidR="002A2AB2" w:rsidRDefault="002A2AB2"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Ghosh, A., 2022. Fiedler's contingency theory of leadership: Definition, examples. </w:t>
      </w:r>
      <w:proofErr w:type="spellStart"/>
      <w:r w:rsidRPr="7B69A92E">
        <w:rPr>
          <w:rFonts w:ascii="Arial" w:eastAsia="Arial" w:hAnsi="Arial" w:cs="Arial"/>
          <w:sz w:val="22"/>
          <w:szCs w:val="22"/>
        </w:rPr>
        <w:t>LogRocket</w:t>
      </w:r>
      <w:proofErr w:type="spellEnd"/>
      <w:r w:rsidRPr="7B69A92E">
        <w:rPr>
          <w:rFonts w:ascii="Arial" w:eastAsia="Arial" w:hAnsi="Arial" w:cs="Arial"/>
          <w:sz w:val="22"/>
          <w:szCs w:val="22"/>
        </w:rPr>
        <w:t xml:space="preserve"> Blog. Available at: </w:t>
      </w:r>
      <w:hyperlink r:id="rId20">
        <w:r w:rsidRPr="7B69A92E">
          <w:rPr>
            <w:rStyle w:val="Hyperlink"/>
            <w:rFonts w:ascii="Arial" w:eastAsia="Arial" w:hAnsi="Arial" w:cs="Arial"/>
            <w:sz w:val="22"/>
            <w:szCs w:val="22"/>
          </w:rPr>
          <w:t>https://blog.logrocket.com/product-management/fiedlers-contingency-theory-of-leadership/</w:t>
        </w:r>
      </w:hyperlink>
      <w:r w:rsidRPr="7B69A92E">
        <w:rPr>
          <w:rFonts w:ascii="Arial" w:eastAsia="Arial" w:hAnsi="Arial" w:cs="Arial"/>
          <w:sz w:val="22"/>
          <w:szCs w:val="22"/>
        </w:rPr>
        <w:t xml:space="preserve"> (Accessed: 15 March. 2026).</w:t>
      </w:r>
    </w:p>
    <w:p w14:paraId="5889E8FA" w14:textId="235CD0CB"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Global Leadership Foundation (2002) The global emotional intelligence test – sampler. Available at: </w:t>
      </w:r>
      <w:hyperlink r:id="rId21">
        <w:r w:rsidRPr="7B69A92E">
          <w:rPr>
            <w:rStyle w:val="Hyperlink"/>
            <w:rFonts w:ascii="Arial" w:eastAsia="Arial" w:hAnsi="Arial" w:cs="Arial"/>
            <w:sz w:val="22"/>
            <w:szCs w:val="22"/>
          </w:rPr>
          <w:t>https://globalleadershipfoundation.com</w:t>
        </w:r>
      </w:hyperlink>
      <w:r w:rsidRPr="7B69A92E">
        <w:rPr>
          <w:rFonts w:ascii="Arial" w:eastAsia="Arial" w:hAnsi="Arial" w:cs="Arial"/>
          <w:sz w:val="22"/>
          <w:szCs w:val="22"/>
        </w:rPr>
        <w:t xml:space="preserve"> </w:t>
      </w:r>
      <w:r w:rsidR="23346376" w:rsidRPr="7B69A92E">
        <w:rPr>
          <w:rFonts w:ascii="Arial" w:eastAsia="Arial" w:hAnsi="Arial" w:cs="Arial"/>
          <w:sz w:val="22"/>
          <w:szCs w:val="22"/>
        </w:rPr>
        <w:t>(Accessed: 10 March. 2026).</w:t>
      </w:r>
    </w:p>
    <w:p w14:paraId="6D39C904" w14:textId="6ADC46FF"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Globalleadershipfoundation.com. (2015). Raising the emotional health levels of people on the planet. Available at: </w:t>
      </w:r>
      <w:hyperlink r:id="rId22">
        <w:r w:rsidRPr="7B69A92E">
          <w:rPr>
            <w:rStyle w:val="Hyperlink"/>
            <w:rFonts w:ascii="Arial" w:eastAsia="Arial" w:hAnsi="Arial" w:cs="Arial"/>
            <w:sz w:val="22"/>
            <w:szCs w:val="22"/>
          </w:rPr>
          <w:t>https://www.globalleadershipfoundation.com/</w:t>
        </w:r>
      </w:hyperlink>
      <w:r w:rsidRPr="7B69A92E">
        <w:rPr>
          <w:rFonts w:ascii="Arial" w:eastAsia="Arial" w:hAnsi="Arial" w:cs="Arial"/>
          <w:sz w:val="22"/>
          <w:szCs w:val="22"/>
        </w:rPr>
        <w:t>.</w:t>
      </w:r>
      <w:r w:rsidR="3056583C" w:rsidRPr="7B69A92E">
        <w:rPr>
          <w:rFonts w:ascii="Arial" w:eastAsia="Arial" w:hAnsi="Arial" w:cs="Arial"/>
          <w:sz w:val="22"/>
          <w:szCs w:val="22"/>
        </w:rPr>
        <w:t xml:space="preserve"> (Accessed: 12 March. 2026).</w:t>
      </w:r>
    </w:p>
    <w:p w14:paraId="7EFC4A06" w14:textId="57C61791"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Goleman, D. (2012) Emotional intelligence. Big Think. Available at: </w:t>
      </w:r>
      <w:hyperlink r:id="rId23">
        <w:r w:rsidRPr="7B69A92E">
          <w:rPr>
            <w:rStyle w:val="Hyperlink"/>
            <w:rFonts w:ascii="Arial" w:eastAsia="Arial" w:hAnsi="Arial" w:cs="Arial"/>
            <w:sz w:val="22"/>
            <w:szCs w:val="22"/>
          </w:rPr>
          <w:t>https://bigthink.com</w:t>
        </w:r>
      </w:hyperlink>
      <w:r w:rsidRPr="7B69A92E">
        <w:rPr>
          <w:rFonts w:ascii="Arial" w:eastAsia="Arial" w:hAnsi="Arial" w:cs="Arial"/>
          <w:sz w:val="22"/>
          <w:szCs w:val="22"/>
        </w:rPr>
        <w:t xml:space="preserve"> </w:t>
      </w:r>
      <w:r w:rsidR="600D5DB5" w:rsidRPr="7B69A92E">
        <w:rPr>
          <w:rFonts w:ascii="Arial" w:eastAsia="Arial" w:hAnsi="Arial" w:cs="Arial"/>
          <w:sz w:val="22"/>
          <w:szCs w:val="22"/>
        </w:rPr>
        <w:t>(Accessed: 20 March. 2026).</w:t>
      </w:r>
    </w:p>
    <w:p w14:paraId="5F394CA3" w14:textId="4523F5AC" w:rsidR="002A2AB2" w:rsidRDefault="002A2AB2"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Greater Manchester Integrated Care Partnership (2023). Devolution led to significant improvements to health. Manchester: NHS Greater Manchester. Available at: gmintegratedcare.org.uk (Accessed: 10 March. 2026).</w:t>
      </w:r>
    </w:p>
    <w:p w14:paraId="04FA17CD" w14:textId="77777777" w:rsidR="009A6B8E" w:rsidRDefault="009A6B8E" w:rsidP="009A6B8E">
      <w:pPr>
        <w:spacing w:before="240" w:after="240" w:line="360" w:lineRule="auto"/>
        <w:rPr>
          <w:rFonts w:ascii="Arial" w:eastAsia="Arial" w:hAnsi="Arial" w:cs="Arial"/>
          <w:sz w:val="22"/>
          <w:szCs w:val="22"/>
        </w:rPr>
      </w:pPr>
      <w:r w:rsidRPr="7B69A92E">
        <w:rPr>
          <w:rFonts w:ascii="Arial" w:eastAsia="Arial" w:hAnsi="Arial" w:cs="Arial"/>
          <w:sz w:val="22"/>
          <w:szCs w:val="22"/>
        </w:rPr>
        <w:t>Hacker, J. (2024). How many people were treated in Covid-19 Nightingale hospitals? Full Fact. Available at: fullfact.orgfullfact.org. (Accessed: 10 March. 2026).</w:t>
      </w:r>
    </w:p>
    <w:p w14:paraId="367A1811" w14:textId="77777777" w:rsidR="009A6B8E" w:rsidRDefault="009A6B8E" w:rsidP="7B69A92E">
      <w:pPr>
        <w:spacing w:before="240" w:after="240" w:line="360" w:lineRule="auto"/>
        <w:rPr>
          <w:rFonts w:ascii="Arial" w:eastAsia="Arial" w:hAnsi="Arial" w:cs="Arial"/>
          <w:sz w:val="22"/>
          <w:szCs w:val="22"/>
        </w:rPr>
      </w:pPr>
    </w:p>
    <w:p w14:paraId="222F1DAB" w14:textId="7907ED6A"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lastRenderedPageBreak/>
        <w:t xml:space="preserve">Hamel, G. (2013) A conversation with Gary Hamel: Transformation of leadership, step-by-step. McKinsey &amp; </w:t>
      </w:r>
      <w:proofErr w:type="spellStart"/>
      <w:r w:rsidRPr="7B69A92E">
        <w:rPr>
          <w:rFonts w:ascii="Arial" w:eastAsia="Arial" w:hAnsi="Arial" w:cs="Arial"/>
          <w:sz w:val="22"/>
          <w:szCs w:val="22"/>
        </w:rPr>
        <w:t>Company.Available</w:t>
      </w:r>
      <w:proofErr w:type="spellEnd"/>
      <w:r w:rsidRPr="7B69A92E">
        <w:rPr>
          <w:rFonts w:ascii="Arial" w:eastAsia="Arial" w:hAnsi="Arial" w:cs="Arial"/>
          <w:sz w:val="22"/>
          <w:szCs w:val="22"/>
        </w:rPr>
        <w:t xml:space="preserve"> at: </w:t>
      </w:r>
      <w:hyperlink r:id="rId24">
        <w:r w:rsidRPr="7B69A92E">
          <w:rPr>
            <w:rStyle w:val="Hyperlink"/>
            <w:rFonts w:ascii="Arial" w:eastAsia="Arial" w:hAnsi="Arial" w:cs="Arial"/>
            <w:sz w:val="22"/>
            <w:szCs w:val="22"/>
          </w:rPr>
          <w:t>https://www.mckinsey.com</w:t>
        </w:r>
      </w:hyperlink>
      <w:r w:rsidRPr="7B69A92E">
        <w:rPr>
          <w:rFonts w:ascii="Arial" w:eastAsia="Arial" w:hAnsi="Arial" w:cs="Arial"/>
          <w:sz w:val="22"/>
          <w:szCs w:val="22"/>
        </w:rPr>
        <w:t xml:space="preserve"> (Accessed: </w:t>
      </w:r>
      <w:r w:rsidR="1C0C745A" w:rsidRPr="7B69A92E">
        <w:rPr>
          <w:rFonts w:ascii="Arial" w:eastAsia="Arial" w:hAnsi="Arial" w:cs="Arial"/>
          <w:sz w:val="22"/>
          <w:szCs w:val="22"/>
        </w:rPr>
        <w:t>10</w:t>
      </w:r>
      <w:r w:rsidRPr="7B69A92E">
        <w:rPr>
          <w:rFonts w:ascii="Arial" w:eastAsia="Arial" w:hAnsi="Arial" w:cs="Arial"/>
          <w:sz w:val="22"/>
          <w:szCs w:val="22"/>
        </w:rPr>
        <w:t xml:space="preserve"> Ma</w:t>
      </w:r>
      <w:r w:rsidR="4E4A13F3" w:rsidRPr="7B69A92E">
        <w:rPr>
          <w:rFonts w:ascii="Arial" w:eastAsia="Arial" w:hAnsi="Arial" w:cs="Arial"/>
          <w:sz w:val="22"/>
          <w:szCs w:val="22"/>
        </w:rPr>
        <w:t>rch.</w:t>
      </w:r>
      <w:r w:rsidRPr="7B69A92E">
        <w:rPr>
          <w:rFonts w:ascii="Arial" w:eastAsia="Arial" w:hAnsi="Arial" w:cs="Arial"/>
          <w:sz w:val="22"/>
          <w:szCs w:val="22"/>
        </w:rPr>
        <w:t xml:space="preserve"> 202</w:t>
      </w:r>
      <w:r w:rsidR="227B1008" w:rsidRPr="7B69A92E">
        <w:rPr>
          <w:rFonts w:ascii="Arial" w:eastAsia="Arial" w:hAnsi="Arial" w:cs="Arial"/>
          <w:sz w:val="22"/>
          <w:szCs w:val="22"/>
        </w:rPr>
        <w:t>6</w:t>
      </w:r>
      <w:r w:rsidRPr="7B69A92E">
        <w:rPr>
          <w:rFonts w:ascii="Arial" w:eastAsia="Arial" w:hAnsi="Arial" w:cs="Arial"/>
          <w:sz w:val="22"/>
          <w:szCs w:val="22"/>
        </w:rPr>
        <w:t>).</w:t>
      </w:r>
    </w:p>
    <w:p w14:paraId="51F3B6E0" w14:textId="4DEE5A3B" w:rsidR="003B790E" w:rsidRDefault="003B790E"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Hersey, P. and Blanchard, K.H. (1988) Management of Organizational Behaviour: Utilizing Human Resources. 5th </w:t>
      </w:r>
      <w:proofErr w:type="spellStart"/>
      <w:r w:rsidRPr="7B69A92E">
        <w:rPr>
          <w:rFonts w:ascii="Arial" w:eastAsia="Arial" w:hAnsi="Arial" w:cs="Arial"/>
          <w:sz w:val="22"/>
          <w:szCs w:val="22"/>
        </w:rPr>
        <w:t>edn</w:t>
      </w:r>
      <w:proofErr w:type="spellEnd"/>
      <w:r w:rsidRPr="7B69A92E">
        <w:rPr>
          <w:rFonts w:ascii="Arial" w:eastAsia="Arial" w:hAnsi="Arial" w:cs="Arial"/>
          <w:sz w:val="22"/>
          <w:szCs w:val="22"/>
        </w:rPr>
        <w:t>. Englewood Cliffs: Prentice Hall.</w:t>
      </w:r>
    </w:p>
    <w:p w14:paraId="22878F5A" w14:textId="07083F1A"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HSSIB. (2022). Investigation report: Unintentional overdose of morphine </w:t>
      </w:r>
      <w:proofErr w:type="spellStart"/>
      <w:r w:rsidRPr="7B69A92E">
        <w:rPr>
          <w:rFonts w:ascii="Arial" w:eastAsia="Arial" w:hAnsi="Arial" w:cs="Arial"/>
          <w:sz w:val="22"/>
          <w:szCs w:val="22"/>
        </w:rPr>
        <w:t>sulfate</w:t>
      </w:r>
      <w:proofErr w:type="spellEnd"/>
      <w:r w:rsidRPr="7B69A92E">
        <w:rPr>
          <w:rFonts w:ascii="Arial" w:eastAsia="Arial" w:hAnsi="Arial" w:cs="Arial"/>
          <w:sz w:val="22"/>
          <w:szCs w:val="22"/>
        </w:rPr>
        <w:t xml:space="preserve"> oral solution. Available at: </w:t>
      </w:r>
      <w:hyperlink r:id="rId25">
        <w:r w:rsidRPr="7B69A92E">
          <w:rPr>
            <w:rStyle w:val="Hyperlink"/>
            <w:rFonts w:ascii="Arial" w:eastAsia="Arial" w:hAnsi="Arial" w:cs="Arial"/>
            <w:sz w:val="22"/>
            <w:szCs w:val="22"/>
          </w:rPr>
          <w:t>https://www.hssib.org.uk/patient-safety-investigations/unintentional-overdose-of-morphine-sulfate-oral-solution/investigation-report/</w:t>
        </w:r>
      </w:hyperlink>
      <w:r w:rsidRPr="7B69A92E">
        <w:rPr>
          <w:rFonts w:ascii="Arial" w:eastAsia="Arial" w:hAnsi="Arial" w:cs="Arial"/>
          <w:sz w:val="22"/>
          <w:szCs w:val="22"/>
        </w:rPr>
        <w:t>.</w:t>
      </w:r>
      <w:r w:rsidR="1010CF1C" w:rsidRPr="7B69A92E">
        <w:rPr>
          <w:rFonts w:ascii="Arial" w:eastAsia="Arial" w:hAnsi="Arial" w:cs="Arial"/>
          <w:sz w:val="22"/>
          <w:szCs w:val="22"/>
        </w:rPr>
        <w:t xml:space="preserve"> (Accessed: 10 March. 2026).</w:t>
      </w:r>
    </w:p>
    <w:p w14:paraId="15E2A5C4" w14:textId="79AB4392"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IMD (2025). The 6 most common leadership styles &amp; how to find yours. </w:t>
      </w:r>
      <w:hyperlink r:id="rId26">
        <w:r w:rsidRPr="7B69A92E">
          <w:rPr>
            <w:rStyle w:val="Hyperlink"/>
            <w:rFonts w:ascii="Arial" w:eastAsia="Arial" w:hAnsi="Arial" w:cs="Arial"/>
            <w:sz w:val="22"/>
            <w:szCs w:val="22"/>
          </w:rPr>
          <w:t>www.imd.org</w:t>
        </w:r>
      </w:hyperlink>
      <w:r w:rsidRPr="7B69A92E">
        <w:rPr>
          <w:rFonts w:ascii="Arial" w:eastAsia="Arial" w:hAnsi="Arial" w:cs="Arial"/>
          <w:sz w:val="22"/>
          <w:szCs w:val="22"/>
        </w:rPr>
        <w:t xml:space="preserve">. Available at: </w:t>
      </w:r>
      <w:hyperlink r:id="rId27">
        <w:r w:rsidRPr="7B69A92E">
          <w:rPr>
            <w:rStyle w:val="Hyperlink"/>
            <w:rFonts w:ascii="Arial" w:eastAsia="Arial" w:hAnsi="Arial" w:cs="Arial"/>
            <w:sz w:val="22"/>
            <w:szCs w:val="22"/>
          </w:rPr>
          <w:t>https://www.imd.org/blog/leadership/leadership-styles/</w:t>
        </w:r>
      </w:hyperlink>
      <w:r w:rsidRPr="7B69A92E">
        <w:rPr>
          <w:rFonts w:ascii="Arial" w:eastAsia="Arial" w:hAnsi="Arial" w:cs="Arial"/>
          <w:sz w:val="22"/>
          <w:szCs w:val="22"/>
        </w:rPr>
        <w:t>.</w:t>
      </w:r>
      <w:r w:rsidR="6734BC52" w:rsidRPr="7B69A92E">
        <w:rPr>
          <w:rFonts w:ascii="Arial" w:eastAsia="Arial" w:hAnsi="Arial" w:cs="Arial"/>
          <w:sz w:val="22"/>
          <w:szCs w:val="22"/>
        </w:rPr>
        <w:t xml:space="preserve"> (Accessed: 15 March. 2026).</w:t>
      </w:r>
    </w:p>
    <w:p w14:paraId="6494DE42" w14:textId="7AA8D639" w:rsidR="00A67743" w:rsidRDefault="00A67743" w:rsidP="7B69A92E">
      <w:pPr>
        <w:spacing w:before="240" w:after="240" w:line="360" w:lineRule="auto"/>
        <w:rPr>
          <w:rFonts w:ascii="Arial" w:eastAsia="Arial" w:hAnsi="Arial" w:cs="Arial"/>
          <w:sz w:val="22"/>
          <w:szCs w:val="22"/>
        </w:rPr>
      </w:pPr>
      <w:r w:rsidRPr="00A67743">
        <w:rPr>
          <w:rFonts w:ascii="Arial" w:eastAsia="Arial" w:hAnsi="Arial" w:cs="Arial"/>
          <w:sz w:val="22"/>
          <w:szCs w:val="22"/>
        </w:rPr>
        <w:t>Johnson, J.A. (2020) </w:t>
      </w:r>
      <w:r w:rsidRPr="00A67743">
        <w:rPr>
          <w:rFonts w:ascii="Arial" w:eastAsia="Arial" w:hAnsi="Arial" w:cs="Arial"/>
          <w:i/>
          <w:iCs/>
          <w:sz w:val="22"/>
          <w:szCs w:val="22"/>
        </w:rPr>
        <w:t xml:space="preserve">Health systems </w:t>
      </w:r>
      <w:proofErr w:type="gramStart"/>
      <w:r w:rsidRPr="00A67743">
        <w:rPr>
          <w:rFonts w:ascii="Arial" w:eastAsia="Arial" w:hAnsi="Arial" w:cs="Arial"/>
          <w:i/>
          <w:iCs/>
          <w:sz w:val="22"/>
          <w:szCs w:val="22"/>
        </w:rPr>
        <w:t>thinking :</w:t>
      </w:r>
      <w:proofErr w:type="gramEnd"/>
      <w:r w:rsidRPr="00A67743">
        <w:rPr>
          <w:rFonts w:ascii="Arial" w:eastAsia="Arial" w:hAnsi="Arial" w:cs="Arial"/>
          <w:i/>
          <w:iCs/>
          <w:sz w:val="22"/>
          <w:szCs w:val="22"/>
        </w:rPr>
        <w:t xml:space="preserve"> a </w:t>
      </w:r>
      <w:proofErr w:type="gramStart"/>
      <w:r w:rsidRPr="00A67743">
        <w:rPr>
          <w:rFonts w:ascii="Arial" w:eastAsia="Arial" w:hAnsi="Arial" w:cs="Arial"/>
          <w:i/>
          <w:iCs/>
          <w:sz w:val="22"/>
          <w:szCs w:val="22"/>
        </w:rPr>
        <w:t>primer </w:t>
      </w:r>
      <w:r w:rsidRPr="00A67743">
        <w:rPr>
          <w:rFonts w:ascii="Arial" w:eastAsia="Arial" w:hAnsi="Arial" w:cs="Arial"/>
          <w:sz w:val="22"/>
          <w:szCs w:val="22"/>
        </w:rPr>
        <w:t>.</w:t>
      </w:r>
      <w:proofErr w:type="gramEnd"/>
      <w:r w:rsidRPr="00A67743">
        <w:rPr>
          <w:rFonts w:ascii="Arial" w:eastAsia="Arial" w:hAnsi="Arial" w:cs="Arial"/>
          <w:sz w:val="22"/>
          <w:szCs w:val="22"/>
        </w:rPr>
        <w:t xml:space="preserve"> Burlington, </w:t>
      </w:r>
      <w:proofErr w:type="gramStart"/>
      <w:r w:rsidRPr="00A67743">
        <w:rPr>
          <w:rFonts w:ascii="Arial" w:eastAsia="Arial" w:hAnsi="Arial" w:cs="Arial"/>
          <w:sz w:val="22"/>
          <w:szCs w:val="22"/>
        </w:rPr>
        <w:t>MA :</w:t>
      </w:r>
      <w:proofErr w:type="gramEnd"/>
      <w:r w:rsidRPr="00A67743">
        <w:rPr>
          <w:rFonts w:ascii="Arial" w:eastAsia="Arial" w:hAnsi="Arial" w:cs="Arial"/>
          <w:sz w:val="22"/>
          <w:szCs w:val="22"/>
        </w:rPr>
        <w:t>; ©2020, Jones &amp; Bartlett Learning.</w:t>
      </w:r>
    </w:p>
    <w:p w14:paraId="18DE3888" w14:textId="7D70D726" w:rsidR="003B790E" w:rsidRDefault="003B790E"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Kotter, J.P. (1990) A Force for Change: How Leadership Differs from Management. New York: Free Press.</w:t>
      </w:r>
    </w:p>
    <w:p w14:paraId="0C3C5523" w14:textId="0815916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Medication Without Harm WHO Global Patient Safety Challenge. (n.d.). Available at: </w:t>
      </w:r>
      <w:hyperlink r:id="rId28">
        <w:r w:rsidRPr="7B69A92E">
          <w:rPr>
            <w:rStyle w:val="Hyperlink"/>
            <w:rFonts w:ascii="Arial" w:eastAsia="Arial" w:hAnsi="Arial" w:cs="Arial"/>
            <w:sz w:val="22"/>
            <w:szCs w:val="22"/>
          </w:rPr>
          <w:t>https://iris.who.int/server/api/core/bitstreams/15520c4f-89d1-4a8f-9bab-6b771aa30acb/content</w:t>
        </w:r>
      </w:hyperlink>
      <w:r w:rsidRPr="7B69A92E">
        <w:rPr>
          <w:rFonts w:ascii="Arial" w:eastAsia="Arial" w:hAnsi="Arial" w:cs="Arial"/>
          <w:sz w:val="22"/>
          <w:szCs w:val="22"/>
        </w:rPr>
        <w:t>.</w:t>
      </w:r>
      <w:r w:rsidR="10A15900" w:rsidRPr="7B69A92E">
        <w:rPr>
          <w:rFonts w:ascii="Arial" w:eastAsia="Arial" w:hAnsi="Arial" w:cs="Arial"/>
          <w:sz w:val="22"/>
          <w:szCs w:val="22"/>
        </w:rPr>
        <w:t xml:space="preserve"> (Accessed: 10 March. 2026).</w:t>
      </w:r>
    </w:p>
    <w:p w14:paraId="6CC59567" w14:textId="073FCFC3" w:rsidR="003B790E"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Miller, R., 2023. What Does The 2023 NHS Staff Survey Really Tell Us? [online] The King’s Fund. Available at: </w:t>
      </w:r>
      <w:hyperlink r:id="rId29">
        <w:r w:rsidRPr="7B69A92E">
          <w:rPr>
            <w:rStyle w:val="Hyperlink"/>
            <w:rFonts w:ascii="Arial" w:eastAsia="Arial" w:hAnsi="Arial" w:cs="Arial"/>
            <w:sz w:val="22"/>
            <w:szCs w:val="22"/>
          </w:rPr>
          <w:t>https://www.kingsfund.org.uk/insight-and-analysis/blogs/2023-nhs-staff-survey</w:t>
        </w:r>
      </w:hyperlink>
      <w:r w:rsidRPr="7B69A92E">
        <w:rPr>
          <w:rFonts w:ascii="Arial" w:eastAsia="Arial" w:hAnsi="Arial" w:cs="Arial"/>
          <w:sz w:val="22"/>
          <w:szCs w:val="22"/>
        </w:rPr>
        <w:t xml:space="preserve"> </w:t>
      </w:r>
      <w:r w:rsidR="1B40DC8B" w:rsidRPr="7B69A92E">
        <w:rPr>
          <w:rFonts w:ascii="Arial" w:eastAsia="Arial" w:hAnsi="Arial" w:cs="Arial"/>
          <w:sz w:val="22"/>
          <w:szCs w:val="22"/>
        </w:rPr>
        <w:t>(Accessed: 10 March. 2026).</w:t>
      </w:r>
    </w:p>
    <w:p w14:paraId="12102D76" w14:textId="01E56FC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digital (2024). Home - NHS Digital. NHS Digital. Available at: </w:t>
      </w:r>
      <w:hyperlink r:id="rId30">
        <w:r w:rsidRPr="7B69A92E">
          <w:rPr>
            <w:rStyle w:val="Hyperlink"/>
            <w:rFonts w:ascii="Arial" w:eastAsia="Arial" w:hAnsi="Arial" w:cs="Arial"/>
            <w:sz w:val="22"/>
            <w:szCs w:val="22"/>
          </w:rPr>
          <w:t>https://digital.nhs.uk/</w:t>
        </w:r>
      </w:hyperlink>
      <w:r w:rsidRPr="7B69A92E">
        <w:rPr>
          <w:rFonts w:ascii="Arial" w:eastAsia="Arial" w:hAnsi="Arial" w:cs="Arial"/>
          <w:sz w:val="22"/>
          <w:szCs w:val="22"/>
        </w:rPr>
        <w:t>.</w:t>
      </w:r>
      <w:r w:rsidR="0EAE9A30" w:rsidRPr="7B69A92E">
        <w:rPr>
          <w:rFonts w:ascii="Arial" w:eastAsia="Arial" w:hAnsi="Arial" w:cs="Arial"/>
          <w:sz w:val="22"/>
          <w:szCs w:val="22"/>
        </w:rPr>
        <w:t xml:space="preserve"> (Accessed: 12 March. 2026).</w:t>
      </w:r>
    </w:p>
    <w:p w14:paraId="61FC8E59" w14:textId="4F9CA1E7"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England (2022). Integrated Care in Your Area. </w:t>
      </w:r>
      <w:hyperlink r:id="rId31">
        <w:r w:rsidRPr="7B69A92E">
          <w:rPr>
            <w:rStyle w:val="Hyperlink"/>
            <w:rFonts w:ascii="Arial" w:eastAsia="Arial" w:hAnsi="Arial" w:cs="Arial"/>
            <w:sz w:val="22"/>
            <w:szCs w:val="22"/>
          </w:rPr>
          <w:t>www.england.nhs.uk</w:t>
        </w:r>
      </w:hyperlink>
      <w:r w:rsidRPr="7B69A92E">
        <w:rPr>
          <w:rFonts w:ascii="Arial" w:eastAsia="Arial" w:hAnsi="Arial" w:cs="Arial"/>
          <w:sz w:val="22"/>
          <w:szCs w:val="22"/>
        </w:rPr>
        <w:t xml:space="preserve">. Available at: </w:t>
      </w:r>
      <w:hyperlink r:id="rId32">
        <w:r w:rsidRPr="7B69A92E">
          <w:rPr>
            <w:rStyle w:val="Hyperlink"/>
            <w:rFonts w:ascii="Arial" w:eastAsia="Arial" w:hAnsi="Arial" w:cs="Arial"/>
            <w:sz w:val="22"/>
            <w:szCs w:val="22"/>
          </w:rPr>
          <w:t>https://www.england.nhs.uk/integratedcare/integrated-care-in-your-area/</w:t>
        </w:r>
      </w:hyperlink>
      <w:r w:rsidRPr="7B69A92E">
        <w:rPr>
          <w:rFonts w:ascii="Arial" w:eastAsia="Arial" w:hAnsi="Arial" w:cs="Arial"/>
          <w:sz w:val="22"/>
          <w:szCs w:val="22"/>
        </w:rPr>
        <w:t>.</w:t>
      </w:r>
      <w:r w:rsidR="6DAE139D" w:rsidRPr="7B69A92E">
        <w:rPr>
          <w:rFonts w:ascii="Arial" w:eastAsia="Arial" w:hAnsi="Arial" w:cs="Arial"/>
          <w:sz w:val="22"/>
          <w:szCs w:val="22"/>
        </w:rPr>
        <w:t xml:space="preserve"> (Accessed: 12 March. 2026).</w:t>
      </w:r>
    </w:p>
    <w:p w14:paraId="47B3FF95" w14:textId="503CFD10"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England (2023a). NHS England. England.nhs.uk. Available at: </w:t>
      </w:r>
      <w:hyperlink r:id="rId33">
        <w:r w:rsidRPr="7B69A92E">
          <w:rPr>
            <w:rStyle w:val="Hyperlink"/>
            <w:rFonts w:ascii="Arial" w:eastAsia="Arial" w:hAnsi="Arial" w:cs="Arial"/>
            <w:sz w:val="22"/>
            <w:szCs w:val="22"/>
          </w:rPr>
          <w:t>https://www.england.nhs.uk/</w:t>
        </w:r>
      </w:hyperlink>
      <w:r w:rsidRPr="7B69A92E">
        <w:rPr>
          <w:rFonts w:ascii="Arial" w:eastAsia="Arial" w:hAnsi="Arial" w:cs="Arial"/>
          <w:sz w:val="22"/>
          <w:szCs w:val="22"/>
        </w:rPr>
        <w:t>.</w:t>
      </w:r>
      <w:r w:rsidR="4281D15F" w:rsidRPr="7B69A92E">
        <w:rPr>
          <w:rFonts w:ascii="Arial" w:eastAsia="Arial" w:hAnsi="Arial" w:cs="Arial"/>
          <w:sz w:val="22"/>
          <w:szCs w:val="22"/>
        </w:rPr>
        <w:t xml:space="preserve"> (Accessed: 1</w:t>
      </w:r>
      <w:r w:rsidR="21D88FB0" w:rsidRPr="7B69A92E">
        <w:rPr>
          <w:rFonts w:ascii="Arial" w:eastAsia="Arial" w:hAnsi="Arial" w:cs="Arial"/>
          <w:sz w:val="22"/>
          <w:szCs w:val="22"/>
        </w:rPr>
        <w:t>2</w:t>
      </w:r>
      <w:r w:rsidR="4281D15F" w:rsidRPr="7B69A92E">
        <w:rPr>
          <w:rFonts w:ascii="Arial" w:eastAsia="Arial" w:hAnsi="Arial" w:cs="Arial"/>
          <w:sz w:val="22"/>
          <w:szCs w:val="22"/>
        </w:rPr>
        <w:t xml:space="preserve"> March. 2026).</w:t>
      </w:r>
    </w:p>
    <w:p w14:paraId="7F03508B" w14:textId="63A1C07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England (2023b). NHS England. England.nhs.uk. Available at: </w:t>
      </w:r>
      <w:hyperlink r:id="rId34">
        <w:r w:rsidRPr="7B69A92E">
          <w:rPr>
            <w:rStyle w:val="Hyperlink"/>
            <w:rFonts w:ascii="Arial" w:eastAsia="Arial" w:hAnsi="Arial" w:cs="Arial"/>
            <w:sz w:val="22"/>
            <w:szCs w:val="22"/>
          </w:rPr>
          <w:t>https://www.england.nhs.uk/</w:t>
        </w:r>
      </w:hyperlink>
      <w:r w:rsidRPr="7B69A92E">
        <w:rPr>
          <w:rFonts w:ascii="Arial" w:eastAsia="Arial" w:hAnsi="Arial" w:cs="Arial"/>
          <w:sz w:val="22"/>
          <w:szCs w:val="22"/>
        </w:rPr>
        <w:t>.</w:t>
      </w:r>
      <w:r w:rsidR="302C2893" w:rsidRPr="7B69A92E">
        <w:rPr>
          <w:rFonts w:ascii="Arial" w:eastAsia="Arial" w:hAnsi="Arial" w:cs="Arial"/>
          <w:sz w:val="22"/>
          <w:szCs w:val="22"/>
        </w:rPr>
        <w:t xml:space="preserve"> (Accessed: 12 March. 2026).</w:t>
      </w:r>
    </w:p>
    <w:p w14:paraId="49FB6CF3" w14:textId="641F0F34"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lastRenderedPageBreak/>
        <w:t xml:space="preserve">NHS Leadership Academy (2023). Engaging the team – Leadership Academy. </w:t>
      </w:r>
      <w:hyperlink r:id="rId35">
        <w:r w:rsidRPr="7B69A92E">
          <w:rPr>
            <w:rStyle w:val="Hyperlink"/>
            <w:rFonts w:ascii="Arial" w:eastAsia="Arial" w:hAnsi="Arial" w:cs="Arial"/>
            <w:sz w:val="22"/>
            <w:szCs w:val="22"/>
          </w:rPr>
          <w:t>www.leadershipacademy.nhs.uk</w:t>
        </w:r>
      </w:hyperlink>
      <w:r w:rsidRPr="7B69A92E">
        <w:rPr>
          <w:rFonts w:ascii="Arial" w:eastAsia="Arial" w:hAnsi="Arial" w:cs="Arial"/>
          <w:sz w:val="22"/>
          <w:szCs w:val="22"/>
        </w:rPr>
        <w:t xml:space="preserve">. Available at: </w:t>
      </w:r>
      <w:hyperlink r:id="rId36">
        <w:r w:rsidRPr="7B69A92E">
          <w:rPr>
            <w:rStyle w:val="Hyperlink"/>
            <w:rFonts w:ascii="Arial" w:eastAsia="Arial" w:hAnsi="Arial" w:cs="Arial"/>
            <w:sz w:val="22"/>
            <w:szCs w:val="22"/>
          </w:rPr>
          <w:t>https://www.leadershipacademy.nhs.uk/healthcare-leadership-model/explore-the-healthcare-leadership-model/engaging-the-team/</w:t>
        </w:r>
      </w:hyperlink>
      <w:r w:rsidRPr="7B69A92E">
        <w:rPr>
          <w:rFonts w:ascii="Arial" w:eastAsia="Arial" w:hAnsi="Arial" w:cs="Arial"/>
          <w:sz w:val="22"/>
          <w:szCs w:val="22"/>
        </w:rPr>
        <w:t>.</w:t>
      </w:r>
      <w:r w:rsidR="5B71CD87" w:rsidRPr="7B69A92E">
        <w:rPr>
          <w:rFonts w:ascii="Arial" w:eastAsia="Arial" w:hAnsi="Arial" w:cs="Arial"/>
          <w:sz w:val="22"/>
          <w:szCs w:val="22"/>
        </w:rPr>
        <w:t xml:space="preserve"> (Accessed: 20 March. 2026).</w:t>
      </w:r>
    </w:p>
    <w:p w14:paraId="24168DFB" w14:textId="7F30E10B"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Leadership Academy (2025). Explore the Healthcare Leadership Model. NHS Leadership Academy. Available at: </w:t>
      </w:r>
      <w:hyperlink r:id="rId37">
        <w:r w:rsidRPr="7B69A92E">
          <w:rPr>
            <w:rStyle w:val="Hyperlink"/>
            <w:rFonts w:ascii="Arial" w:eastAsia="Arial" w:hAnsi="Arial" w:cs="Arial"/>
            <w:sz w:val="22"/>
            <w:szCs w:val="22"/>
          </w:rPr>
          <w:t>https://www.leadershipacademy.nhs.uk/healthcare-leadership-model/explore-the-healthcare-leadership-model/</w:t>
        </w:r>
      </w:hyperlink>
      <w:r w:rsidRPr="7B69A92E">
        <w:rPr>
          <w:rFonts w:ascii="Arial" w:eastAsia="Arial" w:hAnsi="Arial" w:cs="Arial"/>
          <w:sz w:val="22"/>
          <w:szCs w:val="22"/>
        </w:rPr>
        <w:t>.</w:t>
      </w:r>
      <w:r w:rsidR="2CD87D19" w:rsidRPr="7B69A92E">
        <w:rPr>
          <w:rFonts w:ascii="Arial" w:eastAsia="Arial" w:hAnsi="Arial" w:cs="Arial"/>
          <w:sz w:val="22"/>
          <w:szCs w:val="22"/>
        </w:rPr>
        <w:t xml:space="preserve"> (Accessed: 19 March. 2026).</w:t>
      </w:r>
    </w:p>
    <w:p w14:paraId="50A7AC05" w14:textId="5B87ACFE"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Resolution (2023). Learning from Medication Errors. NHS Resolution. Available at: </w:t>
      </w:r>
      <w:hyperlink r:id="rId38">
        <w:r w:rsidRPr="7B69A92E">
          <w:rPr>
            <w:rStyle w:val="Hyperlink"/>
            <w:rFonts w:ascii="Arial" w:eastAsia="Arial" w:hAnsi="Arial" w:cs="Arial"/>
            <w:sz w:val="22"/>
            <w:szCs w:val="22"/>
          </w:rPr>
          <w:t>https://resolution.nhs.uk/2023/03/30/learning-from-medication-errors/</w:t>
        </w:r>
      </w:hyperlink>
      <w:r w:rsidRPr="7B69A92E">
        <w:rPr>
          <w:rFonts w:ascii="Arial" w:eastAsia="Arial" w:hAnsi="Arial" w:cs="Arial"/>
          <w:sz w:val="22"/>
          <w:szCs w:val="22"/>
        </w:rPr>
        <w:t>.</w:t>
      </w:r>
      <w:r w:rsidR="6958BED9" w:rsidRPr="7B69A92E">
        <w:rPr>
          <w:rFonts w:ascii="Arial" w:eastAsia="Arial" w:hAnsi="Arial" w:cs="Arial"/>
          <w:sz w:val="22"/>
          <w:szCs w:val="22"/>
        </w:rPr>
        <w:t xml:space="preserve"> (Accessed: 21 March. 2026).</w:t>
      </w:r>
    </w:p>
    <w:p w14:paraId="51C9266E" w14:textId="31A4C58B"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Nickerson, C. (2024). Autocratic leadership style. Simply Psychology. Available at: </w:t>
      </w:r>
      <w:hyperlink r:id="rId39">
        <w:r w:rsidRPr="7B69A92E">
          <w:rPr>
            <w:rStyle w:val="Hyperlink"/>
            <w:rFonts w:ascii="Arial" w:eastAsia="Arial" w:hAnsi="Arial" w:cs="Arial"/>
            <w:sz w:val="22"/>
            <w:szCs w:val="22"/>
          </w:rPr>
          <w:t>https://www.simplypsychology.org/autocratic-leadership.html</w:t>
        </w:r>
      </w:hyperlink>
      <w:r w:rsidRPr="7B69A92E">
        <w:rPr>
          <w:rFonts w:ascii="Arial" w:eastAsia="Arial" w:hAnsi="Arial" w:cs="Arial"/>
          <w:sz w:val="22"/>
          <w:szCs w:val="22"/>
        </w:rPr>
        <w:t>.</w:t>
      </w:r>
      <w:r w:rsidR="58B8EF0D" w:rsidRPr="7B69A92E">
        <w:rPr>
          <w:rFonts w:ascii="Arial" w:eastAsia="Arial" w:hAnsi="Arial" w:cs="Arial"/>
          <w:sz w:val="22"/>
          <w:szCs w:val="22"/>
        </w:rPr>
        <w:t xml:space="preserve"> (Accessed: 10 March. 2026).</w:t>
      </w:r>
    </w:p>
    <w:p w14:paraId="6F3164A4" w14:textId="5B42182C" w:rsidR="003B790E" w:rsidRDefault="003B790E"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Northouse, P.G. (2010) Leadership: Theory and Practice. 5th </w:t>
      </w:r>
      <w:proofErr w:type="spellStart"/>
      <w:r w:rsidRPr="7B69A92E">
        <w:rPr>
          <w:rFonts w:ascii="Arial" w:eastAsia="Arial" w:hAnsi="Arial" w:cs="Arial"/>
          <w:sz w:val="22"/>
          <w:szCs w:val="22"/>
        </w:rPr>
        <w:t>edn</w:t>
      </w:r>
      <w:proofErr w:type="spellEnd"/>
      <w:r w:rsidRPr="7B69A92E">
        <w:rPr>
          <w:rFonts w:ascii="Arial" w:eastAsia="Arial" w:hAnsi="Arial" w:cs="Arial"/>
          <w:sz w:val="22"/>
          <w:szCs w:val="22"/>
        </w:rPr>
        <w:t>. London: Sage Publications.</w:t>
      </w:r>
    </w:p>
    <w:p w14:paraId="4EEBA984" w14:textId="294384F7" w:rsidR="3B7B0F23" w:rsidRDefault="3B7B0F23" w:rsidP="7B69A92E">
      <w:pPr>
        <w:spacing w:before="240" w:after="240" w:line="360" w:lineRule="auto"/>
        <w:rPr>
          <w:rFonts w:ascii="Arial" w:eastAsia="Arial" w:hAnsi="Arial" w:cs="Arial"/>
          <w:sz w:val="22"/>
          <w:szCs w:val="22"/>
        </w:rPr>
      </w:pPr>
      <w:r w:rsidRPr="0720DDE5">
        <w:rPr>
          <w:rFonts w:ascii="Arial" w:eastAsia="Arial" w:hAnsi="Arial" w:cs="Arial"/>
          <w:sz w:val="22"/>
          <w:szCs w:val="22"/>
        </w:rPr>
        <w:t xml:space="preserve">OECD. (2026). Key findings of </w:t>
      </w:r>
      <w:proofErr w:type="spellStart"/>
      <w:r w:rsidRPr="0720DDE5">
        <w:rPr>
          <w:rFonts w:ascii="Arial" w:eastAsia="Arial" w:hAnsi="Arial" w:cs="Arial"/>
          <w:sz w:val="22"/>
          <w:szCs w:val="22"/>
        </w:rPr>
        <w:t>PaRIS</w:t>
      </w:r>
      <w:proofErr w:type="spellEnd"/>
      <w:r w:rsidRPr="0720DDE5">
        <w:rPr>
          <w:rFonts w:ascii="Arial" w:eastAsia="Arial" w:hAnsi="Arial" w:cs="Arial"/>
          <w:sz w:val="22"/>
          <w:szCs w:val="22"/>
        </w:rPr>
        <w:t xml:space="preserve">: Does Healthcare Deliver? Available at: </w:t>
      </w:r>
      <w:hyperlink r:id="rId40">
        <w:r w:rsidRPr="0720DDE5">
          <w:rPr>
            <w:rStyle w:val="Hyperlink"/>
            <w:rFonts w:ascii="Arial" w:eastAsia="Arial" w:hAnsi="Arial" w:cs="Arial"/>
            <w:sz w:val="22"/>
            <w:szCs w:val="22"/>
          </w:rPr>
          <w:t>https://www.oecd.org/en/publications/2025/02/does-healthcare-deliver_978507f1/full-report/key-findings-of-paris_bfdbaa17.html</w:t>
        </w:r>
      </w:hyperlink>
      <w:r w:rsidRPr="0720DDE5">
        <w:rPr>
          <w:rFonts w:ascii="Arial" w:eastAsia="Arial" w:hAnsi="Arial" w:cs="Arial"/>
          <w:sz w:val="22"/>
          <w:szCs w:val="22"/>
        </w:rPr>
        <w:t xml:space="preserve"> </w:t>
      </w:r>
      <w:r w:rsidR="23AB9A64" w:rsidRPr="0720DDE5">
        <w:rPr>
          <w:rFonts w:ascii="Arial" w:eastAsia="Arial" w:hAnsi="Arial" w:cs="Arial"/>
          <w:sz w:val="22"/>
          <w:szCs w:val="22"/>
        </w:rPr>
        <w:t>(</w:t>
      </w:r>
      <w:r w:rsidRPr="0720DDE5">
        <w:rPr>
          <w:rFonts w:ascii="Arial" w:eastAsia="Arial" w:hAnsi="Arial" w:cs="Arial"/>
          <w:sz w:val="22"/>
          <w:szCs w:val="22"/>
        </w:rPr>
        <w:t>Accessed 21 Mar. 2026</w:t>
      </w:r>
      <w:r w:rsidR="0FC418E2" w:rsidRPr="0720DDE5">
        <w:rPr>
          <w:rFonts w:ascii="Arial" w:eastAsia="Arial" w:hAnsi="Arial" w:cs="Arial"/>
          <w:sz w:val="22"/>
          <w:szCs w:val="22"/>
        </w:rPr>
        <w:t>)</w:t>
      </w:r>
      <w:r w:rsidRPr="0720DDE5">
        <w:rPr>
          <w:rFonts w:ascii="Arial" w:eastAsia="Arial" w:hAnsi="Arial" w:cs="Arial"/>
          <w:sz w:val="22"/>
          <w:szCs w:val="22"/>
        </w:rPr>
        <w:t>.</w:t>
      </w:r>
    </w:p>
    <w:p w14:paraId="33A1DD1F" w14:textId="2715D64B"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Slight, S.P., Howard, R., Ghaleb, M., Barber, N., Franklin, B.D. and Avery, A.J. (2013). The causes of prescribing errors in English general practices: a qualitative study. British Journal of General Practice, 63(615), </w:t>
      </w:r>
      <w:proofErr w:type="gramStart"/>
      <w:r w:rsidRPr="7B69A92E">
        <w:rPr>
          <w:rFonts w:ascii="Arial" w:eastAsia="Arial" w:hAnsi="Arial" w:cs="Arial"/>
          <w:sz w:val="22"/>
          <w:szCs w:val="22"/>
        </w:rPr>
        <w:t>pp.e</w:t>
      </w:r>
      <w:proofErr w:type="gramEnd"/>
      <w:r w:rsidRPr="7B69A92E">
        <w:rPr>
          <w:rFonts w:ascii="Arial" w:eastAsia="Arial" w:hAnsi="Arial" w:cs="Arial"/>
          <w:sz w:val="22"/>
          <w:szCs w:val="22"/>
        </w:rPr>
        <w:t xml:space="preserve">713–e720. </w:t>
      </w:r>
      <w:proofErr w:type="spellStart"/>
      <w:r w:rsidRPr="7B69A92E">
        <w:rPr>
          <w:rFonts w:ascii="Arial" w:eastAsia="Arial" w:hAnsi="Arial" w:cs="Arial"/>
          <w:sz w:val="22"/>
          <w:szCs w:val="22"/>
        </w:rPr>
        <w:t>doi:</w:t>
      </w:r>
      <w:hyperlink r:id="rId41">
        <w:r w:rsidRPr="7B69A92E">
          <w:rPr>
            <w:rStyle w:val="Hyperlink"/>
            <w:rFonts w:ascii="Arial" w:eastAsia="Arial" w:hAnsi="Arial" w:cs="Arial"/>
            <w:sz w:val="22"/>
            <w:szCs w:val="22"/>
          </w:rPr>
          <w:t>https</w:t>
        </w:r>
        <w:proofErr w:type="spellEnd"/>
        <w:r w:rsidRPr="7B69A92E">
          <w:rPr>
            <w:rStyle w:val="Hyperlink"/>
            <w:rFonts w:ascii="Arial" w:eastAsia="Arial" w:hAnsi="Arial" w:cs="Arial"/>
            <w:sz w:val="22"/>
            <w:szCs w:val="22"/>
          </w:rPr>
          <w:t>://doi.org/10.3399/bjgp13x673739</w:t>
        </w:r>
      </w:hyperlink>
      <w:r w:rsidRPr="7B69A92E">
        <w:rPr>
          <w:rFonts w:ascii="Arial" w:eastAsia="Arial" w:hAnsi="Arial" w:cs="Arial"/>
          <w:sz w:val="22"/>
          <w:szCs w:val="22"/>
        </w:rPr>
        <w:t>.</w:t>
      </w:r>
    </w:p>
    <w:p w14:paraId="390B3C0F" w14:textId="6A139C62"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Sreeramareddy, C.T. and Sathyanarayana, T. (2019). Decentralised versus centralised governance of health services. Cochrane Database of Systematic Reviews, 2019(9). </w:t>
      </w:r>
      <w:proofErr w:type="spellStart"/>
      <w:r w:rsidRPr="7B69A92E">
        <w:rPr>
          <w:rFonts w:ascii="Arial" w:eastAsia="Arial" w:hAnsi="Arial" w:cs="Arial"/>
          <w:sz w:val="22"/>
          <w:szCs w:val="22"/>
        </w:rPr>
        <w:t>doi:</w:t>
      </w:r>
      <w:hyperlink r:id="rId42">
        <w:r w:rsidRPr="7B69A92E">
          <w:rPr>
            <w:rStyle w:val="Hyperlink"/>
            <w:rFonts w:ascii="Arial" w:eastAsia="Arial" w:hAnsi="Arial" w:cs="Arial"/>
            <w:sz w:val="22"/>
            <w:szCs w:val="22"/>
          </w:rPr>
          <w:t>https</w:t>
        </w:r>
        <w:proofErr w:type="spellEnd"/>
        <w:r w:rsidRPr="7B69A92E">
          <w:rPr>
            <w:rStyle w:val="Hyperlink"/>
            <w:rFonts w:ascii="Arial" w:eastAsia="Arial" w:hAnsi="Arial" w:cs="Arial"/>
            <w:sz w:val="22"/>
            <w:szCs w:val="22"/>
          </w:rPr>
          <w:t>://doi.org/10.1002/14651858.cd010830.pub2</w:t>
        </w:r>
      </w:hyperlink>
      <w:r w:rsidRPr="7B69A92E">
        <w:rPr>
          <w:rFonts w:ascii="Arial" w:eastAsia="Arial" w:hAnsi="Arial" w:cs="Arial"/>
          <w:sz w:val="22"/>
          <w:szCs w:val="22"/>
        </w:rPr>
        <w:t>.</w:t>
      </w:r>
    </w:p>
    <w:p w14:paraId="3F7F5DE5" w14:textId="42D8BD77"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Sutton, J. (2024). Contingency Theory: Mastering Leadership Flexibility. PositivePsychology.com. Available at: </w:t>
      </w:r>
      <w:hyperlink r:id="rId43">
        <w:r w:rsidRPr="7B69A92E">
          <w:rPr>
            <w:rStyle w:val="Hyperlink"/>
            <w:rFonts w:ascii="Arial" w:eastAsia="Arial" w:hAnsi="Arial" w:cs="Arial"/>
            <w:sz w:val="22"/>
            <w:szCs w:val="22"/>
          </w:rPr>
          <w:t>https://positivepsychology.com/contingency-theory/</w:t>
        </w:r>
      </w:hyperlink>
      <w:r w:rsidRPr="7B69A92E">
        <w:rPr>
          <w:rFonts w:ascii="Arial" w:eastAsia="Arial" w:hAnsi="Arial" w:cs="Arial"/>
          <w:sz w:val="22"/>
          <w:szCs w:val="22"/>
        </w:rPr>
        <w:t>.</w:t>
      </w:r>
      <w:r w:rsidR="760F0B51" w:rsidRPr="7B69A92E">
        <w:rPr>
          <w:rFonts w:ascii="Arial" w:eastAsia="Arial" w:hAnsi="Arial" w:cs="Arial"/>
          <w:sz w:val="22"/>
          <w:szCs w:val="22"/>
        </w:rPr>
        <w:t xml:space="preserve"> (Accessed: 19 March. 2026).</w:t>
      </w:r>
    </w:p>
    <w:p w14:paraId="3DDF4B81" w14:textId="51BC29C0"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Tariq, R., </w:t>
      </w:r>
      <w:proofErr w:type="spellStart"/>
      <w:r w:rsidRPr="7B69A92E">
        <w:rPr>
          <w:rFonts w:ascii="Arial" w:eastAsia="Arial" w:hAnsi="Arial" w:cs="Arial"/>
          <w:sz w:val="22"/>
          <w:szCs w:val="22"/>
        </w:rPr>
        <w:t>Scherbak</w:t>
      </w:r>
      <w:proofErr w:type="spellEnd"/>
      <w:r w:rsidRPr="7B69A92E">
        <w:rPr>
          <w:rFonts w:ascii="Arial" w:eastAsia="Arial" w:hAnsi="Arial" w:cs="Arial"/>
          <w:sz w:val="22"/>
          <w:szCs w:val="22"/>
        </w:rPr>
        <w:t xml:space="preserve">, Y., Vashisht, R. and Sinha, A. (2024). Medication dispensing errors and prevention. National Library of Medicine. Available at: </w:t>
      </w:r>
      <w:hyperlink r:id="rId44">
        <w:r w:rsidRPr="7B69A92E">
          <w:rPr>
            <w:rStyle w:val="Hyperlink"/>
            <w:rFonts w:ascii="Arial" w:eastAsia="Arial" w:hAnsi="Arial" w:cs="Arial"/>
            <w:sz w:val="22"/>
            <w:szCs w:val="22"/>
          </w:rPr>
          <w:t>https://www.ncbi.nlm.nih.gov/books/NBK519065/</w:t>
        </w:r>
      </w:hyperlink>
      <w:r w:rsidRPr="7B69A92E">
        <w:rPr>
          <w:rFonts w:ascii="Arial" w:eastAsia="Arial" w:hAnsi="Arial" w:cs="Arial"/>
          <w:sz w:val="22"/>
          <w:szCs w:val="22"/>
        </w:rPr>
        <w:t>.</w:t>
      </w:r>
      <w:r w:rsidR="1A36BA49" w:rsidRPr="7B69A92E">
        <w:rPr>
          <w:rFonts w:ascii="Arial" w:eastAsia="Arial" w:hAnsi="Arial" w:cs="Arial"/>
          <w:sz w:val="22"/>
          <w:szCs w:val="22"/>
        </w:rPr>
        <w:t xml:space="preserve"> (Accessed: 10 March. 2026).</w:t>
      </w:r>
    </w:p>
    <w:p w14:paraId="02CDACE0" w14:textId="77777777" w:rsidR="003B790E" w:rsidRDefault="003B790E" w:rsidP="003B790E">
      <w:pPr>
        <w:spacing w:before="240" w:after="240" w:line="360" w:lineRule="auto"/>
        <w:rPr>
          <w:rFonts w:ascii="Arial" w:eastAsia="Arial" w:hAnsi="Arial" w:cs="Arial"/>
          <w:sz w:val="22"/>
          <w:szCs w:val="22"/>
        </w:rPr>
      </w:pPr>
      <w:r w:rsidRPr="7B69A92E">
        <w:rPr>
          <w:rFonts w:ascii="Arial" w:eastAsia="Arial" w:hAnsi="Arial" w:cs="Arial"/>
          <w:sz w:val="22"/>
          <w:szCs w:val="22"/>
        </w:rPr>
        <w:lastRenderedPageBreak/>
        <w:t>Tannenbaum, R. and Schmidt, W.H. (1973) ‘How to choose a leadership pattern’, Harvard Business Review, 36(2), pp. 95–102.</w:t>
      </w:r>
    </w:p>
    <w:p w14:paraId="721412C7" w14:textId="212D2315" w:rsidR="003B790E" w:rsidRDefault="3B7B0F23" w:rsidP="7B69A92E">
      <w:pPr>
        <w:spacing w:before="240" w:after="240" w:line="360" w:lineRule="auto"/>
        <w:rPr>
          <w:rFonts w:ascii="Arial" w:eastAsia="Arial" w:hAnsi="Arial" w:cs="Arial"/>
          <w:sz w:val="22"/>
          <w:szCs w:val="22"/>
        </w:rPr>
      </w:pPr>
      <w:proofErr w:type="spellStart"/>
      <w:r w:rsidRPr="7B69A92E">
        <w:rPr>
          <w:rFonts w:ascii="Arial" w:eastAsia="Arial" w:hAnsi="Arial" w:cs="Arial"/>
          <w:sz w:val="22"/>
          <w:szCs w:val="22"/>
        </w:rPr>
        <w:t>Verywell</w:t>
      </w:r>
      <w:proofErr w:type="spellEnd"/>
      <w:r w:rsidRPr="7B69A92E">
        <w:rPr>
          <w:rFonts w:ascii="Arial" w:eastAsia="Arial" w:hAnsi="Arial" w:cs="Arial"/>
          <w:sz w:val="22"/>
          <w:szCs w:val="22"/>
        </w:rPr>
        <w:t xml:space="preserve"> Mind. (n.d.). Strengthening Relationships. Available at: </w:t>
      </w:r>
      <w:hyperlink r:id="rId45">
        <w:r w:rsidRPr="7B69A92E">
          <w:rPr>
            <w:rStyle w:val="Hyperlink"/>
            <w:rFonts w:ascii="Arial" w:eastAsia="Arial" w:hAnsi="Arial" w:cs="Arial"/>
            <w:sz w:val="22"/>
            <w:szCs w:val="22"/>
          </w:rPr>
          <w:t>https://www.verywellmind.com/strengthening-relationships-4162997</w:t>
        </w:r>
      </w:hyperlink>
      <w:r w:rsidRPr="7B69A92E">
        <w:rPr>
          <w:rFonts w:ascii="Arial" w:eastAsia="Arial" w:hAnsi="Arial" w:cs="Arial"/>
          <w:sz w:val="22"/>
          <w:szCs w:val="22"/>
        </w:rPr>
        <w:t>.</w:t>
      </w:r>
      <w:r w:rsidR="33F690FA" w:rsidRPr="7B69A92E">
        <w:rPr>
          <w:rFonts w:ascii="Arial" w:eastAsia="Arial" w:hAnsi="Arial" w:cs="Arial"/>
          <w:sz w:val="22"/>
          <w:szCs w:val="22"/>
        </w:rPr>
        <w:t xml:space="preserve"> (Accessed: 20 March. 2026).</w:t>
      </w:r>
    </w:p>
    <w:p w14:paraId="32C534DF" w14:textId="76187789" w:rsidR="3B7B0F23" w:rsidRDefault="3B7B0F23" w:rsidP="7B69A92E">
      <w:pPr>
        <w:spacing w:before="240" w:after="240" w:line="360" w:lineRule="auto"/>
        <w:rPr>
          <w:rFonts w:ascii="Arial" w:eastAsia="Arial" w:hAnsi="Arial" w:cs="Arial"/>
          <w:sz w:val="22"/>
          <w:szCs w:val="22"/>
        </w:rPr>
      </w:pPr>
      <w:hyperlink r:id="rId46">
        <w:r w:rsidRPr="0720DDE5">
          <w:rPr>
            <w:rStyle w:val="Hyperlink"/>
            <w:rFonts w:ascii="Arial" w:eastAsia="Arial" w:hAnsi="Arial" w:cs="Arial"/>
            <w:sz w:val="22"/>
            <w:szCs w:val="22"/>
          </w:rPr>
          <w:t>www.imperial.ac.uk</w:t>
        </w:r>
      </w:hyperlink>
      <w:r w:rsidRPr="0720DDE5">
        <w:rPr>
          <w:rFonts w:ascii="Arial" w:eastAsia="Arial" w:hAnsi="Arial" w:cs="Arial"/>
          <w:sz w:val="22"/>
          <w:szCs w:val="22"/>
        </w:rPr>
        <w:t xml:space="preserve">. (2020). Centralisation vs decentralisation - Business School. Available at: </w:t>
      </w:r>
      <w:hyperlink r:id="rId47">
        <w:r w:rsidRPr="0720DDE5">
          <w:rPr>
            <w:rStyle w:val="Hyperlink"/>
            <w:rFonts w:ascii="Arial" w:eastAsia="Arial" w:hAnsi="Arial" w:cs="Arial"/>
            <w:sz w:val="22"/>
            <w:szCs w:val="22"/>
          </w:rPr>
          <w:t>https://www.imperial.ac.uk/business-school/ib-knowledge/management/centralisation-vs-decentralisation-the-disastrous-confusion-the-heart/</w:t>
        </w:r>
      </w:hyperlink>
      <w:r w:rsidRPr="0720DDE5">
        <w:rPr>
          <w:rFonts w:ascii="Arial" w:eastAsia="Arial" w:hAnsi="Arial" w:cs="Arial"/>
          <w:sz w:val="22"/>
          <w:szCs w:val="22"/>
        </w:rPr>
        <w:t>.</w:t>
      </w:r>
      <w:r w:rsidR="0CE6FF13" w:rsidRPr="0720DDE5">
        <w:rPr>
          <w:rFonts w:ascii="Arial" w:eastAsia="Arial" w:hAnsi="Arial" w:cs="Arial"/>
          <w:sz w:val="22"/>
          <w:szCs w:val="22"/>
        </w:rPr>
        <w:t xml:space="preserve"> (Accessed: 19 March. 2026).</w:t>
      </w:r>
    </w:p>
    <w:p w14:paraId="47B49D72" w14:textId="445A1E09" w:rsidR="00F21457" w:rsidRDefault="00F21457"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Wong, C.A., Cummings, G.G. and Ducharme, L. (2018) ‘The relationship between nursing leadership and patient outcomes’, Journal of Nursing Management, 26(5), pp. 1–10.</w:t>
      </w:r>
    </w:p>
    <w:p w14:paraId="5ACCDEEF" w14:textId="1793EB3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Yukl, G.A. and Gardner, W.L. (2020). Leadership in organizations. Harlow, Essex: Pearson Education Limited.</w:t>
      </w:r>
    </w:p>
    <w:p w14:paraId="29BEF608" w14:textId="2450E8F5" w:rsidR="7B69A92E" w:rsidRPr="00F21457" w:rsidRDefault="7B69A92E" w:rsidP="00F21457">
      <w:pPr>
        <w:rPr>
          <w:rFonts w:asciiTheme="majorHAnsi" w:eastAsiaTheme="majorEastAsia" w:hAnsiTheme="majorHAnsi" w:cstheme="majorBidi"/>
          <w:color w:val="0F4761" w:themeColor="accent1" w:themeShade="BF"/>
          <w:sz w:val="40"/>
          <w:szCs w:val="40"/>
        </w:rPr>
      </w:pPr>
    </w:p>
    <w:sectPr w:rsidR="7B69A92E" w:rsidRPr="00F21457">
      <w:footerReference w:type="default" r:id="rId4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696F6" w14:textId="77777777" w:rsidR="00D200B3" w:rsidRDefault="00D200B3" w:rsidP="00AD0089">
      <w:pPr>
        <w:spacing w:after="0" w:line="240" w:lineRule="auto"/>
      </w:pPr>
      <w:r>
        <w:separator/>
      </w:r>
    </w:p>
  </w:endnote>
  <w:endnote w:type="continuationSeparator" w:id="0">
    <w:p w14:paraId="708450A7" w14:textId="77777777" w:rsidR="00D200B3" w:rsidRDefault="00D200B3" w:rsidP="00AD0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8878C" w14:textId="54CFA8D5" w:rsidR="00AD0089" w:rsidRDefault="00AD0089" w:rsidP="00743459">
    <w:pPr>
      <w:pStyle w:val="Footer"/>
    </w:pPr>
    <w:r w:rsidRPr="009D0535">
      <w:rPr>
        <w:rFonts w:ascii="Arial" w:hAnsi="Arial" w:cs="Arial"/>
        <w:bCs/>
        <w:sz w:val="22"/>
        <w:szCs w:val="22"/>
      </w:rPr>
      <w:t xml:space="preserve">Shajna </w:t>
    </w:r>
    <w:proofErr w:type="gramStart"/>
    <w:r w:rsidRPr="009D0535">
      <w:rPr>
        <w:rFonts w:ascii="Arial" w:hAnsi="Arial" w:cs="Arial"/>
        <w:bCs/>
        <w:sz w:val="22"/>
        <w:szCs w:val="22"/>
      </w:rPr>
      <w:t>Azad  22</w:t>
    </w:r>
    <w:r w:rsidR="009D0535" w:rsidRPr="009D0535">
      <w:rPr>
        <w:rFonts w:ascii="Arial" w:hAnsi="Arial" w:cs="Arial"/>
        <w:bCs/>
        <w:sz w:val="22"/>
        <w:szCs w:val="22"/>
      </w:rPr>
      <w:t>32143</w:t>
    </w:r>
    <w:proofErr w:type="gramEnd"/>
    <w:r w:rsidR="009D0535" w:rsidRPr="009D0535">
      <w:rPr>
        <w:rFonts w:ascii="Arial" w:hAnsi="Arial" w:cs="Arial"/>
        <w:bCs/>
        <w:sz w:val="22"/>
        <w:szCs w:val="22"/>
      </w:rPr>
      <w:t xml:space="preserve"> </w:t>
    </w:r>
    <w:r w:rsidR="009D0535">
      <w:rPr>
        <w:rFonts w:ascii="Arial" w:hAnsi="Arial" w:cs="Arial"/>
        <w:bCs/>
        <w:sz w:val="22"/>
        <w:szCs w:val="22"/>
      </w:rPr>
      <w:t xml:space="preserve">   </w:t>
    </w:r>
    <w:r w:rsidRPr="009D0535">
      <w:rPr>
        <w:rFonts w:ascii="Arial" w:hAnsi="Arial" w:cs="Arial"/>
        <w:bCs/>
        <w:sz w:val="22"/>
        <w:szCs w:val="22"/>
      </w:rPr>
      <w:t>Health Care System Organisation and</w:t>
    </w:r>
    <w:r w:rsidRPr="00BD5D4E">
      <w:rPr>
        <w:rFonts w:ascii="Arial" w:hAnsi="Arial" w:cs="Arial"/>
        <w:b/>
        <w:sz w:val="22"/>
        <w:szCs w:val="22"/>
      </w:rPr>
      <w:t xml:space="preserve"> </w:t>
    </w:r>
    <w:r w:rsidRPr="009D0535">
      <w:rPr>
        <w:rFonts w:ascii="Arial" w:hAnsi="Arial" w:cs="Arial"/>
        <w:bCs/>
        <w:sz w:val="22"/>
        <w:szCs w:val="22"/>
      </w:rPr>
      <w:t>Leadership</w:t>
    </w:r>
    <w:r w:rsidR="009D0535">
      <w:t xml:space="preserve">                    </w:t>
    </w:r>
    <w:r>
      <w:t xml:space="preserve"> </w:t>
    </w:r>
    <w:sdt>
      <w:sdtPr>
        <w:id w:val="221492802"/>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5E09A6CC" w14:textId="77777777" w:rsidR="00AD0089" w:rsidRDefault="00AD0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5C56C" w14:textId="77777777" w:rsidR="00D200B3" w:rsidRDefault="00D200B3" w:rsidP="00AD0089">
      <w:pPr>
        <w:spacing w:after="0" w:line="240" w:lineRule="auto"/>
      </w:pPr>
      <w:r>
        <w:separator/>
      </w:r>
    </w:p>
  </w:footnote>
  <w:footnote w:type="continuationSeparator" w:id="0">
    <w:p w14:paraId="79DD17DE" w14:textId="77777777" w:rsidR="00D200B3" w:rsidRDefault="00D200B3" w:rsidP="00AD00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D7249"/>
    <w:multiLevelType w:val="hybridMultilevel"/>
    <w:tmpl w:val="6BC843FC"/>
    <w:lvl w:ilvl="0" w:tplc="769CAE56">
      <w:start w:val="1"/>
      <w:numFmt w:val="bullet"/>
      <w:lvlText w:val=""/>
      <w:lvlJc w:val="left"/>
      <w:pPr>
        <w:ind w:left="720" w:hanging="360"/>
      </w:pPr>
      <w:rPr>
        <w:rFonts w:ascii="Symbol" w:hAnsi="Symbol" w:hint="default"/>
      </w:rPr>
    </w:lvl>
    <w:lvl w:ilvl="1" w:tplc="98BCD05A">
      <w:start w:val="1"/>
      <w:numFmt w:val="bullet"/>
      <w:lvlText w:val="o"/>
      <w:lvlJc w:val="left"/>
      <w:pPr>
        <w:ind w:left="1440" w:hanging="360"/>
      </w:pPr>
      <w:rPr>
        <w:rFonts w:ascii="Courier New" w:hAnsi="Courier New" w:hint="default"/>
      </w:rPr>
    </w:lvl>
    <w:lvl w:ilvl="2" w:tplc="AE208C18">
      <w:start w:val="1"/>
      <w:numFmt w:val="bullet"/>
      <w:lvlText w:val=""/>
      <w:lvlJc w:val="left"/>
      <w:pPr>
        <w:ind w:left="2160" w:hanging="360"/>
      </w:pPr>
      <w:rPr>
        <w:rFonts w:ascii="Wingdings" w:hAnsi="Wingdings" w:hint="default"/>
      </w:rPr>
    </w:lvl>
    <w:lvl w:ilvl="3" w:tplc="E3AE419A">
      <w:start w:val="1"/>
      <w:numFmt w:val="bullet"/>
      <w:lvlText w:val=""/>
      <w:lvlJc w:val="left"/>
      <w:pPr>
        <w:ind w:left="2880" w:hanging="360"/>
      </w:pPr>
      <w:rPr>
        <w:rFonts w:ascii="Symbol" w:hAnsi="Symbol" w:hint="default"/>
      </w:rPr>
    </w:lvl>
    <w:lvl w:ilvl="4" w:tplc="068A3B28">
      <w:start w:val="1"/>
      <w:numFmt w:val="bullet"/>
      <w:lvlText w:val="o"/>
      <w:lvlJc w:val="left"/>
      <w:pPr>
        <w:ind w:left="3600" w:hanging="360"/>
      </w:pPr>
      <w:rPr>
        <w:rFonts w:ascii="Courier New" w:hAnsi="Courier New" w:hint="default"/>
      </w:rPr>
    </w:lvl>
    <w:lvl w:ilvl="5" w:tplc="0016A05C">
      <w:start w:val="1"/>
      <w:numFmt w:val="bullet"/>
      <w:lvlText w:val=""/>
      <w:lvlJc w:val="left"/>
      <w:pPr>
        <w:ind w:left="4320" w:hanging="360"/>
      </w:pPr>
      <w:rPr>
        <w:rFonts w:ascii="Wingdings" w:hAnsi="Wingdings" w:hint="default"/>
      </w:rPr>
    </w:lvl>
    <w:lvl w:ilvl="6" w:tplc="869201AA">
      <w:start w:val="1"/>
      <w:numFmt w:val="bullet"/>
      <w:lvlText w:val=""/>
      <w:lvlJc w:val="left"/>
      <w:pPr>
        <w:ind w:left="5040" w:hanging="360"/>
      </w:pPr>
      <w:rPr>
        <w:rFonts w:ascii="Symbol" w:hAnsi="Symbol" w:hint="default"/>
      </w:rPr>
    </w:lvl>
    <w:lvl w:ilvl="7" w:tplc="10CEF738">
      <w:start w:val="1"/>
      <w:numFmt w:val="bullet"/>
      <w:lvlText w:val="o"/>
      <w:lvlJc w:val="left"/>
      <w:pPr>
        <w:ind w:left="5760" w:hanging="360"/>
      </w:pPr>
      <w:rPr>
        <w:rFonts w:ascii="Courier New" w:hAnsi="Courier New" w:hint="default"/>
      </w:rPr>
    </w:lvl>
    <w:lvl w:ilvl="8" w:tplc="B16AD96E">
      <w:start w:val="1"/>
      <w:numFmt w:val="bullet"/>
      <w:lvlText w:val=""/>
      <w:lvlJc w:val="left"/>
      <w:pPr>
        <w:ind w:left="6480" w:hanging="360"/>
      </w:pPr>
      <w:rPr>
        <w:rFonts w:ascii="Wingdings" w:hAnsi="Wingdings" w:hint="default"/>
      </w:rPr>
    </w:lvl>
  </w:abstractNum>
  <w:abstractNum w:abstractNumId="1" w15:restartNumberingAfterBreak="0">
    <w:nsid w:val="3BA98756"/>
    <w:multiLevelType w:val="hybridMultilevel"/>
    <w:tmpl w:val="883E3C5E"/>
    <w:lvl w:ilvl="0" w:tplc="733427BC">
      <w:start w:val="1"/>
      <w:numFmt w:val="bullet"/>
      <w:lvlText w:val=""/>
      <w:lvlJc w:val="left"/>
      <w:pPr>
        <w:ind w:left="720" w:hanging="360"/>
      </w:pPr>
      <w:rPr>
        <w:rFonts w:ascii="Symbol" w:hAnsi="Symbol" w:hint="default"/>
      </w:rPr>
    </w:lvl>
    <w:lvl w:ilvl="1" w:tplc="9A90EBE6">
      <w:start w:val="1"/>
      <w:numFmt w:val="bullet"/>
      <w:lvlText w:val="o"/>
      <w:lvlJc w:val="left"/>
      <w:pPr>
        <w:ind w:left="1440" w:hanging="360"/>
      </w:pPr>
      <w:rPr>
        <w:rFonts w:ascii="Courier New" w:hAnsi="Courier New" w:hint="default"/>
      </w:rPr>
    </w:lvl>
    <w:lvl w:ilvl="2" w:tplc="92542D66">
      <w:start w:val="1"/>
      <w:numFmt w:val="bullet"/>
      <w:lvlText w:val=""/>
      <w:lvlJc w:val="left"/>
      <w:pPr>
        <w:ind w:left="2160" w:hanging="360"/>
      </w:pPr>
      <w:rPr>
        <w:rFonts w:ascii="Wingdings" w:hAnsi="Wingdings" w:hint="default"/>
      </w:rPr>
    </w:lvl>
    <w:lvl w:ilvl="3" w:tplc="2EEC9AC4">
      <w:start w:val="1"/>
      <w:numFmt w:val="bullet"/>
      <w:lvlText w:val=""/>
      <w:lvlJc w:val="left"/>
      <w:pPr>
        <w:ind w:left="2880" w:hanging="360"/>
      </w:pPr>
      <w:rPr>
        <w:rFonts w:ascii="Symbol" w:hAnsi="Symbol" w:hint="default"/>
      </w:rPr>
    </w:lvl>
    <w:lvl w:ilvl="4" w:tplc="E836FD14">
      <w:start w:val="1"/>
      <w:numFmt w:val="bullet"/>
      <w:lvlText w:val="o"/>
      <w:lvlJc w:val="left"/>
      <w:pPr>
        <w:ind w:left="3600" w:hanging="360"/>
      </w:pPr>
      <w:rPr>
        <w:rFonts w:ascii="Courier New" w:hAnsi="Courier New" w:hint="default"/>
      </w:rPr>
    </w:lvl>
    <w:lvl w:ilvl="5" w:tplc="77E049F0">
      <w:start w:val="1"/>
      <w:numFmt w:val="bullet"/>
      <w:lvlText w:val=""/>
      <w:lvlJc w:val="left"/>
      <w:pPr>
        <w:ind w:left="4320" w:hanging="360"/>
      </w:pPr>
      <w:rPr>
        <w:rFonts w:ascii="Wingdings" w:hAnsi="Wingdings" w:hint="default"/>
      </w:rPr>
    </w:lvl>
    <w:lvl w:ilvl="6" w:tplc="01184B58">
      <w:start w:val="1"/>
      <w:numFmt w:val="bullet"/>
      <w:lvlText w:val=""/>
      <w:lvlJc w:val="left"/>
      <w:pPr>
        <w:ind w:left="5040" w:hanging="360"/>
      </w:pPr>
      <w:rPr>
        <w:rFonts w:ascii="Symbol" w:hAnsi="Symbol" w:hint="default"/>
      </w:rPr>
    </w:lvl>
    <w:lvl w:ilvl="7" w:tplc="D80000A6">
      <w:start w:val="1"/>
      <w:numFmt w:val="bullet"/>
      <w:lvlText w:val="o"/>
      <w:lvlJc w:val="left"/>
      <w:pPr>
        <w:ind w:left="5760" w:hanging="360"/>
      </w:pPr>
      <w:rPr>
        <w:rFonts w:ascii="Courier New" w:hAnsi="Courier New" w:hint="default"/>
      </w:rPr>
    </w:lvl>
    <w:lvl w:ilvl="8" w:tplc="4938528E">
      <w:start w:val="1"/>
      <w:numFmt w:val="bullet"/>
      <w:lvlText w:val=""/>
      <w:lvlJc w:val="left"/>
      <w:pPr>
        <w:ind w:left="6480" w:hanging="360"/>
      </w:pPr>
      <w:rPr>
        <w:rFonts w:ascii="Wingdings" w:hAnsi="Wingdings" w:hint="default"/>
      </w:rPr>
    </w:lvl>
  </w:abstractNum>
  <w:abstractNum w:abstractNumId="2" w15:restartNumberingAfterBreak="0">
    <w:nsid w:val="3F12CEC8"/>
    <w:multiLevelType w:val="hybridMultilevel"/>
    <w:tmpl w:val="F69C3EDA"/>
    <w:lvl w:ilvl="0" w:tplc="AD50646C">
      <w:start w:val="1"/>
      <w:numFmt w:val="bullet"/>
      <w:lvlText w:val=""/>
      <w:lvlJc w:val="left"/>
      <w:pPr>
        <w:ind w:left="720" w:hanging="360"/>
      </w:pPr>
      <w:rPr>
        <w:rFonts w:ascii="Symbol" w:hAnsi="Symbol" w:hint="default"/>
      </w:rPr>
    </w:lvl>
    <w:lvl w:ilvl="1" w:tplc="F36E87E4">
      <w:start w:val="1"/>
      <w:numFmt w:val="bullet"/>
      <w:lvlText w:val="o"/>
      <w:lvlJc w:val="left"/>
      <w:pPr>
        <w:ind w:left="1440" w:hanging="360"/>
      </w:pPr>
      <w:rPr>
        <w:rFonts w:ascii="Courier New" w:hAnsi="Courier New" w:hint="default"/>
      </w:rPr>
    </w:lvl>
    <w:lvl w:ilvl="2" w:tplc="C40C7860">
      <w:start w:val="1"/>
      <w:numFmt w:val="bullet"/>
      <w:lvlText w:val=""/>
      <w:lvlJc w:val="left"/>
      <w:pPr>
        <w:ind w:left="2160" w:hanging="360"/>
      </w:pPr>
      <w:rPr>
        <w:rFonts w:ascii="Wingdings" w:hAnsi="Wingdings" w:hint="default"/>
      </w:rPr>
    </w:lvl>
    <w:lvl w:ilvl="3" w:tplc="61381ECC">
      <w:start w:val="1"/>
      <w:numFmt w:val="bullet"/>
      <w:lvlText w:val=""/>
      <w:lvlJc w:val="left"/>
      <w:pPr>
        <w:ind w:left="2880" w:hanging="360"/>
      </w:pPr>
      <w:rPr>
        <w:rFonts w:ascii="Symbol" w:hAnsi="Symbol" w:hint="default"/>
      </w:rPr>
    </w:lvl>
    <w:lvl w:ilvl="4" w:tplc="E6B8B31C">
      <w:start w:val="1"/>
      <w:numFmt w:val="bullet"/>
      <w:lvlText w:val="o"/>
      <w:lvlJc w:val="left"/>
      <w:pPr>
        <w:ind w:left="3600" w:hanging="360"/>
      </w:pPr>
      <w:rPr>
        <w:rFonts w:ascii="Courier New" w:hAnsi="Courier New" w:hint="default"/>
      </w:rPr>
    </w:lvl>
    <w:lvl w:ilvl="5" w:tplc="B57E5302">
      <w:start w:val="1"/>
      <w:numFmt w:val="bullet"/>
      <w:lvlText w:val=""/>
      <w:lvlJc w:val="left"/>
      <w:pPr>
        <w:ind w:left="4320" w:hanging="360"/>
      </w:pPr>
      <w:rPr>
        <w:rFonts w:ascii="Wingdings" w:hAnsi="Wingdings" w:hint="default"/>
      </w:rPr>
    </w:lvl>
    <w:lvl w:ilvl="6" w:tplc="D958BC44">
      <w:start w:val="1"/>
      <w:numFmt w:val="bullet"/>
      <w:lvlText w:val=""/>
      <w:lvlJc w:val="left"/>
      <w:pPr>
        <w:ind w:left="5040" w:hanging="360"/>
      </w:pPr>
      <w:rPr>
        <w:rFonts w:ascii="Symbol" w:hAnsi="Symbol" w:hint="default"/>
      </w:rPr>
    </w:lvl>
    <w:lvl w:ilvl="7" w:tplc="FBE8A0F6">
      <w:start w:val="1"/>
      <w:numFmt w:val="bullet"/>
      <w:lvlText w:val="o"/>
      <w:lvlJc w:val="left"/>
      <w:pPr>
        <w:ind w:left="5760" w:hanging="360"/>
      </w:pPr>
      <w:rPr>
        <w:rFonts w:ascii="Courier New" w:hAnsi="Courier New" w:hint="default"/>
      </w:rPr>
    </w:lvl>
    <w:lvl w:ilvl="8" w:tplc="9604BBCE">
      <w:start w:val="1"/>
      <w:numFmt w:val="bullet"/>
      <w:lvlText w:val=""/>
      <w:lvlJc w:val="left"/>
      <w:pPr>
        <w:ind w:left="6480" w:hanging="360"/>
      </w:pPr>
      <w:rPr>
        <w:rFonts w:ascii="Wingdings" w:hAnsi="Wingdings" w:hint="default"/>
      </w:rPr>
    </w:lvl>
  </w:abstractNum>
  <w:abstractNum w:abstractNumId="3" w15:restartNumberingAfterBreak="0">
    <w:nsid w:val="4ABC8D08"/>
    <w:multiLevelType w:val="hybridMultilevel"/>
    <w:tmpl w:val="D3EE13B0"/>
    <w:lvl w:ilvl="0" w:tplc="A956C47C">
      <w:start w:val="1"/>
      <w:numFmt w:val="bullet"/>
      <w:lvlText w:val=""/>
      <w:lvlJc w:val="left"/>
      <w:pPr>
        <w:ind w:left="720" w:hanging="360"/>
      </w:pPr>
      <w:rPr>
        <w:rFonts w:ascii="Symbol" w:hAnsi="Symbol" w:hint="default"/>
      </w:rPr>
    </w:lvl>
    <w:lvl w:ilvl="1" w:tplc="4D226408">
      <w:start w:val="1"/>
      <w:numFmt w:val="bullet"/>
      <w:lvlText w:val="o"/>
      <w:lvlJc w:val="left"/>
      <w:pPr>
        <w:ind w:left="1440" w:hanging="360"/>
      </w:pPr>
      <w:rPr>
        <w:rFonts w:ascii="Courier New" w:hAnsi="Courier New" w:hint="default"/>
      </w:rPr>
    </w:lvl>
    <w:lvl w:ilvl="2" w:tplc="19CE7D20">
      <w:start w:val="1"/>
      <w:numFmt w:val="bullet"/>
      <w:lvlText w:val=""/>
      <w:lvlJc w:val="left"/>
      <w:pPr>
        <w:ind w:left="2160" w:hanging="360"/>
      </w:pPr>
      <w:rPr>
        <w:rFonts w:ascii="Wingdings" w:hAnsi="Wingdings" w:hint="default"/>
      </w:rPr>
    </w:lvl>
    <w:lvl w:ilvl="3" w:tplc="CA2A3546">
      <w:start w:val="1"/>
      <w:numFmt w:val="bullet"/>
      <w:lvlText w:val=""/>
      <w:lvlJc w:val="left"/>
      <w:pPr>
        <w:ind w:left="2880" w:hanging="360"/>
      </w:pPr>
      <w:rPr>
        <w:rFonts w:ascii="Symbol" w:hAnsi="Symbol" w:hint="default"/>
      </w:rPr>
    </w:lvl>
    <w:lvl w:ilvl="4" w:tplc="255A336C">
      <w:start w:val="1"/>
      <w:numFmt w:val="bullet"/>
      <w:lvlText w:val="o"/>
      <w:lvlJc w:val="left"/>
      <w:pPr>
        <w:ind w:left="3600" w:hanging="360"/>
      </w:pPr>
      <w:rPr>
        <w:rFonts w:ascii="Courier New" w:hAnsi="Courier New" w:hint="default"/>
      </w:rPr>
    </w:lvl>
    <w:lvl w:ilvl="5" w:tplc="30BCFF28">
      <w:start w:val="1"/>
      <w:numFmt w:val="bullet"/>
      <w:lvlText w:val=""/>
      <w:lvlJc w:val="left"/>
      <w:pPr>
        <w:ind w:left="4320" w:hanging="360"/>
      </w:pPr>
      <w:rPr>
        <w:rFonts w:ascii="Wingdings" w:hAnsi="Wingdings" w:hint="default"/>
      </w:rPr>
    </w:lvl>
    <w:lvl w:ilvl="6" w:tplc="55981BDA">
      <w:start w:val="1"/>
      <w:numFmt w:val="bullet"/>
      <w:lvlText w:val=""/>
      <w:lvlJc w:val="left"/>
      <w:pPr>
        <w:ind w:left="5040" w:hanging="360"/>
      </w:pPr>
      <w:rPr>
        <w:rFonts w:ascii="Symbol" w:hAnsi="Symbol" w:hint="default"/>
      </w:rPr>
    </w:lvl>
    <w:lvl w:ilvl="7" w:tplc="F3E40064">
      <w:start w:val="1"/>
      <w:numFmt w:val="bullet"/>
      <w:lvlText w:val="o"/>
      <w:lvlJc w:val="left"/>
      <w:pPr>
        <w:ind w:left="5760" w:hanging="360"/>
      </w:pPr>
      <w:rPr>
        <w:rFonts w:ascii="Courier New" w:hAnsi="Courier New" w:hint="default"/>
      </w:rPr>
    </w:lvl>
    <w:lvl w:ilvl="8" w:tplc="7A42CFFC">
      <w:start w:val="1"/>
      <w:numFmt w:val="bullet"/>
      <w:lvlText w:val=""/>
      <w:lvlJc w:val="left"/>
      <w:pPr>
        <w:ind w:left="6480" w:hanging="360"/>
      </w:pPr>
      <w:rPr>
        <w:rFonts w:ascii="Wingdings" w:hAnsi="Wingdings" w:hint="default"/>
      </w:rPr>
    </w:lvl>
  </w:abstractNum>
  <w:abstractNum w:abstractNumId="4" w15:restartNumberingAfterBreak="0">
    <w:nsid w:val="6D708BC7"/>
    <w:multiLevelType w:val="hybridMultilevel"/>
    <w:tmpl w:val="6C60365A"/>
    <w:lvl w:ilvl="0" w:tplc="705C16E0">
      <w:start w:val="1"/>
      <w:numFmt w:val="bullet"/>
      <w:lvlText w:val=""/>
      <w:lvlJc w:val="left"/>
      <w:pPr>
        <w:ind w:left="720" w:hanging="360"/>
      </w:pPr>
      <w:rPr>
        <w:rFonts w:ascii="Symbol" w:hAnsi="Symbol" w:hint="default"/>
      </w:rPr>
    </w:lvl>
    <w:lvl w:ilvl="1" w:tplc="D05A9D06">
      <w:start w:val="1"/>
      <w:numFmt w:val="bullet"/>
      <w:lvlText w:val="o"/>
      <w:lvlJc w:val="left"/>
      <w:pPr>
        <w:ind w:left="1440" w:hanging="360"/>
      </w:pPr>
      <w:rPr>
        <w:rFonts w:ascii="Courier New" w:hAnsi="Courier New" w:hint="default"/>
      </w:rPr>
    </w:lvl>
    <w:lvl w:ilvl="2" w:tplc="550C1E68">
      <w:start w:val="1"/>
      <w:numFmt w:val="bullet"/>
      <w:lvlText w:val=""/>
      <w:lvlJc w:val="left"/>
      <w:pPr>
        <w:ind w:left="2160" w:hanging="360"/>
      </w:pPr>
      <w:rPr>
        <w:rFonts w:ascii="Wingdings" w:hAnsi="Wingdings" w:hint="default"/>
      </w:rPr>
    </w:lvl>
    <w:lvl w:ilvl="3" w:tplc="F8F22234">
      <w:start w:val="1"/>
      <w:numFmt w:val="bullet"/>
      <w:lvlText w:val=""/>
      <w:lvlJc w:val="left"/>
      <w:pPr>
        <w:ind w:left="2880" w:hanging="360"/>
      </w:pPr>
      <w:rPr>
        <w:rFonts w:ascii="Symbol" w:hAnsi="Symbol" w:hint="default"/>
      </w:rPr>
    </w:lvl>
    <w:lvl w:ilvl="4" w:tplc="9B7ED58A">
      <w:start w:val="1"/>
      <w:numFmt w:val="bullet"/>
      <w:lvlText w:val="o"/>
      <w:lvlJc w:val="left"/>
      <w:pPr>
        <w:ind w:left="3600" w:hanging="360"/>
      </w:pPr>
      <w:rPr>
        <w:rFonts w:ascii="Courier New" w:hAnsi="Courier New" w:hint="default"/>
      </w:rPr>
    </w:lvl>
    <w:lvl w:ilvl="5" w:tplc="963E6D3C">
      <w:start w:val="1"/>
      <w:numFmt w:val="bullet"/>
      <w:lvlText w:val=""/>
      <w:lvlJc w:val="left"/>
      <w:pPr>
        <w:ind w:left="4320" w:hanging="360"/>
      </w:pPr>
      <w:rPr>
        <w:rFonts w:ascii="Wingdings" w:hAnsi="Wingdings" w:hint="default"/>
      </w:rPr>
    </w:lvl>
    <w:lvl w:ilvl="6" w:tplc="08B2FAC8">
      <w:start w:val="1"/>
      <w:numFmt w:val="bullet"/>
      <w:lvlText w:val=""/>
      <w:lvlJc w:val="left"/>
      <w:pPr>
        <w:ind w:left="5040" w:hanging="360"/>
      </w:pPr>
      <w:rPr>
        <w:rFonts w:ascii="Symbol" w:hAnsi="Symbol" w:hint="default"/>
      </w:rPr>
    </w:lvl>
    <w:lvl w:ilvl="7" w:tplc="6B5ADE54">
      <w:start w:val="1"/>
      <w:numFmt w:val="bullet"/>
      <w:lvlText w:val="o"/>
      <w:lvlJc w:val="left"/>
      <w:pPr>
        <w:ind w:left="5760" w:hanging="360"/>
      </w:pPr>
      <w:rPr>
        <w:rFonts w:ascii="Courier New" w:hAnsi="Courier New" w:hint="default"/>
      </w:rPr>
    </w:lvl>
    <w:lvl w:ilvl="8" w:tplc="FBA20684">
      <w:start w:val="1"/>
      <w:numFmt w:val="bullet"/>
      <w:lvlText w:val=""/>
      <w:lvlJc w:val="left"/>
      <w:pPr>
        <w:ind w:left="6480" w:hanging="360"/>
      </w:pPr>
      <w:rPr>
        <w:rFonts w:ascii="Wingdings" w:hAnsi="Wingdings" w:hint="default"/>
      </w:rPr>
    </w:lvl>
  </w:abstractNum>
  <w:num w:numId="1" w16cid:durableId="1728605974">
    <w:abstractNumId w:val="4"/>
  </w:num>
  <w:num w:numId="2" w16cid:durableId="2110466118">
    <w:abstractNumId w:val="2"/>
  </w:num>
  <w:num w:numId="3" w16cid:durableId="1158158748">
    <w:abstractNumId w:val="0"/>
  </w:num>
  <w:num w:numId="4" w16cid:durableId="730999534">
    <w:abstractNumId w:val="1"/>
  </w:num>
  <w:num w:numId="5" w16cid:durableId="20705722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2FC8E9"/>
    <w:rsid w:val="00194ECB"/>
    <w:rsid w:val="001B3DF2"/>
    <w:rsid w:val="002A2AB2"/>
    <w:rsid w:val="00337246"/>
    <w:rsid w:val="003B790E"/>
    <w:rsid w:val="00560730"/>
    <w:rsid w:val="00567B40"/>
    <w:rsid w:val="005D41F6"/>
    <w:rsid w:val="006B380B"/>
    <w:rsid w:val="006D7737"/>
    <w:rsid w:val="00722288"/>
    <w:rsid w:val="00743459"/>
    <w:rsid w:val="00744410"/>
    <w:rsid w:val="0075316B"/>
    <w:rsid w:val="0094548E"/>
    <w:rsid w:val="0096769E"/>
    <w:rsid w:val="009A6B8E"/>
    <w:rsid w:val="009D0535"/>
    <w:rsid w:val="00A67743"/>
    <w:rsid w:val="00AD0089"/>
    <w:rsid w:val="00C22E51"/>
    <w:rsid w:val="00C245D7"/>
    <w:rsid w:val="00C7438A"/>
    <w:rsid w:val="00CA3880"/>
    <w:rsid w:val="00D200B3"/>
    <w:rsid w:val="00E20CF4"/>
    <w:rsid w:val="00E675FC"/>
    <w:rsid w:val="00E862FB"/>
    <w:rsid w:val="00F21457"/>
    <w:rsid w:val="00FC10ED"/>
    <w:rsid w:val="02B45781"/>
    <w:rsid w:val="03E9261C"/>
    <w:rsid w:val="053C1392"/>
    <w:rsid w:val="063DC437"/>
    <w:rsid w:val="067D2491"/>
    <w:rsid w:val="0720DDE5"/>
    <w:rsid w:val="0823F159"/>
    <w:rsid w:val="08A82C3B"/>
    <w:rsid w:val="08C21CF5"/>
    <w:rsid w:val="092C2098"/>
    <w:rsid w:val="096BA713"/>
    <w:rsid w:val="09BD0F07"/>
    <w:rsid w:val="09F6C830"/>
    <w:rsid w:val="0A6AEB3E"/>
    <w:rsid w:val="0ACA25D8"/>
    <w:rsid w:val="0B5042B0"/>
    <w:rsid w:val="0CB191DF"/>
    <w:rsid w:val="0CE6FF13"/>
    <w:rsid w:val="0D65480B"/>
    <w:rsid w:val="0D7AF259"/>
    <w:rsid w:val="0D9AC360"/>
    <w:rsid w:val="0EAE9A30"/>
    <w:rsid w:val="0EF90883"/>
    <w:rsid w:val="0FC418E2"/>
    <w:rsid w:val="1010CF1C"/>
    <w:rsid w:val="10A15900"/>
    <w:rsid w:val="10D22CC1"/>
    <w:rsid w:val="11403740"/>
    <w:rsid w:val="11A25EC5"/>
    <w:rsid w:val="123058B6"/>
    <w:rsid w:val="1254EB54"/>
    <w:rsid w:val="13466B36"/>
    <w:rsid w:val="148648CA"/>
    <w:rsid w:val="1507D1A8"/>
    <w:rsid w:val="17064D07"/>
    <w:rsid w:val="176C3D1F"/>
    <w:rsid w:val="1793EA3C"/>
    <w:rsid w:val="180CB0B0"/>
    <w:rsid w:val="191CC006"/>
    <w:rsid w:val="1998D6E6"/>
    <w:rsid w:val="1A36BA49"/>
    <w:rsid w:val="1AB5BEC5"/>
    <w:rsid w:val="1B40DC8B"/>
    <w:rsid w:val="1C0C745A"/>
    <w:rsid w:val="1C261244"/>
    <w:rsid w:val="1C68F5C9"/>
    <w:rsid w:val="20CC2DE7"/>
    <w:rsid w:val="20DC8E73"/>
    <w:rsid w:val="21D88FB0"/>
    <w:rsid w:val="221C8E3B"/>
    <w:rsid w:val="227B1008"/>
    <w:rsid w:val="22D79899"/>
    <w:rsid w:val="23346376"/>
    <w:rsid w:val="23AB9A64"/>
    <w:rsid w:val="24DBFA58"/>
    <w:rsid w:val="25B7B027"/>
    <w:rsid w:val="2626D27D"/>
    <w:rsid w:val="267B5398"/>
    <w:rsid w:val="27C3D7C6"/>
    <w:rsid w:val="2856F4F7"/>
    <w:rsid w:val="29A1FBE6"/>
    <w:rsid w:val="2A5DFDD8"/>
    <w:rsid w:val="2B80ED57"/>
    <w:rsid w:val="2B96D138"/>
    <w:rsid w:val="2BA20C52"/>
    <w:rsid w:val="2BEF21E0"/>
    <w:rsid w:val="2CD87D19"/>
    <w:rsid w:val="2CFB1877"/>
    <w:rsid w:val="2E133F91"/>
    <w:rsid w:val="2EBD4264"/>
    <w:rsid w:val="3002C004"/>
    <w:rsid w:val="302C2893"/>
    <w:rsid w:val="3056583C"/>
    <w:rsid w:val="331733C4"/>
    <w:rsid w:val="33546C89"/>
    <w:rsid w:val="33F690FA"/>
    <w:rsid w:val="3503BFBD"/>
    <w:rsid w:val="35AE9DFC"/>
    <w:rsid w:val="36CDDDB0"/>
    <w:rsid w:val="372FC8E9"/>
    <w:rsid w:val="37EF791F"/>
    <w:rsid w:val="3A2C4FC6"/>
    <w:rsid w:val="3AC681F2"/>
    <w:rsid w:val="3B7B0F23"/>
    <w:rsid w:val="3C42C76D"/>
    <w:rsid w:val="3E936BB3"/>
    <w:rsid w:val="3F49B0AD"/>
    <w:rsid w:val="3F8F030F"/>
    <w:rsid w:val="4116886F"/>
    <w:rsid w:val="41F46CB8"/>
    <w:rsid w:val="4281D15F"/>
    <w:rsid w:val="42F0889B"/>
    <w:rsid w:val="4346536A"/>
    <w:rsid w:val="435B5010"/>
    <w:rsid w:val="43A7989A"/>
    <w:rsid w:val="45F5D117"/>
    <w:rsid w:val="4652E322"/>
    <w:rsid w:val="46663CE4"/>
    <w:rsid w:val="46F69940"/>
    <w:rsid w:val="471D4E21"/>
    <w:rsid w:val="47EF292C"/>
    <w:rsid w:val="486BDFDB"/>
    <w:rsid w:val="4906CF91"/>
    <w:rsid w:val="492A45AC"/>
    <w:rsid w:val="4C30920C"/>
    <w:rsid w:val="4C5B9D08"/>
    <w:rsid w:val="4CB43AB3"/>
    <w:rsid w:val="4D634A42"/>
    <w:rsid w:val="4E3CAC00"/>
    <w:rsid w:val="4E4A13F3"/>
    <w:rsid w:val="50B7A30C"/>
    <w:rsid w:val="5233679B"/>
    <w:rsid w:val="54538DB1"/>
    <w:rsid w:val="56A90450"/>
    <w:rsid w:val="5734739E"/>
    <w:rsid w:val="58B8EF0D"/>
    <w:rsid w:val="58C1FBFF"/>
    <w:rsid w:val="58E10563"/>
    <w:rsid w:val="5A38BC5E"/>
    <w:rsid w:val="5B555A51"/>
    <w:rsid w:val="5B718D04"/>
    <w:rsid w:val="5B71CD87"/>
    <w:rsid w:val="5DADA393"/>
    <w:rsid w:val="5DB82875"/>
    <w:rsid w:val="5F617262"/>
    <w:rsid w:val="5FA03041"/>
    <w:rsid w:val="600D5DB5"/>
    <w:rsid w:val="6062CF58"/>
    <w:rsid w:val="60EE53B1"/>
    <w:rsid w:val="62303833"/>
    <w:rsid w:val="627E0EB6"/>
    <w:rsid w:val="62BD61C2"/>
    <w:rsid w:val="62EBFCEF"/>
    <w:rsid w:val="632236D7"/>
    <w:rsid w:val="63D94A33"/>
    <w:rsid w:val="63DE8D3C"/>
    <w:rsid w:val="63FB0B99"/>
    <w:rsid w:val="6440B1F0"/>
    <w:rsid w:val="65A0E1FB"/>
    <w:rsid w:val="661C59EF"/>
    <w:rsid w:val="66C7BB73"/>
    <w:rsid w:val="6730E1F5"/>
    <w:rsid w:val="6734BC52"/>
    <w:rsid w:val="675E464A"/>
    <w:rsid w:val="67774DA7"/>
    <w:rsid w:val="6958BED9"/>
    <w:rsid w:val="69B0366F"/>
    <w:rsid w:val="6BBB0A76"/>
    <w:rsid w:val="6BDCBCB3"/>
    <w:rsid w:val="6BEC6FB8"/>
    <w:rsid w:val="6D57CA1C"/>
    <w:rsid w:val="6D7D24B5"/>
    <w:rsid w:val="6DAE139D"/>
    <w:rsid w:val="6E0605A1"/>
    <w:rsid w:val="6EBE7AE4"/>
    <w:rsid w:val="6F12A01C"/>
    <w:rsid w:val="70E6CEC1"/>
    <w:rsid w:val="716BF349"/>
    <w:rsid w:val="71D1C6DB"/>
    <w:rsid w:val="72443B9F"/>
    <w:rsid w:val="73415A8A"/>
    <w:rsid w:val="749B93F0"/>
    <w:rsid w:val="74E87FC2"/>
    <w:rsid w:val="75104A2A"/>
    <w:rsid w:val="760F0B51"/>
    <w:rsid w:val="765A0388"/>
    <w:rsid w:val="766D9FFD"/>
    <w:rsid w:val="76F297A8"/>
    <w:rsid w:val="772C84F9"/>
    <w:rsid w:val="77AAB3C6"/>
    <w:rsid w:val="77D9E832"/>
    <w:rsid w:val="794CFB64"/>
    <w:rsid w:val="79D07430"/>
    <w:rsid w:val="7B69A92E"/>
    <w:rsid w:val="7B790023"/>
    <w:rsid w:val="7C5B8E0E"/>
    <w:rsid w:val="7CAF9820"/>
    <w:rsid w:val="7DB6749A"/>
    <w:rsid w:val="7E651EC5"/>
    <w:rsid w:val="7ED8DBD0"/>
    <w:rsid w:val="7F2BAAC3"/>
    <w:rsid w:val="7F560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E4676"/>
  <w15:chartTrackingRefBased/>
  <w15:docId w15:val="{F319D2CB-070E-4E45-B9CC-7770BD368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B69A9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B69A9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0E6CEC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0E6CEC1"/>
    <w:pPr>
      <w:ind w:left="720"/>
      <w:contextualSpacing/>
    </w:pPr>
  </w:style>
  <w:style w:type="character" w:styleId="Hyperlink">
    <w:name w:val="Hyperlink"/>
    <w:basedOn w:val="DefaultParagraphFont"/>
    <w:uiPriority w:val="99"/>
    <w:unhideWhenUsed/>
    <w:rsid w:val="17064D07"/>
    <w:rPr>
      <w:color w:val="467886"/>
      <w:u w:val="single"/>
    </w:rPr>
  </w:style>
  <w:style w:type="paragraph" w:styleId="Header">
    <w:name w:val="header"/>
    <w:basedOn w:val="Normal"/>
    <w:link w:val="HeaderChar"/>
    <w:uiPriority w:val="99"/>
    <w:unhideWhenUsed/>
    <w:rsid w:val="00AD0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089"/>
  </w:style>
  <w:style w:type="paragraph" w:styleId="Footer">
    <w:name w:val="footer"/>
    <w:basedOn w:val="Normal"/>
    <w:link w:val="FooterChar"/>
    <w:uiPriority w:val="99"/>
    <w:unhideWhenUsed/>
    <w:rsid w:val="00AD0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089"/>
  </w:style>
  <w:style w:type="paragraph" w:styleId="TOCHeading">
    <w:name w:val="TOC Heading"/>
    <w:basedOn w:val="Heading1"/>
    <w:next w:val="Normal"/>
    <w:uiPriority w:val="39"/>
    <w:unhideWhenUsed/>
    <w:qFormat/>
    <w:rsid w:val="00744410"/>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6D7737"/>
    <w:pPr>
      <w:tabs>
        <w:tab w:val="right" w:leader="dot" w:pos="9016"/>
      </w:tabs>
      <w:spacing w:after="100"/>
    </w:pPr>
    <w:rPr>
      <w:noProof/>
      <w:sz w:val="36"/>
      <w:szCs w:val="36"/>
    </w:rPr>
  </w:style>
  <w:style w:type="paragraph" w:styleId="TOC2">
    <w:name w:val="toc 2"/>
    <w:basedOn w:val="Normal"/>
    <w:next w:val="Normal"/>
    <w:autoRedefine/>
    <w:uiPriority w:val="39"/>
    <w:unhideWhenUsed/>
    <w:rsid w:val="0074441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ondon.edu/" TargetMode="External"/><Relationship Id="rId18" Type="http://schemas.openxmlformats.org/officeDocument/2006/relationships/hyperlink" Target="https://doi.org/10.1136/bmjqs-2019-010206" TargetMode="External"/><Relationship Id="rId26" Type="http://schemas.openxmlformats.org/officeDocument/2006/relationships/hyperlink" Target="http://www.imd.org/" TargetMode="External"/><Relationship Id="rId39" Type="http://schemas.openxmlformats.org/officeDocument/2006/relationships/hyperlink" Target="https://www.simplypsychology.org/autocratic-leadership.html" TargetMode="External"/><Relationship Id="rId21" Type="http://schemas.openxmlformats.org/officeDocument/2006/relationships/hyperlink" Target="https://globalleadershipfoundation.com/" TargetMode="External"/><Relationship Id="rId34" Type="http://schemas.openxmlformats.org/officeDocument/2006/relationships/hyperlink" Target="https://www.england.nhs.uk/" TargetMode="External"/><Relationship Id="rId42" Type="http://schemas.openxmlformats.org/officeDocument/2006/relationships/hyperlink" Target="https://doi.org/10.1002/14651858.cd010830.pub2" TargetMode="External"/><Relationship Id="rId47" Type="http://schemas.openxmlformats.org/officeDocument/2006/relationships/hyperlink" Target="https://www.imperial.ac.uk/business-school/ib-knowledge/management/centralisation-vs-decentralisation-the-disastrous-confusion-the-heart/"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kingsfund.org.uk/insight-and-analysis/long-reads/integrated-care-systems-explained" TargetMode="External"/><Relationship Id="rId29" Type="http://schemas.openxmlformats.org/officeDocument/2006/relationships/hyperlink" Target="https://www.kingsfund.org.uk/insight-and-analysis/blogs/2023-nhs-staff-survey" TargetMode="External"/><Relationship Id="rId11" Type="http://schemas.openxmlformats.org/officeDocument/2006/relationships/hyperlink" Target="https://doi.org/10.1016/j.rcsop.2024.100531" TargetMode="External"/><Relationship Id="rId24" Type="http://schemas.openxmlformats.org/officeDocument/2006/relationships/hyperlink" Target="https://www.mckinsey.com/" TargetMode="External"/><Relationship Id="rId32" Type="http://schemas.openxmlformats.org/officeDocument/2006/relationships/hyperlink" Target="https://www.england.nhs.uk/integratedcare/integrated-care-in-your-area/" TargetMode="External"/><Relationship Id="rId37" Type="http://schemas.openxmlformats.org/officeDocument/2006/relationships/hyperlink" Target="https://www.leadershipacademy.nhs.uk/healthcare-leadership-model/explore-the-healthcare-leadership-model/" TargetMode="External"/><Relationship Id="rId40" Type="http://schemas.openxmlformats.org/officeDocument/2006/relationships/hyperlink" Target="https://www.oecd.org/en/publications/2025/02/does-healthcare-deliver_978507f1/full-report/key-findings-of-paris_bfdbaa17.html" TargetMode="External"/><Relationship Id="rId45" Type="http://schemas.openxmlformats.org/officeDocument/2006/relationships/hyperlink" Target="https://www.verywellmind.com/strengthening-relationships-4162997" TargetMode="External"/><Relationship Id="rId5" Type="http://schemas.openxmlformats.org/officeDocument/2006/relationships/webSettings" Target="webSettings.xml"/><Relationship Id="rId15" Type="http://schemas.openxmlformats.org/officeDocument/2006/relationships/hyperlink" Target="https://doi.org/10.1136/ihj-2019-000026" TargetMode="External"/><Relationship Id="rId23" Type="http://schemas.openxmlformats.org/officeDocument/2006/relationships/hyperlink" Target="https://bigthink.com/" TargetMode="External"/><Relationship Id="rId28" Type="http://schemas.openxmlformats.org/officeDocument/2006/relationships/hyperlink" Target="https://iris.who.int/server/api/core/bitstreams/15520c4f-89d1-4a8f-9bab-6b771aa30acb/content" TargetMode="External"/><Relationship Id="rId36" Type="http://schemas.openxmlformats.org/officeDocument/2006/relationships/hyperlink" Target="https://www.leadershipacademy.nhs.uk/healthcare-leadership-model/explore-the-healthcare-leadership-model/engaging-the-team/"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fullfact.org/" TargetMode="External"/><Relationship Id="rId31" Type="http://schemas.openxmlformats.org/officeDocument/2006/relationships/hyperlink" Target="http://www.england.nhs.uk/" TargetMode="External"/><Relationship Id="rId44" Type="http://schemas.openxmlformats.org/officeDocument/2006/relationships/hyperlink" Target="https://www.ncbi.nlm.nih.gov/books/NBK5190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outlook.2017.10.004" TargetMode="External"/><Relationship Id="rId22" Type="http://schemas.openxmlformats.org/officeDocument/2006/relationships/hyperlink" Target="https://www.globalleadershipfoundation.com/" TargetMode="External"/><Relationship Id="rId27" Type="http://schemas.openxmlformats.org/officeDocument/2006/relationships/hyperlink" Target="https://www.imd.org/blog/leadership/leadership-styles/" TargetMode="External"/><Relationship Id="rId30" Type="http://schemas.openxmlformats.org/officeDocument/2006/relationships/hyperlink" Target="https://digital.nhs.uk/" TargetMode="External"/><Relationship Id="rId35" Type="http://schemas.openxmlformats.org/officeDocument/2006/relationships/hyperlink" Target="http://www.leadershipacademy.nhs.uk/" TargetMode="External"/><Relationship Id="rId43" Type="http://schemas.openxmlformats.org/officeDocument/2006/relationships/hyperlink" Target="https://positivepsychology.com/contingency-theory/"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kingsfund.org.uk/audio-video/michael-west-collaborative-compassionate-leadership" TargetMode="External"/><Relationship Id="rId17" Type="http://schemas.openxmlformats.org/officeDocument/2006/relationships/hyperlink" Target="https://www.verywellmind.com/the-fiedler-contingency-model-8621997" TargetMode="External"/><Relationship Id="rId25" Type="http://schemas.openxmlformats.org/officeDocument/2006/relationships/hyperlink" Target="https://www.hssib.org.uk/patient-safety-investigations/unintentional-overdose-of-morphine-sulfate-oral-solution/investigation-report/" TargetMode="External"/><Relationship Id="rId33" Type="http://schemas.openxmlformats.org/officeDocument/2006/relationships/hyperlink" Target="https://www.england.nhs.uk/" TargetMode="External"/><Relationship Id="rId38" Type="http://schemas.openxmlformats.org/officeDocument/2006/relationships/hyperlink" Target="https://resolution.nhs.uk/2023/03/30/learning-from-medication-errors/" TargetMode="External"/><Relationship Id="rId46" Type="http://schemas.openxmlformats.org/officeDocument/2006/relationships/hyperlink" Target="http://www.imperial.ac.uk/" TargetMode="External"/><Relationship Id="rId20" Type="http://schemas.openxmlformats.org/officeDocument/2006/relationships/hyperlink" Target="https://blog.logrocket.com/product-management/fiedlers-contingency-theory-of-leadership/" TargetMode="External"/><Relationship Id="rId41" Type="http://schemas.openxmlformats.org/officeDocument/2006/relationships/hyperlink" Target="https://doi.org/10.3399/bjgp13x67373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96D2CC-CEA1-4D9C-A86F-6365BE997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24</Pages>
  <Words>6275</Words>
  <Characters>43678</Characters>
  <Application>Microsoft Office Word</Application>
  <DocSecurity>0</DocSecurity>
  <Lines>682</Lines>
  <Paragraphs>178</Paragraphs>
  <ScaleCrop>false</ScaleCrop>
  <Company/>
  <LinksUpToDate>false</LinksUpToDate>
  <CharactersWithSpaces>49775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Shajna Azad (2232143)</dc:creator>
  <cp:keywords/>
  <dc:description/>
  <cp:lastModifiedBy>Shajna Azad (2232143)</cp:lastModifiedBy>
  <cp:revision>29</cp:revision>
  <dcterms:created xsi:type="dcterms:W3CDTF">2026-03-14T15:37:00Z</dcterms:created>
  <dcterms:modified xsi:type="dcterms:W3CDTF">2026-03-25T21:27:00Z</dcterms:modified>
</cp:coreProperties>
</file>