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5DEA6" w14:textId="77777777" w:rsidR="0066787F" w:rsidRDefault="0066787F">
      <w:pPr>
        <w:spacing w:before="200" w:line="480" w:lineRule="auto"/>
        <w:jc w:val="both"/>
        <w:rPr>
          <w:rFonts w:ascii="Times New Roman" w:eastAsia="Times New Roman" w:hAnsi="Times New Roman" w:cs="Times New Roman"/>
          <w:sz w:val="24"/>
          <w:szCs w:val="24"/>
          <w:u w:val="single"/>
        </w:rPr>
      </w:pPr>
    </w:p>
    <w:p w14:paraId="52AEF580" w14:textId="77777777" w:rsidR="0066787F" w:rsidRDefault="0066787F">
      <w:pPr>
        <w:spacing w:before="200" w:line="480" w:lineRule="auto"/>
        <w:jc w:val="both"/>
        <w:rPr>
          <w:rFonts w:ascii="Times New Roman" w:eastAsia="Times New Roman" w:hAnsi="Times New Roman" w:cs="Times New Roman"/>
          <w:sz w:val="24"/>
          <w:szCs w:val="24"/>
          <w:u w:val="single"/>
        </w:rPr>
      </w:pPr>
    </w:p>
    <w:p w14:paraId="17296BEB" w14:textId="77777777" w:rsidR="0066787F" w:rsidRDefault="0066787F">
      <w:pPr>
        <w:spacing w:before="200" w:line="480" w:lineRule="auto"/>
        <w:jc w:val="both"/>
        <w:rPr>
          <w:rFonts w:ascii="Times New Roman" w:eastAsia="Times New Roman" w:hAnsi="Times New Roman" w:cs="Times New Roman"/>
          <w:sz w:val="24"/>
          <w:szCs w:val="24"/>
          <w:u w:val="single"/>
        </w:rPr>
      </w:pPr>
    </w:p>
    <w:p w14:paraId="349B300D" w14:textId="77777777" w:rsidR="0066787F" w:rsidRDefault="0066787F">
      <w:pPr>
        <w:spacing w:before="200" w:line="480" w:lineRule="auto"/>
        <w:jc w:val="both"/>
        <w:rPr>
          <w:rFonts w:ascii="Times New Roman" w:eastAsia="Times New Roman" w:hAnsi="Times New Roman" w:cs="Times New Roman"/>
          <w:sz w:val="24"/>
          <w:szCs w:val="24"/>
          <w:u w:val="single"/>
        </w:rPr>
      </w:pPr>
    </w:p>
    <w:p w14:paraId="5177F8F8" w14:textId="77777777" w:rsidR="0066787F" w:rsidRDefault="0066787F">
      <w:pPr>
        <w:spacing w:before="200" w:line="480" w:lineRule="auto"/>
        <w:jc w:val="both"/>
        <w:rPr>
          <w:rFonts w:ascii="Times New Roman" w:eastAsia="Times New Roman" w:hAnsi="Times New Roman" w:cs="Times New Roman"/>
          <w:sz w:val="24"/>
          <w:szCs w:val="24"/>
          <w:u w:val="single"/>
        </w:rPr>
      </w:pPr>
    </w:p>
    <w:p w14:paraId="78E0FF76" w14:textId="5F12F12D" w:rsidR="0066787F" w:rsidRDefault="0066787F" w:rsidP="0066787F">
      <w:pPr>
        <w:pStyle w:val="Heading1"/>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A critical evaluation and the identification of next teaching and learning steps focusing on a case study of an individual learner or a group of learners, based on an observed critical incident.</w:t>
      </w:r>
    </w:p>
    <w:p w14:paraId="4CBF11E5" w14:textId="3B3FA124" w:rsidR="0066787F" w:rsidRPr="0066787F" w:rsidRDefault="0066787F" w:rsidP="0066787F">
      <w:pPr>
        <w:pStyle w:val="Heading1"/>
        <w:jc w:val="center"/>
        <w:rPr>
          <w:rFonts w:ascii="Times New Roman" w:hAnsi="Times New Roman" w:cs="Times New Roman"/>
          <w:b/>
          <w:bCs/>
          <w:sz w:val="36"/>
          <w:szCs w:val="36"/>
        </w:rPr>
      </w:pPr>
      <w:r>
        <w:rPr>
          <w:rFonts w:ascii="Times New Roman" w:hAnsi="Times New Roman" w:cs="Times New Roman"/>
          <w:b/>
          <w:bCs/>
          <w:sz w:val="36"/>
          <w:szCs w:val="36"/>
        </w:rPr>
        <w:t xml:space="preserve">Word Count- </w:t>
      </w:r>
      <w:r w:rsidR="00DA43ED">
        <w:rPr>
          <w:rFonts w:ascii="Times New Roman" w:hAnsi="Times New Roman" w:cs="Times New Roman"/>
          <w:b/>
          <w:bCs/>
          <w:sz w:val="36"/>
          <w:szCs w:val="36"/>
        </w:rPr>
        <w:t>4013</w:t>
      </w:r>
    </w:p>
    <w:p w14:paraId="46BEC05F" w14:textId="77777777" w:rsidR="0066787F" w:rsidRDefault="0066787F">
      <w:pPr>
        <w:spacing w:before="200" w:line="480" w:lineRule="auto"/>
        <w:jc w:val="both"/>
        <w:rPr>
          <w:rFonts w:ascii="Times New Roman" w:eastAsia="Times New Roman" w:hAnsi="Times New Roman" w:cs="Times New Roman"/>
          <w:sz w:val="24"/>
          <w:szCs w:val="24"/>
          <w:u w:val="single"/>
        </w:rPr>
      </w:pPr>
    </w:p>
    <w:p w14:paraId="1A8317CF" w14:textId="7653CCD9" w:rsidR="007D03EE" w:rsidRDefault="007D03EE">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br w:type="page"/>
      </w:r>
    </w:p>
    <w:p w14:paraId="00000001" w14:textId="7B439310" w:rsidR="00A0791A" w:rsidRDefault="00000000">
      <w:pPr>
        <w:spacing w:before="200" w:line="48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Introduction</w:t>
      </w:r>
    </w:p>
    <w:p w14:paraId="00000002" w14:textId="15DB2C79" w:rsidR="00A0791A" w:rsidRDefault="00000000">
      <w:pPr>
        <w:widowControl w:val="0"/>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essay aims to critically evaluate and identify the next teaching and learning steps as a result of </w:t>
      </w:r>
      <w:r w:rsidR="005110FC">
        <w:rPr>
          <w:rFonts w:ascii="Times New Roman" w:eastAsia="Times New Roman" w:hAnsi="Times New Roman" w:cs="Times New Roman"/>
          <w:sz w:val="24"/>
          <w:szCs w:val="24"/>
        </w:rPr>
        <w:t>focusing</w:t>
      </w:r>
      <w:r>
        <w:rPr>
          <w:rFonts w:ascii="Times New Roman" w:eastAsia="Times New Roman" w:hAnsi="Times New Roman" w:cs="Times New Roman"/>
          <w:sz w:val="24"/>
          <w:szCs w:val="24"/>
        </w:rPr>
        <w:t xml:space="preserve"> on a critical incident from a case study involving a pupil with additional learning needs (ALN).</w:t>
      </w:r>
    </w:p>
    <w:p w14:paraId="00000003" w14:textId="77777777" w:rsidR="00A0791A" w:rsidRDefault="00000000">
      <w:pPr>
        <w:widowControl w:val="0"/>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context of this essay, it is important to define what a critical incident is. Tripp (2012) defines a critical incident as an event or situation that marks a significant change in someone’s life. However, they explain that there is a misunderstanding regarding critical incidents. Major events rarely happen in a teacher's life, so they emphasise that most critical incidents are not dramatic and are usually straightforward accounts of common occurring events. They mention that these events appear to be more typical rather than critical when they are first looked at. What makes an event a critical incident is the analysis of the event. They mention that there are two stages when looking at a critical incident. The first is observing and noting what happened to create a description of the event. To create a critical incident, there needs to be an explanation of what the incident meant. This means that when looking at a critical incident, you must move away from the original event and explain what the critical incident meant. </w:t>
      </w:r>
    </w:p>
    <w:p w14:paraId="00000004" w14:textId="77777777" w:rsidR="00A0791A" w:rsidRDefault="00000000">
      <w:pPr>
        <w:widowControl w:val="0"/>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sz w:val="24"/>
          <w:szCs w:val="24"/>
        </w:rPr>
        <w:t>Viergever</w:t>
      </w:r>
      <w:proofErr w:type="spellEnd"/>
      <w:r>
        <w:rPr>
          <w:rFonts w:ascii="Times New Roman" w:eastAsia="Times New Roman" w:hAnsi="Times New Roman" w:cs="Times New Roman"/>
          <w:sz w:val="24"/>
          <w:szCs w:val="24"/>
        </w:rPr>
        <w:t xml:space="preserve"> (2019), the critical incident technique helps people understand the key things they should do in their profession or activities that allow them to have the best chance of being able to achieve their goals. Bruster and Peterson (2013) explain how critical incident methodology can be used as a reflective practice. However, they mention that most teachers must learn to reflect critically. They say that using critical incident methodology when reflecting on practice allows teachers to identify and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everyday challenges faced when teaching. </w:t>
      </w:r>
    </w:p>
    <w:p w14:paraId="00000005" w14:textId="77777777" w:rsidR="00A0791A" w:rsidRDefault="00000000">
      <w:pPr>
        <w:widowControl w:val="0"/>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understanding what a critical incident is, it is important to look into small events in detail to </w:t>
      </w:r>
      <w:r>
        <w:rPr>
          <w:rFonts w:ascii="Times New Roman" w:eastAsia="Times New Roman" w:hAnsi="Times New Roman" w:cs="Times New Roman"/>
          <w:sz w:val="24"/>
          <w:szCs w:val="24"/>
        </w:rPr>
        <w:lastRenderedPageBreak/>
        <w:t xml:space="preserve">understand better why they have happened and to reflect on what has occurred so I can improve my teaching practices continually. </w:t>
      </w:r>
    </w:p>
    <w:p w14:paraId="00000006" w14:textId="77777777" w:rsidR="00A0791A" w:rsidRDefault="00000000">
      <w:pPr>
        <w:widowControl w:val="0"/>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also important to examine the context of the case study explored in this essay. The lesson happened at around 9:30 in the morning in July, so it was the end of the school year. The class is made up of 23 pupils from ten different nationalities in year four. It is a mixed ability class in Wales, so regarding the new Welsh curriculum, most of the pupils will be working at progression step three, with some working at progression step two. Most of the tables are set out in a group setting, except the table at the front is in a row. The front tables are where the lower-ability pupils sit, whereas the back tables are where the higher-ability pupils sit. There is also a teaching assistant present in the class. </w:t>
      </w:r>
    </w:p>
    <w:p w14:paraId="00000007" w14:textId="77777777" w:rsidR="00A0791A" w:rsidRDefault="00A0791A">
      <w:pPr>
        <w:widowControl w:val="0"/>
        <w:spacing w:before="200" w:line="480" w:lineRule="auto"/>
        <w:jc w:val="both"/>
        <w:rPr>
          <w:rFonts w:ascii="Times New Roman" w:eastAsia="Times New Roman" w:hAnsi="Times New Roman" w:cs="Times New Roman"/>
          <w:sz w:val="24"/>
          <w:szCs w:val="24"/>
        </w:rPr>
      </w:pPr>
    </w:p>
    <w:p w14:paraId="00000008" w14:textId="77777777" w:rsidR="00A0791A" w:rsidRDefault="00000000">
      <w:pPr>
        <w:widowControl w:val="0"/>
        <w:spacing w:before="200" w:line="48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sz w:val="24"/>
          <w:szCs w:val="24"/>
          <w:u w:val="single"/>
        </w:rPr>
        <w:t>Literature Review</w:t>
      </w:r>
    </w:p>
    <w:p w14:paraId="00000009" w14:textId="77777777" w:rsidR="00A0791A" w:rsidRDefault="00000000">
      <w:pPr>
        <w:widowControl w:val="0"/>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topic discussed in this part of the essay is ALN. The Welsh Assembly Government (2018) defines ALN as additional learning needs. They introduced a new ALN act in 2018, which was previously commonly known as special educational needs. According to Conn and Hutt (2020), the new ALN Act is a way to establish a more fair, </w:t>
      </w:r>
      <w:proofErr w:type="gramStart"/>
      <w:r>
        <w:rPr>
          <w:rFonts w:ascii="Times New Roman" w:eastAsia="Times New Roman" w:hAnsi="Times New Roman" w:cs="Times New Roman"/>
          <w:sz w:val="24"/>
          <w:szCs w:val="24"/>
        </w:rPr>
        <w:t>integrated</w:t>
      </w:r>
      <w:proofErr w:type="gramEnd"/>
      <w:r>
        <w:rPr>
          <w:rFonts w:ascii="Times New Roman" w:eastAsia="Times New Roman" w:hAnsi="Times New Roman" w:cs="Times New Roman"/>
          <w:sz w:val="24"/>
          <w:szCs w:val="24"/>
        </w:rPr>
        <w:t xml:space="preserve"> and efficient system for assessing, planning and monitoring pupils with ALN. According to Ware (2014), The Welsh Assembly Government introduced the term ALN, encompassing pupils with special educational needs and a wide range of other groups, such as more able and talented pupils. Due to the nature of the case study, this essay will focus on disability as an ALN. </w:t>
      </w:r>
    </w:p>
    <w:p w14:paraId="0000000A" w14:textId="77777777" w:rsidR="00A0791A" w:rsidRDefault="00000000">
      <w:pPr>
        <w:widowControl w:val="0"/>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discussing ALN and disability, it is important to examine the medical and social models of disability. Haegele and Hodge (2016) mention that how disability is understood is crucial because </w:t>
      </w:r>
      <w:r>
        <w:rPr>
          <w:rFonts w:ascii="Times New Roman" w:eastAsia="Times New Roman" w:hAnsi="Times New Roman" w:cs="Times New Roman"/>
          <w:sz w:val="24"/>
          <w:szCs w:val="24"/>
        </w:rPr>
        <w:lastRenderedPageBreak/>
        <w:t xml:space="preserve">it affects the interactions and expectations people with disabilities have. They note that recently, the medical and social models of disability have been the most prominent in understanding what disability is. They explain that the medical model of disability focuses on the treatment of the cause of the disability and fixing it. Within the medical model of disability, disability results from the impairment, not society. </w:t>
      </w:r>
    </w:p>
    <w:p w14:paraId="0000000B" w14:textId="77777777" w:rsidR="00A0791A" w:rsidRDefault="00000000">
      <w:pPr>
        <w:widowControl w:val="0"/>
        <w:spacing w:before="200" w:line="48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In contrast, the social model focuses on the idea that society imposes a disability on someone with an impairment. Within the social model, impairment and disability are separate. Impairment is seen as an abnormality of the body, whereas disability is seen as a disadvantage caused by society for a person with an impairment. According to Shakespeare (2004), the social model of disability argues that the social consequences and context of the disability are a bigger problem than the impairment itself. However, they say that the social model fails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the everyday experiences of people with disabilities in which many experience mental and physical difficulties alongside social barriers. </w:t>
      </w:r>
    </w:p>
    <w:p w14:paraId="0000000C" w14:textId="1E323F2B" w:rsidR="00A0791A" w:rsidRDefault="00000000">
      <w:pPr>
        <w:widowControl w:val="0"/>
        <w:spacing w:before="200"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f</w:t>
      </w:r>
      <w:r w:rsidR="001305AD">
        <w:rPr>
          <w:rFonts w:ascii="Times New Roman" w:eastAsia="Times New Roman" w:hAnsi="Times New Roman" w:cs="Times New Roman"/>
          <w:color w:val="222222"/>
          <w:sz w:val="24"/>
          <w:szCs w:val="24"/>
          <w:highlight w:val="white"/>
        </w:rPr>
        <w:t>irst</w:t>
      </w:r>
      <w:r>
        <w:rPr>
          <w:rFonts w:ascii="Times New Roman" w:eastAsia="Times New Roman" w:hAnsi="Times New Roman" w:cs="Times New Roman"/>
          <w:color w:val="222222"/>
          <w:sz w:val="24"/>
          <w:szCs w:val="24"/>
          <w:highlight w:val="white"/>
        </w:rPr>
        <w:t xml:space="preserve"> learning theory that will be discussed in this essay is Constructivism. Bada and Olusegun (2015) describe constructivism as the approach to learning and teaching based on the idea that pupils learn by linking new information with prior knowledge. They mention that constructivists believe that the context, pupils' </w:t>
      </w:r>
      <w:proofErr w:type="gramStart"/>
      <w:r>
        <w:rPr>
          <w:rFonts w:ascii="Times New Roman" w:eastAsia="Times New Roman" w:hAnsi="Times New Roman" w:cs="Times New Roman"/>
          <w:color w:val="222222"/>
          <w:sz w:val="24"/>
          <w:szCs w:val="24"/>
          <w:highlight w:val="white"/>
        </w:rPr>
        <w:t>beliefs</w:t>
      </w:r>
      <w:proofErr w:type="gramEnd"/>
      <w:r>
        <w:rPr>
          <w:rFonts w:ascii="Times New Roman" w:eastAsia="Times New Roman" w:hAnsi="Times New Roman" w:cs="Times New Roman"/>
          <w:color w:val="222222"/>
          <w:sz w:val="24"/>
          <w:szCs w:val="24"/>
          <w:highlight w:val="white"/>
        </w:rPr>
        <w:t xml:space="preserve"> and attitudes affect learning. They say that pupils construct their understanding and knowledge by experiences and reflection, and learning is seen as active rather than passive. </w:t>
      </w:r>
      <w:proofErr w:type="spellStart"/>
      <w:r>
        <w:rPr>
          <w:rFonts w:ascii="Times New Roman" w:eastAsia="Times New Roman" w:hAnsi="Times New Roman" w:cs="Times New Roman"/>
          <w:color w:val="222222"/>
          <w:sz w:val="24"/>
          <w:szCs w:val="24"/>
          <w:highlight w:val="white"/>
        </w:rPr>
        <w:t>Efgivia</w:t>
      </w:r>
      <w:proofErr w:type="spellEnd"/>
      <w:r>
        <w:rPr>
          <w:rFonts w:ascii="Times New Roman" w:eastAsia="Times New Roman" w:hAnsi="Times New Roman" w:cs="Times New Roman"/>
          <w:color w:val="222222"/>
          <w:sz w:val="24"/>
          <w:szCs w:val="24"/>
          <w:highlight w:val="white"/>
        </w:rPr>
        <w:t xml:space="preserve"> et al. (2021) explain that teachers should allow pupils to construct and adapt knowledge in their minds. They discuss some characteristics of constructivism, including alternative strategies to obtain and understand knowledge and using scaffolding in learning.</w:t>
      </w:r>
      <w:r w:rsidR="00180B95">
        <w:rPr>
          <w:rFonts w:ascii="Times New Roman" w:eastAsia="Times New Roman" w:hAnsi="Times New Roman" w:cs="Times New Roman"/>
          <w:color w:val="222222"/>
          <w:sz w:val="24"/>
          <w:szCs w:val="24"/>
          <w:highlight w:val="white"/>
        </w:rPr>
        <w:t xml:space="preserve"> Scaffolding is the process where support is provided by a more knowledgeable other to help a learner build their knowledge and skills.</w:t>
      </w:r>
      <w:r>
        <w:rPr>
          <w:rFonts w:ascii="Times New Roman" w:eastAsia="Times New Roman" w:hAnsi="Times New Roman" w:cs="Times New Roman"/>
          <w:color w:val="222222"/>
          <w:sz w:val="24"/>
          <w:szCs w:val="24"/>
          <w:highlight w:val="white"/>
        </w:rPr>
        <w:t xml:space="preserve"> They also emphasise that within the constructivist </w:t>
      </w:r>
      <w:r>
        <w:rPr>
          <w:rFonts w:ascii="Times New Roman" w:eastAsia="Times New Roman" w:hAnsi="Times New Roman" w:cs="Times New Roman"/>
          <w:color w:val="222222"/>
          <w:sz w:val="24"/>
          <w:szCs w:val="24"/>
          <w:highlight w:val="white"/>
        </w:rPr>
        <w:lastRenderedPageBreak/>
        <w:t xml:space="preserve">approach, pupils build knowledge themselves. </w:t>
      </w:r>
    </w:p>
    <w:p w14:paraId="0000000D" w14:textId="7BCF3BAE" w:rsidR="00A0791A" w:rsidRDefault="00000000">
      <w:pPr>
        <w:widowControl w:val="0"/>
        <w:spacing w:before="200" w:line="480" w:lineRule="auto"/>
        <w:jc w:val="both"/>
        <w:rPr>
          <w:rFonts w:ascii="Times New Roman" w:eastAsia="Times New Roman" w:hAnsi="Times New Roman" w:cs="Times New Roman"/>
          <w:color w:val="FF0000"/>
          <w:sz w:val="24"/>
          <w:szCs w:val="24"/>
        </w:rPr>
      </w:pPr>
      <w:proofErr w:type="spellStart"/>
      <w:r>
        <w:rPr>
          <w:rFonts w:ascii="Times New Roman" w:eastAsia="Times New Roman" w:hAnsi="Times New Roman" w:cs="Times New Roman"/>
          <w:color w:val="222222"/>
          <w:sz w:val="24"/>
          <w:szCs w:val="24"/>
          <w:highlight w:val="white"/>
        </w:rPr>
        <w:t>Efgivia</w:t>
      </w:r>
      <w:proofErr w:type="spellEnd"/>
      <w:r>
        <w:rPr>
          <w:rFonts w:ascii="Times New Roman" w:eastAsia="Times New Roman" w:hAnsi="Times New Roman" w:cs="Times New Roman"/>
          <w:color w:val="222222"/>
          <w:sz w:val="24"/>
          <w:szCs w:val="24"/>
          <w:highlight w:val="white"/>
        </w:rPr>
        <w:t xml:space="preserve"> et al. (2021) mention Vygotsky’s social constructivism theory, which details pupils' learning by interacting with the physical and social environment. In terms of ALN, pupils who use supportive devices should be learning and constructing knowledge by interacting with their supportive devices. According to Mayer (2009), constructivist learning theory describes the idea that learning involves building knowledge actively. Using assistive technologies, pupils with ALN can interact with the information they need to learn and construct knowledge. If these pupils cannot access assistive technologies and devices, they cannot interact with the information and, therefore, will become passive learners rather than active learners. Pupils can use their assistive devices as a way to scaffold their learning.  Xi and </w:t>
      </w:r>
      <w:proofErr w:type="spellStart"/>
      <w:r>
        <w:rPr>
          <w:rFonts w:ascii="Times New Roman" w:eastAsia="Times New Roman" w:hAnsi="Times New Roman" w:cs="Times New Roman"/>
          <w:color w:val="222222"/>
          <w:sz w:val="24"/>
          <w:szCs w:val="24"/>
          <w:highlight w:val="white"/>
        </w:rPr>
        <w:t>Lantolf</w:t>
      </w:r>
      <w:proofErr w:type="spellEnd"/>
      <w:r>
        <w:rPr>
          <w:rFonts w:ascii="Times New Roman" w:eastAsia="Times New Roman" w:hAnsi="Times New Roman" w:cs="Times New Roman"/>
          <w:color w:val="222222"/>
          <w:sz w:val="24"/>
          <w:szCs w:val="24"/>
          <w:highlight w:val="white"/>
        </w:rPr>
        <w:t xml:space="preserve"> (2021) mention that scaffolding aims to help a pupil complete a task independently. Using assistive devices allows pupils with ALN to complete tasks independently whilst interacting and developing new knowledge. However, Xi and </w:t>
      </w:r>
      <w:proofErr w:type="spellStart"/>
      <w:r>
        <w:rPr>
          <w:rFonts w:ascii="Times New Roman" w:eastAsia="Times New Roman" w:hAnsi="Times New Roman" w:cs="Times New Roman"/>
          <w:color w:val="222222"/>
          <w:sz w:val="24"/>
          <w:szCs w:val="24"/>
          <w:highlight w:val="white"/>
        </w:rPr>
        <w:t>Lantolf</w:t>
      </w:r>
      <w:proofErr w:type="spellEnd"/>
      <w:r>
        <w:rPr>
          <w:rFonts w:ascii="Times New Roman" w:eastAsia="Times New Roman" w:hAnsi="Times New Roman" w:cs="Times New Roman"/>
          <w:color w:val="222222"/>
          <w:sz w:val="24"/>
          <w:szCs w:val="24"/>
          <w:highlight w:val="white"/>
        </w:rPr>
        <w:t xml:space="preserve"> (2021) mention that there is no clear goal with scaffolding</w:t>
      </w:r>
      <w:r w:rsidR="00180B95">
        <w:rPr>
          <w:rFonts w:ascii="Times New Roman" w:eastAsia="Times New Roman" w:hAnsi="Times New Roman" w:cs="Times New Roman"/>
          <w:color w:val="222222"/>
          <w:sz w:val="24"/>
          <w:szCs w:val="24"/>
          <w:highlight w:val="white"/>
        </w:rPr>
        <w:t>. F</w:t>
      </w:r>
      <w:r>
        <w:rPr>
          <w:rFonts w:ascii="Times New Roman" w:eastAsia="Times New Roman" w:hAnsi="Times New Roman" w:cs="Times New Roman"/>
          <w:color w:val="222222"/>
          <w:sz w:val="24"/>
          <w:szCs w:val="24"/>
          <w:highlight w:val="white"/>
        </w:rPr>
        <w:t>or some learners</w:t>
      </w:r>
      <w:r w:rsidR="00180B95">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it is to complete a task independently, whereas, for others, it is to improve a skill. </w:t>
      </w:r>
      <w:proofErr w:type="spellStart"/>
      <w:r>
        <w:rPr>
          <w:rFonts w:ascii="Times New Roman" w:eastAsia="Times New Roman" w:hAnsi="Times New Roman" w:cs="Times New Roman"/>
          <w:color w:val="222222"/>
          <w:sz w:val="24"/>
          <w:szCs w:val="24"/>
          <w:highlight w:val="white"/>
        </w:rPr>
        <w:t>Efgivia</w:t>
      </w:r>
      <w:proofErr w:type="spellEnd"/>
      <w:r>
        <w:rPr>
          <w:rFonts w:ascii="Times New Roman" w:eastAsia="Times New Roman" w:hAnsi="Times New Roman" w:cs="Times New Roman"/>
          <w:color w:val="222222"/>
          <w:sz w:val="24"/>
          <w:szCs w:val="24"/>
          <w:highlight w:val="white"/>
        </w:rPr>
        <w:t xml:space="preserve"> et al. (2021) mention the Zone of Proximal Development (ZPD) idea. This is where someone learns with the help of others. The ZPD is a level of learning where someone needs help to understand an idea or gain new knowledge. The ZPD theory </w:t>
      </w:r>
      <w:proofErr w:type="spellStart"/>
      <w:r>
        <w:rPr>
          <w:rFonts w:ascii="Times New Roman" w:eastAsia="Times New Roman" w:hAnsi="Times New Roman" w:cs="Times New Roman"/>
          <w:color w:val="222222"/>
          <w:sz w:val="24"/>
          <w:szCs w:val="24"/>
          <w:highlight w:val="white"/>
        </w:rPr>
        <w:t>emphasises</w:t>
      </w:r>
      <w:proofErr w:type="spellEnd"/>
      <w:r>
        <w:rPr>
          <w:rFonts w:ascii="Times New Roman" w:eastAsia="Times New Roman" w:hAnsi="Times New Roman" w:cs="Times New Roman"/>
          <w:color w:val="222222"/>
          <w:sz w:val="24"/>
          <w:szCs w:val="24"/>
          <w:highlight w:val="white"/>
        </w:rPr>
        <w:t xml:space="preserve"> that learning occurs with help from society and the environment.  Pupils with ALN can use assistive technology, a class </w:t>
      </w:r>
      <w:proofErr w:type="gramStart"/>
      <w:r>
        <w:rPr>
          <w:rFonts w:ascii="Times New Roman" w:eastAsia="Times New Roman" w:hAnsi="Times New Roman" w:cs="Times New Roman"/>
          <w:color w:val="222222"/>
          <w:sz w:val="24"/>
          <w:szCs w:val="24"/>
          <w:highlight w:val="white"/>
        </w:rPr>
        <w:t>teacher</w:t>
      </w:r>
      <w:proofErr w:type="gramEnd"/>
      <w:r>
        <w:rPr>
          <w:rFonts w:ascii="Times New Roman" w:eastAsia="Times New Roman" w:hAnsi="Times New Roman" w:cs="Times New Roman"/>
          <w:color w:val="222222"/>
          <w:sz w:val="24"/>
          <w:szCs w:val="24"/>
          <w:highlight w:val="white"/>
        </w:rPr>
        <w:t xml:space="preserve"> or a peer to help them understand and gain knowledge. </w:t>
      </w:r>
    </w:p>
    <w:p w14:paraId="0000000E" w14:textId="77777777" w:rsidR="00A0791A" w:rsidRDefault="00000000">
      <w:pPr>
        <w:widowControl w:val="0"/>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color w:val="222222"/>
          <w:sz w:val="24"/>
          <w:szCs w:val="24"/>
          <w:highlight w:val="white"/>
        </w:rPr>
        <w:t>Efgivia</w:t>
      </w:r>
      <w:proofErr w:type="spellEnd"/>
      <w:r>
        <w:rPr>
          <w:rFonts w:ascii="Times New Roman" w:eastAsia="Times New Roman" w:hAnsi="Times New Roman" w:cs="Times New Roman"/>
          <w:color w:val="222222"/>
          <w:sz w:val="24"/>
          <w:szCs w:val="24"/>
          <w:highlight w:val="white"/>
        </w:rPr>
        <w:t xml:space="preserve"> et al. (2021), the constructivist theory does have some weaknesses. They claim that due to pupils constructing their understanding and knowledge of an idea, they may misinterpret what it means. They also claim that pupils building their knowledge can take a long time, especially for those who have less motivation. They also say that school conditions can affect </w:t>
      </w:r>
      <w:r>
        <w:rPr>
          <w:rFonts w:ascii="Times New Roman" w:eastAsia="Times New Roman" w:hAnsi="Times New Roman" w:cs="Times New Roman"/>
          <w:color w:val="222222"/>
          <w:sz w:val="24"/>
          <w:szCs w:val="24"/>
          <w:highlight w:val="white"/>
        </w:rPr>
        <w:lastRenderedPageBreak/>
        <w:t xml:space="preserve">how pupils build on new knowledge. </w:t>
      </w:r>
    </w:p>
    <w:p w14:paraId="0000000F" w14:textId="77777777" w:rsidR="00A0791A" w:rsidRDefault="00000000">
      <w:pPr>
        <w:widowControl w:val="0"/>
        <w:spacing w:before="200"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The last learning theory discussed in this essay is Bronfenbrenner’s ecological systems theory. According to </w:t>
      </w:r>
      <w:r>
        <w:rPr>
          <w:rFonts w:ascii="Times New Roman" w:eastAsia="Times New Roman" w:hAnsi="Times New Roman" w:cs="Times New Roman"/>
          <w:color w:val="222222"/>
          <w:sz w:val="24"/>
          <w:szCs w:val="24"/>
          <w:highlight w:val="white"/>
        </w:rPr>
        <w:t xml:space="preserve">Panopoulos and </w:t>
      </w:r>
      <w:proofErr w:type="spellStart"/>
      <w:r>
        <w:rPr>
          <w:rFonts w:ascii="Times New Roman" w:eastAsia="Times New Roman" w:hAnsi="Times New Roman" w:cs="Times New Roman"/>
          <w:color w:val="222222"/>
          <w:sz w:val="24"/>
          <w:szCs w:val="24"/>
          <w:highlight w:val="white"/>
        </w:rPr>
        <w:t>Drossinou</w:t>
      </w:r>
      <w:proofErr w:type="spellEnd"/>
      <w:r>
        <w:rPr>
          <w:rFonts w:ascii="Times New Roman" w:eastAsia="Times New Roman" w:hAnsi="Times New Roman" w:cs="Times New Roman"/>
          <w:color w:val="222222"/>
          <w:sz w:val="24"/>
          <w:szCs w:val="24"/>
          <w:highlight w:val="white"/>
        </w:rPr>
        <w:t xml:space="preserve">-Korea (2020), </w:t>
      </w:r>
      <w:r>
        <w:rPr>
          <w:rFonts w:ascii="Times New Roman" w:eastAsia="Times New Roman" w:hAnsi="Times New Roman" w:cs="Times New Roman"/>
          <w:sz w:val="24"/>
          <w:szCs w:val="24"/>
        </w:rPr>
        <w:t xml:space="preserve">Bronfenbrenner’s ecological systems theory focuses on the child and how their social contexts directly or indirectly influence them. Johnson and Bonner (2013) explain that Bronfenbrenner’s ecological systems theory consists of varying systems that relate to the child’s development. The microsystem is the social context closely linked to the child, such as family and school, and it encompasses how someone interacts with their immediate environment. </w:t>
      </w:r>
      <w:r>
        <w:rPr>
          <w:rFonts w:ascii="Times New Roman" w:eastAsia="Times New Roman" w:hAnsi="Times New Roman" w:cs="Times New Roman"/>
          <w:color w:val="222222"/>
          <w:sz w:val="24"/>
          <w:szCs w:val="24"/>
          <w:highlight w:val="white"/>
        </w:rPr>
        <w:t xml:space="preserve">Panopoulos and </w:t>
      </w:r>
      <w:proofErr w:type="spellStart"/>
      <w:r>
        <w:rPr>
          <w:rFonts w:ascii="Times New Roman" w:eastAsia="Times New Roman" w:hAnsi="Times New Roman" w:cs="Times New Roman"/>
          <w:color w:val="222222"/>
          <w:sz w:val="24"/>
          <w:szCs w:val="24"/>
          <w:highlight w:val="white"/>
        </w:rPr>
        <w:t>Drossinou</w:t>
      </w:r>
      <w:proofErr w:type="spellEnd"/>
      <w:r>
        <w:rPr>
          <w:rFonts w:ascii="Times New Roman" w:eastAsia="Times New Roman" w:hAnsi="Times New Roman" w:cs="Times New Roman"/>
          <w:color w:val="222222"/>
          <w:sz w:val="24"/>
          <w:szCs w:val="24"/>
          <w:highlight w:val="white"/>
        </w:rPr>
        <w:t xml:space="preserve">-Korea (2020) claim that the microsystem is especially important for those with disabilities and ALN. Children with ALN cannot interact with their environment like children without ALN can. Panopoulos and </w:t>
      </w:r>
      <w:proofErr w:type="spellStart"/>
      <w:r>
        <w:rPr>
          <w:rFonts w:ascii="Times New Roman" w:eastAsia="Times New Roman" w:hAnsi="Times New Roman" w:cs="Times New Roman"/>
          <w:color w:val="222222"/>
          <w:sz w:val="24"/>
          <w:szCs w:val="24"/>
          <w:highlight w:val="white"/>
        </w:rPr>
        <w:t>Drossinou</w:t>
      </w:r>
      <w:proofErr w:type="spellEnd"/>
      <w:r>
        <w:rPr>
          <w:rFonts w:ascii="Times New Roman" w:eastAsia="Times New Roman" w:hAnsi="Times New Roman" w:cs="Times New Roman"/>
          <w:color w:val="222222"/>
          <w:sz w:val="24"/>
          <w:szCs w:val="24"/>
          <w:highlight w:val="white"/>
        </w:rPr>
        <w:t xml:space="preserve">-Korea (2020) claim that the learning path for children with ALN is severely affected by their social interactions with their peers and teachers. For example, negative social interactions in school lead to lower academic success, while positive interactions lead to high academic success. Despite the ability to link Bronfenbrenner’s ecological systems theory to ALN, Christensen (2016) mentions that the theory lacks reference to resilience. Pupils with ALN need to be resilient due to their everyday challenges. Christensen (2016) argues that Bronfenbrenner’s theory only focuses on the negative impact on an individual if they are exposed to adversity. They claim that adding resilience to Bronfenbrenner’s theory can show how someone deals with negativity, such as barriers due to ALN, and succeeds. </w:t>
      </w:r>
    </w:p>
    <w:p w14:paraId="00000010" w14:textId="77777777" w:rsidR="00A0791A" w:rsidRDefault="00A0791A">
      <w:pPr>
        <w:widowControl w:val="0"/>
        <w:spacing w:before="200" w:line="480" w:lineRule="auto"/>
        <w:jc w:val="both"/>
        <w:rPr>
          <w:rFonts w:ascii="Times New Roman" w:eastAsia="Times New Roman" w:hAnsi="Times New Roman" w:cs="Times New Roman"/>
          <w:color w:val="222222"/>
          <w:sz w:val="24"/>
          <w:szCs w:val="24"/>
          <w:highlight w:val="white"/>
        </w:rPr>
      </w:pPr>
    </w:p>
    <w:p w14:paraId="00000011" w14:textId="77777777" w:rsidR="00A0791A" w:rsidRDefault="00000000">
      <w:pPr>
        <w:spacing w:before="200" w:line="48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Case Study</w:t>
      </w:r>
    </w:p>
    <w:p w14:paraId="00000012" w14:textId="77777777" w:rsidR="00A0791A" w:rsidRDefault="00000000">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case study in this essay focuses on a critical incident that involves a pupil with an additional learning need (ALN). The critical incident is a pupil who was sitting at the front of the class, leaving their seat to go close to the board at the front of the room. The lesson happened at the beginning of the day. The lesson occurred at the end of the school year. During the lesson, the teacher had a PowerPoint on the board at the front of the room and gave out a shoe to each group as props. The pupil that the case study is </w:t>
      </w:r>
      <w:proofErr w:type="spellStart"/>
      <w:r>
        <w:rPr>
          <w:rFonts w:ascii="Times New Roman" w:eastAsia="Times New Roman" w:hAnsi="Times New Roman" w:cs="Times New Roman"/>
          <w:sz w:val="24"/>
          <w:szCs w:val="24"/>
        </w:rPr>
        <w:t>focussing</w:t>
      </w:r>
      <w:proofErr w:type="spellEnd"/>
      <w:r>
        <w:rPr>
          <w:rFonts w:ascii="Times New Roman" w:eastAsia="Times New Roman" w:hAnsi="Times New Roman" w:cs="Times New Roman"/>
          <w:sz w:val="24"/>
          <w:szCs w:val="24"/>
        </w:rPr>
        <w:t xml:space="preserve"> on seemed quite distracted and was fidgeting before the incident happened. Before the incident, the teacher gave the pupil one-on-one help with their understanding of the work. The pupil was also not interacting with their peers fully before the incident happened.</w:t>
      </w:r>
    </w:p>
    <w:p w14:paraId="00000013" w14:textId="77777777" w:rsidR="00A0791A" w:rsidRDefault="00000000">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pupil needed to go up close to the board because they have an ALN and vision impairment. They used an assistive device, but it stopped working. After going up to the board, the pupil went immediately to their teacher and the teaching assistant (TA) to ask for help. The TA then helped the pupil set up a camera for their device, which took time and distracted the pupil from their learning. However, once the issue was resolved, the pupil was still distracted and not engaged in the lesson and was not listening to what the teacher was saying. By the end of the lesson, the pupil was more engaged and was listening to their peers. </w:t>
      </w:r>
    </w:p>
    <w:p w14:paraId="00000014" w14:textId="77777777" w:rsidR="00A0791A" w:rsidRDefault="00000000">
      <w:pPr>
        <w:spacing w:before="200" w:line="48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The lesson happened at the beginning of the day, and the pupil’s assistive device had already stopped working. This raises the question of whether the device will stop working again later in the day. It also questions whether the incident would have annoyed the pupil and started their day on a bad note and whether or not their attitude to learning will be decreased throughout the day. Due to the pupil having to ask for help and their assistive device not working, the pupil’s learning was disrupted, so they were behind where they were meant to be in the lesson and were more distracted as a result.  The lesson happened at the end of the year, so there is the assumption that </w:t>
      </w:r>
      <w:r>
        <w:rPr>
          <w:rFonts w:ascii="Times New Roman" w:eastAsia="Times New Roman" w:hAnsi="Times New Roman" w:cs="Times New Roman"/>
          <w:sz w:val="24"/>
          <w:szCs w:val="24"/>
        </w:rPr>
        <w:lastRenderedPageBreak/>
        <w:t xml:space="preserve">the pupil has used the device throughout the year. So, it questions whether the pupil is dreading using their assistive device because it could stop working and how often they need to ask their teacher or TA for help with their assistive device. Despite this, it also questions whether they are excited to use their device because it allows them to participate in the lesson and work independently. Although the assistive technology enables the pupil to work independently, the way it is set up means that the tables cannot be used to encourage group work. The table is set in a row compared to a group setting, which could explain why the pupil was not engaged with their peers. </w:t>
      </w:r>
    </w:p>
    <w:p w14:paraId="00000015" w14:textId="77777777" w:rsidR="00A0791A" w:rsidRDefault="00000000">
      <w:pPr>
        <w:spacing w:before="200" w:line="48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As Shakespeare (2004) mentions, the social model of disability argues that society is more of a problem than the disability is. </w:t>
      </w:r>
      <w:proofErr w:type="spellStart"/>
      <w:r>
        <w:rPr>
          <w:rFonts w:ascii="Times New Roman" w:eastAsia="Times New Roman" w:hAnsi="Times New Roman" w:cs="Times New Roman"/>
          <w:color w:val="222222"/>
          <w:sz w:val="24"/>
          <w:szCs w:val="24"/>
          <w:highlight w:val="white"/>
        </w:rPr>
        <w:t>Ripat</w:t>
      </w:r>
      <w:proofErr w:type="spellEnd"/>
      <w:r>
        <w:rPr>
          <w:rFonts w:ascii="Times New Roman" w:eastAsia="Times New Roman" w:hAnsi="Times New Roman" w:cs="Times New Roman"/>
          <w:color w:val="222222"/>
          <w:sz w:val="24"/>
          <w:szCs w:val="24"/>
          <w:highlight w:val="white"/>
        </w:rPr>
        <w:t xml:space="preserve"> and Woodgate (2011) claim that assistive technology creates an inclusive environment which promotes participation for people with ALN. They mention that the social model of disability is a step towards a more inclusive environment. Mankoff, Hayes and </w:t>
      </w:r>
      <w:proofErr w:type="spellStart"/>
      <w:r>
        <w:rPr>
          <w:rFonts w:ascii="Times New Roman" w:eastAsia="Times New Roman" w:hAnsi="Times New Roman" w:cs="Times New Roman"/>
          <w:color w:val="222222"/>
          <w:sz w:val="24"/>
          <w:szCs w:val="24"/>
          <w:highlight w:val="white"/>
        </w:rPr>
        <w:t>Kasnitz</w:t>
      </w:r>
      <w:proofErr w:type="spellEnd"/>
      <w:r>
        <w:rPr>
          <w:rFonts w:ascii="Times New Roman" w:eastAsia="Times New Roman" w:hAnsi="Times New Roman" w:cs="Times New Roman"/>
          <w:color w:val="222222"/>
          <w:sz w:val="24"/>
          <w:szCs w:val="24"/>
          <w:highlight w:val="white"/>
        </w:rPr>
        <w:t xml:space="preserve"> (2010) claim that assistive devices for pupils with ALN align more with the medical model of disability. They claim that this is because assistive devices focus more on fixing the disability rather than fixing the outside problem.</w:t>
      </w:r>
    </w:p>
    <w:p w14:paraId="00000016" w14:textId="77777777" w:rsidR="00A0791A" w:rsidRDefault="00000000">
      <w:pPr>
        <w:spacing w:before="200" w:line="48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Assistive technology and devices play an essential role in aiding social inclusion for pupils with disabilities. According to </w:t>
      </w:r>
      <w:r>
        <w:rPr>
          <w:rFonts w:ascii="Times New Roman" w:eastAsia="Times New Roman" w:hAnsi="Times New Roman" w:cs="Times New Roman"/>
          <w:color w:val="222222"/>
          <w:sz w:val="24"/>
          <w:szCs w:val="24"/>
          <w:highlight w:val="white"/>
        </w:rPr>
        <w:t>Lee and Templeton (2008), assistive technology and devices allow pupils with ALN to experience active and meaningful participation with their peers. They emphasise that assistive devices can promote independence and self-confidence for pupils with ALN. Assistive technologies help lower the gap between pupils with ALN and their peers as they can access the same information that allows them to participate in activities fully.</w:t>
      </w:r>
    </w:p>
    <w:p w14:paraId="00000017" w14:textId="554798C2" w:rsidR="00A0791A" w:rsidRDefault="00000000">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Barnett (2019) discusses Vygotsky’s Social Development theory. They state that the theory mentions the idea that children gain knowledge from social interactions with adults and other </w:t>
      </w:r>
      <w:r>
        <w:rPr>
          <w:rFonts w:ascii="Times New Roman" w:eastAsia="Times New Roman" w:hAnsi="Times New Roman" w:cs="Times New Roman"/>
          <w:sz w:val="24"/>
          <w:szCs w:val="24"/>
        </w:rPr>
        <w:lastRenderedPageBreak/>
        <w:t xml:space="preserve">children. They say the theory implies that knowledge and development are achieved in a group setting. They claim that Vygotsky’s theory explains that there is only so much knowledge a pupil can gain alone, and guidance from teachers or peers makes pupils gain more knowledge. This is linked to the Zone of Proximal Development (ZPD). By working in groups, pupils can help each other move through the ZPD and gain further knowledge. However, due to the restrictions of the assistive device in this case study, the table layout hinders the way group work can occur. Although the pupil’s assistive device can allow them to move through the ZPD, it affects how they </w:t>
      </w:r>
      <w:r w:rsidR="00EF30EB">
        <w:rPr>
          <w:rFonts w:ascii="Times New Roman" w:eastAsia="Times New Roman" w:hAnsi="Times New Roman" w:cs="Times New Roman"/>
          <w:sz w:val="24"/>
          <w:szCs w:val="24"/>
        </w:rPr>
        <w:t>can interact with their peers.</w:t>
      </w:r>
    </w:p>
    <w:p w14:paraId="00000018" w14:textId="77777777" w:rsidR="00A0791A" w:rsidRDefault="00A0791A">
      <w:pPr>
        <w:spacing w:before="200" w:line="480" w:lineRule="auto"/>
        <w:jc w:val="both"/>
        <w:rPr>
          <w:rFonts w:ascii="Times New Roman" w:eastAsia="Times New Roman" w:hAnsi="Times New Roman" w:cs="Times New Roman"/>
          <w:sz w:val="24"/>
          <w:szCs w:val="24"/>
        </w:rPr>
      </w:pPr>
    </w:p>
    <w:p w14:paraId="00000019" w14:textId="77777777" w:rsidR="00A0791A" w:rsidRDefault="00000000">
      <w:pPr>
        <w:spacing w:before="200" w:line="48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u w:val="single"/>
        </w:rPr>
        <w:t>Teaching and Learning Methods</w:t>
      </w:r>
    </w:p>
    <w:p w14:paraId="0000001A" w14:textId="77777777" w:rsidR="00A0791A" w:rsidRDefault="00000000">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consideration I will take into my classroom is inclusive classroom strategies. I will pay extra attention to ALN-friendly strategies and tailor the lesson materials to accommodate the wide range of abilities in my classroom. I will also implement a flexible teaching approach that I will be able to cater to each need within my classroom. This will give pupils the tools they will need to succeed.  I will also set my classroom in a way that will encourage collaborative learning and provide time for peer work. This is important because it promotes social development for all in the class, not just the pupils with ALN. </w:t>
      </w:r>
    </w:p>
    <w:p w14:paraId="0000001B" w14:textId="77777777" w:rsidR="00A0791A" w:rsidRDefault="00000000">
      <w:pPr>
        <w:widowControl w:val="0"/>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nature of the case study, I think it is imperative to have an inclusive environment and ensure that pupils with ALN have the tools they need to succeed. Within this case study, the pupil's assistive device stopped working. If I have a pupil in my classroom who needs to use an assistive device, I will ensure that it works before each lesson or task to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the possible disruption to their learning. I will also gather extra specific and suitable resources for pupils with ALN.  I believe </w:t>
      </w:r>
      <w:r>
        <w:rPr>
          <w:rFonts w:ascii="Times New Roman" w:eastAsia="Times New Roman" w:hAnsi="Times New Roman" w:cs="Times New Roman"/>
          <w:sz w:val="24"/>
          <w:szCs w:val="24"/>
        </w:rPr>
        <w:lastRenderedPageBreak/>
        <w:t xml:space="preserve">that implementing particular support for pupils with ALN creates an inclusive classroom environment that promotes academic and social success. </w:t>
      </w:r>
    </w:p>
    <w:p w14:paraId="0000001C" w14:textId="77777777" w:rsidR="00A0791A" w:rsidRDefault="00000000">
      <w:pPr>
        <w:spacing w:before="200" w:line="48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The first teaching method that will be discussed is differentiated instruction. According to </w:t>
      </w:r>
      <w:proofErr w:type="spellStart"/>
      <w:r>
        <w:rPr>
          <w:rFonts w:ascii="Times New Roman" w:eastAsia="Times New Roman" w:hAnsi="Times New Roman" w:cs="Times New Roman"/>
          <w:color w:val="222222"/>
          <w:sz w:val="24"/>
          <w:szCs w:val="24"/>
          <w:highlight w:val="white"/>
        </w:rPr>
        <w:t>Suprayogi</w:t>
      </w:r>
      <w:proofErr w:type="spellEnd"/>
      <w:r>
        <w:rPr>
          <w:rFonts w:ascii="Times New Roman" w:eastAsia="Times New Roman" w:hAnsi="Times New Roman" w:cs="Times New Roman"/>
          <w:color w:val="222222"/>
          <w:sz w:val="24"/>
          <w:szCs w:val="24"/>
          <w:highlight w:val="white"/>
        </w:rPr>
        <w:t xml:space="preserve">, Valcke and Godwin (2017), differentiated instruction considers the differences between pupils, acknowledges their </w:t>
      </w:r>
      <w:proofErr w:type="gramStart"/>
      <w:r>
        <w:rPr>
          <w:rFonts w:ascii="Times New Roman" w:eastAsia="Times New Roman" w:hAnsi="Times New Roman" w:cs="Times New Roman"/>
          <w:color w:val="222222"/>
          <w:sz w:val="24"/>
          <w:szCs w:val="24"/>
          <w:highlight w:val="white"/>
        </w:rPr>
        <w:t>strengths</w:t>
      </w:r>
      <w:proofErr w:type="gramEnd"/>
      <w:r>
        <w:rPr>
          <w:rFonts w:ascii="Times New Roman" w:eastAsia="Times New Roman" w:hAnsi="Times New Roman" w:cs="Times New Roman"/>
          <w:color w:val="222222"/>
          <w:sz w:val="24"/>
          <w:szCs w:val="24"/>
          <w:highlight w:val="white"/>
        </w:rPr>
        <w:t xml:space="preserve"> and provides help for their weaknesses. They clarify that using a one-size-fits-all approach assumes that all pupils can be treated equally but does not consider the diverse needs of each pupil. Dixon et al. (2014) agree that teachers must adjust their teaching methods for different groups of pupils.</w:t>
      </w:r>
    </w:p>
    <w:p w14:paraId="0000001D" w14:textId="77777777" w:rsidR="00A0791A" w:rsidRDefault="00000000">
      <w:pPr>
        <w:spacing w:before="200" w:line="48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222222"/>
          <w:sz w:val="24"/>
          <w:szCs w:val="24"/>
          <w:highlight w:val="white"/>
        </w:rPr>
        <w:t xml:space="preserve">Dixon et al. (2014) mention that differentiated instruction provides pupils with opportunities to engage with information to develop their skills. They claim that differentiated instruction meets pupils' individual needs and </w:t>
      </w:r>
      <w:proofErr w:type="spellStart"/>
      <w:r>
        <w:rPr>
          <w:rFonts w:ascii="Times New Roman" w:eastAsia="Times New Roman" w:hAnsi="Times New Roman" w:cs="Times New Roman"/>
          <w:color w:val="222222"/>
          <w:sz w:val="24"/>
          <w:szCs w:val="24"/>
          <w:highlight w:val="white"/>
        </w:rPr>
        <w:t>maximises</w:t>
      </w:r>
      <w:proofErr w:type="spellEnd"/>
      <w:r>
        <w:rPr>
          <w:rFonts w:ascii="Times New Roman" w:eastAsia="Times New Roman" w:hAnsi="Times New Roman" w:cs="Times New Roman"/>
          <w:color w:val="222222"/>
          <w:sz w:val="24"/>
          <w:szCs w:val="24"/>
          <w:highlight w:val="white"/>
        </w:rPr>
        <w:t xml:space="preserve"> their time in the classroom. By using differentiated instruction, pupils can participate in the lesson in a more engaging way that suits their specific needs. This leads to improved understanding and development of skills. It also promotes an inclusive learning environment, especially for those with ALN. </w:t>
      </w:r>
    </w:p>
    <w:p w14:paraId="0000001E" w14:textId="54BDB49B" w:rsidR="00A0791A" w:rsidRDefault="00000000">
      <w:pPr>
        <w:spacing w:before="200" w:line="480" w:lineRule="auto"/>
        <w:jc w:val="both"/>
        <w:rPr>
          <w:rFonts w:ascii="Times New Roman" w:eastAsia="Times New Roman" w:hAnsi="Times New Roman" w:cs="Times New Roman"/>
          <w:color w:val="FF0000"/>
          <w:sz w:val="24"/>
          <w:szCs w:val="24"/>
        </w:rPr>
      </w:pPr>
      <w:proofErr w:type="spellStart"/>
      <w:r>
        <w:rPr>
          <w:rFonts w:ascii="Times New Roman" w:eastAsia="Times New Roman" w:hAnsi="Times New Roman" w:cs="Times New Roman"/>
          <w:color w:val="222222"/>
          <w:sz w:val="24"/>
          <w:szCs w:val="24"/>
          <w:highlight w:val="white"/>
        </w:rPr>
        <w:t>Suprayogi</w:t>
      </w:r>
      <w:proofErr w:type="spellEnd"/>
      <w:r>
        <w:rPr>
          <w:rFonts w:ascii="Times New Roman" w:eastAsia="Times New Roman" w:hAnsi="Times New Roman" w:cs="Times New Roman"/>
          <w:color w:val="222222"/>
          <w:sz w:val="24"/>
          <w:szCs w:val="24"/>
          <w:highlight w:val="white"/>
        </w:rPr>
        <w:t>, Valcke and Godwin (2017) mention that implementing differentiated teaching methods can be difficult because there are many</w:t>
      </w:r>
      <w:r w:rsidR="00442738">
        <w:rPr>
          <w:rFonts w:ascii="Times New Roman" w:eastAsia="Times New Roman" w:hAnsi="Times New Roman" w:cs="Times New Roman"/>
          <w:color w:val="222222"/>
          <w:sz w:val="24"/>
          <w:szCs w:val="24"/>
          <w:highlight w:val="white"/>
        </w:rPr>
        <w:t xml:space="preserve"> differences</w:t>
      </w:r>
      <w:r>
        <w:rPr>
          <w:rFonts w:ascii="Times New Roman" w:eastAsia="Times New Roman" w:hAnsi="Times New Roman" w:cs="Times New Roman"/>
          <w:color w:val="222222"/>
          <w:sz w:val="24"/>
          <w:szCs w:val="24"/>
          <w:highlight w:val="white"/>
        </w:rPr>
        <w:t xml:space="preserve"> between pupils. However, they </w:t>
      </w:r>
      <w:proofErr w:type="spellStart"/>
      <w:r>
        <w:rPr>
          <w:rFonts w:ascii="Times New Roman" w:eastAsia="Times New Roman" w:hAnsi="Times New Roman" w:cs="Times New Roman"/>
          <w:color w:val="222222"/>
          <w:sz w:val="24"/>
          <w:szCs w:val="24"/>
          <w:highlight w:val="white"/>
        </w:rPr>
        <w:t>recognise</w:t>
      </w:r>
      <w:proofErr w:type="spellEnd"/>
      <w:r>
        <w:rPr>
          <w:rFonts w:ascii="Times New Roman" w:eastAsia="Times New Roman" w:hAnsi="Times New Roman" w:cs="Times New Roman"/>
          <w:color w:val="222222"/>
          <w:sz w:val="24"/>
          <w:szCs w:val="24"/>
          <w:highlight w:val="white"/>
        </w:rPr>
        <w:t xml:space="preserve"> multiple ways a teacher can use differentiated teaching methods, such as ability tables. Dixon et al. (2014) emphasise that differentiated instruction requires teachers to be flexible, which can be challenging. </w:t>
      </w:r>
    </w:p>
    <w:p w14:paraId="0000001F" w14:textId="77777777" w:rsidR="00A0791A" w:rsidRDefault="00000000">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links to Vygotsky’s sociocultural theory. Jaramillo (1996) mentions that in Vygotsky’s sociocultural theory, social experiences shape how people think and interpret the world. They claim that individual cognition happens in social situations. This supports using group seating in </w:t>
      </w:r>
      <w:r>
        <w:rPr>
          <w:rFonts w:ascii="Times New Roman" w:eastAsia="Times New Roman" w:hAnsi="Times New Roman" w:cs="Times New Roman"/>
          <w:sz w:val="24"/>
          <w:szCs w:val="24"/>
        </w:rPr>
        <w:lastRenderedPageBreak/>
        <w:t xml:space="preserve">a classroom. They claim that the group is essential to learning so pupils can learn from more knowledgeable peers. </w:t>
      </w:r>
    </w:p>
    <w:p w14:paraId="00000020" w14:textId="77777777" w:rsidR="00A0791A" w:rsidRDefault="00000000">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teaching method that will be discussed is universal design for learning. According to Capp (2017), universal design for learning focuses on flexible teaching approaches that address classroom diversity. They claim that the majority of educational settings develop a core curriculum that excludes pupils with disabilities. They mention that the underlying principle of universal design is that there are multiple ways to represent knowledge in the learning process.</w:t>
      </w:r>
    </w:p>
    <w:p w14:paraId="00000021" w14:textId="17597DEA" w:rsidR="00A0791A" w:rsidRDefault="00000000">
      <w:pPr>
        <w:spacing w:before="200"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Rao, </w:t>
      </w:r>
      <w:proofErr w:type="gramStart"/>
      <w:r>
        <w:rPr>
          <w:rFonts w:ascii="Times New Roman" w:eastAsia="Times New Roman" w:hAnsi="Times New Roman" w:cs="Times New Roman"/>
          <w:color w:val="222222"/>
          <w:sz w:val="24"/>
          <w:szCs w:val="24"/>
          <w:highlight w:val="white"/>
        </w:rPr>
        <w:t>Ok</w:t>
      </w:r>
      <w:proofErr w:type="gramEnd"/>
      <w:r>
        <w:rPr>
          <w:rFonts w:ascii="Times New Roman" w:eastAsia="Times New Roman" w:hAnsi="Times New Roman" w:cs="Times New Roman"/>
          <w:color w:val="222222"/>
          <w:sz w:val="24"/>
          <w:szCs w:val="24"/>
          <w:highlight w:val="white"/>
        </w:rPr>
        <w:t xml:space="preserve">, and Bryant (2014) claim that universal design for learning allows pupils with disabilities to access the general curriculum. They say it focuses on cognitive access and highlights how resources, teaching and designing a flexible curriculum can address pupils' needs and support a diverse range of pupils. They emphasise that universal design can be applied to any area of teaching and learning, for example, resources, </w:t>
      </w:r>
      <w:proofErr w:type="gramStart"/>
      <w:r>
        <w:rPr>
          <w:rFonts w:ascii="Times New Roman" w:eastAsia="Times New Roman" w:hAnsi="Times New Roman" w:cs="Times New Roman"/>
          <w:color w:val="222222"/>
          <w:sz w:val="24"/>
          <w:szCs w:val="24"/>
          <w:highlight w:val="white"/>
        </w:rPr>
        <w:t>strategies</w:t>
      </w:r>
      <w:proofErr w:type="gramEnd"/>
      <w:r>
        <w:rPr>
          <w:rFonts w:ascii="Times New Roman" w:eastAsia="Times New Roman" w:hAnsi="Times New Roman" w:cs="Times New Roman"/>
          <w:color w:val="222222"/>
          <w:sz w:val="24"/>
          <w:szCs w:val="24"/>
          <w:highlight w:val="white"/>
        </w:rPr>
        <w:t xml:space="preserve"> and assessments.  Rose (2000) claims that in a curriculum that is universally designed, representation, expression, and engagement can be available as a normal part of the learning environment. They mention that universally designed assessment allows pupils to express better what they know, making the assessment more accessible to them. </w:t>
      </w:r>
      <w:proofErr w:type="spellStart"/>
      <w:r>
        <w:rPr>
          <w:rFonts w:ascii="Times New Roman" w:eastAsia="Times New Roman" w:hAnsi="Times New Roman" w:cs="Times New Roman"/>
          <w:color w:val="222222"/>
          <w:sz w:val="24"/>
          <w:szCs w:val="24"/>
          <w:highlight w:val="white"/>
        </w:rPr>
        <w:t>Ralabate</w:t>
      </w:r>
      <w:proofErr w:type="spellEnd"/>
      <w:r>
        <w:rPr>
          <w:rFonts w:ascii="Times New Roman" w:eastAsia="Times New Roman" w:hAnsi="Times New Roman" w:cs="Times New Roman"/>
          <w:color w:val="222222"/>
          <w:sz w:val="24"/>
          <w:szCs w:val="24"/>
          <w:highlight w:val="white"/>
        </w:rPr>
        <w:t xml:space="preserve"> (2011) notes that the universal design for learning framework provides a flexible and responsive curriculum which reduces and eliminates barriers to learning. They say that by using universal design for learning approaches, pupils are more engaged in their education, achieving at higher levels and are more motivated. </w:t>
      </w:r>
    </w:p>
    <w:p w14:paraId="00000022" w14:textId="77777777" w:rsidR="00A0791A" w:rsidRDefault="00000000">
      <w:pPr>
        <w:spacing w:before="200"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Universal design for learning can be linked to the constructivist educational theory. Ahmad, Sultana, and Jamil (2020) mention that the constructivist theory focuses on how knowledge is constructed based on experiences and relations with the environment. This links to universal </w:t>
      </w:r>
      <w:r>
        <w:rPr>
          <w:rFonts w:ascii="Times New Roman" w:eastAsia="Times New Roman" w:hAnsi="Times New Roman" w:cs="Times New Roman"/>
          <w:color w:val="222222"/>
          <w:sz w:val="24"/>
          <w:szCs w:val="24"/>
          <w:highlight w:val="white"/>
        </w:rPr>
        <w:lastRenderedPageBreak/>
        <w:t xml:space="preserve">design for learning because offering different ways that facilitate pupil learning gives pupils the chance to construct knowledge in a way that is effective and meaningful for them. </w:t>
      </w:r>
    </w:p>
    <w:p w14:paraId="00000023" w14:textId="77777777" w:rsidR="00A0791A" w:rsidRDefault="00A0791A">
      <w:pPr>
        <w:spacing w:before="200" w:line="480" w:lineRule="auto"/>
        <w:jc w:val="both"/>
        <w:rPr>
          <w:rFonts w:ascii="Times New Roman" w:eastAsia="Times New Roman" w:hAnsi="Times New Roman" w:cs="Times New Roman"/>
          <w:color w:val="222222"/>
          <w:sz w:val="24"/>
          <w:szCs w:val="24"/>
          <w:highlight w:val="white"/>
        </w:rPr>
      </w:pPr>
    </w:p>
    <w:p w14:paraId="00000024" w14:textId="77777777" w:rsidR="00A0791A" w:rsidRDefault="00000000">
      <w:pPr>
        <w:spacing w:before="200" w:line="48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Discussion </w:t>
      </w:r>
    </w:p>
    <w:p w14:paraId="00000025" w14:textId="77777777" w:rsidR="00A0791A" w:rsidRDefault="00000000">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philosophy of education is that education should prepare children for the society in which we live. No matter what, children will be thrown into ‘real life’, and they will need the tools not only to survive but to thrive. This is the case for all children, including those with ALN. The philosophy of education I most identify with is social reconstruction. According to </w:t>
      </w:r>
      <w:r>
        <w:rPr>
          <w:rFonts w:ascii="Times New Roman" w:eastAsia="Times New Roman" w:hAnsi="Times New Roman" w:cs="Times New Roman"/>
          <w:color w:val="222222"/>
          <w:sz w:val="24"/>
          <w:szCs w:val="24"/>
        </w:rPr>
        <w:t xml:space="preserve">Sutinen (2014), the social reconstructionist philosophy of education focuses on the relationship between education and society. Social </w:t>
      </w:r>
      <w:proofErr w:type="spellStart"/>
      <w:r>
        <w:rPr>
          <w:rFonts w:ascii="Times New Roman" w:eastAsia="Times New Roman" w:hAnsi="Times New Roman" w:cs="Times New Roman"/>
          <w:color w:val="222222"/>
          <w:sz w:val="24"/>
          <w:szCs w:val="24"/>
        </w:rPr>
        <w:t>reconstructionists</w:t>
      </w:r>
      <w:proofErr w:type="spellEnd"/>
      <w:r>
        <w:rPr>
          <w:rFonts w:ascii="Times New Roman" w:eastAsia="Times New Roman" w:hAnsi="Times New Roman" w:cs="Times New Roman"/>
          <w:color w:val="222222"/>
          <w:sz w:val="24"/>
          <w:szCs w:val="24"/>
        </w:rPr>
        <w:t xml:space="preserve"> believe that the function of education is to </w:t>
      </w:r>
      <w:proofErr w:type="spellStart"/>
      <w:r>
        <w:rPr>
          <w:rFonts w:ascii="Times New Roman" w:eastAsia="Times New Roman" w:hAnsi="Times New Roman" w:cs="Times New Roman"/>
          <w:color w:val="222222"/>
          <w:sz w:val="24"/>
          <w:szCs w:val="24"/>
        </w:rPr>
        <w:t>socialise</w:t>
      </w:r>
      <w:proofErr w:type="spellEnd"/>
      <w:r>
        <w:rPr>
          <w:rFonts w:ascii="Times New Roman" w:eastAsia="Times New Roman" w:hAnsi="Times New Roman" w:cs="Times New Roman"/>
          <w:color w:val="222222"/>
          <w:sz w:val="24"/>
          <w:szCs w:val="24"/>
        </w:rPr>
        <w:t xml:space="preserve"> children. In terms of ALN, the social reconstructionist theory allows pupils to </w:t>
      </w:r>
      <w:proofErr w:type="spellStart"/>
      <w:r>
        <w:rPr>
          <w:rFonts w:ascii="Times New Roman" w:eastAsia="Times New Roman" w:hAnsi="Times New Roman" w:cs="Times New Roman"/>
          <w:color w:val="222222"/>
          <w:sz w:val="24"/>
          <w:szCs w:val="24"/>
        </w:rPr>
        <w:t>socialise</w:t>
      </w:r>
      <w:proofErr w:type="spellEnd"/>
      <w:r>
        <w:rPr>
          <w:rFonts w:ascii="Times New Roman" w:eastAsia="Times New Roman" w:hAnsi="Times New Roman" w:cs="Times New Roman"/>
          <w:color w:val="222222"/>
          <w:sz w:val="24"/>
          <w:szCs w:val="24"/>
        </w:rPr>
        <w:t xml:space="preserve"> with their peers, which creates an inclusive classroom environment. The case study I </w:t>
      </w:r>
      <w:proofErr w:type="spellStart"/>
      <w:r>
        <w:rPr>
          <w:rFonts w:ascii="Times New Roman" w:eastAsia="Times New Roman" w:hAnsi="Times New Roman" w:cs="Times New Roman"/>
          <w:color w:val="222222"/>
          <w:sz w:val="24"/>
          <w:szCs w:val="24"/>
        </w:rPr>
        <w:t>focussed</w:t>
      </w:r>
      <w:proofErr w:type="spellEnd"/>
      <w:r>
        <w:rPr>
          <w:rFonts w:ascii="Times New Roman" w:eastAsia="Times New Roman" w:hAnsi="Times New Roman" w:cs="Times New Roman"/>
          <w:color w:val="222222"/>
          <w:sz w:val="24"/>
          <w:szCs w:val="24"/>
        </w:rPr>
        <w:t xml:space="preserve"> on made me think about how pupils with ALN need the tools necessary to thrive in the classroom, not only with their learning but also with their </w:t>
      </w:r>
      <w:proofErr w:type="spellStart"/>
      <w:r>
        <w:rPr>
          <w:rFonts w:ascii="Times New Roman" w:eastAsia="Times New Roman" w:hAnsi="Times New Roman" w:cs="Times New Roman"/>
          <w:color w:val="222222"/>
          <w:sz w:val="24"/>
          <w:szCs w:val="24"/>
        </w:rPr>
        <w:t>socialisation</w:t>
      </w:r>
      <w:proofErr w:type="spellEnd"/>
      <w:r>
        <w:rPr>
          <w:rFonts w:ascii="Times New Roman" w:eastAsia="Times New Roman" w:hAnsi="Times New Roman" w:cs="Times New Roman"/>
          <w:color w:val="222222"/>
          <w:sz w:val="24"/>
          <w:szCs w:val="24"/>
        </w:rPr>
        <w:t xml:space="preserve">. I have come to </w:t>
      </w:r>
      <w:proofErr w:type="spellStart"/>
      <w:r>
        <w:rPr>
          <w:rFonts w:ascii="Times New Roman" w:eastAsia="Times New Roman" w:hAnsi="Times New Roman" w:cs="Times New Roman"/>
          <w:color w:val="222222"/>
          <w:sz w:val="24"/>
          <w:szCs w:val="24"/>
        </w:rPr>
        <w:t>realise</w:t>
      </w:r>
      <w:proofErr w:type="spellEnd"/>
      <w:r>
        <w:rPr>
          <w:rFonts w:ascii="Times New Roman" w:eastAsia="Times New Roman" w:hAnsi="Times New Roman" w:cs="Times New Roman"/>
          <w:color w:val="222222"/>
          <w:sz w:val="24"/>
          <w:szCs w:val="24"/>
        </w:rPr>
        <w:t xml:space="preserve"> that providing the tools that pupils need to learn increases their social interaction. Within this case study, providing the pupil with an assistive technology device allows them to access the same information as their peers, which will enable them to participate fully, especially in group work.</w:t>
      </w:r>
    </w:p>
    <w:p w14:paraId="00000026" w14:textId="04027398" w:rsidR="00A0791A" w:rsidRDefault="00000000">
      <w:pPr>
        <w:spacing w:before="200" w:line="48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The main considerations I will take into the classroom are being adaptive in my lessons and differentiation. In my current placement, there are no pupils who use adaptive technology like in the case study, but there are pupils who have ALN. It is essential that these pupils can access the same information their peers can. The main strategy I have been using in my placement to support pupils with ALN is differentiation. For example, providing pupils with different worksheets. The </w:t>
      </w:r>
      <w:r>
        <w:rPr>
          <w:rFonts w:ascii="Times New Roman" w:eastAsia="Times New Roman" w:hAnsi="Times New Roman" w:cs="Times New Roman"/>
          <w:sz w:val="24"/>
          <w:szCs w:val="24"/>
        </w:rPr>
        <w:lastRenderedPageBreak/>
        <w:t xml:space="preserve">most important thing for helping pupils with ALN is getting to know them and what </w:t>
      </w:r>
      <w:r w:rsidR="00C83168">
        <w:rPr>
          <w:rFonts w:ascii="Times New Roman" w:eastAsia="Times New Roman" w:hAnsi="Times New Roman" w:cs="Times New Roman"/>
          <w:sz w:val="24"/>
          <w:szCs w:val="24"/>
        </w:rPr>
        <w:t xml:space="preserve">is needed for </w:t>
      </w:r>
      <w:r>
        <w:rPr>
          <w:rFonts w:ascii="Times New Roman" w:eastAsia="Times New Roman" w:hAnsi="Times New Roman" w:cs="Times New Roman"/>
          <w:sz w:val="24"/>
          <w:szCs w:val="24"/>
        </w:rPr>
        <w:t>them to thrive. However, this does take time. I also think constantly reviewing my teaching is essential, and being flexible to make changes will help my pupils succeed.</w:t>
      </w:r>
    </w:p>
    <w:p w14:paraId="00000027" w14:textId="77777777" w:rsidR="00A0791A" w:rsidRDefault="00000000">
      <w:pPr>
        <w:spacing w:before="200" w:line="48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According to Mulholland and O’Connor (2016), inclusive education is the most accepted form of education for pupils with ALN. Inclusive education makes pupils with ALN feel welcomed, and they can access the support and resources they need. Donnelly et al. (2016) agree, mentioning that throughout the world, inclusion has been an accepted educational practice. However, they emphasise that although there is an increase in the focus on inclusion, there are still questions about a universally agreed definition. They do mention that the common understanding of inclusion does focus on including pupils with ALN in mainstream education. They also emphasise that the most crucial factor to inclusion is teachers' attitudes and beliefs about how pupils learn and their abilities to support pupils with ALN. </w:t>
      </w:r>
    </w:p>
    <w:p w14:paraId="00000028" w14:textId="437FFEE6" w:rsidR="00A0791A" w:rsidRDefault="00000000">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Welsh Government has established 12 pedagogical principles for teachers to adhere to. The first pedagogical principle that influenced me, due to the case study, is “challenges all learners by encouraging them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the importance of sustained effort in meeting expectations that are high but achievable for them” (Welsh Government, 2023).  As previously mentioned, inclusion is essential in the classroom as it gives all pupils the chance to learn. Setting work that is suitable for each pupil allows them to succeed. However, it is crucial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that every pupil is different, so the same work will not work for everyone in the class.  The </w:t>
      </w:r>
      <w:r w:rsidR="00B22E09">
        <w:rPr>
          <w:rFonts w:ascii="Times New Roman" w:eastAsia="Times New Roman" w:hAnsi="Times New Roman" w:cs="Times New Roman"/>
          <w:sz w:val="24"/>
          <w:szCs w:val="24"/>
        </w:rPr>
        <w:t>next</w:t>
      </w:r>
      <w:r>
        <w:rPr>
          <w:rFonts w:ascii="Times New Roman" w:eastAsia="Times New Roman" w:hAnsi="Times New Roman" w:cs="Times New Roman"/>
          <w:sz w:val="24"/>
          <w:szCs w:val="24"/>
        </w:rPr>
        <w:t xml:space="preserve"> pedagogical principles that influenced me because of the case study are “supports social and emotional development and positive relationships” and “encourages collaboration” (Welsh Government, 2023). A lot of pupils with ALN struggle socially, so it is essential to allow pupils to collaborate and talk with each other because not only can it further their academic understanding, but it can foster social relationships. </w:t>
      </w:r>
    </w:p>
    <w:p w14:paraId="00000029" w14:textId="77777777" w:rsidR="00A0791A" w:rsidRDefault="00A0791A">
      <w:pPr>
        <w:spacing w:before="200" w:line="480" w:lineRule="auto"/>
        <w:jc w:val="both"/>
        <w:rPr>
          <w:rFonts w:ascii="Times New Roman" w:eastAsia="Times New Roman" w:hAnsi="Times New Roman" w:cs="Times New Roman"/>
          <w:sz w:val="24"/>
          <w:szCs w:val="24"/>
        </w:rPr>
      </w:pPr>
    </w:p>
    <w:p w14:paraId="0000002A" w14:textId="77777777" w:rsidR="00A0791A" w:rsidRDefault="00000000">
      <w:pPr>
        <w:spacing w:before="200" w:line="48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Conclusion</w:t>
      </w:r>
    </w:p>
    <w:p w14:paraId="0000002B" w14:textId="77777777" w:rsidR="00A0791A" w:rsidRDefault="00000000">
      <w:pPr>
        <w:widowControl w:val="0"/>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teaching and learning methods that were discussed in this essay were using inclusive classroom strategies. When using inclusive classroom strategies, the teacher must be adaptable. An inclusive classroom allows pupils with ALN to be included with their peers and gives them the tools to succeed. This impacts the social development of pupils with and without ALN.</w:t>
      </w:r>
    </w:p>
    <w:p w14:paraId="0000002C" w14:textId="77777777" w:rsidR="00A0791A" w:rsidRDefault="00000000">
      <w:pPr>
        <w:widowControl w:val="0"/>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critical incident has increased my knowledge of Vygotsky’s social development theory. It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the idea that children learn best by interacting with their peers. The Zone of Proximal Development (ZPD) is a key factor in supporting this. Bronfenbrenner’s ecological systems theory also showed me that social surroundings impact learning. This is particularly important for pupils with ALN. The critical incident also supported my understanding of ALN through the medical and social models of disability. The models made me understand how ALN is viewed in society.</w:t>
      </w:r>
    </w:p>
    <w:p w14:paraId="0000002D" w14:textId="1E16624E" w:rsidR="00A0791A" w:rsidRDefault="00000000">
      <w:pPr>
        <w:widowControl w:val="0"/>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philosophy of education links to the case study as I believe that all children should be able to </w:t>
      </w:r>
      <w:r w:rsidR="000A194B">
        <w:rPr>
          <w:rFonts w:ascii="Times New Roman" w:eastAsia="Times New Roman" w:hAnsi="Times New Roman" w:cs="Times New Roman"/>
          <w:sz w:val="24"/>
          <w:szCs w:val="24"/>
        </w:rPr>
        <w:t>thrive. The</w:t>
      </w:r>
      <w:r>
        <w:rPr>
          <w:rFonts w:ascii="Times New Roman" w:eastAsia="Times New Roman" w:hAnsi="Times New Roman" w:cs="Times New Roman"/>
          <w:sz w:val="24"/>
          <w:szCs w:val="24"/>
        </w:rPr>
        <w:t xml:space="preserve"> professional standards that I will focus on more because the case study focuses on encouraging and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pupils' differences in the classroom and providing appropriate work for each pupil that allows them to reach their own goals. The other pedagogical principles discussed focused on how pupils need to develop socially and how encouraging collaboration is an important factor in this. </w:t>
      </w:r>
    </w:p>
    <w:p w14:paraId="0000002E" w14:textId="77777777" w:rsidR="00A0791A" w:rsidRDefault="00000000">
      <w:pPr>
        <w:widowControl w:val="0"/>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the case study has impacted my teaching practices for my current placement and beyond. The key element I will take into my teaching practice is ensuring that I am inclusive. All pupils need to be included in the classroom so they can thrive. I will also be more vigilant in ensuring that pupils with ALN have all the necessary tools to succeed. </w:t>
      </w:r>
    </w:p>
    <w:p w14:paraId="2B9638FC" w14:textId="1221729E" w:rsidR="00C56555" w:rsidRPr="00C56555" w:rsidRDefault="00C56555" w:rsidP="00C56555">
      <w:pPr>
        <w:pStyle w:val="NormalWeb"/>
        <w:spacing w:before="0" w:beforeAutospacing="0" w:after="240" w:afterAutospacing="0" w:line="360" w:lineRule="auto"/>
        <w:rPr>
          <w:u w:val="single"/>
        </w:rPr>
      </w:pPr>
      <w:r>
        <w:rPr>
          <w:u w:val="single"/>
        </w:rPr>
        <w:lastRenderedPageBreak/>
        <w:t>References</w:t>
      </w:r>
    </w:p>
    <w:p w14:paraId="194A97CA" w14:textId="5AC0A567" w:rsidR="00C56555" w:rsidRDefault="00C56555" w:rsidP="00C56555">
      <w:pPr>
        <w:pStyle w:val="NormalWeb"/>
        <w:spacing w:before="0" w:beforeAutospacing="0" w:after="240" w:afterAutospacing="0" w:line="360" w:lineRule="auto"/>
      </w:pPr>
      <w:r>
        <w:t xml:space="preserve">Ahmad, S., Sultana, N. and Jamil, S. (2020). </w:t>
      </w:r>
      <w:proofErr w:type="spellStart"/>
      <w:r>
        <w:t>Behaviorism</w:t>
      </w:r>
      <w:proofErr w:type="spellEnd"/>
      <w:r>
        <w:t xml:space="preserve"> vs Constructivism: A Paradigm Shift from Traditional to Alternative Assessment Techniques. </w:t>
      </w:r>
      <w:r>
        <w:rPr>
          <w:i/>
          <w:iCs/>
        </w:rPr>
        <w:t>Journal of Applied Linguistics and Language Research</w:t>
      </w:r>
      <w:r>
        <w:t>, 7(2), pp.19–33.</w:t>
      </w:r>
    </w:p>
    <w:p w14:paraId="5DADE371" w14:textId="77777777" w:rsidR="00C56555" w:rsidRDefault="00C56555" w:rsidP="00C56555">
      <w:pPr>
        <w:pStyle w:val="NormalWeb"/>
        <w:spacing w:before="0" w:beforeAutospacing="0" w:after="240" w:afterAutospacing="0" w:line="360" w:lineRule="auto"/>
      </w:pPr>
      <w:r>
        <w:t xml:space="preserve">Bada, S.O. and Olusegun, S. (2015). Constructivism Learning Theory: </w:t>
      </w:r>
      <w:proofErr w:type="gramStart"/>
      <w:r>
        <w:t>a</w:t>
      </w:r>
      <w:proofErr w:type="gramEnd"/>
      <w:r>
        <w:t xml:space="preserve"> Paradigm for Teaching and Learning. </w:t>
      </w:r>
      <w:r>
        <w:rPr>
          <w:i/>
          <w:iCs/>
        </w:rPr>
        <w:t>Journal of Research &amp; Method in Education</w:t>
      </w:r>
      <w:r>
        <w:t xml:space="preserve">, 5(6), pp.66–70. </w:t>
      </w:r>
      <w:proofErr w:type="spellStart"/>
      <w:proofErr w:type="gramStart"/>
      <w:r>
        <w:t>doi:https</w:t>
      </w:r>
      <w:proofErr w:type="spellEnd"/>
      <w:r>
        <w:t>://doi.org/10.9790/7388-05616670</w:t>
      </w:r>
      <w:proofErr w:type="gramEnd"/>
      <w:r>
        <w:t>.</w:t>
      </w:r>
    </w:p>
    <w:p w14:paraId="72FB55B1" w14:textId="77777777" w:rsidR="00C56555" w:rsidRDefault="00C56555" w:rsidP="00C56555">
      <w:pPr>
        <w:pStyle w:val="NormalWeb"/>
        <w:spacing w:before="0" w:beforeAutospacing="0" w:after="240" w:afterAutospacing="0" w:line="360" w:lineRule="auto"/>
      </w:pPr>
      <w:r>
        <w:t xml:space="preserve">Barnett, S. (2019). Application of Vygotsky’s Social Development Theory. </w:t>
      </w:r>
      <w:r>
        <w:rPr>
          <w:i/>
          <w:iCs/>
        </w:rPr>
        <w:t>Journal of Education and Practice</w:t>
      </w:r>
      <w:r>
        <w:t xml:space="preserve">, 10(35). </w:t>
      </w:r>
      <w:proofErr w:type="spellStart"/>
      <w:proofErr w:type="gramStart"/>
      <w:r>
        <w:t>doi:https</w:t>
      </w:r>
      <w:proofErr w:type="spellEnd"/>
      <w:r>
        <w:t>://doi.org/10.7176/</w:t>
      </w:r>
      <w:proofErr w:type="spellStart"/>
      <w:r>
        <w:t>jep</w:t>
      </w:r>
      <w:proofErr w:type="spellEnd"/>
      <w:r>
        <w:t>/10-35-01</w:t>
      </w:r>
      <w:proofErr w:type="gramEnd"/>
      <w:r>
        <w:t>.</w:t>
      </w:r>
    </w:p>
    <w:p w14:paraId="2F1359DE" w14:textId="77777777" w:rsidR="00C56555" w:rsidRDefault="00C56555" w:rsidP="00C56555">
      <w:pPr>
        <w:pStyle w:val="NormalWeb"/>
        <w:spacing w:before="0" w:beforeAutospacing="0" w:after="240" w:afterAutospacing="0" w:line="360" w:lineRule="auto"/>
      </w:pPr>
      <w:proofErr w:type="spellStart"/>
      <w:r>
        <w:t>Bruster</w:t>
      </w:r>
      <w:proofErr w:type="spellEnd"/>
      <w:r>
        <w:t xml:space="preserve">, B.G. and Peterson, B.R. (2013). Using critical incidents in teaching to promote reflective practice. </w:t>
      </w:r>
      <w:r>
        <w:rPr>
          <w:i/>
          <w:iCs/>
        </w:rPr>
        <w:t>Reflective Practice</w:t>
      </w:r>
      <w:r>
        <w:t xml:space="preserve">, 14(2), pp.170–182. </w:t>
      </w:r>
      <w:proofErr w:type="spellStart"/>
      <w:proofErr w:type="gramStart"/>
      <w:r>
        <w:t>doi:https</w:t>
      </w:r>
      <w:proofErr w:type="spellEnd"/>
      <w:r>
        <w:t>://doi.org/10.1080/14623943.2012.732945</w:t>
      </w:r>
      <w:proofErr w:type="gramEnd"/>
      <w:r>
        <w:t>.</w:t>
      </w:r>
    </w:p>
    <w:p w14:paraId="146B6926" w14:textId="77777777" w:rsidR="00C56555" w:rsidRDefault="00C56555" w:rsidP="00C56555">
      <w:pPr>
        <w:pStyle w:val="NormalWeb"/>
        <w:spacing w:before="0" w:beforeAutospacing="0" w:after="240" w:afterAutospacing="0" w:line="360" w:lineRule="auto"/>
      </w:pPr>
      <w:r>
        <w:t xml:space="preserve">Capp, M.J. (2017). The effectiveness of universal design for learning: a meta-analysis of literature between 2013 and 2016. </w:t>
      </w:r>
      <w:r>
        <w:rPr>
          <w:i/>
          <w:iCs/>
        </w:rPr>
        <w:t>International Journal of Inclusive Education</w:t>
      </w:r>
      <w:r>
        <w:t xml:space="preserve">, 21(8), pp.791–807. </w:t>
      </w:r>
      <w:proofErr w:type="spellStart"/>
      <w:proofErr w:type="gramStart"/>
      <w:r>
        <w:t>doi:https</w:t>
      </w:r>
      <w:proofErr w:type="spellEnd"/>
      <w:r>
        <w:t>://doi.org/10.1080/13603116.2017.1325074</w:t>
      </w:r>
      <w:proofErr w:type="gramEnd"/>
      <w:r>
        <w:t>.</w:t>
      </w:r>
    </w:p>
    <w:p w14:paraId="77ADA5ED" w14:textId="77777777" w:rsidR="00C56555" w:rsidRDefault="00C56555" w:rsidP="00C56555">
      <w:pPr>
        <w:pStyle w:val="NormalWeb"/>
        <w:spacing w:before="0" w:beforeAutospacing="0" w:after="240" w:afterAutospacing="0" w:line="360" w:lineRule="auto"/>
      </w:pPr>
      <w:r>
        <w:t xml:space="preserve">Christensen, J. (2016). A CRITICAL REFLECTION OF BRONFENBRENNER´S DEVELOPMENT ECOLOGY MODEL. </w:t>
      </w:r>
      <w:r>
        <w:rPr>
          <w:i/>
          <w:iCs/>
        </w:rPr>
        <w:t>Problems of Education in the 21st Century</w:t>
      </w:r>
      <w:r>
        <w:t xml:space="preserve">, [online] 69(1), pp.22–28. </w:t>
      </w:r>
      <w:proofErr w:type="spellStart"/>
      <w:proofErr w:type="gramStart"/>
      <w:r>
        <w:t>doi:https</w:t>
      </w:r>
      <w:proofErr w:type="spellEnd"/>
      <w:r>
        <w:t>://doi.org/10.33225/pec/16.69.22</w:t>
      </w:r>
      <w:proofErr w:type="gramEnd"/>
      <w:r>
        <w:t>.</w:t>
      </w:r>
    </w:p>
    <w:p w14:paraId="5BC36E1B" w14:textId="77777777" w:rsidR="00C56555" w:rsidRDefault="00C56555" w:rsidP="00C56555">
      <w:pPr>
        <w:pStyle w:val="NormalWeb"/>
        <w:spacing w:before="0" w:beforeAutospacing="0" w:after="240" w:afterAutospacing="0" w:line="360" w:lineRule="auto"/>
      </w:pPr>
      <w:r>
        <w:t xml:space="preserve">Conn, C. and Hutt, M. (2020). Successful futures for all? Additional learning needs in Wales in the light of curriculum reform. </w:t>
      </w:r>
      <w:r>
        <w:rPr>
          <w:i/>
          <w:iCs/>
        </w:rPr>
        <w:t>British Journal of Special Education</w:t>
      </w:r>
      <w:r>
        <w:t xml:space="preserve">, 47(2). </w:t>
      </w:r>
      <w:proofErr w:type="spellStart"/>
      <w:proofErr w:type="gramStart"/>
      <w:r>
        <w:t>doi:https</w:t>
      </w:r>
      <w:proofErr w:type="spellEnd"/>
      <w:r>
        <w:t>://doi.org/10.1111/1467-8578.12307</w:t>
      </w:r>
      <w:proofErr w:type="gramEnd"/>
      <w:r>
        <w:t>.</w:t>
      </w:r>
    </w:p>
    <w:p w14:paraId="7363E922" w14:textId="77777777" w:rsidR="00C56555" w:rsidRDefault="00C56555" w:rsidP="00C56555">
      <w:pPr>
        <w:pStyle w:val="NormalWeb"/>
        <w:spacing w:before="0" w:beforeAutospacing="0" w:after="240" w:afterAutospacing="0" w:line="360" w:lineRule="auto"/>
      </w:pPr>
      <w:r>
        <w:t xml:space="preserve">Dixon, F.A., </w:t>
      </w:r>
      <w:proofErr w:type="spellStart"/>
      <w:r>
        <w:t>Yssel</w:t>
      </w:r>
      <w:proofErr w:type="spellEnd"/>
      <w:r>
        <w:t xml:space="preserve">, N., McConnell, J.M. and Hardin, T. (2014). Differentiated Instruction, Professional Development, and Teacher Efficacy. </w:t>
      </w:r>
      <w:r>
        <w:rPr>
          <w:i/>
          <w:iCs/>
        </w:rPr>
        <w:t>Journal for the Education of the Gifted</w:t>
      </w:r>
      <w:r>
        <w:t xml:space="preserve">, 37(2), pp.111–127. </w:t>
      </w:r>
      <w:proofErr w:type="spellStart"/>
      <w:proofErr w:type="gramStart"/>
      <w:r>
        <w:t>doi:https</w:t>
      </w:r>
      <w:proofErr w:type="spellEnd"/>
      <w:r>
        <w:t>://doi.org/10.1177/0162353214529042</w:t>
      </w:r>
      <w:proofErr w:type="gramEnd"/>
      <w:r>
        <w:t>.</w:t>
      </w:r>
    </w:p>
    <w:p w14:paraId="5AF3A9B2" w14:textId="77777777" w:rsidR="00C56555" w:rsidRDefault="00C56555" w:rsidP="00C56555">
      <w:pPr>
        <w:pStyle w:val="NormalWeb"/>
        <w:spacing w:before="0" w:beforeAutospacing="0" w:after="240" w:afterAutospacing="0" w:line="360" w:lineRule="auto"/>
      </w:pPr>
      <w:r>
        <w:lastRenderedPageBreak/>
        <w:t xml:space="preserve">Donnelly, A., Holland, E., King, F., Tapper </w:t>
      </w:r>
      <w:proofErr w:type="spellStart"/>
      <w:r>
        <w:t>Clasborn</w:t>
      </w:r>
      <w:proofErr w:type="spellEnd"/>
      <w:r>
        <w:t xml:space="preserve">, A.K.M., Lunney, E., Higgins, J., Gormley, L., Harford, L. and McElvaney, M. (2019). Inspiring Inclusion in Your Classroom and Beyond. </w:t>
      </w:r>
      <w:r>
        <w:rPr>
          <w:i/>
          <w:iCs/>
        </w:rPr>
        <w:t>International Journal of Teacher Leadership</w:t>
      </w:r>
      <w:r>
        <w:t>, 10(2), pp.28–55.</w:t>
      </w:r>
    </w:p>
    <w:p w14:paraId="50C204AE" w14:textId="77777777" w:rsidR="00C56555" w:rsidRDefault="00C56555" w:rsidP="00C56555">
      <w:pPr>
        <w:pStyle w:val="NormalWeb"/>
        <w:spacing w:before="0" w:beforeAutospacing="0" w:after="240" w:afterAutospacing="0" w:line="360" w:lineRule="auto"/>
      </w:pPr>
      <w:proofErr w:type="spellStart"/>
      <w:r>
        <w:t>Efgivia</w:t>
      </w:r>
      <w:proofErr w:type="spellEnd"/>
      <w:r>
        <w:t xml:space="preserve">, M.G., </w:t>
      </w:r>
      <w:proofErr w:type="spellStart"/>
      <w:r>
        <w:t>Rinanda</w:t>
      </w:r>
      <w:proofErr w:type="spellEnd"/>
      <w:r>
        <w:t xml:space="preserve">, R.Y.A., Suriyani, Hidayat, A., Maulana, I. and </w:t>
      </w:r>
      <w:proofErr w:type="spellStart"/>
      <w:r>
        <w:t>Budiarjo</w:t>
      </w:r>
      <w:proofErr w:type="spellEnd"/>
      <w:r>
        <w:t xml:space="preserve">, A. (2021). </w:t>
      </w:r>
      <w:r>
        <w:rPr>
          <w:i/>
          <w:iCs/>
        </w:rPr>
        <w:t>Analysis of Constructivism Learning Theory</w:t>
      </w:r>
      <w:r>
        <w:t xml:space="preserve">. [online] www.atlantis-press.com. </w:t>
      </w:r>
      <w:proofErr w:type="spellStart"/>
      <w:proofErr w:type="gramStart"/>
      <w:r>
        <w:t>doi:https</w:t>
      </w:r>
      <w:proofErr w:type="spellEnd"/>
      <w:r>
        <w:t>://doi.org/10.2991/assehr.k.211020.032</w:t>
      </w:r>
      <w:proofErr w:type="gramEnd"/>
      <w:r>
        <w:t>.</w:t>
      </w:r>
    </w:p>
    <w:p w14:paraId="3E3A5A15" w14:textId="77777777" w:rsidR="00C56555" w:rsidRDefault="00C56555" w:rsidP="00C56555">
      <w:pPr>
        <w:pStyle w:val="NormalWeb"/>
        <w:spacing w:before="0" w:beforeAutospacing="0" w:after="240" w:afterAutospacing="0" w:line="360" w:lineRule="auto"/>
      </w:pPr>
      <w:r>
        <w:t xml:space="preserve">Haegele, J.A. and Hodge, S. (2016). Disability Discourse: Overview and Critiques of the Medical and Social Models. </w:t>
      </w:r>
      <w:r>
        <w:rPr>
          <w:i/>
          <w:iCs/>
        </w:rPr>
        <w:t>Quest</w:t>
      </w:r>
      <w:r>
        <w:t xml:space="preserve">, 68(2), pp.193–206. </w:t>
      </w:r>
      <w:proofErr w:type="spellStart"/>
      <w:proofErr w:type="gramStart"/>
      <w:r>
        <w:t>doi:https</w:t>
      </w:r>
      <w:proofErr w:type="spellEnd"/>
      <w:r>
        <w:t>://doi.org/10.1080/00336297.2016.1143849</w:t>
      </w:r>
      <w:proofErr w:type="gramEnd"/>
      <w:r>
        <w:t>.</w:t>
      </w:r>
    </w:p>
    <w:p w14:paraId="2F136BCA" w14:textId="7DA98FA4" w:rsidR="00C56555" w:rsidRPr="00C56555" w:rsidRDefault="00C56555" w:rsidP="00C56555">
      <w:pPr>
        <w:spacing w:before="20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Immersive Learning Space Primary. Accessed: 22 September 2023.</w:t>
      </w:r>
    </w:p>
    <w:p w14:paraId="5F9EAD6C" w14:textId="4B5FA395" w:rsidR="00C56555" w:rsidRDefault="00C56555" w:rsidP="00C56555">
      <w:pPr>
        <w:pStyle w:val="NormalWeb"/>
        <w:spacing w:before="0" w:beforeAutospacing="0" w:after="240" w:afterAutospacing="0" w:line="360" w:lineRule="auto"/>
      </w:pPr>
      <w:proofErr w:type="gramStart"/>
      <w:r>
        <w:t>Jaramillo ,</w:t>
      </w:r>
      <w:proofErr w:type="gramEnd"/>
      <w:r>
        <w:t xml:space="preserve"> J.A. (1996). Vygotsky’s sociocultural theory and contributions to the development of constructivist curricula. </w:t>
      </w:r>
      <w:r>
        <w:rPr>
          <w:i/>
          <w:iCs/>
        </w:rPr>
        <w:t>Jurisprudence</w:t>
      </w:r>
      <w:r>
        <w:t>, 117(1), p.133.</w:t>
      </w:r>
    </w:p>
    <w:p w14:paraId="656FE13F" w14:textId="77777777" w:rsidR="00C56555" w:rsidRDefault="00C56555" w:rsidP="00C56555">
      <w:pPr>
        <w:pStyle w:val="NormalWeb"/>
        <w:spacing w:before="0" w:beforeAutospacing="0" w:after="240" w:afterAutospacing="0" w:line="360" w:lineRule="auto"/>
      </w:pPr>
      <w:r>
        <w:t xml:space="preserve">Johnson, K. and Bonner, M. (2013). Utilizing the Six Generic Human Service Competencies and Ecological Systems Theory as a Basis to Understanding Barriers Faced by Marginalized Clients. </w:t>
      </w:r>
      <w:r>
        <w:rPr>
          <w:i/>
          <w:iCs/>
        </w:rPr>
        <w:t>Journal of Human Services</w:t>
      </w:r>
      <w:r>
        <w:t>, [online] 33(1). Available at: https://digitalcommons.odu.edu/chs_pubs/31 [Accessed 30 Oct. 2023].</w:t>
      </w:r>
    </w:p>
    <w:p w14:paraId="10212600" w14:textId="77777777" w:rsidR="00C56555" w:rsidRDefault="00C56555" w:rsidP="00C56555">
      <w:pPr>
        <w:pStyle w:val="NormalWeb"/>
        <w:spacing w:before="0" w:beforeAutospacing="0" w:after="240" w:afterAutospacing="0" w:line="360" w:lineRule="auto"/>
      </w:pPr>
      <w:r>
        <w:t xml:space="preserve">Lee, H. and Templeton, R. (2008). Ensuring Equal Access to Technology: Providing Assistive Technology for Students </w:t>
      </w:r>
      <w:proofErr w:type="gramStart"/>
      <w:r>
        <w:t>With</w:t>
      </w:r>
      <w:proofErr w:type="gramEnd"/>
      <w:r>
        <w:t xml:space="preserve"> Disabilities. </w:t>
      </w:r>
      <w:r>
        <w:rPr>
          <w:i/>
          <w:iCs/>
        </w:rPr>
        <w:t>Theory Into Practice</w:t>
      </w:r>
      <w:r>
        <w:t xml:space="preserve">, 47(3), pp.212–219. </w:t>
      </w:r>
      <w:proofErr w:type="spellStart"/>
      <w:proofErr w:type="gramStart"/>
      <w:r>
        <w:t>doi:https</w:t>
      </w:r>
      <w:proofErr w:type="spellEnd"/>
      <w:r>
        <w:t>://doi.org/10.1080/00405840802153874</w:t>
      </w:r>
      <w:proofErr w:type="gramEnd"/>
      <w:r>
        <w:t>.</w:t>
      </w:r>
    </w:p>
    <w:p w14:paraId="62BB87FE" w14:textId="77777777" w:rsidR="00C56555" w:rsidRDefault="00C56555" w:rsidP="00C56555">
      <w:pPr>
        <w:pStyle w:val="NormalWeb"/>
        <w:spacing w:before="0" w:beforeAutospacing="0" w:after="240" w:afterAutospacing="0" w:line="360" w:lineRule="auto"/>
      </w:pPr>
      <w:r>
        <w:t xml:space="preserve">Mankoff, J., Hayes, G.R. and </w:t>
      </w:r>
      <w:proofErr w:type="spellStart"/>
      <w:r>
        <w:t>Kasnitz</w:t>
      </w:r>
      <w:proofErr w:type="spellEnd"/>
      <w:r>
        <w:t xml:space="preserve">, D. (2010). Disability studies as a source of critical inquiry for the field of assistive technology. </w:t>
      </w:r>
      <w:r>
        <w:rPr>
          <w:i/>
          <w:iCs/>
        </w:rPr>
        <w:t>Proceedings of the 12th international ACM SIGACCESS conference on Computers and accessibility - ASSETS ’10</w:t>
      </w:r>
      <w:r>
        <w:t xml:space="preserve">. </w:t>
      </w:r>
      <w:proofErr w:type="spellStart"/>
      <w:proofErr w:type="gramStart"/>
      <w:r>
        <w:t>doi:https</w:t>
      </w:r>
      <w:proofErr w:type="spellEnd"/>
      <w:r>
        <w:t>://doi.org/10.1145/1878803.1878807</w:t>
      </w:r>
      <w:proofErr w:type="gramEnd"/>
      <w:r>
        <w:t>.</w:t>
      </w:r>
    </w:p>
    <w:p w14:paraId="4F5D0BBD" w14:textId="77777777" w:rsidR="00C56555" w:rsidRDefault="00C56555" w:rsidP="00C56555">
      <w:pPr>
        <w:pStyle w:val="NormalWeb"/>
        <w:spacing w:before="0" w:beforeAutospacing="0" w:after="240" w:afterAutospacing="0" w:line="360" w:lineRule="auto"/>
      </w:pPr>
      <w:r>
        <w:t xml:space="preserve">Mayer, R.E. (2009). Constructivism as a Theory of Learning versus Constructivism as a Prescription for Instruction. In: </w:t>
      </w:r>
      <w:r>
        <w:rPr>
          <w:i/>
          <w:iCs/>
        </w:rPr>
        <w:t>Constructivist Instruction</w:t>
      </w:r>
      <w:r>
        <w:t>. New York: Routledge, pp.184–201.</w:t>
      </w:r>
    </w:p>
    <w:p w14:paraId="3F984427" w14:textId="77777777" w:rsidR="00C56555" w:rsidRDefault="00C56555" w:rsidP="00C56555">
      <w:pPr>
        <w:pStyle w:val="NormalWeb"/>
        <w:spacing w:before="0" w:beforeAutospacing="0" w:after="240" w:afterAutospacing="0" w:line="360" w:lineRule="auto"/>
      </w:pPr>
      <w:r>
        <w:lastRenderedPageBreak/>
        <w:t xml:space="preserve">Mulholland, M. and O’Connor, U. (2016). Collaborative classroom practice for inclusion: perspectives of classroom teachers and learning support/resource teachers. </w:t>
      </w:r>
      <w:r>
        <w:rPr>
          <w:i/>
          <w:iCs/>
        </w:rPr>
        <w:t>International Journal of Inclusive Education</w:t>
      </w:r>
      <w:r>
        <w:t xml:space="preserve">, [online] 20(10), pp.1070–1083. </w:t>
      </w:r>
      <w:proofErr w:type="spellStart"/>
      <w:proofErr w:type="gramStart"/>
      <w:r>
        <w:t>doi:https</w:t>
      </w:r>
      <w:proofErr w:type="spellEnd"/>
      <w:r>
        <w:t>://doi.org/10.1080/13603116.2016.1145266</w:t>
      </w:r>
      <w:proofErr w:type="gramEnd"/>
      <w:r>
        <w:t>.</w:t>
      </w:r>
    </w:p>
    <w:p w14:paraId="4F7B549F" w14:textId="77777777" w:rsidR="00C56555" w:rsidRDefault="00C56555" w:rsidP="00C56555">
      <w:pPr>
        <w:pStyle w:val="NormalWeb"/>
        <w:spacing w:before="0" w:beforeAutospacing="0" w:after="240" w:afterAutospacing="0" w:line="360" w:lineRule="auto"/>
      </w:pPr>
      <w:r>
        <w:t xml:space="preserve">PANOPOULOS, N. and DROSSİNOU-KOREA, M. (2020). Bronfenbrenner’s theory and teaching intervention: The case of student with intellectual disability. </w:t>
      </w:r>
      <w:proofErr w:type="spellStart"/>
      <w:r>
        <w:rPr>
          <w:i/>
          <w:iCs/>
        </w:rPr>
        <w:t>Dil</w:t>
      </w:r>
      <w:proofErr w:type="spellEnd"/>
      <w:r>
        <w:rPr>
          <w:i/>
          <w:iCs/>
        </w:rPr>
        <w:t xml:space="preserve"> </w:t>
      </w:r>
      <w:proofErr w:type="spellStart"/>
      <w:r>
        <w:rPr>
          <w:i/>
          <w:iCs/>
        </w:rPr>
        <w:t>ve</w:t>
      </w:r>
      <w:proofErr w:type="spellEnd"/>
      <w:r>
        <w:rPr>
          <w:i/>
          <w:iCs/>
        </w:rPr>
        <w:t xml:space="preserve"> </w:t>
      </w:r>
      <w:proofErr w:type="spellStart"/>
      <w:r>
        <w:rPr>
          <w:i/>
          <w:iCs/>
        </w:rPr>
        <w:t>Dilbilimi</w:t>
      </w:r>
      <w:proofErr w:type="spellEnd"/>
      <w:r>
        <w:rPr>
          <w:i/>
          <w:iCs/>
        </w:rPr>
        <w:t xml:space="preserve"> </w:t>
      </w:r>
      <w:proofErr w:type="spellStart"/>
      <w:r>
        <w:rPr>
          <w:i/>
          <w:iCs/>
        </w:rPr>
        <w:t>Çalışmaları</w:t>
      </w:r>
      <w:proofErr w:type="spellEnd"/>
      <w:r>
        <w:rPr>
          <w:i/>
          <w:iCs/>
        </w:rPr>
        <w:t xml:space="preserve"> </w:t>
      </w:r>
      <w:proofErr w:type="spellStart"/>
      <w:r>
        <w:rPr>
          <w:i/>
          <w:iCs/>
        </w:rPr>
        <w:t>Dergisi</w:t>
      </w:r>
      <w:proofErr w:type="spellEnd"/>
      <w:r>
        <w:t xml:space="preserve">, 16(2). </w:t>
      </w:r>
      <w:proofErr w:type="spellStart"/>
      <w:proofErr w:type="gramStart"/>
      <w:r>
        <w:t>doi:https</w:t>
      </w:r>
      <w:proofErr w:type="spellEnd"/>
      <w:r>
        <w:t>://doi.org/10.17263/jlls.759243</w:t>
      </w:r>
      <w:proofErr w:type="gramEnd"/>
      <w:r>
        <w:t>.</w:t>
      </w:r>
    </w:p>
    <w:p w14:paraId="496A4A67" w14:textId="77777777" w:rsidR="00C56555" w:rsidRDefault="00C56555" w:rsidP="00C56555">
      <w:pPr>
        <w:pStyle w:val="NormalWeb"/>
        <w:spacing w:before="0" w:beforeAutospacing="0" w:after="240" w:afterAutospacing="0" w:line="360" w:lineRule="auto"/>
      </w:pPr>
      <w:proofErr w:type="spellStart"/>
      <w:r>
        <w:t>Ralabate</w:t>
      </w:r>
      <w:proofErr w:type="spellEnd"/>
      <w:r>
        <w:t xml:space="preserve">, P.K. (2011). Universal Design for Learning: Meeting the Needs of All Students. </w:t>
      </w:r>
      <w:r>
        <w:rPr>
          <w:i/>
          <w:iCs/>
        </w:rPr>
        <w:t>ASHA Leader</w:t>
      </w:r>
      <w:r>
        <w:t xml:space="preserve">, [online] 16(10), p.14. </w:t>
      </w:r>
      <w:proofErr w:type="spellStart"/>
      <w:proofErr w:type="gramStart"/>
      <w:r>
        <w:t>doi:https</w:t>
      </w:r>
      <w:proofErr w:type="spellEnd"/>
      <w:r>
        <w:t>://doi.org/10.1044/leader.ftr2.16102011.14</w:t>
      </w:r>
      <w:proofErr w:type="gramEnd"/>
      <w:r>
        <w:t>.</w:t>
      </w:r>
    </w:p>
    <w:p w14:paraId="0DB527D0" w14:textId="77777777" w:rsidR="00C56555" w:rsidRDefault="00C56555" w:rsidP="00C56555">
      <w:pPr>
        <w:pStyle w:val="NormalWeb"/>
        <w:spacing w:before="0" w:beforeAutospacing="0" w:after="240" w:afterAutospacing="0" w:line="360" w:lineRule="auto"/>
      </w:pPr>
      <w:r>
        <w:t xml:space="preserve">Rao, K., Ok, M.W. and Bryant, B.R. (2014). A Review of Research on Universal Design Educational Models. </w:t>
      </w:r>
      <w:r>
        <w:rPr>
          <w:i/>
          <w:iCs/>
        </w:rPr>
        <w:t>Remedial and Special Education</w:t>
      </w:r>
      <w:r>
        <w:t xml:space="preserve">, 35(3), pp.153–166. </w:t>
      </w:r>
      <w:proofErr w:type="spellStart"/>
      <w:proofErr w:type="gramStart"/>
      <w:r>
        <w:t>doi:https</w:t>
      </w:r>
      <w:proofErr w:type="spellEnd"/>
      <w:r>
        <w:t>://doi.org/10.1177/0741932513518980</w:t>
      </w:r>
      <w:proofErr w:type="gramEnd"/>
      <w:r>
        <w:t>.</w:t>
      </w:r>
    </w:p>
    <w:p w14:paraId="79C51A98" w14:textId="77777777" w:rsidR="00C56555" w:rsidRDefault="00C56555" w:rsidP="00C56555">
      <w:pPr>
        <w:pStyle w:val="NormalWeb"/>
        <w:spacing w:before="0" w:beforeAutospacing="0" w:after="240" w:afterAutospacing="0" w:line="360" w:lineRule="auto"/>
      </w:pPr>
      <w:proofErr w:type="spellStart"/>
      <w:r>
        <w:t>Ripat</w:t>
      </w:r>
      <w:proofErr w:type="spellEnd"/>
      <w:r>
        <w:t xml:space="preserve">, J.D. and Woodgate, R.L. (2011). Locating assistive technology within an emancipatory disability research framework. </w:t>
      </w:r>
      <w:r>
        <w:rPr>
          <w:i/>
          <w:iCs/>
        </w:rPr>
        <w:t>Technology and Disability</w:t>
      </w:r>
      <w:r>
        <w:t xml:space="preserve">, 23(2), pp.87–92. </w:t>
      </w:r>
      <w:proofErr w:type="spellStart"/>
      <w:proofErr w:type="gramStart"/>
      <w:r>
        <w:t>doi:https</w:t>
      </w:r>
      <w:proofErr w:type="spellEnd"/>
      <w:r>
        <w:t>://doi.org/10.3233/tad-2011-0315</w:t>
      </w:r>
      <w:proofErr w:type="gramEnd"/>
      <w:r>
        <w:t>.</w:t>
      </w:r>
    </w:p>
    <w:p w14:paraId="199A36BA" w14:textId="77777777" w:rsidR="00C56555" w:rsidRDefault="00C56555" w:rsidP="00C56555">
      <w:pPr>
        <w:pStyle w:val="NormalWeb"/>
        <w:spacing w:before="0" w:beforeAutospacing="0" w:after="240" w:afterAutospacing="0" w:line="360" w:lineRule="auto"/>
      </w:pPr>
      <w:r>
        <w:t xml:space="preserve">Rose, D. (2000). Universal Design for Learning. </w:t>
      </w:r>
      <w:r>
        <w:rPr>
          <w:i/>
          <w:iCs/>
        </w:rPr>
        <w:t>Journal of Special Education Technology</w:t>
      </w:r>
      <w:r>
        <w:t xml:space="preserve">, 15(4), pp.47–51. </w:t>
      </w:r>
      <w:proofErr w:type="gramStart"/>
      <w:r>
        <w:t>doi:https://doi-org.ezproxy.uwtsd.ac.uk/10.1177/0162643400015004</w:t>
      </w:r>
      <w:proofErr w:type="gramEnd"/>
      <w:r>
        <w:t>.</w:t>
      </w:r>
    </w:p>
    <w:p w14:paraId="4C323AA3" w14:textId="77777777" w:rsidR="00C56555" w:rsidRDefault="00C56555" w:rsidP="00C56555">
      <w:pPr>
        <w:pStyle w:val="NormalWeb"/>
        <w:spacing w:before="0" w:beforeAutospacing="0" w:after="240" w:afterAutospacing="0" w:line="360" w:lineRule="auto"/>
      </w:pPr>
      <w:r>
        <w:t xml:space="preserve">Shakespeare, T. (2004). Social models of disability and other life strategies. </w:t>
      </w:r>
      <w:r>
        <w:rPr>
          <w:i/>
          <w:iCs/>
        </w:rPr>
        <w:t>Scandinavian Journal of Disability Research</w:t>
      </w:r>
      <w:r>
        <w:t xml:space="preserve">, 6(1), pp.8–21. </w:t>
      </w:r>
      <w:proofErr w:type="spellStart"/>
      <w:proofErr w:type="gramStart"/>
      <w:r>
        <w:t>doi:https</w:t>
      </w:r>
      <w:proofErr w:type="spellEnd"/>
      <w:r>
        <w:t>://doi.org/10.1080/15017410409512636</w:t>
      </w:r>
      <w:proofErr w:type="gramEnd"/>
      <w:r>
        <w:t>.</w:t>
      </w:r>
    </w:p>
    <w:p w14:paraId="3E005A7A" w14:textId="77777777" w:rsidR="00C56555" w:rsidRDefault="00C56555" w:rsidP="00C56555">
      <w:pPr>
        <w:pStyle w:val="NormalWeb"/>
        <w:spacing w:before="0" w:beforeAutospacing="0" w:after="240" w:afterAutospacing="0" w:line="360" w:lineRule="auto"/>
      </w:pPr>
      <w:proofErr w:type="spellStart"/>
      <w:r>
        <w:t>Suprayogi</w:t>
      </w:r>
      <w:proofErr w:type="spellEnd"/>
      <w:r>
        <w:t xml:space="preserve">, M.N., Valcke, M. and Godwin, R. (2017). Teachers and their implementation of differentiated instruction in the classroom. </w:t>
      </w:r>
      <w:r>
        <w:rPr>
          <w:i/>
          <w:iCs/>
        </w:rPr>
        <w:t>Teaching and Teacher Education</w:t>
      </w:r>
      <w:r>
        <w:t xml:space="preserve">, [online] 67(67), pp.291–301. </w:t>
      </w:r>
      <w:proofErr w:type="spellStart"/>
      <w:proofErr w:type="gramStart"/>
      <w:r>
        <w:t>doi:https</w:t>
      </w:r>
      <w:proofErr w:type="spellEnd"/>
      <w:r>
        <w:t>://doi.org/10.1016/j.tate.2017.06.020</w:t>
      </w:r>
      <w:proofErr w:type="gramEnd"/>
      <w:r>
        <w:t>.</w:t>
      </w:r>
    </w:p>
    <w:p w14:paraId="2E9BDD4D" w14:textId="77777777" w:rsidR="00C56555" w:rsidRDefault="00C56555" w:rsidP="00C56555">
      <w:pPr>
        <w:pStyle w:val="NormalWeb"/>
        <w:spacing w:before="0" w:beforeAutospacing="0" w:after="240" w:afterAutospacing="0" w:line="360" w:lineRule="auto"/>
      </w:pPr>
      <w:r>
        <w:t xml:space="preserve">Sutinen, A. (2014). Social reconstructionist philosophy of education and George S. Counts-Observations on the ideology of indoctrination in socio-critical educational thinking. </w:t>
      </w:r>
      <w:r>
        <w:rPr>
          <w:i/>
          <w:iCs/>
        </w:rPr>
        <w:t>International Journal of Progressive Education</w:t>
      </w:r>
      <w:r>
        <w:t>, 10(1), pp.18–31.</w:t>
      </w:r>
    </w:p>
    <w:p w14:paraId="2C85AACA" w14:textId="77777777" w:rsidR="00C56555" w:rsidRDefault="00C56555" w:rsidP="00C56555">
      <w:pPr>
        <w:pStyle w:val="NormalWeb"/>
        <w:spacing w:before="0" w:beforeAutospacing="0" w:after="240" w:afterAutospacing="0" w:line="360" w:lineRule="auto"/>
      </w:pPr>
      <w:r>
        <w:lastRenderedPageBreak/>
        <w:t xml:space="preserve">Tripp, D. (2012). </w:t>
      </w:r>
      <w:r>
        <w:rPr>
          <w:i/>
          <w:iCs/>
        </w:rPr>
        <w:t xml:space="preserve">Critical incidents in </w:t>
      </w:r>
      <w:proofErr w:type="gramStart"/>
      <w:r>
        <w:rPr>
          <w:i/>
          <w:iCs/>
        </w:rPr>
        <w:t>teaching :</w:t>
      </w:r>
      <w:proofErr w:type="gramEnd"/>
      <w:r>
        <w:rPr>
          <w:i/>
          <w:iCs/>
        </w:rPr>
        <w:t xml:space="preserve"> developing professional judgement</w:t>
      </w:r>
      <w:r>
        <w:t xml:space="preserve">. [online] </w:t>
      </w:r>
      <w:proofErr w:type="gramStart"/>
      <w:r>
        <w:t>London ;</w:t>
      </w:r>
      <w:proofErr w:type="gramEnd"/>
      <w:r>
        <w:t xml:space="preserve"> New York: Routledge. Available at: https://www.taylorfrancis.com/books/mono/10.4324/9780203802014/critical-incidents-teaching-classic-edition-david-tripp [Accessed 31 Oct. 2023].</w:t>
      </w:r>
    </w:p>
    <w:p w14:paraId="1EF5DCBA" w14:textId="77777777" w:rsidR="00C56555" w:rsidRDefault="00C56555" w:rsidP="00C56555">
      <w:pPr>
        <w:pStyle w:val="NormalWeb"/>
        <w:spacing w:before="0" w:beforeAutospacing="0" w:after="240" w:afterAutospacing="0" w:line="360" w:lineRule="auto"/>
      </w:pPr>
      <w:proofErr w:type="spellStart"/>
      <w:r>
        <w:t>Viergever</w:t>
      </w:r>
      <w:proofErr w:type="spellEnd"/>
      <w:r>
        <w:t xml:space="preserve">, R.F. (2019). The Critical Incident Technique: Method or Methodology? </w:t>
      </w:r>
      <w:r>
        <w:rPr>
          <w:i/>
          <w:iCs/>
        </w:rPr>
        <w:t>Qualitative Health Research</w:t>
      </w:r>
      <w:r>
        <w:t xml:space="preserve">, 29(7), pp.1065–1079. </w:t>
      </w:r>
      <w:proofErr w:type="spellStart"/>
      <w:proofErr w:type="gramStart"/>
      <w:r>
        <w:t>doi:https</w:t>
      </w:r>
      <w:proofErr w:type="spellEnd"/>
      <w:r>
        <w:t>://doi.org/10.1177/1049732318813112</w:t>
      </w:r>
      <w:proofErr w:type="gramEnd"/>
      <w:r>
        <w:t>.</w:t>
      </w:r>
    </w:p>
    <w:p w14:paraId="5921A123" w14:textId="77777777" w:rsidR="00C56555" w:rsidRDefault="00C56555" w:rsidP="00C56555">
      <w:pPr>
        <w:pStyle w:val="NormalWeb"/>
        <w:spacing w:before="0" w:beforeAutospacing="0" w:after="240" w:afterAutospacing="0" w:line="360" w:lineRule="auto"/>
      </w:pPr>
      <w:r>
        <w:t xml:space="preserve">Ware, J. (2014). Changing policy, </w:t>
      </w:r>
      <w:proofErr w:type="gramStart"/>
      <w:r>
        <w:t>legislation</w:t>
      </w:r>
      <w:proofErr w:type="gramEnd"/>
      <w:r>
        <w:t xml:space="preserve"> and its effects on inclusive and special education: a perspective from Wales. </w:t>
      </w:r>
      <w:r>
        <w:rPr>
          <w:i/>
          <w:iCs/>
        </w:rPr>
        <w:t>British Journal of Special Education</w:t>
      </w:r>
      <w:r>
        <w:t xml:space="preserve">, 41(4), pp.344–362. </w:t>
      </w:r>
      <w:proofErr w:type="spellStart"/>
      <w:proofErr w:type="gramStart"/>
      <w:r>
        <w:t>doi:https</w:t>
      </w:r>
      <w:proofErr w:type="spellEnd"/>
      <w:r>
        <w:t>://doi.org/10.1111/1467-8578.12082</w:t>
      </w:r>
      <w:proofErr w:type="gramEnd"/>
      <w:r>
        <w:t>.</w:t>
      </w:r>
    </w:p>
    <w:p w14:paraId="7A2FA62F" w14:textId="77777777" w:rsidR="00C56555" w:rsidRDefault="00C56555" w:rsidP="00C56555">
      <w:pPr>
        <w:pStyle w:val="NormalWeb"/>
        <w:spacing w:before="0" w:beforeAutospacing="0" w:after="240" w:afterAutospacing="0" w:line="360" w:lineRule="auto"/>
      </w:pPr>
      <w:r>
        <w:t xml:space="preserve">Welsh Government (2018). </w:t>
      </w:r>
      <w:r>
        <w:rPr>
          <w:i/>
          <w:iCs/>
        </w:rPr>
        <w:t>ADDITIONAL LEARNING NEEDS AND EDUCATION TRIBUNAL (WALES) ACT Explanatory Memorandum Incorporating the Regulatory Impact Assessment and Explanatory Notes</w:t>
      </w:r>
      <w:r>
        <w:t>. [online] Available at: https://www.gov.wales/sites/default/files/publications/2018-04/additional-learning-needs-and-education-tribunal-wales-act-2018-explanatory-memorandum.pdf [Accessed 16 Oct. 2023].</w:t>
      </w:r>
    </w:p>
    <w:p w14:paraId="11075D8D" w14:textId="77777777" w:rsidR="00C56555" w:rsidRDefault="00C56555" w:rsidP="00C56555">
      <w:pPr>
        <w:pStyle w:val="NormalWeb"/>
        <w:spacing w:before="0" w:beforeAutospacing="0" w:after="240" w:afterAutospacing="0" w:line="360" w:lineRule="auto"/>
      </w:pPr>
      <w:r>
        <w:t xml:space="preserve">Welsh Government (2023). </w:t>
      </w:r>
      <w:r>
        <w:rPr>
          <w:i/>
          <w:iCs/>
        </w:rPr>
        <w:t>Pedagogy - Hwb</w:t>
      </w:r>
      <w:r>
        <w:t xml:space="preserve">. [online] </w:t>
      </w:r>
      <w:proofErr w:type="spellStart"/>
      <w:proofErr w:type="gramStart"/>
      <w:r>
        <w:t>hwb.gov.wales</w:t>
      </w:r>
      <w:proofErr w:type="spellEnd"/>
      <w:proofErr w:type="gramEnd"/>
      <w:r>
        <w:t>. Available at: https://hwb.gov.wales/curriculum-for-wales/designing-your-curriculum/pedagogy [Accessed 31 Oct. 2023].</w:t>
      </w:r>
    </w:p>
    <w:p w14:paraId="629CA317" w14:textId="77777777" w:rsidR="00C56555" w:rsidRDefault="00C56555" w:rsidP="00C56555">
      <w:pPr>
        <w:pStyle w:val="NormalWeb"/>
        <w:spacing w:before="0" w:beforeAutospacing="0" w:after="240" w:afterAutospacing="0" w:line="360" w:lineRule="auto"/>
      </w:pPr>
      <w:r>
        <w:t xml:space="preserve">Xi, J. and </w:t>
      </w:r>
      <w:proofErr w:type="spellStart"/>
      <w:r>
        <w:t>Lantolf</w:t>
      </w:r>
      <w:proofErr w:type="spellEnd"/>
      <w:r>
        <w:t xml:space="preserve">, J.P. (2020). Scaffolding and the zone of proximal development: A problematic relationship. </w:t>
      </w:r>
      <w:r>
        <w:rPr>
          <w:i/>
          <w:iCs/>
        </w:rPr>
        <w:t>Journal for the Theory of Social Behaviour</w:t>
      </w:r>
      <w:r>
        <w:t xml:space="preserve">, [online] 51(1). </w:t>
      </w:r>
      <w:proofErr w:type="spellStart"/>
      <w:proofErr w:type="gramStart"/>
      <w:r>
        <w:t>doi:https</w:t>
      </w:r>
      <w:proofErr w:type="spellEnd"/>
      <w:r>
        <w:t>://doi.org/10.1111/jtsb.12260</w:t>
      </w:r>
      <w:proofErr w:type="gramEnd"/>
      <w:r>
        <w:t>.</w:t>
      </w:r>
    </w:p>
    <w:p w14:paraId="0000002F" w14:textId="1A26538A" w:rsidR="00A0791A" w:rsidRDefault="00A0791A">
      <w:pPr>
        <w:spacing w:before="200" w:line="480" w:lineRule="auto"/>
        <w:jc w:val="both"/>
        <w:rPr>
          <w:rFonts w:ascii="Times New Roman" w:eastAsia="Times New Roman" w:hAnsi="Times New Roman" w:cs="Times New Roman"/>
          <w:sz w:val="24"/>
          <w:szCs w:val="24"/>
        </w:rPr>
      </w:pPr>
    </w:p>
    <w:p w14:paraId="3B995B91" w14:textId="77777777" w:rsidR="00634A42" w:rsidRDefault="00634A42">
      <w:pPr>
        <w:spacing w:before="200" w:line="480" w:lineRule="auto"/>
        <w:jc w:val="both"/>
        <w:rPr>
          <w:rFonts w:ascii="Times New Roman" w:eastAsia="Times New Roman" w:hAnsi="Times New Roman" w:cs="Times New Roman"/>
          <w:sz w:val="24"/>
          <w:szCs w:val="24"/>
        </w:rPr>
      </w:pPr>
    </w:p>
    <w:p w14:paraId="026AC32E" w14:textId="77777777" w:rsidR="00634A42" w:rsidRDefault="00634A42">
      <w:pPr>
        <w:spacing w:before="200" w:line="480" w:lineRule="auto"/>
        <w:jc w:val="both"/>
        <w:rPr>
          <w:rFonts w:ascii="Times New Roman" w:eastAsia="Times New Roman" w:hAnsi="Times New Roman" w:cs="Times New Roman"/>
          <w:sz w:val="24"/>
          <w:szCs w:val="24"/>
        </w:rPr>
      </w:pPr>
    </w:p>
    <w:p w14:paraId="0D7E2246" w14:textId="77777777" w:rsidR="00634A42" w:rsidRDefault="00634A42">
      <w:pPr>
        <w:spacing w:before="200" w:line="480" w:lineRule="auto"/>
        <w:jc w:val="both"/>
        <w:rPr>
          <w:rFonts w:ascii="Times New Roman" w:eastAsia="Times New Roman" w:hAnsi="Times New Roman" w:cs="Times New Roman"/>
          <w:sz w:val="24"/>
          <w:szCs w:val="24"/>
        </w:rPr>
      </w:pPr>
    </w:p>
    <w:p w14:paraId="1BB7C17D" w14:textId="4B199FC0" w:rsidR="00634A42" w:rsidRDefault="00634A42">
      <w:pPr>
        <w:spacing w:before="200" w:line="48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Appendices</w:t>
      </w:r>
    </w:p>
    <w:p w14:paraId="29E14694" w14:textId="1FFD8531" w:rsidR="00634A42" w:rsidRDefault="00634A42">
      <w:pPr>
        <w:spacing w:before="200" w:line="480" w:lineRule="auto"/>
        <w:jc w:val="both"/>
        <w:rPr>
          <w:rFonts w:ascii="Times New Roman" w:eastAsia="Times New Roman" w:hAnsi="Times New Roman" w:cs="Times New Roman"/>
          <w:i/>
          <w:iCs/>
          <w:sz w:val="24"/>
          <w:szCs w:val="24"/>
        </w:rPr>
      </w:pPr>
      <w:r w:rsidRPr="00634A42">
        <w:rPr>
          <w:rFonts w:ascii="Times New Roman" w:eastAsia="Times New Roman" w:hAnsi="Times New Roman" w:cs="Times New Roman"/>
          <w:i/>
          <w:iCs/>
          <w:sz w:val="24"/>
          <w:szCs w:val="24"/>
        </w:rPr>
        <w:t>Appendix A</w:t>
      </w:r>
      <w:r>
        <w:rPr>
          <w:rFonts w:ascii="Times New Roman" w:eastAsia="Times New Roman" w:hAnsi="Times New Roman" w:cs="Times New Roman"/>
          <w:i/>
          <w:iCs/>
          <w:sz w:val="24"/>
          <w:szCs w:val="24"/>
        </w:rPr>
        <w:t>:</w:t>
      </w:r>
    </w:p>
    <w:p w14:paraId="42763B2F" w14:textId="77777777" w:rsidR="00634A42" w:rsidRPr="003737F1" w:rsidRDefault="00634A42" w:rsidP="00634A42">
      <w:pPr>
        <w:jc w:val="both"/>
        <w:rPr>
          <w:rFonts w:asciiTheme="minorHAnsi" w:hAnsiTheme="minorHAnsi"/>
          <w:b/>
        </w:rPr>
      </w:pPr>
      <w:r w:rsidRPr="003737F1">
        <w:rPr>
          <w:rFonts w:asciiTheme="minorHAnsi" w:hAnsiTheme="minorHAnsi"/>
          <w:b/>
        </w:rPr>
        <w:t>OBSERVATION / FIELD NOTES</w:t>
      </w:r>
    </w:p>
    <w:p w14:paraId="4CC95B08" w14:textId="77777777" w:rsidR="00634A42" w:rsidRDefault="00634A42" w:rsidP="00634A42">
      <w:pPr>
        <w:rPr>
          <w:rFonts w:asciiTheme="minorHAnsi" w:hAnsiTheme="minorHAnsi"/>
          <w:sz w:val="16"/>
          <w:szCs w:val="16"/>
        </w:rPr>
      </w:pPr>
    </w:p>
    <w:p w14:paraId="63B61D64" w14:textId="77777777" w:rsidR="00634A42" w:rsidRPr="00627773" w:rsidRDefault="00634A42" w:rsidP="00634A42">
      <w:pPr>
        <w:rPr>
          <w:rFonts w:asciiTheme="minorHAnsi" w:hAnsiTheme="minorHAnsi"/>
          <w:b/>
          <w:bCs/>
        </w:rPr>
      </w:pPr>
      <w:r w:rsidRPr="00627773">
        <w:rPr>
          <w:rFonts w:asciiTheme="minorHAnsi" w:hAnsiTheme="minorHAnsi"/>
          <w:b/>
          <w:bCs/>
        </w:rPr>
        <w:t>Record 1</w:t>
      </w:r>
    </w:p>
    <w:tbl>
      <w:tblPr>
        <w:tblStyle w:val="TableGrid"/>
        <w:tblW w:w="0" w:type="auto"/>
        <w:tblLook w:val="04A0" w:firstRow="1" w:lastRow="0" w:firstColumn="1" w:lastColumn="0" w:noHBand="0" w:noVBand="1"/>
      </w:tblPr>
      <w:tblGrid>
        <w:gridCol w:w="8926"/>
      </w:tblGrid>
      <w:tr w:rsidR="00634A42" w:rsidRPr="003737F1" w14:paraId="2964E2CB" w14:textId="77777777" w:rsidTr="004E4EEC">
        <w:tc>
          <w:tcPr>
            <w:tcW w:w="8926" w:type="dxa"/>
          </w:tcPr>
          <w:p w14:paraId="5C927D36" w14:textId="77777777" w:rsidR="00634A42" w:rsidRPr="003737F1" w:rsidRDefault="00634A42" w:rsidP="004E4EEC">
            <w:pPr>
              <w:rPr>
                <w:rFonts w:asciiTheme="minorHAnsi" w:hAnsiTheme="minorHAnsi"/>
              </w:rPr>
            </w:pPr>
            <w:r w:rsidRPr="003737F1">
              <w:rPr>
                <w:rFonts w:asciiTheme="minorHAnsi" w:hAnsiTheme="minorHAnsi"/>
              </w:rPr>
              <w:t>Date and time, year group:</w:t>
            </w:r>
          </w:p>
          <w:p w14:paraId="7ADA726E" w14:textId="77777777" w:rsidR="00634A42" w:rsidRPr="003737F1" w:rsidRDefault="00634A42" w:rsidP="004E4EEC">
            <w:pPr>
              <w:rPr>
                <w:rFonts w:asciiTheme="minorHAnsi" w:hAnsiTheme="minorHAnsi"/>
              </w:rPr>
            </w:pPr>
            <w:r>
              <w:rPr>
                <w:rFonts w:asciiTheme="minorHAnsi" w:hAnsiTheme="minorHAnsi"/>
              </w:rPr>
              <w:t>July, 9:30am, year 4 class</w:t>
            </w:r>
          </w:p>
        </w:tc>
      </w:tr>
      <w:tr w:rsidR="00634A42" w:rsidRPr="003737F1" w14:paraId="0B05115C" w14:textId="77777777" w:rsidTr="004E4EEC">
        <w:tc>
          <w:tcPr>
            <w:tcW w:w="8926" w:type="dxa"/>
          </w:tcPr>
          <w:p w14:paraId="1E5D50E7" w14:textId="2C056AFF" w:rsidR="00634A42" w:rsidRPr="003737F1" w:rsidRDefault="00634A42" w:rsidP="004E4EEC">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7CF56882" w14:textId="3B1B93E4" w:rsidR="00634A42" w:rsidRPr="003737F1" w:rsidRDefault="00634A42" w:rsidP="004E4EEC">
            <w:pPr>
              <w:rPr>
                <w:rFonts w:asciiTheme="minorHAnsi" w:hAnsiTheme="minorHAnsi"/>
              </w:rPr>
            </w:pPr>
            <w:r>
              <w:rPr>
                <w:rFonts w:asciiTheme="minorHAnsi" w:hAnsiTheme="minorHAnsi"/>
              </w:rPr>
              <w:t xml:space="preserve">Mixed ability class however there is ability set tables. Lower ability pupils are at the front and higher ability pupils are at the back. There are around 23 pupils in the class with around ten different nationalities. First lesson of the morning at the end of the school year. The class is a year 4 class. Progression step two or three. There is a teaching assistant with the teacher in the class. </w:t>
            </w:r>
          </w:p>
          <w:p w14:paraId="6DB74513" w14:textId="77777777" w:rsidR="00634A42" w:rsidRPr="003737F1" w:rsidRDefault="00634A42" w:rsidP="004E4EEC">
            <w:pPr>
              <w:rPr>
                <w:rFonts w:asciiTheme="minorHAnsi" w:hAnsiTheme="minorHAnsi"/>
              </w:rPr>
            </w:pPr>
          </w:p>
          <w:p w14:paraId="2AE1E1DD" w14:textId="77777777" w:rsidR="00634A42" w:rsidRPr="003737F1" w:rsidRDefault="00634A42" w:rsidP="004E4EEC">
            <w:pPr>
              <w:rPr>
                <w:rFonts w:asciiTheme="minorHAnsi" w:hAnsiTheme="minorHAnsi"/>
              </w:rPr>
            </w:pPr>
          </w:p>
          <w:p w14:paraId="36A2ADC8" w14:textId="77777777" w:rsidR="00634A42" w:rsidRPr="003737F1" w:rsidRDefault="00634A42" w:rsidP="004E4EEC">
            <w:pPr>
              <w:rPr>
                <w:rFonts w:asciiTheme="minorHAnsi" w:hAnsiTheme="minorHAnsi"/>
              </w:rPr>
            </w:pPr>
          </w:p>
          <w:p w14:paraId="19F1AAF9" w14:textId="77777777" w:rsidR="00634A42" w:rsidRPr="003737F1" w:rsidRDefault="00634A42" w:rsidP="004E4EEC">
            <w:pPr>
              <w:rPr>
                <w:rFonts w:asciiTheme="minorHAnsi" w:hAnsiTheme="minorHAnsi"/>
              </w:rPr>
            </w:pPr>
          </w:p>
          <w:p w14:paraId="6738D9B6" w14:textId="77777777" w:rsidR="00634A42" w:rsidRPr="003737F1" w:rsidRDefault="00634A42" w:rsidP="004E4EEC">
            <w:pPr>
              <w:rPr>
                <w:rFonts w:asciiTheme="minorHAnsi" w:hAnsiTheme="minorHAnsi"/>
              </w:rPr>
            </w:pPr>
          </w:p>
        </w:tc>
      </w:tr>
      <w:tr w:rsidR="00634A42" w:rsidRPr="003737F1" w14:paraId="18905A54" w14:textId="77777777" w:rsidTr="004E4EEC">
        <w:tc>
          <w:tcPr>
            <w:tcW w:w="8926" w:type="dxa"/>
          </w:tcPr>
          <w:p w14:paraId="5C779BA9" w14:textId="0A1DDE0D" w:rsidR="00634A42" w:rsidRPr="00627773" w:rsidRDefault="00634A42" w:rsidP="004E4EEC">
            <w:pPr>
              <w:rPr>
                <w:rFonts w:asciiTheme="minorHAnsi" w:hAnsiTheme="minorHAnsi"/>
                <w:b/>
                <w:bCs/>
              </w:rPr>
            </w:pPr>
            <w:r>
              <w:rPr>
                <w:rFonts w:asciiTheme="minorHAnsi" w:hAnsiTheme="minorHAnsi"/>
                <w:b/>
                <w:bCs/>
                <w:lang w:val="en-US"/>
              </w:rPr>
              <w:t xml:space="preserve">What happened: </w:t>
            </w:r>
          </w:p>
          <w:p w14:paraId="739B86CC" w14:textId="0DB085B9" w:rsidR="00634A42" w:rsidRPr="003737F1" w:rsidRDefault="00634A42" w:rsidP="004E4EEC">
            <w:pPr>
              <w:rPr>
                <w:rFonts w:asciiTheme="minorHAnsi" w:hAnsiTheme="minorHAnsi"/>
                <w:bCs/>
                <w:lang w:val="en-US"/>
              </w:rPr>
            </w:pPr>
            <w:r>
              <w:rPr>
                <w:rFonts w:asciiTheme="minorHAnsi" w:hAnsiTheme="minorHAnsi"/>
                <w:bCs/>
                <w:lang w:val="en-US"/>
              </w:rPr>
              <w:t xml:space="preserve">A pupil at the front of the class gets out of their seat and goes up to the board to have a closer look. </w:t>
            </w:r>
          </w:p>
          <w:p w14:paraId="308F293C" w14:textId="465CCC19" w:rsidR="00634A42" w:rsidRPr="003737F1" w:rsidRDefault="00634A42" w:rsidP="004E4EEC">
            <w:pPr>
              <w:rPr>
                <w:rFonts w:asciiTheme="minorHAnsi" w:hAnsiTheme="minorHAnsi"/>
                <w:bCs/>
                <w:lang w:val="en-US"/>
              </w:rPr>
            </w:pPr>
            <w:r>
              <w:rPr>
                <w:rFonts w:asciiTheme="minorHAnsi" w:hAnsiTheme="minorHAnsi"/>
                <w:bCs/>
                <w:lang w:val="en-US"/>
              </w:rPr>
              <w:t xml:space="preserve">Pupil has an ALN and vision impairment and use an assistive device to help with their schoolwork. Before the incident they were quite distracted from their work. Questions about how long the device had stopped working for before they went up to the board and asked the help.  </w:t>
            </w:r>
          </w:p>
          <w:p w14:paraId="7F2DB6A3" w14:textId="77777777" w:rsidR="00634A42" w:rsidRPr="003737F1" w:rsidRDefault="00634A42" w:rsidP="004E4EEC">
            <w:pPr>
              <w:rPr>
                <w:rFonts w:asciiTheme="minorHAnsi" w:hAnsiTheme="minorHAnsi"/>
                <w:bCs/>
                <w:lang w:val="en-US"/>
              </w:rPr>
            </w:pPr>
          </w:p>
          <w:p w14:paraId="17C4953C" w14:textId="77777777" w:rsidR="00634A42" w:rsidRPr="003737F1" w:rsidRDefault="00634A42" w:rsidP="004E4EEC">
            <w:pPr>
              <w:rPr>
                <w:rFonts w:asciiTheme="minorHAnsi" w:hAnsiTheme="minorHAnsi"/>
                <w:bCs/>
                <w:lang w:val="en-US"/>
              </w:rPr>
            </w:pPr>
          </w:p>
          <w:p w14:paraId="6B9DE8C0" w14:textId="77777777" w:rsidR="00634A42" w:rsidRPr="003737F1" w:rsidRDefault="00634A42" w:rsidP="004E4EEC">
            <w:pPr>
              <w:rPr>
                <w:rFonts w:asciiTheme="minorHAnsi" w:hAnsiTheme="minorHAnsi"/>
                <w:bCs/>
              </w:rPr>
            </w:pPr>
          </w:p>
          <w:p w14:paraId="23F6F24E" w14:textId="77777777" w:rsidR="00634A42" w:rsidRPr="003737F1" w:rsidRDefault="00634A42" w:rsidP="004E4EEC">
            <w:pPr>
              <w:rPr>
                <w:rFonts w:asciiTheme="minorHAnsi" w:hAnsiTheme="minorHAnsi"/>
                <w:bCs/>
              </w:rPr>
            </w:pPr>
          </w:p>
          <w:p w14:paraId="53BA6B2F" w14:textId="77777777" w:rsidR="00634A42" w:rsidRPr="003737F1" w:rsidRDefault="00634A42" w:rsidP="004E4EEC">
            <w:pPr>
              <w:ind w:left="720"/>
              <w:rPr>
                <w:rFonts w:asciiTheme="minorHAnsi" w:hAnsiTheme="minorHAnsi"/>
              </w:rPr>
            </w:pPr>
          </w:p>
          <w:p w14:paraId="31AEC38A" w14:textId="77777777" w:rsidR="00634A42" w:rsidRPr="003737F1" w:rsidRDefault="00634A42" w:rsidP="004E4EEC">
            <w:pPr>
              <w:ind w:left="720"/>
              <w:rPr>
                <w:rFonts w:asciiTheme="minorHAnsi" w:hAnsiTheme="minorHAnsi"/>
              </w:rPr>
            </w:pPr>
          </w:p>
        </w:tc>
      </w:tr>
      <w:tr w:rsidR="00634A42" w:rsidRPr="003737F1" w14:paraId="174B2C78" w14:textId="77777777" w:rsidTr="004E4EEC">
        <w:tc>
          <w:tcPr>
            <w:tcW w:w="8926" w:type="dxa"/>
          </w:tcPr>
          <w:p w14:paraId="74E61025" w14:textId="128A0489" w:rsidR="00634A42" w:rsidRPr="00627773" w:rsidRDefault="00634A42" w:rsidP="004E4EEC">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p>
          <w:p w14:paraId="39064E28" w14:textId="5077C957" w:rsidR="00634A42" w:rsidRPr="003737F1" w:rsidRDefault="00634A42" w:rsidP="004E4EEC">
            <w:pPr>
              <w:rPr>
                <w:rFonts w:asciiTheme="minorHAnsi" w:hAnsiTheme="minorHAnsi"/>
              </w:rPr>
            </w:pPr>
            <w:r>
              <w:rPr>
                <w:rFonts w:asciiTheme="minorHAnsi" w:hAnsiTheme="minorHAnsi"/>
              </w:rPr>
              <w:t xml:space="preserve"> ALN, inclusivity, assistive devices. Social Vs medical model of disability. Can assistive devices knock pupil confidence when they do not work. How often does the device stop working? Does it affect their mental health/ well-being because they are “different” to their peers? Or do they get frustrated because they can’t do their work without the help of the device? Or are they grateful for the device because when it works it allows them to work independently? </w:t>
            </w:r>
          </w:p>
          <w:p w14:paraId="41F131F8" w14:textId="77777777" w:rsidR="00634A42" w:rsidRPr="003737F1" w:rsidRDefault="00634A42" w:rsidP="004E4EEC">
            <w:pPr>
              <w:rPr>
                <w:rFonts w:asciiTheme="minorHAnsi" w:hAnsiTheme="minorHAnsi"/>
              </w:rPr>
            </w:pPr>
          </w:p>
          <w:p w14:paraId="5D16BDF9" w14:textId="77777777" w:rsidR="00634A42" w:rsidRPr="003737F1" w:rsidRDefault="00634A42" w:rsidP="004E4EEC">
            <w:pPr>
              <w:rPr>
                <w:rFonts w:asciiTheme="minorHAnsi" w:hAnsiTheme="minorHAnsi"/>
              </w:rPr>
            </w:pPr>
          </w:p>
          <w:p w14:paraId="4C82F337" w14:textId="77777777" w:rsidR="00634A42" w:rsidRPr="003737F1" w:rsidRDefault="00634A42" w:rsidP="004E4EEC">
            <w:pPr>
              <w:rPr>
                <w:rFonts w:asciiTheme="minorHAnsi" w:hAnsiTheme="minorHAnsi"/>
              </w:rPr>
            </w:pPr>
          </w:p>
          <w:p w14:paraId="56B96530" w14:textId="77777777" w:rsidR="00634A42" w:rsidRPr="003737F1" w:rsidRDefault="00634A42" w:rsidP="004E4EEC">
            <w:pPr>
              <w:rPr>
                <w:rFonts w:asciiTheme="minorHAnsi" w:hAnsiTheme="minorHAnsi"/>
              </w:rPr>
            </w:pPr>
          </w:p>
          <w:p w14:paraId="216BC4F8" w14:textId="77777777" w:rsidR="00634A42" w:rsidRPr="003737F1" w:rsidRDefault="00634A42" w:rsidP="004E4EEC">
            <w:pPr>
              <w:rPr>
                <w:rFonts w:asciiTheme="minorHAnsi" w:hAnsiTheme="minorHAnsi"/>
              </w:rPr>
            </w:pPr>
          </w:p>
          <w:p w14:paraId="3E703277" w14:textId="77777777" w:rsidR="00634A42" w:rsidRPr="003737F1" w:rsidRDefault="00634A42" w:rsidP="004E4EEC">
            <w:pPr>
              <w:rPr>
                <w:rFonts w:asciiTheme="minorHAnsi" w:hAnsiTheme="minorHAnsi"/>
              </w:rPr>
            </w:pPr>
          </w:p>
          <w:p w14:paraId="714CC6EF" w14:textId="77777777" w:rsidR="00634A42" w:rsidRPr="003737F1" w:rsidRDefault="00634A42" w:rsidP="004E4EEC">
            <w:pPr>
              <w:rPr>
                <w:rFonts w:asciiTheme="minorHAnsi" w:hAnsiTheme="minorHAnsi"/>
              </w:rPr>
            </w:pPr>
          </w:p>
          <w:p w14:paraId="2978B882" w14:textId="77777777" w:rsidR="00634A42" w:rsidRPr="003737F1" w:rsidRDefault="00634A42" w:rsidP="004E4EEC">
            <w:pPr>
              <w:rPr>
                <w:rFonts w:asciiTheme="minorHAnsi" w:hAnsiTheme="minorHAnsi"/>
              </w:rPr>
            </w:pPr>
          </w:p>
        </w:tc>
      </w:tr>
      <w:tr w:rsidR="00634A42" w:rsidRPr="003737F1" w14:paraId="570B9423" w14:textId="77777777" w:rsidTr="004E4EEC">
        <w:tc>
          <w:tcPr>
            <w:tcW w:w="8926" w:type="dxa"/>
          </w:tcPr>
          <w:p w14:paraId="39F5B7E2" w14:textId="7F7DA759" w:rsidR="00634A42" w:rsidRPr="00627773" w:rsidRDefault="00634A42" w:rsidP="004E4EEC">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w:t>
            </w:r>
          </w:p>
          <w:p w14:paraId="5C7AE34F" w14:textId="0FBAF659" w:rsidR="00634A42" w:rsidRPr="003737F1" w:rsidRDefault="00634A42" w:rsidP="004E4EEC">
            <w:pPr>
              <w:rPr>
                <w:rFonts w:asciiTheme="minorHAnsi" w:hAnsiTheme="minorHAnsi"/>
              </w:rPr>
            </w:pPr>
            <w:r>
              <w:rPr>
                <w:rFonts w:asciiTheme="minorHAnsi" w:hAnsiTheme="minorHAnsi"/>
              </w:rPr>
              <w:t xml:space="preserve">Majority of the tables are set out, so it is easier to do group work. However, the front table is in a row to accommodate the pupil’s assistive device. </w:t>
            </w:r>
          </w:p>
          <w:p w14:paraId="716F359F" w14:textId="77777777" w:rsidR="00634A42" w:rsidRDefault="00634A42" w:rsidP="004E4EEC">
            <w:pPr>
              <w:rPr>
                <w:rFonts w:asciiTheme="minorHAnsi" w:hAnsiTheme="minorHAnsi"/>
              </w:rPr>
            </w:pPr>
            <w:r>
              <w:rPr>
                <w:rFonts w:asciiTheme="minorHAnsi" w:hAnsiTheme="minorHAnsi"/>
              </w:rPr>
              <w:t xml:space="preserve">First lesson so many of the pupils may have had a stressful morning before school or may be tired? </w:t>
            </w:r>
          </w:p>
          <w:p w14:paraId="5269127E" w14:textId="77777777" w:rsidR="00634A42" w:rsidRDefault="00634A42" w:rsidP="004E4EEC">
            <w:pPr>
              <w:rPr>
                <w:rFonts w:asciiTheme="minorHAnsi" w:hAnsiTheme="minorHAnsi"/>
              </w:rPr>
            </w:pPr>
            <w:r>
              <w:rPr>
                <w:rFonts w:asciiTheme="minorHAnsi" w:hAnsiTheme="minorHAnsi"/>
              </w:rPr>
              <w:t xml:space="preserve">July tends to be warm so pupils could be more distracted. </w:t>
            </w:r>
          </w:p>
          <w:p w14:paraId="23F73DD2" w14:textId="77777777" w:rsidR="00634A42" w:rsidRDefault="00634A42" w:rsidP="004E4EEC">
            <w:pPr>
              <w:rPr>
                <w:rFonts w:asciiTheme="minorHAnsi" w:hAnsiTheme="minorHAnsi"/>
              </w:rPr>
            </w:pPr>
            <w:r>
              <w:rPr>
                <w:rFonts w:asciiTheme="minorHAnsi" w:hAnsiTheme="minorHAnsi"/>
              </w:rPr>
              <w:t>End of the year so less motivation?</w:t>
            </w:r>
          </w:p>
          <w:p w14:paraId="5F0B7728" w14:textId="77777777" w:rsidR="00634A42" w:rsidRPr="003737F1" w:rsidRDefault="00634A42" w:rsidP="004E4EEC">
            <w:pPr>
              <w:rPr>
                <w:rFonts w:asciiTheme="minorHAnsi" w:hAnsiTheme="minorHAnsi"/>
              </w:rPr>
            </w:pPr>
            <w:r>
              <w:rPr>
                <w:rFonts w:asciiTheme="minorHAnsi" w:hAnsiTheme="minorHAnsi"/>
              </w:rPr>
              <w:t xml:space="preserve">Using props more excited and distracted from the actual work. </w:t>
            </w:r>
          </w:p>
          <w:p w14:paraId="55E71983" w14:textId="77777777" w:rsidR="00634A42" w:rsidRPr="003737F1" w:rsidRDefault="00634A42" w:rsidP="004E4EEC">
            <w:pPr>
              <w:rPr>
                <w:rFonts w:asciiTheme="minorHAnsi" w:hAnsiTheme="minorHAnsi"/>
              </w:rPr>
            </w:pPr>
          </w:p>
          <w:p w14:paraId="1DCAAA95" w14:textId="77777777" w:rsidR="00634A42" w:rsidRPr="003737F1" w:rsidRDefault="00634A42" w:rsidP="004E4EEC">
            <w:pPr>
              <w:rPr>
                <w:rFonts w:asciiTheme="minorHAnsi" w:hAnsiTheme="minorHAnsi"/>
              </w:rPr>
            </w:pPr>
          </w:p>
          <w:p w14:paraId="02FED081" w14:textId="77777777" w:rsidR="00634A42" w:rsidRPr="003737F1" w:rsidRDefault="00634A42" w:rsidP="004E4EEC">
            <w:pPr>
              <w:rPr>
                <w:rFonts w:asciiTheme="minorHAnsi" w:hAnsiTheme="minorHAnsi"/>
              </w:rPr>
            </w:pPr>
          </w:p>
          <w:p w14:paraId="04918516" w14:textId="77777777" w:rsidR="00634A42" w:rsidRPr="003737F1" w:rsidRDefault="00634A42" w:rsidP="004E4EEC">
            <w:pPr>
              <w:rPr>
                <w:rFonts w:asciiTheme="minorHAnsi" w:hAnsiTheme="minorHAnsi"/>
              </w:rPr>
            </w:pPr>
          </w:p>
          <w:p w14:paraId="5DAB5484" w14:textId="77777777" w:rsidR="00634A42" w:rsidRPr="003737F1" w:rsidRDefault="00634A42" w:rsidP="004E4EEC">
            <w:pPr>
              <w:rPr>
                <w:rFonts w:asciiTheme="minorHAnsi" w:hAnsiTheme="minorHAnsi"/>
              </w:rPr>
            </w:pPr>
          </w:p>
          <w:p w14:paraId="10D62D47" w14:textId="77777777" w:rsidR="00634A42" w:rsidRPr="003737F1" w:rsidRDefault="00634A42" w:rsidP="004E4EEC">
            <w:pPr>
              <w:rPr>
                <w:rFonts w:asciiTheme="minorHAnsi" w:hAnsiTheme="minorHAnsi"/>
              </w:rPr>
            </w:pPr>
          </w:p>
          <w:p w14:paraId="0393C57A" w14:textId="77777777" w:rsidR="00634A42" w:rsidRPr="003737F1" w:rsidRDefault="00634A42" w:rsidP="004E4EEC">
            <w:pPr>
              <w:rPr>
                <w:rFonts w:asciiTheme="minorHAnsi" w:hAnsiTheme="minorHAnsi"/>
              </w:rPr>
            </w:pPr>
          </w:p>
        </w:tc>
      </w:tr>
    </w:tbl>
    <w:p w14:paraId="4CA71FA8" w14:textId="77777777" w:rsidR="00634A42" w:rsidRPr="00634A42" w:rsidRDefault="00634A42">
      <w:pPr>
        <w:spacing w:before="200" w:line="480" w:lineRule="auto"/>
        <w:jc w:val="both"/>
        <w:rPr>
          <w:rFonts w:ascii="Times New Roman" w:eastAsia="Times New Roman" w:hAnsi="Times New Roman" w:cs="Times New Roman"/>
          <w:i/>
          <w:iCs/>
          <w:sz w:val="24"/>
          <w:szCs w:val="24"/>
        </w:rPr>
      </w:pPr>
    </w:p>
    <w:sectPr w:rsidR="00634A42" w:rsidRPr="00634A42" w:rsidSect="007D03EE">
      <w:headerReference w:type="default" r:id="rId6"/>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C9F80" w14:textId="77777777" w:rsidR="005E0D58" w:rsidRDefault="005E0D58" w:rsidP="007D03EE">
      <w:pPr>
        <w:spacing w:line="240" w:lineRule="auto"/>
      </w:pPr>
      <w:r>
        <w:separator/>
      </w:r>
    </w:p>
  </w:endnote>
  <w:endnote w:type="continuationSeparator" w:id="0">
    <w:p w14:paraId="73971EFD" w14:textId="77777777" w:rsidR="005E0D58" w:rsidRDefault="005E0D58" w:rsidP="007D03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03035"/>
      <w:docPartObj>
        <w:docPartGallery w:val="Page Numbers (Bottom of Page)"/>
        <w:docPartUnique/>
      </w:docPartObj>
    </w:sdtPr>
    <w:sdtEndPr>
      <w:rPr>
        <w:noProof/>
      </w:rPr>
    </w:sdtEndPr>
    <w:sdtContent>
      <w:p w14:paraId="4389752E" w14:textId="2C9C1839" w:rsidR="007D03EE" w:rsidRDefault="007D03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6E40A1" w14:textId="77777777" w:rsidR="007D03EE" w:rsidRDefault="007D0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7E509" w14:textId="77777777" w:rsidR="005E0D58" w:rsidRDefault="005E0D58" w:rsidP="007D03EE">
      <w:pPr>
        <w:spacing w:line="240" w:lineRule="auto"/>
      </w:pPr>
      <w:r>
        <w:separator/>
      </w:r>
    </w:p>
  </w:footnote>
  <w:footnote w:type="continuationSeparator" w:id="0">
    <w:p w14:paraId="26408CAB" w14:textId="77777777" w:rsidR="005E0D58" w:rsidRDefault="005E0D58" w:rsidP="007D03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82797" w14:textId="61057FFC" w:rsidR="000D6DA0" w:rsidRDefault="000D6DA0">
    <w:pPr>
      <w:pStyle w:val="Header"/>
    </w:pPr>
    <w:r>
      <w:t>1902237- ECAD6007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91A"/>
    <w:rsid w:val="00000B5A"/>
    <w:rsid w:val="000A194B"/>
    <w:rsid w:val="000D6DA0"/>
    <w:rsid w:val="001305AD"/>
    <w:rsid w:val="00180B95"/>
    <w:rsid w:val="00442738"/>
    <w:rsid w:val="005110FC"/>
    <w:rsid w:val="005E0D58"/>
    <w:rsid w:val="00634A42"/>
    <w:rsid w:val="0066787F"/>
    <w:rsid w:val="007D03EE"/>
    <w:rsid w:val="00977823"/>
    <w:rsid w:val="00A0791A"/>
    <w:rsid w:val="00B22E09"/>
    <w:rsid w:val="00C56555"/>
    <w:rsid w:val="00C83168"/>
    <w:rsid w:val="00DA43ED"/>
    <w:rsid w:val="00E74307"/>
    <w:rsid w:val="00EF3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FB6B1"/>
  <w15:docId w15:val="{CF863B62-355D-43BE-AD87-6BC34423B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C56555"/>
    <w:pPr>
      <w:spacing w:before="100" w:beforeAutospacing="1" w:after="100" w:afterAutospacing="1" w:line="240" w:lineRule="auto"/>
    </w:pPr>
    <w:rPr>
      <w:rFonts w:ascii="Times New Roman" w:eastAsia="Times New Roman" w:hAnsi="Times New Roman" w:cs="Times New Roman"/>
      <w:sz w:val="24"/>
      <w:szCs w:val="24"/>
      <w:lang w:val="en-GB"/>
    </w:rPr>
  </w:style>
  <w:style w:type="table" w:styleId="TableGrid">
    <w:name w:val="Table Grid"/>
    <w:basedOn w:val="TableNormal"/>
    <w:uiPriority w:val="39"/>
    <w:rsid w:val="00634A42"/>
    <w:pPr>
      <w:spacing w:line="240" w:lineRule="auto"/>
    </w:pPr>
    <w:rPr>
      <w:rFonts w:ascii="Calibri" w:eastAsia="Calibri" w:hAnsi="Calibri" w:cs="Times New Roma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03EE"/>
    <w:pPr>
      <w:tabs>
        <w:tab w:val="center" w:pos="4513"/>
        <w:tab w:val="right" w:pos="9026"/>
      </w:tabs>
      <w:spacing w:line="240" w:lineRule="auto"/>
    </w:pPr>
  </w:style>
  <w:style w:type="character" w:customStyle="1" w:styleId="HeaderChar">
    <w:name w:val="Header Char"/>
    <w:basedOn w:val="DefaultParagraphFont"/>
    <w:link w:val="Header"/>
    <w:uiPriority w:val="99"/>
    <w:rsid w:val="007D03EE"/>
  </w:style>
  <w:style w:type="paragraph" w:styleId="Footer">
    <w:name w:val="footer"/>
    <w:basedOn w:val="Normal"/>
    <w:link w:val="FooterChar"/>
    <w:uiPriority w:val="99"/>
    <w:unhideWhenUsed/>
    <w:rsid w:val="007D03EE"/>
    <w:pPr>
      <w:tabs>
        <w:tab w:val="center" w:pos="4513"/>
        <w:tab w:val="right" w:pos="9026"/>
      </w:tabs>
      <w:spacing w:line="240" w:lineRule="auto"/>
    </w:pPr>
  </w:style>
  <w:style w:type="character" w:customStyle="1" w:styleId="FooterChar">
    <w:name w:val="Footer Char"/>
    <w:basedOn w:val="DefaultParagraphFont"/>
    <w:link w:val="Footer"/>
    <w:uiPriority w:val="99"/>
    <w:rsid w:val="007D0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1620305">
      <w:bodyDiv w:val="1"/>
      <w:marLeft w:val="0"/>
      <w:marRight w:val="0"/>
      <w:marTop w:val="0"/>
      <w:marBottom w:val="0"/>
      <w:divBdr>
        <w:top w:val="none" w:sz="0" w:space="0" w:color="auto"/>
        <w:left w:val="none" w:sz="0" w:space="0" w:color="auto"/>
        <w:bottom w:val="none" w:sz="0" w:space="0" w:color="auto"/>
        <w:right w:val="none" w:sz="0" w:space="0" w:color="auto"/>
      </w:divBdr>
      <w:divsChild>
        <w:div w:id="211374692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5150</Words>
  <Characters>29356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Corbett</dc:creator>
  <cp:lastModifiedBy>Sophie Corbett (1902237)</cp:lastModifiedBy>
  <cp:revision>2</cp:revision>
  <dcterms:created xsi:type="dcterms:W3CDTF">2023-11-01T11:57:00Z</dcterms:created>
  <dcterms:modified xsi:type="dcterms:W3CDTF">2023-11-01T11:57:00Z</dcterms:modified>
</cp:coreProperties>
</file>