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34BF0" w14:textId="1831F3D6" w:rsidR="005B4A5C" w:rsidRPr="005B4A5C" w:rsidRDefault="005B4A5C" w:rsidP="002E5F15">
      <w:pPr>
        <w:spacing w:before="100" w:beforeAutospacing="1" w:after="100" w:afterAutospacing="1" w:line="360" w:lineRule="auto"/>
        <w:rPr>
          <w:rFonts w:ascii="Arial" w:eastAsia="Times New Roman" w:hAnsi="Arial" w:cs="Arial"/>
          <w:kern w:val="0"/>
          <w:sz w:val="22"/>
          <w:szCs w:val="22"/>
          <w:lang w:eastAsia="en-GB"/>
          <w14:ligatures w14:val="none"/>
        </w:rPr>
      </w:pPr>
    </w:p>
    <w:p w14:paraId="217C3310" w14:textId="77777777" w:rsidR="005B4A5C" w:rsidRPr="002E5F15" w:rsidRDefault="005B4A5C"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B4A5C">
        <w:rPr>
          <w:rFonts w:ascii="Arial" w:eastAsia="Times New Roman" w:hAnsi="Arial" w:cs="Arial"/>
          <w:b/>
          <w:bCs/>
          <w:kern w:val="0"/>
          <w:sz w:val="22"/>
          <w:szCs w:val="22"/>
          <w:lang w:eastAsia="en-GB"/>
          <w14:ligatures w14:val="none"/>
        </w:rPr>
        <w:t>Student Name:</w:t>
      </w:r>
      <w:r w:rsidRPr="005B4A5C">
        <w:rPr>
          <w:rFonts w:ascii="Arial" w:eastAsia="Times New Roman" w:hAnsi="Arial" w:cs="Arial"/>
          <w:kern w:val="0"/>
          <w:sz w:val="22"/>
          <w:szCs w:val="22"/>
          <w:lang w:eastAsia="en-GB"/>
          <w14:ligatures w14:val="none"/>
        </w:rPr>
        <w:t xml:space="preserve"> Sabrina</w:t>
      </w:r>
      <w:r w:rsidRPr="002E5F15">
        <w:rPr>
          <w:rFonts w:ascii="Arial" w:eastAsia="Times New Roman" w:hAnsi="Arial" w:cs="Arial"/>
          <w:kern w:val="0"/>
          <w:sz w:val="22"/>
          <w:szCs w:val="22"/>
          <w:lang w:eastAsia="en-GB"/>
          <w14:ligatures w14:val="none"/>
        </w:rPr>
        <w:t xml:space="preserve"> Khan </w:t>
      </w:r>
    </w:p>
    <w:p w14:paraId="36F0A2FF" w14:textId="77777777" w:rsidR="005B4A5C" w:rsidRPr="002E5F15" w:rsidRDefault="005B4A5C" w:rsidP="00574E62">
      <w:pPr>
        <w:spacing w:before="100" w:beforeAutospacing="1" w:after="100" w:afterAutospacing="1" w:line="360" w:lineRule="auto"/>
        <w:rPr>
          <w:rFonts w:ascii="Arial" w:eastAsia="Times New Roman" w:hAnsi="Arial" w:cs="Arial"/>
          <w:i/>
          <w:iCs/>
          <w:kern w:val="0"/>
          <w:sz w:val="22"/>
          <w:szCs w:val="22"/>
          <w:lang w:eastAsia="en-GB"/>
          <w14:ligatures w14:val="none"/>
        </w:rPr>
      </w:pPr>
      <w:r w:rsidRPr="005B4A5C">
        <w:rPr>
          <w:rFonts w:ascii="Arial" w:eastAsia="Times New Roman" w:hAnsi="Arial" w:cs="Arial"/>
          <w:kern w:val="0"/>
          <w:sz w:val="22"/>
          <w:szCs w:val="22"/>
          <w:lang w:eastAsia="en-GB"/>
          <w14:ligatures w14:val="none"/>
        </w:rPr>
        <w:br/>
      </w:r>
      <w:r w:rsidRPr="005B4A5C">
        <w:rPr>
          <w:rFonts w:ascii="Arial" w:eastAsia="Times New Roman" w:hAnsi="Arial" w:cs="Arial"/>
          <w:b/>
          <w:bCs/>
          <w:kern w:val="0"/>
          <w:sz w:val="22"/>
          <w:szCs w:val="22"/>
          <w:lang w:eastAsia="en-GB"/>
          <w14:ligatures w14:val="none"/>
        </w:rPr>
        <w:t>Student Number:</w:t>
      </w:r>
      <w:r w:rsidRPr="005B4A5C">
        <w:rPr>
          <w:rFonts w:ascii="Arial" w:eastAsia="Times New Roman" w:hAnsi="Arial" w:cs="Arial"/>
          <w:kern w:val="0"/>
          <w:sz w:val="22"/>
          <w:szCs w:val="22"/>
          <w:lang w:eastAsia="en-GB"/>
          <w14:ligatures w14:val="none"/>
        </w:rPr>
        <w:t xml:space="preserve"> </w:t>
      </w:r>
      <w:r w:rsidRPr="002E5F15">
        <w:rPr>
          <w:rFonts w:ascii="Arial" w:eastAsia="Times New Roman" w:hAnsi="Arial" w:cs="Arial"/>
          <w:i/>
          <w:iCs/>
          <w:kern w:val="0"/>
          <w:sz w:val="22"/>
          <w:szCs w:val="22"/>
          <w:lang w:eastAsia="en-GB"/>
          <w14:ligatures w14:val="none"/>
        </w:rPr>
        <w:t>2221348</w:t>
      </w:r>
    </w:p>
    <w:p w14:paraId="35F4A5C4" w14:textId="77777777" w:rsidR="005B4A5C" w:rsidRPr="002E5F15" w:rsidRDefault="005B4A5C"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B4A5C">
        <w:rPr>
          <w:rFonts w:ascii="Arial" w:eastAsia="Times New Roman" w:hAnsi="Arial" w:cs="Arial"/>
          <w:kern w:val="0"/>
          <w:sz w:val="22"/>
          <w:szCs w:val="22"/>
          <w:lang w:eastAsia="en-GB"/>
          <w14:ligatures w14:val="none"/>
        </w:rPr>
        <w:br/>
      </w:r>
      <w:r w:rsidRPr="005B4A5C">
        <w:rPr>
          <w:rFonts w:ascii="Arial" w:eastAsia="Times New Roman" w:hAnsi="Arial" w:cs="Arial"/>
          <w:b/>
          <w:bCs/>
          <w:kern w:val="0"/>
          <w:sz w:val="22"/>
          <w:szCs w:val="22"/>
          <w:lang w:eastAsia="en-GB"/>
          <w14:ligatures w14:val="none"/>
        </w:rPr>
        <w:t>Module Title:</w:t>
      </w:r>
      <w:r w:rsidRPr="005B4A5C">
        <w:rPr>
          <w:rFonts w:ascii="Arial" w:eastAsia="Times New Roman" w:hAnsi="Arial" w:cs="Arial"/>
          <w:kern w:val="0"/>
          <w:sz w:val="22"/>
          <w:szCs w:val="22"/>
          <w:lang w:eastAsia="en-GB"/>
          <w14:ligatures w14:val="none"/>
        </w:rPr>
        <w:t xml:space="preserve"> </w:t>
      </w:r>
      <w:r w:rsidRPr="002E5F15">
        <w:rPr>
          <w:rFonts w:ascii="Arial" w:eastAsia="Times New Roman" w:hAnsi="Arial" w:cs="Arial"/>
          <w:kern w:val="0"/>
          <w:sz w:val="22"/>
          <w:szCs w:val="22"/>
          <w:lang w:eastAsia="en-GB"/>
          <w14:ligatures w14:val="none"/>
        </w:rPr>
        <w:t>Health, Wellbeing and Sustainable development</w:t>
      </w:r>
    </w:p>
    <w:p w14:paraId="7A38A457" w14:textId="285CC1E0" w:rsidR="005B4A5C" w:rsidRDefault="005B4A5C"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B4A5C">
        <w:rPr>
          <w:rFonts w:ascii="Arial" w:eastAsia="Times New Roman" w:hAnsi="Arial" w:cs="Arial"/>
          <w:kern w:val="0"/>
          <w:sz w:val="22"/>
          <w:szCs w:val="22"/>
          <w:lang w:eastAsia="en-GB"/>
          <w14:ligatures w14:val="none"/>
        </w:rPr>
        <w:br/>
      </w:r>
      <w:r w:rsidRPr="005B4A5C">
        <w:rPr>
          <w:rFonts w:ascii="Arial" w:eastAsia="Times New Roman" w:hAnsi="Arial" w:cs="Arial"/>
          <w:b/>
          <w:bCs/>
          <w:kern w:val="0"/>
          <w:sz w:val="22"/>
          <w:szCs w:val="22"/>
          <w:lang w:eastAsia="en-GB"/>
          <w14:ligatures w14:val="none"/>
        </w:rPr>
        <w:t>Assignment Title:</w:t>
      </w:r>
      <w:r w:rsidR="00ED0FBC">
        <w:rPr>
          <w:rFonts w:ascii="Arial" w:eastAsia="Times New Roman" w:hAnsi="Arial" w:cs="Arial"/>
          <w:b/>
          <w:bCs/>
          <w:kern w:val="0"/>
          <w:sz w:val="22"/>
          <w:szCs w:val="22"/>
          <w:lang w:eastAsia="en-GB"/>
          <w14:ligatures w14:val="none"/>
        </w:rPr>
        <w:t xml:space="preserve"> </w:t>
      </w:r>
      <w:r w:rsidR="00ED0FBC" w:rsidRPr="00ED0FBC">
        <w:rPr>
          <w:rFonts w:ascii="Arial" w:eastAsia="Times New Roman" w:hAnsi="Arial" w:cs="Arial"/>
          <w:kern w:val="0"/>
          <w:sz w:val="22"/>
          <w:szCs w:val="22"/>
          <w:lang w:eastAsia="en-GB"/>
          <w14:ligatures w14:val="none"/>
        </w:rPr>
        <w:t>Component 2</w:t>
      </w:r>
      <w:r w:rsidRPr="005B4A5C">
        <w:rPr>
          <w:rFonts w:ascii="Arial" w:eastAsia="Times New Roman" w:hAnsi="Arial" w:cs="Arial"/>
          <w:kern w:val="0"/>
          <w:sz w:val="22"/>
          <w:szCs w:val="22"/>
          <w:lang w:eastAsia="en-GB"/>
          <w14:ligatures w14:val="none"/>
        </w:rPr>
        <w:t xml:space="preserve"> </w:t>
      </w:r>
      <w:r w:rsidR="00DA29EF" w:rsidRPr="00ED0FBC">
        <w:rPr>
          <w:rFonts w:ascii="Arial" w:eastAsia="Times New Roman" w:hAnsi="Arial" w:cs="Arial"/>
          <w:kern w:val="0"/>
          <w:sz w:val="22"/>
          <w:szCs w:val="22"/>
          <w:lang w:eastAsia="en-GB"/>
          <w14:ligatures w14:val="none"/>
        </w:rPr>
        <w:t>Written Report</w:t>
      </w:r>
    </w:p>
    <w:p w14:paraId="03E8F3EC" w14:textId="1AE22A25" w:rsidR="00574E62" w:rsidRPr="002E5F15"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b/>
          <w:bCs/>
          <w:kern w:val="0"/>
          <w:sz w:val="22"/>
          <w:szCs w:val="22"/>
          <w:lang w:eastAsia="en-GB"/>
          <w14:ligatures w14:val="none"/>
        </w:rPr>
        <w:t>Lecturer</w:t>
      </w:r>
      <w:r>
        <w:rPr>
          <w:rFonts w:ascii="Arial" w:eastAsia="Times New Roman" w:hAnsi="Arial" w:cs="Arial"/>
          <w:kern w:val="0"/>
          <w:sz w:val="22"/>
          <w:szCs w:val="22"/>
          <w:lang w:eastAsia="en-GB"/>
          <w14:ligatures w14:val="none"/>
        </w:rPr>
        <w:t>: Zakiyyah Ahmed</w:t>
      </w:r>
    </w:p>
    <w:p w14:paraId="732DCF42" w14:textId="77777777" w:rsidR="005B4A5C" w:rsidRPr="002E5F15" w:rsidRDefault="005B4A5C" w:rsidP="002E5F15">
      <w:pPr>
        <w:spacing w:before="100" w:beforeAutospacing="1" w:after="100" w:afterAutospacing="1" w:line="360" w:lineRule="auto"/>
        <w:rPr>
          <w:rFonts w:ascii="Arial" w:eastAsia="Times New Roman" w:hAnsi="Arial" w:cs="Arial"/>
          <w:kern w:val="0"/>
          <w:sz w:val="22"/>
          <w:szCs w:val="22"/>
          <w:lang w:eastAsia="en-GB"/>
          <w14:ligatures w14:val="none"/>
        </w:rPr>
      </w:pPr>
    </w:p>
    <w:p w14:paraId="2B28CB8F" w14:textId="77777777" w:rsidR="005B4A5C" w:rsidRPr="002E5F15" w:rsidRDefault="005B4A5C" w:rsidP="002E5F15">
      <w:pPr>
        <w:spacing w:before="100" w:beforeAutospacing="1" w:after="100" w:afterAutospacing="1" w:line="360" w:lineRule="auto"/>
        <w:rPr>
          <w:rFonts w:ascii="Arial" w:eastAsia="Times New Roman" w:hAnsi="Arial" w:cs="Arial"/>
          <w:kern w:val="0"/>
          <w:sz w:val="22"/>
          <w:szCs w:val="22"/>
          <w:lang w:eastAsia="en-GB"/>
          <w14:ligatures w14:val="none"/>
        </w:rPr>
      </w:pPr>
    </w:p>
    <w:p w14:paraId="7F914D45" w14:textId="77777777" w:rsidR="005B4A5C" w:rsidRPr="002E5F15" w:rsidRDefault="005B4A5C" w:rsidP="002E5F15">
      <w:pPr>
        <w:spacing w:before="100" w:beforeAutospacing="1" w:after="100" w:afterAutospacing="1" w:line="360" w:lineRule="auto"/>
        <w:rPr>
          <w:rFonts w:ascii="Arial" w:eastAsia="Times New Roman" w:hAnsi="Arial" w:cs="Arial"/>
          <w:kern w:val="0"/>
          <w:sz w:val="22"/>
          <w:szCs w:val="22"/>
          <w:lang w:eastAsia="en-GB"/>
          <w14:ligatures w14:val="none"/>
        </w:rPr>
      </w:pPr>
    </w:p>
    <w:p w14:paraId="4DB1BEA2" w14:textId="77777777" w:rsidR="005B4A5C" w:rsidRPr="002E5F15" w:rsidRDefault="005B4A5C" w:rsidP="002E5F15">
      <w:pPr>
        <w:spacing w:before="100" w:beforeAutospacing="1" w:after="100" w:afterAutospacing="1" w:line="360" w:lineRule="auto"/>
        <w:rPr>
          <w:rFonts w:ascii="Arial" w:eastAsia="Times New Roman" w:hAnsi="Arial" w:cs="Arial"/>
          <w:kern w:val="0"/>
          <w:sz w:val="22"/>
          <w:szCs w:val="22"/>
          <w:lang w:eastAsia="en-GB"/>
          <w14:ligatures w14:val="none"/>
        </w:rPr>
      </w:pPr>
    </w:p>
    <w:p w14:paraId="795A21E3" w14:textId="77777777" w:rsidR="005B4A5C" w:rsidRPr="002E5F15" w:rsidRDefault="005B4A5C" w:rsidP="002E5F15">
      <w:pPr>
        <w:spacing w:before="100" w:beforeAutospacing="1" w:after="100" w:afterAutospacing="1" w:line="360" w:lineRule="auto"/>
        <w:rPr>
          <w:rFonts w:ascii="Arial" w:eastAsia="Times New Roman" w:hAnsi="Arial" w:cs="Arial"/>
          <w:kern w:val="0"/>
          <w:sz w:val="22"/>
          <w:szCs w:val="22"/>
          <w:lang w:eastAsia="en-GB"/>
          <w14:ligatures w14:val="none"/>
        </w:rPr>
      </w:pPr>
    </w:p>
    <w:p w14:paraId="670DADA0" w14:textId="77777777" w:rsidR="005B4A5C" w:rsidRPr="002E5F15" w:rsidRDefault="005B4A5C" w:rsidP="002E5F15">
      <w:pPr>
        <w:spacing w:before="100" w:beforeAutospacing="1" w:after="100" w:afterAutospacing="1" w:line="360" w:lineRule="auto"/>
        <w:rPr>
          <w:rFonts w:ascii="Arial" w:eastAsia="Times New Roman" w:hAnsi="Arial" w:cs="Arial"/>
          <w:kern w:val="0"/>
          <w:sz w:val="22"/>
          <w:szCs w:val="22"/>
          <w:lang w:eastAsia="en-GB"/>
          <w14:ligatures w14:val="none"/>
        </w:rPr>
      </w:pPr>
    </w:p>
    <w:p w14:paraId="2344A1A7" w14:textId="77777777" w:rsidR="002E5F15" w:rsidRDefault="002E5F15" w:rsidP="002E5F15">
      <w:pPr>
        <w:spacing w:before="100" w:beforeAutospacing="1" w:after="100" w:afterAutospacing="1" w:line="360" w:lineRule="auto"/>
        <w:rPr>
          <w:rFonts w:ascii="Arial" w:eastAsia="Times New Roman" w:hAnsi="Arial" w:cs="Arial"/>
          <w:b/>
          <w:bCs/>
          <w:kern w:val="36"/>
          <w:sz w:val="22"/>
          <w:szCs w:val="22"/>
          <w:lang w:eastAsia="en-GB"/>
          <w14:ligatures w14:val="none"/>
        </w:rPr>
      </w:pPr>
    </w:p>
    <w:p w14:paraId="0DA94687" w14:textId="77777777" w:rsidR="002E5F15" w:rsidRDefault="002E5F15" w:rsidP="002E5F15">
      <w:pPr>
        <w:spacing w:before="100" w:beforeAutospacing="1" w:after="100" w:afterAutospacing="1" w:line="360" w:lineRule="auto"/>
        <w:rPr>
          <w:rFonts w:ascii="Arial" w:eastAsia="Times New Roman" w:hAnsi="Arial" w:cs="Arial"/>
          <w:b/>
          <w:bCs/>
          <w:kern w:val="36"/>
          <w:sz w:val="22"/>
          <w:szCs w:val="22"/>
          <w:lang w:eastAsia="en-GB"/>
          <w14:ligatures w14:val="none"/>
        </w:rPr>
      </w:pPr>
    </w:p>
    <w:p w14:paraId="482ED2E6" w14:textId="77777777" w:rsidR="002E5F15" w:rsidRDefault="002E5F15" w:rsidP="002E5F15">
      <w:pPr>
        <w:spacing w:before="100" w:beforeAutospacing="1" w:after="100" w:afterAutospacing="1" w:line="360" w:lineRule="auto"/>
        <w:rPr>
          <w:rFonts w:ascii="Arial" w:eastAsia="Times New Roman" w:hAnsi="Arial" w:cs="Arial"/>
          <w:b/>
          <w:bCs/>
          <w:kern w:val="36"/>
          <w:sz w:val="22"/>
          <w:szCs w:val="22"/>
          <w:lang w:eastAsia="en-GB"/>
          <w14:ligatures w14:val="none"/>
        </w:rPr>
      </w:pPr>
    </w:p>
    <w:p w14:paraId="6DF9B988" w14:textId="77777777" w:rsidR="002E5F15" w:rsidRDefault="002E5F15" w:rsidP="002E5F15">
      <w:pPr>
        <w:spacing w:before="100" w:beforeAutospacing="1" w:after="100" w:afterAutospacing="1" w:line="360" w:lineRule="auto"/>
        <w:rPr>
          <w:rFonts w:ascii="Arial" w:eastAsia="Times New Roman" w:hAnsi="Arial" w:cs="Arial"/>
          <w:b/>
          <w:bCs/>
          <w:kern w:val="36"/>
          <w:sz w:val="22"/>
          <w:szCs w:val="22"/>
          <w:lang w:eastAsia="en-GB"/>
          <w14:ligatures w14:val="none"/>
        </w:rPr>
      </w:pPr>
    </w:p>
    <w:p w14:paraId="274EFC0F" w14:textId="77777777" w:rsidR="002E5F15" w:rsidRDefault="002E5F15" w:rsidP="002E5F15">
      <w:pPr>
        <w:spacing w:before="100" w:beforeAutospacing="1" w:after="100" w:afterAutospacing="1" w:line="360" w:lineRule="auto"/>
        <w:rPr>
          <w:rFonts w:ascii="Arial" w:eastAsia="Times New Roman" w:hAnsi="Arial" w:cs="Arial"/>
          <w:b/>
          <w:bCs/>
          <w:kern w:val="36"/>
          <w:sz w:val="22"/>
          <w:szCs w:val="22"/>
          <w:lang w:eastAsia="en-GB"/>
          <w14:ligatures w14:val="none"/>
        </w:rPr>
      </w:pPr>
    </w:p>
    <w:p w14:paraId="5D6B444A" w14:textId="77777777" w:rsidR="002E5F15" w:rsidRDefault="002E5F15" w:rsidP="002E5F15">
      <w:pPr>
        <w:spacing w:before="100" w:beforeAutospacing="1" w:after="100" w:afterAutospacing="1" w:line="360" w:lineRule="auto"/>
        <w:rPr>
          <w:rFonts w:ascii="Arial" w:eastAsia="Times New Roman" w:hAnsi="Arial" w:cs="Arial"/>
          <w:b/>
          <w:bCs/>
          <w:kern w:val="36"/>
          <w:sz w:val="22"/>
          <w:szCs w:val="22"/>
          <w:lang w:eastAsia="en-GB"/>
          <w14:ligatures w14:val="none"/>
        </w:rPr>
      </w:pPr>
    </w:p>
    <w:p w14:paraId="1BE30F3C" w14:textId="77777777" w:rsidR="00ED0FBC" w:rsidRDefault="00ED0FBC" w:rsidP="002E5F15">
      <w:pPr>
        <w:spacing w:before="100" w:beforeAutospacing="1" w:after="100" w:afterAutospacing="1" w:line="360" w:lineRule="auto"/>
        <w:rPr>
          <w:rFonts w:ascii="Arial" w:eastAsia="Times New Roman" w:hAnsi="Arial" w:cs="Arial"/>
          <w:b/>
          <w:bCs/>
          <w:kern w:val="36"/>
          <w:sz w:val="22"/>
          <w:szCs w:val="22"/>
          <w:lang w:eastAsia="en-GB"/>
          <w14:ligatures w14:val="none"/>
        </w:rPr>
      </w:pPr>
    </w:p>
    <w:p w14:paraId="244189DB" w14:textId="77777777" w:rsidR="005E2A55" w:rsidRDefault="005E2A55" w:rsidP="002E5F15">
      <w:pPr>
        <w:spacing w:before="100" w:beforeAutospacing="1" w:after="100" w:afterAutospacing="1" w:line="360" w:lineRule="auto"/>
        <w:rPr>
          <w:rFonts w:ascii="Arial" w:eastAsia="Times New Roman" w:hAnsi="Arial" w:cs="Arial"/>
          <w:b/>
          <w:bCs/>
          <w:kern w:val="36"/>
          <w:sz w:val="22"/>
          <w:szCs w:val="22"/>
          <w:lang w:eastAsia="en-GB"/>
          <w14:ligatures w14:val="none"/>
        </w:rPr>
      </w:pPr>
    </w:p>
    <w:p w14:paraId="140D3C60" w14:textId="7727A10C" w:rsidR="005B4A5C" w:rsidRPr="005B4A5C" w:rsidRDefault="005B4A5C" w:rsidP="002E5F15">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5B4A5C">
        <w:rPr>
          <w:rFonts w:ascii="Arial" w:eastAsia="Times New Roman" w:hAnsi="Arial" w:cs="Arial"/>
          <w:b/>
          <w:bCs/>
          <w:kern w:val="36"/>
          <w:sz w:val="22"/>
          <w:szCs w:val="22"/>
          <w:lang w:eastAsia="en-GB"/>
          <w14:ligatures w14:val="none"/>
        </w:rPr>
        <w:lastRenderedPageBreak/>
        <w:t>CONTENTS PAGE</w:t>
      </w:r>
    </w:p>
    <w:p w14:paraId="5AD1F7EE" w14:textId="26088245" w:rsidR="005B4A5C" w:rsidRPr="005B4A5C" w:rsidRDefault="005B4A5C" w:rsidP="002E5F15">
      <w:pPr>
        <w:spacing w:before="100" w:beforeAutospacing="1" w:after="100" w:afterAutospacing="1" w:line="360" w:lineRule="auto"/>
        <w:rPr>
          <w:rFonts w:ascii="Arial" w:eastAsia="Times New Roman" w:hAnsi="Arial" w:cs="Arial"/>
          <w:kern w:val="0"/>
          <w:sz w:val="22"/>
          <w:szCs w:val="22"/>
          <w:lang w:eastAsia="en-GB"/>
          <w14:ligatures w14:val="none"/>
        </w:rPr>
      </w:pPr>
    </w:p>
    <w:p w14:paraId="4421431F" w14:textId="77777777" w:rsidR="005B4A5C" w:rsidRPr="005B4A5C" w:rsidRDefault="005B4A5C" w:rsidP="002E5F15">
      <w:pPr>
        <w:numPr>
          <w:ilvl w:val="0"/>
          <w:numId w:val="25"/>
        </w:numPr>
        <w:spacing w:before="100" w:beforeAutospacing="1" w:after="100" w:afterAutospacing="1" w:line="360" w:lineRule="auto"/>
        <w:rPr>
          <w:rFonts w:ascii="Arial" w:eastAsia="Times New Roman" w:hAnsi="Arial" w:cs="Arial"/>
          <w:kern w:val="0"/>
          <w:sz w:val="22"/>
          <w:szCs w:val="22"/>
          <w:lang w:eastAsia="en-GB"/>
          <w14:ligatures w14:val="none"/>
        </w:rPr>
      </w:pPr>
      <w:r w:rsidRPr="005B4A5C">
        <w:rPr>
          <w:rFonts w:ascii="Arial" w:eastAsia="Times New Roman" w:hAnsi="Arial" w:cs="Arial"/>
          <w:kern w:val="0"/>
          <w:sz w:val="22"/>
          <w:szCs w:val="22"/>
          <w:lang w:eastAsia="en-GB"/>
          <w14:ligatures w14:val="none"/>
        </w:rPr>
        <w:t>Introduction ..................................................................................... 1</w:t>
      </w:r>
    </w:p>
    <w:p w14:paraId="4B18D80C" w14:textId="77777777" w:rsidR="005B4A5C" w:rsidRPr="005B4A5C" w:rsidRDefault="005B4A5C" w:rsidP="002E5F15">
      <w:pPr>
        <w:numPr>
          <w:ilvl w:val="0"/>
          <w:numId w:val="25"/>
        </w:numPr>
        <w:spacing w:before="100" w:beforeAutospacing="1" w:after="100" w:afterAutospacing="1" w:line="360" w:lineRule="auto"/>
        <w:rPr>
          <w:rFonts w:ascii="Arial" w:eastAsia="Times New Roman" w:hAnsi="Arial" w:cs="Arial"/>
          <w:kern w:val="0"/>
          <w:sz w:val="22"/>
          <w:szCs w:val="22"/>
          <w:lang w:eastAsia="en-GB"/>
          <w14:ligatures w14:val="none"/>
        </w:rPr>
      </w:pPr>
      <w:r w:rsidRPr="005B4A5C">
        <w:rPr>
          <w:rFonts w:ascii="Arial" w:eastAsia="Times New Roman" w:hAnsi="Arial" w:cs="Arial"/>
          <w:kern w:val="0"/>
          <w:sz w:val="22"/>
          <w:szCs w:val="22"/>
          <w:lang w:eastAsia="en-GB"/>
          <w14:ligatures w14:val="none"/>
        </w:rPr>
        <w:t>SDG 3: Good Health and Wellbeing ............................................. 2</w:t>
      </w:r>
      <w:r w:rsidRPr="005B4A5C">
        <w:rPr>
          <w:rFonts w:ascii="Arial" w:eastAsia="Times New Roman" w:hAnsi="Arial" w:cs="Arial"/>
          <w:kern w:val="0"/>
          <w:sz w:val="22"/>
          <w:szCs w:val="22"/>
          <w:lang w:eastAsia="en-GB"/>
          <w14:ligatures w14:val="none"/>
        </w:rPr>
        <w:br/>
        <w:t>2.1 Overview of SDG 3</w:t>
      </w:r>
      <w:r w:rsidRPr="005B4A5C">
        <w:rPr>
          <w:rFonts w:ascii="Arial" w:eastAsia="Times New Roman" w:hAnsi="Arial" w:cs="Arial"/>
          <w:kern w:val="0"/>
          <w:sz w:val="22"/>
          <w:szCs w:val="22"/>
          <w:lang w:eastAsia="en-GB"/>
          <w14:ligatures w14:val="none"/>
        </w:rPr>
        <w:br/>
        <w:t>2.2 Global Policies and Initiatives</w:t>
      </w:r>
      <w:r w:rsidRPr="005B4A5C">
        <w:rPr>
          <w:rFonts w:ascii="Arial" w:eastAsia="Times New Roman" w:hAnsi="Arial" w:cs="Arial"/>
          <w:kern w:val="0"/>
          <w:sz w:val="22"/>
          <w:szCs w:val="22"/>
          <w:lang w:eastAsia="en-GB"/>
          <w14:ligatures w14:val="none"/>
        </w:rPr>
        <w:br/>
        <w:t>2.3 National Policies (UK)</w:t>
      </w:r>
      <w:r w:rsidRPr="005B4A5C">
        <w:rPr>
          <w:rFonts w:ascii="Arial" w:eastAsia="Times New Roman" w:hAnsi="Arial" w:cs="Arial"/>
          <w:kern w:val="0"/>
          <w:sz w:val="22"/>
          <w:szCs w:val="22"/>
          <w:lang w:eastAsia="en-GB"/>
          <w14:ligatures w14:val="none"/>
        </w:rPr>
        <w:br/>
        <w:t>2.4 Local Policies (Wolverhampton &amp; Black Country ICS)</w:t>
      </w:r>
      <w:r w:rsidRPr="005B4A5C">
        <w:rPr>
          <w:rFonts w:ascii="Arial" w:eastAsia="Times New Roman" w:hAnsi="Arial" w:cs="Arial"/>
          <w:kern w:val="0"/>
          <w:sz w:val="22"/>
          <w:szCs w:val="22"/>
          <w:lang w:eastAsia="en-GB"/>
          <w14:ligatures w14:val="none"/>
        </w:rPr>
        <w:br/>
        <w:t>2.5 Application of Theories and Models</w:t>
      </w:r>
      <w:r w:rsidRPr="005B4A5C">
        <w:rPr>
          <w:rFonts w:ascii="Arial" w:eastAsia="Times New Roman" w:hAnsi="Arial" w:cs="Arial"/>
          <w:kern w:val="0"/>
          <w:sz w:val="22"/>
          <w:szCs w:val="22"/>
          <w:lang w:eastAsia="en-GB"/>
          <w14:ligatures w14:val="none"/>
        </w:rPr>
        <w:br/>
        <w:t>2.6 Critical Evaluation</w:t>
      </w:r>
      <w:r w:rsidRPr="005B4A5C">
        <w:rPr>
          <w:rFonts w:ascii="Arial" w:eastAsia="Times New Roman" w:hAnsi="Arial" w:cs="Arial"/>
          <w:kern w:val="0"/>
          <w:sz w:val="22"/>
          <w:szCs w:val="22"/>
          <w:lang w:eastAsia="en-GB"/>
          <w14:ligatures w14:val="none"/>
        </w:rPr>
        <w:br/>
        <w:t>2.7 Recommendations</w:t>
      </w:r>
    </w:p>
    <w:p w14:paraId="132531C2" w14:textId="77777777" w:rsidR="005B4A5C" w:rsidRPr="005B4A5C" w:rsidRDefault="005B4A5C" w:rsidP="002E5F15">
      <w:pPr>
        <w:numPr>
          <w:ilvl w:val="0"/>
          <w:numId w:val="25"/>
        </w:numPr>
        <w:spacing w:before="100" w:beforeAutospacing="1" w:after="100" w:afterAutospacing="1" w:line="360" w:lineRule="auto"/>
        <w:rPr>
          <w:rFonts w:ascii="Arial" w:eastAsia="Times New Roman" w:hAnsi="Arial" w:cs="Arial"/>
          <w:kern w:val="0"/>
          <w:sz w:val="22"/>
          <w:szCs w:val="22"/>
          <w:lang w:eastAsia="en-GB"/>
          <w14:ligatures w14:val="none"/>
        </w:rPr>
      </w:pPr>
      <w:r w:rsidRPr="005B4A5C">
        <w:rPr>
          <w:rFonts w:ascii="Arial" w:eastAsia="Times New Roman" w:hAnsi="Arial" w:cs="Arial"/>
          <w:kern w:val="0"/>
          <w:sz w:val="22"/>
          <w:szCs w:val="22"/>
          <w:lang w:eastAsia="en-GB"/>
          <w14:ligatures w14:val="none"/>
        </w:rPr>
        <w:t>SDG 5: Gender Equality ................................................................. 8</w:t>
      </w:r>
      <w:r w:rsidRPr="005B4A5C">
        <w:rPr>
          <w:rFonts w:ascii="Arial" w:eastAsia="Times New Roman" w:hAnsi="Arial" w:cs="Arial"/>
          <w:kern w:val="0"/>
          <w:sz w:val="22"/>
          <w:szCs w:val="22"/>
          <w:lang w:eastAsia="en-GB"/>
          <w14:ligatures w14:val="none"/>
        </w:rPr>
        <w:br/>
        <w:t>3.1 Overview of SDG 5</w:t>
      </w:r>
      <w:r w:rsidRPr="005B4A5C">
        <w:rPr>
          <w:rFonts w:ascii="Arial" w:eastAsia="Times New Roman" w:hAnsi="Arial" w:cs="Arial"/>
          <w:kern w:val="0"/>
          <w:sz w:val="22"/>
          <w:szCs w:val="22"/>
          <w:lang w:eastAsia="en-GB"/>
          <w14:ligatures w14:val="none"/>
        </w:rPr>
        <w:br/>
        <w:t>3.2 Global Policies and Initiatives</w:t>
      </w:r>
      <w:r w:rsidRPr="005B4A5C">
        <w:rPr>
          <w:rFonts w:ascii="Arial" w:eastAsia="Times New Roman" w:hAnsi="Arial" w:cs="Arial"/>
          <w:kern w:val="0"/>
          <w:sz w:val="22"/>
          <w:szCs w:val="22"/>
          <w:lang w:eastAsia="en-GB"/>
          <w14:ligatures w14:val="none"/>
        </w:rPr>
        <w:br/>
        <w:t>3.3 National Policies (UK)</w:t>
      </w:r>
      <w:r w:rsidRPr="005B4A5C">
        <w:rPr>
          <w:rFonts w:ascii="Arial" w:eastAsia="Times New Roman" w:hAnsi="Arial" w:cs="Arial"/>
          <w:kern w:val="0"/>
          <w:sz w:val="22"/>
          <w:szCs w:val="22"/>
          <w:lang w:eastAsia="en-GB"/>
          <w14:ligatures w14:val="none"/>
        </w:rPr>
        <w:br/>
        <w:t>3.4 Local Policies (Wolverhampton &amp; West Midlands)</w:t>
      </w:r>
      <w:r w:rsidRPr="005B4A5C">
        <w:rPr>
          <w:rFonts w:ascii="Arial" w:eastAsia="Times New Roman" w:hAnsi="Arial" w:cs="Arial"/>
          <w:kern w:val="0"/>
          <w:sz w:val="22"/>
          <w:szCs w:val="22"/>
          <w:lang w:eastAsia="en-GB"/>
          <w14:ligatures w14:val="none"/>
        </w:rPr>
        <w:br/>
        <w:t>3.5 Application of Theories and Models</w:t>
      </w:r>
      <w:r w:rsidRPr="005B4A5C">
        <w:rPr>
          <w:rFonts w:ascii="Arial" w:eastAsia="Times New Roman" w:hAnsi="Arial" w:cs="Arial"/>
          <w:kern w:val="0"/>
          <w:sz w:val="22"/>
          <w:szCs w:val="22"/>
          <w:lang w:eastAsia="en-GB"/>
          <w14:ligatures w14:val="none"/>
        </w:rPr>
        <w:br/>
        <w:t>3.6 Critical Evaluation</w:t>
      </w:r>
      <w:r w:rsidRPr="005B4A5C">
        <w:rPr>
          <w:rFonts w:ascii="Arial" w:eastAsia="Times New Roman" w:hAnsi="Arial" w:cs="Arial"/>
          <w:kern w:val="0"/>
          <w:sz w:val="22"/>
          <w:szCs w:val="22"/>
          <w:lang w:eastAsia="en-GB"/>
          <w14:ligatures w14:val="none"/>
        </w:rPr>
        <w:br/>
        <w:t>3.7 Recommendations</w:t>
      </w:r>
    </w:p>
    <w:p w14:paraId="14F29A73" w14:textId="77777777" w:rsidR="005B4A5C" w:rsidRPr="005B4A5C" w:rsidRDefault="005B4A5C" w:rsidP="002E5F15">
      <w:pPr>
        <w:numPr>
          <w:ilvl w:val="0"/>
          <w:numId w:val="25"/>
        </w:numPr>
        <w:spacing w:before="100" w:beforeAutospacing="1" w:after="100" w:afterAutospacing="1" w:line="360" w:lineRule="auto"/>
        <w:rPr>
          <w:rFonts w:ascii="Arial" w:eastAsia="Times New Roman" w:hAnsi="Arial" w:cs="Arial"/>
          <w:kern w:val="0"/>
          <w:sz w:val="22"/>
          <w:szCs w:val="22"/>
          <w:lang w:eastAsia="en-GB"/>
          <w14:ligatures w14:val="none"/>
        </w:rPr>
      </w:pPr>
      <w:r w:rsidRPr="005B4A5C">
        <w:rPr>
          <w:rFonts w:ascii="Arial" w:eastAsia="Times New Roman" w:hAnsi="Arial" w:cs="Arial"/>
          <w:kern w:val="0"/>
          <w:sz w:val="22"/>
          <w:szCs w:val="22"/>
          <w:lang w:eastAsia="en-GB"/>
          <w14:ligatures w14:val="none"/>
        </w:rPr>
        <w:t>Conclusion ..................................................................................... 15</w:t>
      </w:r>
    </w:p>
    <w:p w14:paraId="3A1BDF61" w14:textId="77777777" w:rsidR="005B4A5C" w:rsidRPr="005B4A5C" w:rsidRDefault="005B4A5C" w:rsidP="002E5F15">
      <w:pPr>
        <w:numPr>
          <w:ilvl w:val="0"/>
          <w:numId w:val="25"/>
        </w:numPr>
        <w:spacing w:before="100" w:beforeAutospacing="1" w:after="100" w:afterAutospacing="1" w:line="360" w:lineRule="auto"/>
        <w:rPr>
          <w:rFonts w:ascii="Arial" w:eastAsia="Times New Roman" w:hAnsi="Arial" w:cs="Arial"/>
          <w:kern w:val="0"/>
          <w:sz w:val="22"/>
          <w:szCs w:val="22"/>
          <w:lang w:eastAsia="en-GB"/>
          <w14:ligatures w14:val="none"/>
        </w:rPr>
      </w:pPr>
      <w:r w:rsidRPr="005B4A5C">
        <w:rPr>
          <w:rFonts w:ascii="Arial" w:eastAsia="Times New Roman" w:hAnsi="Arial" w:cs="Arial"/>
          <w:kern w:val="0"/>
          <w:sz w:val="22"/>
          <w:szCs w:val="22"/>
          <w:lang w:eastAsia="en-GB"/>
          <w14:ligatures w14:val="none"/>
        </w:rPr>
        <w:t>Reference List ............................................................................... 16</w:t>
      </w:r>
    </w:p>
    <w:p w14:paraId="1AA40EA5" w14:textId="5147AEAE" w:rsidR="005B4A5C" w:rsidRPr="005B4A5C" w:rsidRDefault="005B4A5C" w:rsidP="002E5F15">
      <w:pPr>
        <w:spacing w:after="0" w:line="360" w:lineRule="auto"/>
        <w:rPr>
          <w:rFonts w:ascii="Arial" w:eastAsia="Times New Roman" w:hAnsi="Arial" w:cs="Arial"/>
          <w:kern w:val="0"/>
          <w:sz w:val="22"/>
          <w:szCs w:val="22"/>
          <w:lang w:eastAsia="en-GB"/>
          <w14:ligatures w14:val="none"/>
        </w:rPr>
      </w:pPr>
    </w:p>
    <w:p w14:paraId="03A3538B" w14:textId="64D2EEB9" w:rsidR="005B4A5C" w:rsidRPr="002E5F15" w:rsidRDefault="005B4A5C" w:rsidP="002E5F15">
      <w:pPr>
        <w:spacing w:after="0" w:line="360" w:lineRule="auto"/>
        <w:rPr>
          <w:rFonts w:ascii="Arial" w:eastAsia="Times New Roman" w:hAnsi="Arial" w:cs="Arial"/>
          <w:kern w:val="0"/>
          <w:sz w:val="22"/>
          <w:szCs w:val="22"/>
          <w:lang w:eastAsia="en-GB"/>
          <w14:ligatures w14:val="none"/>
        </w:rPr>
      </w:pPr>
    </w:p>
    <w:p w14:paraId="73EA6B57" w14:textId="77777777" w:rsidR="005B4A5C" w:rsidRPr="002E5F15" w:rsidRDefault="005B4A5C" w:rsidP="002E5F15">
      <w:pPr>
        <w:spacing w:after="0" w:line="360" w:lineRule="auto"/>
        <w:rPr>
          <w:rFonts w:ascii="Arial" w:eastAsia="Times New Roman" w:hAnsi="Arial" w:cs="Arial"/>
          <w:kern w:val="0"/>
          <w:sz w:val="22"/>
          <w:szCs w:val="22"/>
          <w:lang w:eastAsia="en-GB"/>
          <w14:ligatures w14:val="none"/>
        </w:rPr>
      </w:pPr>
    </w:p>
    <w:p w14:paraId="35D9AEDA" w14:textId="77777777" w:rsidR="005B4A5C" w:rsidRPr="002E5F15" w:rsidRDefault="005B4A5C" w:rsidP="002E5F15">
      <w:pPr>
        <w:spacing w:after="0" w:line="360" w:lineRule="auto"/>
        <w:rPr>
          <w:rFonts w:ascii="Arial" w:eastAsia="Times New Roman" w:hAnsi="Arial" w:cs="Arial"/>
          <w:kern w:val="0"/>
          <w:sz w:val="22"/>
          <w:szCs w:val="22"/>
          <w:lang w:eastAsia="en-GB"/>
          <w14:ligatures w14:val="none"/>
        </w:rPr>
      </w:pPr>
    </w:p>
    <w:p w14:paraId="0ACC5B6C" w14:textId="77777777" w:rsidR="005B4A5C" w:rsidRPr="002E5F15" w:rsidRDefault="005B4A5C" w:rsidP="002E5F15">
      <w:pPr>
        <w:spacing w:after="0" w:line="360" w:lineRule="auto"/>
        <w:rPr>
          <w:rFonts w:ascii="Arial" w:eastAsia="Times New Roman" w:hAnsi="Arial" w:cs="Arial"/>
          <w:kern w:val="0"/>
          <w:sz w:val="22"/>
          <w:szCs w:val="22"/>
          <w:lang w:eastAsia="en-GB"/>
          <w14:ligatures w14:val="none"/>
        </w:rPr>
      </w:pPr>
    </w:p>
    <w:p w14:paraId="7F6F86C8" w14:textId="77777777" w:rsidR="005B4A5C" w:rsidRPr="002E5F15" w:rsidRDefault="005B4A5C" w:rsidP="002E5F15">
      <w:pPr>
        <w:spacing w:after="0" w:line="360" w:lineRule="auto"/>
        <w:rPr>
          <w:rFonts w:ascii="Arial" w:eastAsia="Times New Roman" w:hAnsi="Arial" w:cs="Arial"/>
          <w:kern w:val="0"/>
          <w:sz w:val="22"/>
          <w:szCs w:val="22"/>
          <w:lang w:eastAsia="en-GB"/>
          <w14:ligatures w14:val="none"/>
        </w:rPr>
      </w:pPr>
    </w:p>
    <w:p w14:paraId="3979D346" w14:textId="77777777" w:rsidR="005B4A5C" w:rsidRPr="002E5F15" w:rsidRDefault="005B4A5C" w:rsidP="002E5F15">
      <w:pPr>
        <w:spacing w:after="0" w:line="360" w:lineRule="auto"/>
        <w:rPr>
          <w:rFonts w:ascii="Arial" w:eastAsia="Times New Roman" w:hAnsi="Arial" w:cs="Arial"/>
          <w:kern w:val="0"/>
          <w:sz w:val="22"/>
          <w:szCs w:val="22"/>
          <w:lang w:eastAsia="en-GB"/>
          <w14:ligatures w14:val="none"/>
        </w:rPr>
      </w:pPr>
    </w:p>
    <w:p w14:paraId="65264E8D" w14:textId="77777777" w:rsidR="005B4A5C" w:rsidRPr="002E5F15" w:rsidRDefault="005B4A5C" w:rsidP="002E5F15">
      <w:pPr>
        <w:spacing w:after="0" w:line="360" w:lineRule="auto"/>
        <w:rPr>
          <w:rFonts w:ascii="Arial" w:eastAsia="Times New Roman" w:hAnsi="Arial" w:cs="Arial"/>
          <w:kern w:val="0"/>
          <w:sz w:val="22"/>
          <w:szCs w:val="22"/>
          <w:lang w:eastAsia="en-GB"/>
          <w14:ligatures w14:val="none"/>
        </w:rPr>
      </w:pPr>
    </w:p>
    <w:p w14:paraId="68B40911" w14:textId="77777777" w:rsidR="005B4A5C" w:rsidRPr="002E5F15" w:rsidRDefault="005B4A5C" w:rsidP="002E5F15">
      <w:pPr>
        <w:spacing w:after="0" w:line="360" w:lineRule="auto"/>
        <w:rPr>
          <w:rFonts w:ascii="Arial" w:eastAsia="Times New Roman" w:hAnsi="Arial" w:cs="Arial"/>
          <w:kern w:val="0"/>
          <w:sz w:val="22"/>
          <w:szCs w:val="22"/>
          <w:lang w:eastAsia="en-GB"/>
          <w14:ligatures w14:val="none"/>
        </w:rPr>
      </w:pPr>
    </w:p>
    <w:p w14:paraId="1105BBE7" w14:textId="77777777" w:rsidR="005B4A5C" w:rsidRPr="002E5F15" w:rsidRDefault="005B4A5C" w:rsidP="002E5F15">
      <w:pPr>
        <w:spacing w:after="0" w:line="360" w:lineRule="auto"/>
        <w:rPr>
          <w:rFonts w:ascii="Arial" w:eastAsia="Times New Roman" w:hAnsi="Arial" w:cs="Arial"/>
          <w:kern w:val="0"/>
          <w:sz w:val="22"/>
          <w:szCs w:val="22"/>
          <w:lang w:eastAsia="en-GB"/>
          <w14:ligatures w14:val="none"/>
        </w:rPr>
      </w:pPr>
    </w:p>
    <w:p w14:paraId="1FDE28FC" w14:textId="77777777" w:rsidR="005B4A5C" w:rsidRPr="002E5F15" w:rsidRDefault="005B4A5C" w:rsidP="002E5F15">
      <w:pPr>
        <w:spacing w:after="0" w:line="360" w:lineRule="auto"/>
        <w:rPr>
          <w:rFonts w:ascii="Arial" w:eastAsia="Times New Roman" w:hAnsi="Arial" w:cs="Arial"/>
          <w:kern w:val="0"/>
          <w:sz w:val="22"/>
          <w:szCs w:val="22"/>
          <w:lang w:eastAsia="en-GB"/>
          <w14:ligatures w14:val="none"/>
        </w:rPr>
      </w:pPr>
    </w:p>
    <w:p w14:paraId="5E15F76A" w14:textId="77777777" w:rsidR="005B4A5C" w:rsidRPr="002E5F15" w:rsidRDefault="005B4A5C" w:rsidP="002E5F15">
      <w:pPr>
        <w:spacing w:after="0" w:line="360" w:lineRule="auto"/>
        <w:rPr>
          <w:rFonts w:ascii="Arial" w:eastAsia="Times New Roman" w:hAnsi="Arial" w:cs="Arial"/>
          <w:kern w:val="0"/>
          <w:sz w:val="22"/>
          <w:szCs w:val="22"/>
          <w:lang w:eastAsia="en-GB"/>
          <w14:ligatures w14:val="none"/>
        </w:rPr>
      </w:pPr>
    </w:p>
    <w:p w14:paraId="1D46B318" w14:textId="77777777" w:rsidR="00FA3C52" w:rsidRDefault="00FA3C52" w:rsidP="00737377">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2A516424" w14:textId="45DF2978" w:rsidR="0087651B" w:rsidRPr="00737377" w:rsidRDefault="0087651B" w:rsidP="00737377">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737377">
        <w:rPr>
          <w:rFonts w:ascii="Arial" w:eastAsia="Times New Roman" w:hAnsi="Arial" w:cs="Arial"/>
          <w:b/>
          <w:bCs/>
          <w:kern w:val="0"/>
          <w:sz w:val="22"/>
          <w:szCs w:val="22"/>
          <w:lang w:eastAsia="en-GB"/>
          <w14:ligatures w14:val="none"/>
        </w:rPr>
        <w:lastRenderedPageBreak/>
        <w:t>Introduction</w:t>
      </w:r>
    </w:p>
    <w:p w14:paraId="0F7B7998" w14:textId="782C44FF" w:rsidR="0087651B" w:rsidRPr="00737377" w:rsidRDefault="0087651B"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 xml:space="preserve">The Sustainable Development Goals (SDGs) provide a globally recognised framework for addressing interconnected challenges relating to health, wellbeing, equality, and sustainability. As your uploaded document states, </w:t>
      </w:r>
      <w:r w:rsidRPr="00737377">
        <w:rPr>
          <w:rFonts w:ascii="Arial" w:eastAsia="Times New Roman" w:hAnsi="Arial" w:cs="Arial"/>
          <w:i/>
          <w:iCs/>
          <w:kern w:val="0"/>
          <w:sz w:val="22"/>
          <w:szCs w:val="22"/>
          <w:lang w:eastAsia="en-GB"/>
          <w14:ligatures w14:val="none"/>
        </w:rPr>
        <w:t>“SDG 3 aims to ensure healthy lives and promote wellbeing for all, while SDG 5 seeks to eliminate discrimination and violence against women and girls”</w:t>
      </w:r>
      <w:r w:rsidRPr="00737377">
        <w:rPr>
          <w:rFonts w:ascii="Arial" w:eastAsia="Times New Roman" w:hAnsi="Arial" w:cs="Arial"/>
          <w:kern w:val="0"/>
          <w:sz w:val="22"/>
          <w:szCs w:val="22"/>
          <w:lang w:eastAsia="en-GB"/>
          <w14:ligatures w14:val="none"/>
        </w:rPr>
        <w:t>. These goals are deeply interlinked, with gender inequality acting as a major determinant of health outcomes, influencing access to services, exposure to violence, reproductive rights, and socioeconomic opportunities. This report critically examines SDG 3 (Good Health and Well</w:t>
      </w:r>
      <w:r w:rsidR="00574E62">
        <w:rPr>
          <w:rFonts w:ascii="Arial" w:eastAsia="Times New Roman" w:hAnsi="Arial" w:cs="Arial"/>
          <w:kern w:val="0"/>
          <w:sz w:val="22"/>
          <w:szCs w:val="22"/>
          <w:lang w:eastAsia="en-GB"/>
          <w14:ligatures w14:val="none"/>
        </w:rPr>
        <w:t>-</w:t>
      </w:r>
      <w:r w:rsidRPr="00737377">
        <w:rPr>
          <w:rFonts w:ascii="Arial" w:eastAsia="Times New Roman" w:hAnsi="Arial" w:cs="Arial"/>
          <w:kern w:val="0"/>
          <w:sz w:val="22"/>
          <w:szCs w:val="22"/>
          <w:lang w:eastAsia="en-GB"/>
          <w14:ligatures w14:val="none"/>
        </w:rPr>
        <w:t>being) and SDG 5 (Gender Equality), exploring how global, national, and local policies shape progress in the UK, with a particular focus on the West Midlands.</w:t>
      </w:r>
    </w:p>
    <w:p w14:paraId="0EF47EC2" w14:textId="69E12F8F" w:rsidR="0087651B" w:rsidRPr="00737377" w:rsidRDefault="0087651B"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The analysis evaluates global frameworks such as the WHO Universal Health Coverage (UHC) agenda, the Global Action Plan for NCDs, and CEDAW, alongside national policies including the NHS Long Term Plan, the Women’s Health Strategy for England, and the Domestic Abuse Act (2021). Local initiatives in Wolverhampton and the Black Country Integrated Care System (ICS) are also examined. Behavioural and social theories including the Health Belief Model (HBM), Social Cognitive Theory (SCT), and the Socio</w:t>
      </w:r>
      <w:r w:rsidRPr="00737377">
        <w:rPr>
          <w:rFonts w:ascii="Arial" w:eastAsia="Times New Roman" w:hAnsi="Arial" w:cs="Arial"/>
          <w:kern w:val="0"/>
          <w:sz w:val="22"/>
          <w:szCs w:val="22"/>
          <w:lang w:eastAsia="en-GB"/>
          <w14:ligatures w14:val="none"/>
        </w:rPr>
        <w:noBreakHyphen/>
        <w:t>Ecological Model (SEM) are applied to assess how effectively policies address behavioural, social, and structural determinants of health and gender inequality.</w:t>
      </w:r>
    </w:p>
    <w:p w14:paraId="6F4DCDA7" w14:textId="2D1B4188" w:rsidR="0087651B" w:rsidRPr="00737377" w:rsidRDefault="0087651B"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The report concludes with evidence</w:t>
      </w:r>
      <w:r w:rsidRPr="00737377">
        <w:rPr>
          <w:rFonts w:ascii="Arial" w:eastAsia="Times New Roman" w:hAnsi="Arial" w:cs="Arial"/>
          <w:kern w:val="0"/>
          <w:sz w:val="22"/>
          <w:szCs w:val="22"/>
          <w:lang w:eastAsia="en-GB"/>
          <w14:ligatures w14:val="none"/>
        </w:rPr>
        <w:noBreakHyphen/>
        <w:t>informed recommendations to strengthen policy coherence, improve equity, and enhance community</w:t>
      </w:r>
      <w:r w:rsidRPr="00737377">
        <w:rPr>
          <w:rFonts w:ascii="Arial" w:eastAsia="Times New Roman" w:hAnsi="Arial" w:cs="Arial"/>
          <w:kern w:val="0"/>
          <w:sz w:val="22"/>
          <w:szCs w:val="22"/>
          <w:lang w:eastAsia="en-GB"/>
          <w14:ligatures w14:val="none"/>
        </w:rPr>
        <w:noBreakHyphen/>
        <w:t>level impact. Through this multi</w:t>
      </w:r>
      <w:r w:rsidRPr="00737377">
        <w:rPr>
          <w:rFonts w:ascii="Arial" w:eastAsia="Times New Roman" w:hAnsi="Arial" w:cs="Arial"/>
          <w:kern w:val="0"/>
          <w:sz w:val="22"/>
          <w:szCs w:val="22"/>
          <w:lang w:eastAsia="en-GB"/>
          <w14:ligatures w14:val="none"/>
        </w:rPr>
        <w:noBreakHyphen/>
        <w:t>level analysis, it highlights the importance of integrated approaches to achieving SDG 3 and SDG 5 in the UK context.</w:t>
      </w:r>
    </w:p>
    <w:p w14:paraId="16D772D6" w14:textId="68C69C20" w:rsidR="0087651B" w:rsidRPr="00737377" w:rsidRDefault="00574E62" w:rsidP="00737377">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2.</w:t>
      </w:r>
      <w:r w:rsidR="0087651B" w:rsidRPr="00737377">
        <w:rPr>
          <w:rFonts w:ascii="Arial" w:eastAsia="Times New Roman" w:hAnsi="Arial" w:cs="Arial"/>
          <w:b/>
          <w:bCs/>
          <w:kern w:val="0"/>
          <w:sz w:val="22"/>
          <w:szCs w:val="22"/>
          <w:lang w:eastAsia="en-GB"/>
          <w14:ligatures w14:val="none"/>
        </w:rPr>
        <w:t xml:space="preserve"> SDG 3: Good Health and Wellbeing</w:t>
      </w:r>
    </w:p>
    <w:p w14:paraId="625D3642" w14:textId="77777777" w:rsidR="0087651B" w:rsidRPr="00737377" w:rsidRDefault="0087651B" w:rsidP="00737377">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737377">
        <w:rPr>
          <w:rFonts w:ascii="Arial" w:eastAsia="Times New Roman" w:hAnsi="Arial" w:cs="Arial"/>
          <w:b/>
          <w:bCs/>
          <w:kern w:val="0"/>
          <w:sz w:val="22"/>
          <w:szCs w:val="22"/>
          <w:lang w:eastAsia="en-GB"/>
          <w14:ligatures w14:val="none"/>
        </w:rPr>
        <w:t>2.1 Overview of SDG 3</w:t>
      </w:r>
    </w:p>
    <w:p w14:paraId="2CF77CDC" w14:textId="77777777" w:rsidR="0087651B" w:rsidRPr="00737377" w:rsidRDefault="0087651B"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 xml:space="preserve">SDG 3 aims to </w:t>
      </w:r>
      <w:r w:rsidRPr="00737377">
        <w:rPr>
          <w:rFonts w:ascii="Arial" w:eastAsia="Times New Roman" w:hAnsi="Arial" w:cs="Arial"/>
          <w:i/>
          <w:iCs/>
          <w:kern w:val="0"/>
          <w:sz w:val="22"/>
          <w:szCs w:val="22"/>
          <w:lang w:eastAsia="en-GB"/>
          <w14:ligatures w14:val="none"/>
        </w:rPr>
        <w:t>“ensure healthy lives and promote wellbeing for all at all ages”</w:t>
      </w:r>
      <w:r w:rsidRPr="00737377">
        <w:rPr>
          <w:rFonts w:ascii="Arial" w:eastAsia="Times New Roman" w:hAnsi="Arial" w:cs="Arial"/>
          <w:kern w:val="0"/>
          <w:sz w:val="22"/>
          <w:szCs w:val="22"/>
          <w:lang w:eastAsia="en-GB"/>
          <w14:ligatures w14:val="none"/>
        </w:rPr>
        <w:t>. Its targets include reducing maternal mortality, ending epidemics, tackling non</w:t>
      </w:r>
      <w:r w:rsidRPr="00737377">
        <w:rPr>
          <w:rFonts w:ascii="Arial" w:eastAsia="Times New Roman" w:hAnsi="Arial" w:cs="Arial"/>
          <w:kern w:val="0"/>
          <w:sz w:val="22"/>
          <w:szCs w:val="22"/>
          <w:lang w:eastAsia="en-GB"/>
          <w14:ligatures w14:val="none"/>
        </w:rPr>
        <w:noBreakHyphen/>
        <w:t>communicable diseases (NCDs), strengthening health systems, and improving mental health. Global progress remains uneven, with widening inequalities between and within countries. In the UK, SDG 3 aligns closely with NHS priorities around prevention, integrated care, and reducing health inequalities.</w:t>
      </w:r>
    </w:p>
    <w:p w14:paraId="2D7DD991" w14:textId="77777777" w:rsidR="0087651B" w:rsidRPr="00737377" w:rsidRDefault="0087651B" w:rsidP="00737377">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737377">
        <w:rPr>
          <w:rFonts w:ascii="Arial" w:eastAsia="Times New Roman" w:hAnsi="Arial" w:cs="Arial"/>
          <w:b/>
          <w:bCs/>
          <w:kern w:val="0"/>
          <w:sz w:val="22"/>
          <w:szCs w:val="22"/>
          <w:lang w:eastAsia="en-GB"/>
          <w14:ligatures w14:val="none"/>
        </w:rPr>
        <w:t>2.2 Global Policies and Initiatives</w:t>
      </w:r>
    </w:p>
    <w:p w14:paraId="50105AC1" w14:textId="77777777" w:rsidR="0087651B" w:rsidRPr="00737377" w:rsidRDefault="0087651B"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lastRenderedPageBreak/>
        <w:t xml:space="preserve">The WHO Universal Health Coverage (UHC) framework emphasises equitable access to quality health services without financial hardship. As your document notes, </w:t>
      </w:r>
      <w:r w:rsidRPr="00737377">
        <w:rPr>
          <w:rFonts w:ascii="Arial" w:eastAsia="Times New Roman" w:hAnsi="Arial" w:cs="Arial"/>
          <w:i/>
          <w:iCs/>
          <w:kern w:val="0"/>
          <w:sz w:val="22"/>
          <w:szCs w:val="22"/>
          <w:lang w:eastAsia="en-GB"/>
          <w14:ligatures w14:val="none"/>
        </w:rPr>
        <w:t>“UHC has driven improvements in service coverage globally, but progress is hindered by workforce shortages, funding gaps, and political instability.”</w:t>
      </w:r>
      <w:r w:rsidRPr="00737377">
        <w:rPr>
          <w:rFonts w:ascii="Arial" w:eastAsia="Times New Roman" w:hAnsi="Arial" w:cs="Arial"/>
          <w:kern w:val="0"/>
          <w:sz w:val="22"/>
          <w:szCs w:val="22"/>
          <w:lang w:eastAsia="en-GB"/>
          <w14:ligatures w14:val="none"/>
        </w:rPr>
        <w:t xml:space="preserve"> These challenges are particularly acute in low</w:t>
      </w:r>
      <w:r w:rsidRPr="00737377">
        <w:rPr>
          <w:rFonts w:ascii="Arial" w:eastAsia="Times New Roman" w:hAnsi="Arial" w:cs="Arial"/>
          <w:kern w:val="0"/>
          <w:sz w:val="22"/>
          <w:szCs w:val="22"/>
          <w:lang w:eastAsia="en-GB"/>
          <w14:ligatures w14:val="none"/>
        </w:rPr>
        <w:noBreakHyphen/>
        <w:t>income countries, where health systems lack resilience and depend heavily on external funding.</w:t>
      </w:r>
    </w:p>
    <w:p w14:paraId="1E76781B" w14:textId="77777777" w:rsidR="0087651B" w:rsidRPr="00737377" w:rsidRDefault="0087651B"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The Global Action Plan for NCDs has shaped international strategies to reduce premature mortality from cardiovascular disease, cancer, diabetes, and respiratory conditions. However, implementation remains inconsistent, with low</w:t>
      </w:r>
      <w:r w:rsidRPr="00737377">
        <w:rPr>
          <w:rFonts w:ascii="Arial" w:eastAsia="Times New Roman" w:hAnsi="Arial" w:cs="Arial"/>
          <w:kern w:val="0"/>
          <w:sz w:val="22"/>
          <w:szCs w:val="22"/>
          <w:lang w:eastAsia="en-GB"/>
          <w14:ligatures w14:val="none"/>
        </w:rPr>
        <w:noBreakHyphen/>
        <w:t>income countries disproportionately affected by limited resources and weak surveillance systems.</w:t>
      </w:r>
    </w:p>
    <w:p w14:paraId="41EA5D0E" w14:textId="77777777" w:rsidR="0087651B" w:rsidRPr="00737377" w:rsidRDefault="0087651B"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The International Health Regulations (IHR) provide a global framework for pandemic preparedness. COVID</w:t>
      </w:r>
      <w:r w:rsidRPr="00737377">
        <w:rPr>
          <w:rFonts w:ascii="Arial" w:eastAsia="Times New Roman" w:hAnsi="Arial" w:cs="Arial"/>
          <w:kern w:val="0"/>
          <w:sz w:val="22"/>
          <w:szCs w:val="22"/>
          <w:lang w:eastAsia="en-GB"/>
          <w14:ligatures w14:val="none"/>
        </w:rPr>
        <w:noBreakHyphen/>
        <w:t>19 exposed weaknesses in surveillance, coordination, and equitable vaccine distribution, highlighting the need for stronger global governance. The pandemic also demonstrated how global health threats intersect with social inequalities, disproportionately affecting women, ethnic minorities, and low</w:t>
      </w:r>
      <w:r w:rsidRPr="00737377">
        <w:rPr>
          <w:rFonts w:ascii="Arial" w:eastAsia="Times New Roman" w:hAnsi="Arial" w:cs="Arial"/>
          <w:kern w:val="0"/>
          <w:sz w:val="22"/>
          <w:szCs w:val="22"/>
          <w:lang w:eastAsia="en-GB"/>
          <w14:ligatures w14:val="none"/>
        </w:rPr>
        <w:noBreakHyphen/>
        <w:t>income communities.</w:t>
      </w:r>
    </w:p>
    <w:p w14:paraId="5700B33B" w14:textId="77777777" w:rsidR="0087651B" w:rsidRPr="00737377" w:rsidRDefault="0087651B"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Overall, global frameworks provide essential direction but require stronger accountability mechanisms, sustainable financing, and improved coordination to achieve SDG 3 targets.</w:t>
      </w:r>
    </w:p>
    <w:p w14:paraId="50E8D3C5" w14:textId="77777777" w:rsidR="0087651B" w:rsidRPr="00737377" w:rsidRDefault="0087651B" w:rsidP="00737377">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737377">
        <w:rPr>
          <w:rFonts w:ascii="Arial" w:eastAsia="Times New Roman" w:hAnsi="Arial" w:cs="Arial"/>
          <w:b/>
          <w:bCs/>
          <w:kern w:val="0"/>
          <w:sz w:val="22"/>
          <w:szCs w:val="22"/>
          <w:lang w:eastAsia="en-GB"/>
          <w14:ligatures w14:val="none"/>
        </w:rPr>
        <w:t>2.3 National Policies: United Kingdom</w:t>
      </w:r>
    </w:p>
    <w:p w14:paraId="0F1117A4" w14:textId="77777777" w:rsidR="0087651B" w:rsidRPr="00737377" w:rsidRDefault="0087651B"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The NHS Long Term Plan (2019) prioritises prevention, mental health, digital transformation, and integrated care. It aims to reduce smoking, obesity, and alcohol</w:t>
      </w:r>
      <w:r w:rsidRPr="00737377">
        <w:rPr>
          <w:rFonts w:ascii="Arial" w:eastAsia="Times New Roman" w:hAnsi="Arial" w:cs="Arial"/>
          <w:kern w:val="0"/>
          <w:sz w:val="22"/>
          <w:szCs w:val="22"/>
          <w:lang w:eastAsia="en-GB"/>
          <w14:ligatures w14:val="none"/>
        </w:rPr>
        <w:noBreakHyphen/>
        <w:t>related harm, while expanding mental health services. However, the plan faces significant challenges, including workforce shortages, rising demand, and persistent health inequalities. The King’s Fund highlights that progress is constrained by chronic underfunding and pressures across primary, acute, and community care.</w:t>
      </w:r>
    </w:p>
    <w:p w14:paraId="1DC4B7B6" w14:textId="77777777" w:rsidR="0087651B" w:rsidRPr="00737377" w:rsidRDefault="0087651B"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The UK Tobacco Control Plan has contributed to declining smoking rates, yet inequalities remain stark, with higher prevalence in deprived communities. The Obesity Strategy (2020) introduced measures such as calorie labelling and restrictions on high</w:t>
      </w:r>
      <w:r w:rsidRPr="00737377">
        <w:rPr>
          <w:rFonts w:ascii="Arial" w:eastAsia="Times New Roman" w:hAnsi="Arial" w:cs="Arial"/>
          <w:kern w:val="0"/>
          <w:sz w:val="22"/>
          <w:szCs w:val="22"/>
          <w:lang w:eastAsia="en-GB"/>
          <w14:ligatures w14:val="none"/>
        </w:rPr>
        <w:noBreakHyphen/>
        <w:t>fat, salt, and sugar advertising. Critics argue that the strategy focuses too heavily on individual behaviour rather than structural determinants such as poverty, food environments, and commercial influences.</w:t>
      </w:r>
    </w:p>
    <w:p w14:paraId="1EC87F63" w14:textId="77777777" w:rsidR="0087651B" w:rsidRPr="00737377" w:rsidRDefault="0087651B"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 xml:space="preserve">The Women’s Health Strategy for England (2022) contributes to SDG 3 by addressing gender disparities in health outcomes, including reproductive health, menopause, and </w:t>
      </w:r>
      <w:r w:rsidRPr="00737377">
        <w:rPr>
          <w:rFonts w:ascii="Arial" w:eastAsia="Times New Roman" w:hAnsi="Arial" w:cs="Arial"/>
          <w:kern w:val="0"/>
          <w:sz w:val="22"/>
          <w:szCs w:val="22"/>
          <w:lang w:eastAsia="en-GB"/>
          <w14:ligatures w14:val="none"/>
        </w:rPr>
        <w:lastRenderedPageBreak/>
        <w:t>access to services. This strategy acknowledges that women’s health has historically been under</w:t>
      </w:r>
      <w:r w:rsidRPr="00737377">
        <w:rPr>
          <w:rFonts w:ascii="Arial" w:eastAsia="Times New Roman" w:hAnsi="Arial" w:cs="Arial"/>
          <w:kern w:val="0"/>
          <w:sz w:val="22"/>
          <w:szCs w:val="22"/>
          <w:lang w:eastAsia="en-GB"/>
          <w14:ligatures w14:val="none"/>
        </w:rPr>
        <w:noBreakHyphen/>
        <w:t>researched and under</w:t>
      </w:r>
      <w:r w:rsidRPr="00737377">
        <w:rPr>
          <w:rFonts w:ascii="Arial" w:eastAsia="Times New Roman" w:hAnsi="Arial" w:cs="Arial"/>
          <w:kern w:val="0"/>
          <w:sz w:val="22"/>
          <w:szCs w:val="22"/>
          <w:lang w:eastAsia="en-GB"/>
          <w14:ligatures w14:val="none"/>
        </w:rPr>
        <w:noBreakHyphen/>
        <w:t>prioritised, leading to gaps in service provision and poorer outcomes.</w:t>
      </w:r>
    </w:p>
    <w:p w14:paraId="0CCBAA45" w14:textId="77777777" w:rsidR="0087651B" w:rsidRPr="00737377" w:rsidRDefault="0087651B" w:rsidP="00737377">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737377">
        <w:rPr>
          <w:rFonts w:ascii="Arial" w:eastAsia="Times New Roman" w:hAnsi="Arial" w:cs="Arial"/>
          <w:b/>
          <w:bCs/>
          <w:kern w:val="0"/>
          <w:sz w:val="22"/>
          <w:szCs w:val="22"/>
          <w:lang w:eastAsia="en-GB"/>
          <w14:ligatures w14:val="none"/>
        </w:rPr>
        <w:t>2.4 Local Policies: Wolverhampton and the Black Country ICS</w:t>
      </w:r>
    </w:p>
    <w:p w14:paraId="7C4FE078" w14:textId="77777777" w:rsidR="0087651B" w:rsidRPr="00737377" w:rsidRDefault="0087651B"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Wolverhampton’s Public Health team delivers smoking cessation services, weight management programmes, and mental health support. The Black Country ICS prioritises reducing health inequalities, improving access to primary care, and strengthening community</w:t>
      </w:r>
      <w:r w:rsidRPr="00737377">
        <w:rPr>
          <w:rFonts w:ascii="Arial" w:eastAsia="Times New Roman" w:hAnsi="Arial" w:cs="Arial"/>
          <w:kern w:val="0"/>
          <w:sz w:val="22"/>
          <w:szCs w:val="22"/>
          <w:lang w:eastAsia="en-GB"/>
          <w14:ligatures w14:val="none"/>
        </w:rPr>
        <w:noBreakHyphen/>
        <w:t>based prevention. Local data shows significant disparities in life expectancy and chronic disease prevalence, particularly in deprived areas such as Bilston.</w:t>
      </w:r>
    </w:p>
    <w:p w14:paraId="1F635FC5" w14:textId="77777777" w:rsidR="0087651B" w:rsidRPr="00737377" w:rsidRDefault="0087651B"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Local initiatives often demonstrate strong community engagement but face challenges including limited funding, workforce pressures, and difficulties reaching marginalised groups. Evaluations suggest that culturally tailored interventions and community partnerships improve effectiveness, particularly in ethnically diverse areas such as the West Midlands.</w:t>
      </w:r>
    </w:p>
    <w:p w14:paraId="425DCBED" w14:textId="77777777" w:rsidR="0087651B" w:rsidRPr="00737377" w:rsidRDefault="0087651B" w:rsidP="00737377">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737377">
        <w:rPr>
          <w:rFonts w:ascii="Arial" w:eastAsia="Times New Roman" w:hAnsi="Arial" w:cs="Arial"/>
          <w:b/>
          <w:bCs/>
          <w:kern w:val="0"/>
          <w:sz w:val="22"/>
          <w:szCs w:val="22"/>
          <w:lang w:eastAsia="en-GB"/>
          <w14:ligatures w14:val="none"/>
        </w:rPr>
        <w:t>2.5 Application of Theories and Models</w:t>
      </w:r>
    </w:p>
    <w:p w14:paraId="23652841" w14:textId="77777777" w:rsidR="0087651B" w:rsidRPr="00737377" w:rsidRDefault="0087651B"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 xml:space="preserve">The Health Belief Model (HBM) helps explain how individuals perceive health risks and benefits. As your document states, </w:t>
      </w:r>
      <w:r w:rsidRPr="00737377">
        <w:rPr>
          <w:rFonts w:ascii="Arial" w:eastAsia="Times New Roman" w:hAnsi="Arial" w:cs="Arial"/>
          <w:i/>
          <w:iCs/>
          <w:kern w:val="0"/>
          <w:sz w:val="22"/>
          <w:szCs w:val="22"/>
          <w:lang w:eastAsia="en-GB"/>
          <w14:ligatures w14:val="none"/>
        </w:rPr>
        <w:t>“smoking cessation campaigns in Wolverhampton use messaging that increases perceived susceptibility and enhances self</w:t>
      </w:r>
      <w:r w:rsidRPr="00737377">
        <w:rPr>
          <w:rFonts w:ascii="Arial" w:eastAsia="Times New Roman" w:hAnsi="Arial" w:cs="Arial"/>
          <w:i/>
          <w:iCs/>
          <w:kern w:val="0"/>
          <w:sz w:val="22"/>
          <w:szCs w:val="22"/>
          <w:lang w:eastAsia="en-GB"/>
          <w14:ligatures w14:val="none"/>
        </w:rPr>
        <w:noBreakHyphen/>
        <w:t>efficacy through support services.”</w:t>
      </w:r>
      <w:r w:rsidRPr="00737377">
        <w:rPr>
          <w:rFonts w:ascii="Arial" w:eastAsia="Times New Roman" w:hAnsi="Arial" w:cs="Arial"/>
          <w:kern w:val="0"/>
          <w:sz w:val="22"/>
          <w:szCs w:val="22"/>
          <w:lang w:eastAsia="en-GB"/>
          <w14:ligatures w14:val="none"/>
        </w:rPr>
        <w:t xml:space="preserve"> This aligns with HBM constructs such as perceived severity, perceived barriers, and cues to action.</w:t>
      </w:r>
    </w:p>
    <w:p w14:paraId="7AC60154" w14:textId="77777777" w:rsidR="0087651B" w:rsidRPr="00737377" w:rsidRDefault="0087651B"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Social Cognitive Theory (SCT) emphasises role modelling, social norms, and self</w:t>
      </w:r>
      <w:r w:rsidRPr="00737377">
        <w:rPr>
          <w:rFonts w:ascii="Arial" w:eastAsia="Times New Roman" w:hAnsi="Arial" w:cs="Arial"/>
          <w:kern w:val="0"/>
          <w:sz w:val="22"/>
          <w:szCs w:val="22"/>
          <w:lang w:eastAsia="en-GB"/>
          <w14:ligatures w14:val="none"/>
        </w:rPr>
        <w:noBreakHyphen/>
        <w:t>efficacy. Local physical activity programmes use community champions to encourage behaviour change, demonstrating the importance of observational learning and social reinforcement.</w:t>
      </w:r>
    </w:p>
    <w:p w14:paraId="192DEACE" w14:textId="77777777" w:rsidR="0087651B" w:rsidRPr="00737377" w:rsidRDefault="0087651B"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The Socio</w:t>
      </w:r>
      <w:r w:rsidRPr="00737377">
        <w:rPr>
          <w:rFonts w:ascii="Arial" w:eastAsia="Times New Roman" w:hAnsi="Arial" w:cs="Arial"/>
          <w:kern w:val="0"/>
          <w:sz w:val="22"/>
          <w:szCs w:val="22"/>
          <w:lang w:eastAsia="en-GB"/>
          <w14:ligatures w14:val="none"/>
        </w:rPr>
        <w:noBreakHyphen/>
        <w:t>Ecological Model (SEM) highlights how health behaviours are shaped by individual, interpersonal, community, and policy factors. This model is particularly relevant to SDG 3, as it supports multi</w:t>
      </w:r>
      <w:r w:rsidRPr="00737377">
        <w:rPr>
          <w:rFonts w:ascii="Arial" w:eastAsia="Times New Roman" w:hAnsi="Arial" w:cs="Arial"/>
          <w:kern w:val="0"/>
          <w:sz w:val="22"/>
          <w:szCs w:val="22"/>
          <w:lang w:eastAsia="en-GB"/>
          <w14:ligatures w14:val="none"/>
        </w:rPr>
        <w:noBreakHyphen/>
        <w:t>level interventions addressing social determinants of health, such as housing, employment, and education.</w:t>
      </w:r>
    </w:p>
    <w:p w14:paraId="11959AE9" w14:textId="77777777" w:rsidR="0087651B" w:rsidRPr="00737377" w:rsidRDefault="0087651B" w:rsidP="00737377">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737377">
        <w:rPr>
          <w:rFonts w:ascii="Arial" w:eastAsia="Times New Roman" w:hAnsi="Arial" w:cs="Arial"/>
          <w:b/>
          <w:bCs/>
          <w:kern w:val="0"/>
          <w:sz w:val="22"/>
          <w:szCs w:val="22"/>
          <w:lang w:eastAsia="en-GB"/>
          <w14:ligatures w14:val="none"/>
        </w:rPr>
        <w:t>2.6 Critical Evaluation</w:t>
      </w:r>
    </w:p>
    <w:p w14:paraId="3364875B" w14:textId="77777777" w:rsidR="0087651B" w:rsidRPr="00737377" w:rsidRDefault="0087651B"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Strengths of UK and local policies include strong alignment with SDG 3, investment in prevention, and growing recognition of inequalities. However, limitations include:</w:t>
      </w:r>
    </w:p>
    <w:p w14:paraId="32A97611" w14:textId="77777777" w:rsidR="0087651B" w:rsidRPr="00737377" w:rsidRDefault="0087651B" w:rsidP="00737377">
      <w:pPr>
        <w:numPr>
          <w:ilvl w:val="0"/>
          <w:numId w:val="30"/>
        </w:num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lastRenderedPageBreak/>
        <w:t>Persistent regional inequalities</w:t>
      </w:r>
    </w:p>
    <w:p w14:paraId="2A233302" w14:textId="77777777" w:rsidR="0087651B" w:rsidRPr="00737377" w:rsidRDefault="0087651B" w:rsidP="00737377">
      <w:pPr>
        <w:numPr>
          <w:ilvl w:val="0"/>
          <w:numId w:val="30"/>
        </w:num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Underfunding of public health services</w:t>
      </w:r>
    </w:p>
    <w:p w14:paraId="23689C7C" w14:textId="77777777" w:rsidR="0087651B" w:rsidRPr="00737377" w:rsidRDefault="0087651B" w:rsidP="00737377">
      <w:pPr>
        <w:numPr>
          <w:ilvl w:val="0"/>
          <w:numId w:val="30"/>
        </w:num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Overemphasis on individual behaviour change</w:t>
      </w:r>
    </w:p>
    <w:p w14:paraId="7F4802D5" w14:textId="77777777" w:rsidR="0087651B" w:rsidRPr="00737377" w:rsidRDefault="0087651B" w:rsidP="00737377">
      <w:pPr>
        <w:numPr>
          <w:ilvl w:val="0"/>
          <w:numId w:val="30"/>
        </w:num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Limited integration of gender considerations</w:t>
      </w:r>
    </w:p>
    <w:p w14:paraId="08A191A7" w14:textId="77777777" w:rsidR="0087651B" w:rsidRPr="00737377" w:rsidRDefault="0087651B"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Global frameworks provide direction but lack enforcement mechanisms. National policies are ambitious but constrained by resource pressures. Local initiatives are innovative but require sustained funding and evaluation.</w:t>
      </w:r>
    </w:p>
    <w:p w14:paraId="395D7947" w14:textId="77777777" w:rsidR="0087651B" w:rsidRPr="00737377" w:rsidRDefault="0087651B" w:rsidP="00737377">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737377">
        <w:rPr>
          <w:rFonts w:ascii="Arial" w:eastAsia="Times New Roman" w:hAnsi="Arial" w:cs="Arial"/>
          <w:b/>
          <w:bCs/>
          <w:kern w:val="0"/>
          <w:sz w:val="22"/>
          <w:szCs w:val="22"/>
          <w:lang w:eastAsia="en-GB"/>
          <w14:ligatures w14:val="none"/>
        </w:rPr>
        <w:t>2.7 Recommendations</w:t>
      </w:r>
    </w:p>
    <w:p w14:paraId="520268D1" w14:textId="77777777" w:rsidR="0087651B" w:rsidRPr="00737377" w:rsidRDefault="0087651B" w:rsidP="00737377">
      <w:pPr>
        <w:numPr>
          <w:ilvl w:val="0"/>
          <w:numId w:val="31"/>
        </w:num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Increase investment in public health and prevention.</w:t>
      </w:r>
    </w:p>
    <w:p w14:paraId="417BF377" w14:textId="77777777" w:rsidR="0087651B" w:rsidRPr="00737377" w:rsidRDefault="0087651B" w:rsidP="00737377">
      <w:pPr>
        <w:numPr>
          <w:ilvl w:val="0"/>
          <w:numId w:val="31"/>
        </w:num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Strengthen cross</w:t>
      </w:r>
      <w:r w:rsidRPr="00737377">
        <w:rPr>
          <w:rFonts w:ascii="Arial" w:eastAsia="Times New Roman" w:hAnsi="Arial" w:cs="Arial"/>
          <w:kern w:val="0"/>
          <w:sz w:val="22"/>
          <w:szCs w:val="22"/>
          <w:lang w:eastAsia="en-GB"/>
          <w14:ligatures w14:val="none"/>
        </w:rPr>
        <w:noBreakHyphen/>
        <w:t>sector collaboration.</w:t>
      </w:r>
    </w:p>
    <w:p w14:paraId="4B37F864" w14:textId="77777777" w:rsidR="0087651B" w:rsidRPr="00737377" w:rsidRDefault="0087651B" w:rsidP="00737377">
      <w:pPr>
        <w:numPr>
          <w:ilvl w:val="0"/>
          <w:numId w:val="31"/>
        </w:num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Improve gender</w:t>
      </w:r>
      <w:r w:rsidRPr="00737377">
        <w:rPr>
          <w:rFonts w:ascii="Arial" w:eastAsia="Times New Roman" w:hAnsi="Arial" w:cs="Arial"/>
          <w:kern w:val="0"/>
          <w:sz w:val="22"/>
          <w:szCs w:val="22"/>
          <w:lang w:eastAsia="en-GB"/>
          <w14:ligatures w14:val="none"/>
        </w:rPr>
        <w:noBreakHyphen/>
        <w:t>disaggregated data collection.</w:t>
      </w:r>
    </w:p>
    <w:p w14:paraId="3D40FE34" w14:textId="77777777" w:rsidR="0087651B" w:rsidRPr="00737377" w:rsidRDefault="0087651B" w:rsidP="00737377">
      <w:pPr>
        <w:numPr>
          <w:ilvl w:val="0"/>
          <w:numId w:val="31"/>
        </w:num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Expand culturally tailored community programmes.</w:t>
      </w:r>
    </w:p>
    <w:p w14:paraId="1596D03E" w14:textId="540ECDB9" w:rsidR="0087651B" w:rsidRPr="00737377" w:rsidRDefault="0087651B" w:rsidP="00737377">
      <w:pPr>
        <w:numPr>
          <w:ilvl w:val="0"/>
          <w:numId w:val="31"/>
        </w:num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Integrate gender equality considerations into all SDG 3 policies.</w:t>
      </w:r>
    </w:p>
    <w:p w14:paraId="087011B1" w14:textId="77777777" w:rsidR="00AB675F" w:rsidRPr="00AB675F" w:rsidRDefault="00AB675F" w:rsidP="00737377">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AB675F">
        <w:rPr>
          <w:rFonts w:ascii="Arial" w:eastAsia="Times New Roman" w:hAnsi="Arial" w:cs="Arial"/>
          <w:b/>
          <w:bCs/>
          <w:kern w:val="0"/>
          <w:sz w:val="22"/>
          <w:szCs w:val="22"/>
          <w:lang w:eastAsia="en-GB"/>
          <w14:ligatures w14:val="none"/>
        </w:rPr>
        <w:t>SDG 5: Gender Equality</w:t>
      </w:r>
    </w:p>
    <w:p w14:paraId="4E636AD2" w14:textId="77777777" w:rsidR="00AB675F" w:rsidRPr="00AB675F" w:rsidRDefault="00AB675F" w:rsidP="00737377">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AB675F">
        <w:rPr>
          <w:rFonts w:ascii="Arial" w:eastAsia="Times New Roman" w:hAnsi="Arial" w:cs="Arial"/>
          <w:b/>
          <w:bCs/>
          <w:kern w:val="0"/>
          <w:sz w:val="22"/>
          <w:szCs w:val="22"/>
          <w:lang w:eastAsia="en-GB"/>
          <w14:ligatures w14:val="none"/>
        </w:rPr>
        <w:t>3.1 Overview of SDG 5</w:t>
      </w:r>
    </w:p>
    <w:p w14:paraId="5705EAFB" w14:textId="77777777" w:rsidR="00AB675F" w:rsidRPr="00AB675F" w:rsidRDefault="00AB675F"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AB675F">
        <w:rPr>
          <w:rFonts w:ascii="Arial" w:eastAsia="Times New Roman" w:hAnsi="Arial" w:cs="Arial"/>
          <w:kern w:val="0"/>
          <w:sz w:val="22"/>
          <w:szCs w:val="22"/>
          <w:lang w:eastAsia="en-GB"/>
          <w14:ligatures w14:val="none"/>
        </w:rPr>
        <w:t>Sustainable Development Goal 5 (SDG 5) aims to “achieve gender equality and empower all women and girls” (United Nations, 2015). Gender equality is not only a fundamental human right but also a critical driver for social and economic development. Key targets of SDG 5 include eliminating all forms of violence against women and girls, ensuring access to sexual and reproductive health, ending discrimination in education, employment, and political participation, and promoting women’s leadership at all levels (UN Women, 2023). Achieving gender equality is also closely linked to other SDGs, particularly SDG 3 on good health and well-being, as gender norms and discriminatory practices significantly influence health outcomes (WHO, 2022). For instance, women may face barriers in accessing healthcare, experience higher rates of domestic violence, and bear disproportionate caregiving responsibilities, all of which affect both their physical and mental health (Marmot et al., 2020).</w:t>
      </w:r>
    </w:p>
    <w:p w14:paraId="19148038" w14:textId="77777777" w:rsidR="00AB675F" w:rsidRPr="00AB675F" w:rsidRDefault="00AB675F" w:rsidP="00737377">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AB675F">
        <w:rPr>
          <w:rFonts w:ascii="Arial" w:eastAsia="Times New Roman" w:hAnsi="Arial" w:cs="Arial"/>
          <w:b/>
          <w:bCs/>
          <w:kern w:val="0"/>
          <w:sz w:val="22"/>
          <w:szCs w:val="22"/>
          <w:lang w:eastAsia="en-GB"/>
          <w14:ligatures w14:val="none"/>
        </w:rPr>
        <w:t>3.2 Global Policies and Initiatives</w:t>
      </w:r>
    </w:p>
    <w:p w14:paraId="4287A070" w14:textId="77777777" w:rsidR="00AB675F" w:rsidRPr="00AB675F" w:rsidRDefault="00AB675F"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AB675F">
        <w:rPr>
          <w:rFonts w:ascii="Arial" w:eastAsia="Times New Roman" w:hAnsi="Arial" w:cs="Arial"/>
          <w:kern w:val="0"/>
          <w:sz w:val="22"/>
          <w:szCs w:val="22"/>
          <w:lang w:eastAsia="en-GB"/>
          <w14:ligatures w14:val="none"/>
        </w:rPr>
        <w:t xml:space="preserve">At the global level, UN Women leads efforts to advance SDG 5. UN Women promotes legal reforms, gender-responsive budgeting, and programmes addressing violence against women (UN Women, 2023). The Convention on the Elimination of All Forms of </w:t>
      </w:r>
      <w:r w:rsidRPr="00AB675F">
        <w:rPr>
          <w:rFonts w:ascii="Arial" w:eastAsia="Times New Roman" w:hAnsi="Arial" w:cs="Arial"/>
          <w:kern w:val="0"/>
          <w:sz w:val="22"/>
          <w:szCs w:val="22"/>
          <w:lang w:eastAsia="en-GB"/>
          <w14:ligatures w14:val="none"/>
        </w:rPr>
        <w:lastRenderedPageBreak/>
        <w:t>Discrimination Against Women (CEDAW) provides a legally binding framework obligating signatory states to eliminate gender-based discrimination and uphold women’s rights (UN General Assembly, 1979). In the health sector, the World Health Organization’s Gender Strategy emphasises that gender norms shape health risks, access to services, and exposure to violence (WHO, 2022). Despite these initiatives, global progress remains slow. Rates of gender-based violence are rising in many regions, and disparities in education, employment, and political representation persist, reflecting entrenched social and cultural norms that disadvantage women and girls (UN Women, 2023).</w:t>
      </w:r>
    </w:p>
    <w:p w14:paraId="6822B616" w14:textId="77777777" w:rsidR="00AB675F" w:rsidRPr="00AB675F" w:rsidRDefault="00AB675F" w:rsidP="00737377">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AB675F">
        <w:rPr>
          <w:rFonts w:ascii="Arial" w:eastAsia="Times New Roman" w:hAnsi="Arial" w:cs="Arial"/>
          <w:b/>
          <w:bCs/>
          <w:kern w:val="0"/>
          <w:sz w:val="22"/>
          <w:szCs w:val="22"/>
          <w:lang w:eastAsia="en-GB"/>
          <w14:ligatures w14:val="none"/>
        </w:rPr>
        <w:t>3.3 National Policies: United Kingdom</w:t>
      </w:r>
    </w:p>
    <w:p w14:paraId="16B05C30" w14:textId="77777777" w:rsidR="00AB675F" w:rsidRPr="00AB675F" w:rsidRDefault="00AB675F"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AB675F">
        <w:rPr>
          <w:rFonts w:ascii="Arial" w:eastAsia="Times New Roman" w:hAnsi="Arial" w:cs="Arial"/>
          <w:kern w:val="0"/>
          <w:sz w:val="22"/>
          <w:szCs w:val="22"/>
          <w:lang w:eastAsia="en-GB"/>
          <w14:ligatures w14:val="none"/>
        </w:rPr>
        <w:t>In the United Kingdom, multiple policies aim to advance gender equality. The Domestic Abuse Act (2021) strengthened legal protections for survivors, introduced new offences, and improved support mechanisms (UK Government, 2021). However, service provision remains uneven, with long waiting lists and limited specialist support for minority and vulnerable groups (Women’s Aid, 2022). The Women’s Health Strategy for England (2022) addresses gender disparities in healthcare access, research, and outcomes, highlighting historically neglected issues such as endometriosis, menopause, and maternity care (NHS England, 2022). Additionally, the Gender Pay Gap Regulations (2017) require organisations to report disparities in pay between men and women. Although transparency has increased, progress in closing the gap is slow, reflecting structural inequalities in the labour market (ONS, 2023).</w:t>
      </w:r>
    </w:p>
    <w:p w14:paraId="06CD4A06" w14:textId="77777777" w:rsidR="00AB675F" w:rsidRPr="00AB675F" w:rsidRDefault="00AB675F" w:rsidP="00737377">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AB675F">
        <w:rPr>
          <w:rFonts w:ascii="Arial" w:eastAsia="Times New Roman" w:hAnsi="Arial" w:cs="Arial"/>
          <w:b/>
          <w:bCs/>
          <w:kern w:val="0"/>
          <w:sz w:val="22"/>
          <w:szCs w:val="22"/>
          <w:lang w:eastAsia="en-GB"/>
          <w14:ligatures w14:val="none"/>
        </w:rPr>
        <w:t>3.4 Local Policies: Wolverhampton and the West Midlands</w:t>
      </w:r>
    </w:p>
    <w:p w14:paraId="0C9D7E95" w14:textId="77777777" w:rsidR="00AB675F" w:rsidRPr="00AB675F" w:rsidRDefault="00AB675F"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AB675F">
        <w:rPr>
          <w:rFonts w:ascii="Arial" w:eastAsia="Times New Roman" w:hAnsi="Arial" w:cs="Arial"/>
          <w:kern w:val="0"/>
          <w:sz w:val="22"/>
          <w:szCs w:val="22"/>
          <w:lang w:eastAsia="en-GB"/>
          <w14:ligatures w14:val="none"/>
        </w:rPr>
        <w:t>At the local level, Wolverhampton has implemented a range of initiatives supporting women and girls. Services include safe accommodation, counselling, and advocacy for survivors of domestic abuse (Wolverhampton City Council, 2023). The local Violence Against Women and Girls Strategy focuses on prevention, early intervention, and tailored support (West Midlands Combined Authority, 2022). Community organisations across the West Midlands provide assistance for women facing forced marriage, honour-based violence, and economic abuse (West Midlands Combined Authority, 2022). Despite these efforts, funding constraints and increasing demand limit the capacity of services, particularly in deprived areas.</w:t>
      </w:r>
    </w:p>
    <w:p w14:paraId="110DC8AA" w14:textId="77777777" w:rsidR="00AB675F" w:rsidRPr="00AB675F" w:rsidRDefault="00AB675F" w:rsidP="00737377">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AB675F">
        <w:rPr>
          <w:rFonts w:ascii="Arial" w:eastAsia="Times New Roman" w:hAnsi="Arial" w:cs="Arial"/>
          <w:b/>
          <w:bCs/>
          <w:kern w:val="0"/>
          <w:sz w:val="22"/>
          <w:szCs w:val="22"/>
          <w:lang w:eastAsia="en-GB"/>
          <w14:ligatures w14:val="none"/>
        </w:rPr>
        <w:t>3.5 Application of Theories and Models</w:t>
      </w:r>
    </w:p>
    <w:p w14:paraId="58D7CD84" w14:textId="77777777" w:rsidR="00AB675F" w:rsidRPr="00AB675F" w:rsidRDefault="00AB675F"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AB675F">
        <w:rPr>
          <w:rFonts w:ascii="Arial" w:eastAsia="Times New Roman" w:hAnsi="Arial" w:cs="Arial"/>
          <w:kern w:val="0"/>
          <w:sz w:val="22"/>
          <w:szCs w:val="22"/>
          <w:lang w:eastAsia="en-GB"/>
          <w14:ligatures w14:val="none"/>
        </w:rPr>
        <w:t xml:space="preserve">Several theoretical frameworks underpin gender equality interventions. The Socio-Ecological Model (SEM) recognises that gender-based violence is influenced by individual, relational, community, and societal factors (Bronfenbrenner, 1979). Social Cognitive Theory (SCT) is </w:t>
      </w:r>
      <w:r w:rsidRPr="00AB675F">
        <w:rPr>
          <w:rFonts w:ascii="Arial" w:eastAsia="Times New Roman" w:hAnsi="Arial" w:cs="Arial"/>
          <w:kern w:val="0"/>
          <w:sz w:val="22"/>
          <w:szCs w:val="22"/>
          <w:lang w:eastAsia="en-GB"/>
          <w14:ligatures w14:val="none"/>
        </w:rPr>
        <w:lastRenderedPageBreak/>
        <w:t>widely applied in campaigns aimed at challenging harmful gender norms and promoting positive role models, emphasising observational learning and behavioural reinforcement (Bandura, 1986). The Health Belief Model (HBM) helps explain barriers to accessing reproductive and sexual health services, including perceived stigma, lack of awareness, or mistrust in healthcare systems (Rosenstock et al., 1988). Integrating these models into policy and practice enhances the effectiveness of interventions by addressing both structural and behavioural determinants of gender inequality.</w:t>
      </w:r>
    </w:p>
    <w:p w14:paraId="69F41DC9" w14:textId="77777777" w:rsidR="00AB675F" w:rsidRPr="00AB675F" w:rsidRDefault="00AB675F" w:rsidP="00737377">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AB675F">
        <w:rPr>
          <w:rFonts w:ascii="Arial" w:eastAsia="Times New Roman" w:hAnsi="Arial" w:cs="Arial"/>
          <w:b/>
          <w:bCs/>
          <w:kern w:val="0"/>
          <w:sz w:val="22"/>
          <w:szCs w:val="22"/>
          <w:lang w:eastAsia="en-GB"/>
          <w14:ligatures w14:val="none"/>
        </w:rPr>
        <w:t>3.6 Critical Evaluation</w:t>
      </w:r>
    </w:p>
    <w:p w14:paraId="5527AA3E" w14:textId="77777777" w:rsidR="00AB675F" w:rsidRPr="00AB675F" w:rsidRDefault="00AB675F" w:rsidP="00737377">
      <w:pPr>
        <w:spacing w:before="100" w:beforeAutospacing="1" w:after="100" w:afterAutospacing="1" w:line="360" w:lineRule="auto"/>
        <w:rPr>
          <w:rFonts w:ascii="Arial" w:eastAsia="Times New Roman" w:hAnsi="Arial" w:cs="Arial"/>
          <w:kern w:val="0"/>
          <w:sz w:val="22"/>
          <w:szCs w:val="22"/>
          <w:lang w:eastAsia="en-GB"/>
          <w14:ligatures w14:val="none"/>
        </w:rPr>
      </w:pPr>
      <w:r w:rsidRPr="00AB675F">
        <w:rPr>
          <w:rFonts w:ascii="Arial" w:eastAsia="Times New Roman" w:hAnsi="Arial" w:cs="Arial"/>
          <w:kern w:val="0"/>
          <w:sz w:val="22"/>
          <w:szCs w:val="22"/>
          <w:lang w:eastAsia="en-GB"/>
          <w14:ligatures w14:val="none"/>
        </w:rPr>
        <w:t>UK gender equality policies demonstrate several strengths. Legislative frameworks provide clear rights and protections, and there is growing recognition of women’s specific health needs (NHS England, 2022). Local initiatives often show strong community engagement and targeted support for vulnerable groups. However, significant limitations persist, including ongoing gender-based violence, underfunded support services, slow progress toward economic equality, and intersectional inequalities affecting minority and marginalised groups (Women’s Aid, 2022; ONS, 2023). The uneven implementation of policies at local levels highlights the need for sustainable funding, improved coordination, and systemic approaches addressing both social and economic determinants of inequality.</w:t>
      </w:r>
    </w:p>
    <w:p w14:paraId="6DBB00E2" w14:textId="77777777" w:rsidR="00AB675F" w:rsidRPr="00AB675F" w:rsidRDefault="00AB675F" w:rsidP="00737377">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AB675F">
        <w:rPr>
          <w:rFonts w:ascii="Arial" w:eastAsia="Times New Roman" w:hAnsi="Arial" w:cs="Arial"/>
          <w:b/>
          <w:bCs/>
          <w:kern w:val="0"/>
          <w:sz w:val="22"/>
          <w:szCs w:val="22"/>
          <w:lang w:eastAsia="en-GB"/>
          <w14:ligatures w14:val="none"/>
        </w:rPr>
        <w:t>3.7 Recommendations</w:t>
      </w:r>
    </w:p>
    <w:p w14:paraId="54D1206C" w14:textId="6AE5FCEA" w:rsidR="003E6783" w:rsidRPr="003E6783" w:rsidRDefault="00AB675F"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AB675F">
        <w:rPr>
          <w:rFonts w:ascii="Arial" w:eastAsia="Times New Roman" w:hAnsi="Arial" w:cs="Arial"/>
          <w:kern w:val="0"/>
          <w:sz w:val="22"/>
          <w:szCs w:val="22"/>
          <w:lang w:eastAsia="en-GB"/>
          <w14:ligatures w14:val="none"/>
        </w:rPr>
        <w:t>To accelerate progress toward SDG 5, several actions are necessary. Funding for domestic abuse and women’s health services must be increased to ensure timely and comprehensive support (UK Government, 2021; NHS England, 2022). Policies should adopt intersectional approaches that consider race, disability, socioeconomic status, and other factors that compound gender inequality (Crenshaw, 1989). Professionals across health, social care, and education should receive gender-sensitive training to improve service delivery. Community-based prevention programmes should be expanded to raise awareness, challenge harmful norms, and provide early intervention. Finally, SDG 5 considerations should be integrated into all health and wellbeing policies, ensuring that gender equality is a cross-cutting priority across sectors (UN Women, 2023).</w:t>
      </w:r>
    </w:p>
    <w:p w14:paraId="1CB60025" w14:textId="376BFBD2" w:rsidR="00574E62" w:rsidRPr="00737377" w:rsidRDefault="00574E62" w:rsidP="00574E6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 xml:space="preserve">4. </w:t>
      </w:r>
      <w:r w:rsidRPr="00737377">
        <w:rPr>
          <w:rFonts w:ascii="Arial" w:eastAsia="Times New Roman" w:hAnsi="Arial" w:cs="Arial"/>
          <w:b/>
          <w:bCs/>
          <w:kern w:val="0"/>
          <w:sz w:val="22"/>
          <w:szCs w:val="22"/>
          <w:lang w:eastAsia="en-GB"/>
          <w14:ligatures w14:val="none"/>
        </w:rPr>
        <w:t>Conclusion</w:t>
      </w:r>
    </w:p>
    <w:p w14:paraId="0D305C71" w14:textId="77777777" w:rsidR="00574E62" w:rsidRPr="00737377"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 xml:space="preserve">This report has critically examined SDG 3 and SDG 5 across global, national, and local levels, demonstrating their interconnectedness and importance for improving health and wellbeing in the UK. Global frameworks such as UHC, CEDAW, and WHO strategies provide </w:t>
      </w:r>
      <w:r w:rsidRPr="00737377">
        <w:rPr>
          <w:rFonts w:ascii="Arial" w:eastAsia="Times New Roman" w:hAnsi="Arial" w:cs="Arial"/>
          <w:kern w:val="0"/>
          <w:sz w:val="22"/>
          <w:szCs w:val="22"/>
          <w:lang w:eastAsia="en-GB"/>
          <w14:ligatures w14:val="none"/>
        </w:rPr>
        <w:lastRenderedPageBreak/>
        <w:t>essential direction but require stronger accountability and investment. National policies including the NHS Long Term Plan, Domestic Abuse Act, and Women’s Health Strategy show strong alignment with SDG targets but face challenges related to funding, workforce capacity, and persistent inequalities.</w:t>
      </w:r>
    </w:p>
    <w:p w14:paraId="13571C17" w14:textId="77777777" w:rsidR="00574E62" w:rsidRPr="00737377"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Local initiatives in Wolverhampton and the Black Country ICS highlight the value of community</w:t>
      </w:r>
      <w:r w:rsidRPr="00737377">
        <w:rPr>
          <w:rFonts w:ascii="Arial" w:eastAsia="Times New Roman" w:hAnsi="Arial" w:cs="Arial"/>
          <w:kern w:val="0"/>
          <w:sz w:val="22"/>
          <w:szCs w:val="22"/>
          <w:lang w:eastAsia="en-GB"/>
          <w14:ligatures w14:val="none"/>
        </w:rPr>
        <w:noBreakHyphen/>
        <w:t>based approaches, culturally tailored interventions, and cross</w:t>
      </w:r>
      <w:r w:rsidRPr="00737377">
        <w:rPr>
          <w:rFonts w:ascii="Arial" w:eastAsia="Times New Roman" w:hAnsi="Arial" w:cs="Arial"/>
          <w:kern w:val="0"/>
          <w:sz w:val="22"/>
          <w:szCs w:val="22"/>
          <w:lang w:eastAsia="en-GB"/>
          <w14:ligatures w14:val="none"/>
        </w:rPr>
        <w:noBreakHyphen/>
        <w:t>sector collaboration. However, disparities in access, outcomes, and service provision remain significant. Applying behavioural and social theories such as HBM, SCT, and SEM demonstrates the need for multi</w:t>
      </w:r>
      <w:r w:rsidRPr="00737377">
        <w:rPr>
          <w:rFonts w:ascii="Arial" w:eastAsia="Times New Roman" w:hAnsi="Arial" w:cs="Arial"/>
          <w:kern w:val="0"/>
          <w:sz w:val="22"/>
          <w:szCs w:val="22"/>
          <w:lang w:eastAsia="en-GB"/>
          <w14:ligatures w14:val="none"/>
        </w:rPr>
        <w:noBreakHyphen/>
        <w:t>level interventions that address both individual behaviours and structural determinants.</w:t>
      </w:r>
    </w:p>
    <w:p w14:paraId="0FDD6B4F" w14:textId="77777777" w:rsidR="00574E62" w:rsidRPr="00737377"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737377">
        <w:rPr>
          <w:rFonts w:ascii="Arial" w:eastAsia="Times New Roman" w:hAnsi="Arial" w:cs="Arial"/>
          <w:kern w:val="0"/>
          <w:sz w:val="22"/>
          <w:szCs w:val="22"/>
          <w:lang w:eastAsia="en-GB"/>
          <w14:ligatures w14:val="none"/>
        </w:rPr>
        <w:t>Achieving SDG 3 and SDG 5 requires integrated, gender</w:t>
      </w:r>
      <w:r w:rsidRPr="00737377">
        <w:rPr>
          <w:rFonts w:ascii="Arial" w:eastAsia="Times New Roman" w:hAnsi="Arial" w:cs="Arial"/>
          <w:kern w:val="0"/>
          <w:sz w:val="22"/>
          <w:szCs w:val="22"/>
          <w:lang w:eastAsia="en-GB"/>
          <w14:ligatures w14:val="none"/>
        </w:rPr>
        <w:noBreakHyphen/>
        <w:t>responsive policies that prioritise prevention, equity, and community empowerment. Strengthening data collection, improving funding, and enhancing collaboration across sectors will be essential for accelerating progress. Sustainable development cannot be achieved without addressing gender inequality, and health systems cannot be effective without recognising the social and structural factors that shape wellbeing.</w:t>
      </w:r>
    </w:p>
    <w:p w14:paraId="0D6197AF" w14:textId="06D8B06B" w:rsidR="0087651B" w:rsidRDefault="0087651B" w:rsidP="0087651B">
      <w:pPr>
        <w:spacing w:before="100" w:beforeAutospacing="1" w:after="100" w:afterAutospacing="1" w:line="240" w:lineRule="auto"/>
        <w:outlineLvl w:val="0"/>
        <w:rPr>
          <w:rFonts w:ascii="Times New Roman" w:eastAsia="Times New Roman" w:hAnsi="Times New Roman" w:cs="Times New Roman"/>
          <w:kern w:val="0"/>
          <w:lang w:eastAsia="en-GB"/>
          <w14:ligatures w14:val="none"/>
        </w:rPr>
      </w:pPr>
    </w:p>
    <w:p w14:paraId="60655C72" w14:textId="77777777" w:rsidR="0087651B" w:rsidRDefault="0087651B" w:rsidP="0087651B">
      <w:pPr>
        <w:spacing w:before="100" w:beforeAutospacing="1" w:after="100" w:afterAutospacing="1" w:line="240" w:lineRule="auto"/>
        <w:outlineLvl w:val="0"/>
        <w:rPr>
          <w:rFonts w:ascii="Times New Roman" w:eastAsia="Times New Roman" w:hAnsi="Times New Roman" w:cs="Times New Roman"/>
          <w:kern w:val="0"/>
          <w:lang w:eastAsia="en-GB"/>
          <w14:ligatures w14:val="none"/>
        </w:rPr>
      </w:pPr>
    </w:p>
    <w:p w14:paraId="109DEB05" w14:textId="77777777" w:rsidR="0087651B" w:rsidRDefault="0087651B" w:rsidP="0087651B">
      <w:pPr>
        <w:spacing w:before="100" w:beforeAutospacing="1" w:after="100" w:afterAutospacing="1" w:line="240" w:lineRule="auto"/>
        <w:outlineLvl w:val="0"/>
        <w:rPr>
          <w:rFonts w:ascii="Times New Roman" w:eastAsia="Times New Roman" w:hAnsi="Times New Roman" w:cs="Times New Roman"/>
          <w:kern w:val="0"/>
          <w:lang w:eastAsia="en-GB"/>
          <w14:ligatures w14:val="none"/>
        </w:rPr>
      </w:pPr>
    </w:p>
    <w:p w14:paraId="656F7A14" w14:textId="77777777" w:rsidR="0087651B" w:rsidRDefault="0087651B" w:rsidP="0087651B">
      <w:pPr>
        <w:spacing w:before="100" w:beforeAutospacing="1" w:after="100" w:afterAutospacing="1" w:line="240" w:lineRule="auto"/>
        <w:outlineLvl w:val="0"/>
        <w:rPr>
          <w:rFonts w:ascii="Times New Roman" w:eastAsia="Times New Roman" w:hAnsi="Times New Roman" w:cs="Times New Roman"/>
          <w:kern w:val="0"/>
          <w:lang w:eastAsia="en-GB"/>
          <w14:ligatures w14:val="none"/>
        </w:rPr>
      </w:pPr>
    </w:p>
    <w:p w14:paraId="471F1D3D" w14:textId="77777777" w:rsidR="0087651B" w:rsidRDefault="0087651B" w:rsidP="0087651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1037D79C" w14:textId="77777777" w:rsidR="00574E62" w:rsidRDefault="00574E62" w:rsidP="0087651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336A7770" w14:textId="77777777" w:rsidR="00574E62" w:rsidRDefault="00574E62" w:rsidP="0087651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1D940802" w14:textId="77777777" w:rsidR="00574E62" w:rsidRDefault="00574E62" w:rsidP="0087651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5B653CBB" w14:textId="77777777" w:rsidR="00574E62" w:rsidRDefault="00574E62" w:rsidP="0087651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4D55E311" w14:textId="77777777" w:rsidR="00574E62" w:rsidRDefault="00574E62" w:rsidP="0087651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3CF8B2B0" w14:textId="1BDA250D" w:rsidR="0087651B" w:rsidRPr="00574E62" w:rsidRDefault="0087651B" w:rsidP="00574E62">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574E62">
        <w:rPr>
          <w:rFonts w:ascii="Arial" w:eastAsia="Times New Roman" w:hAnsi="Arial" w:cs="Arial"/>
          <w:b/>
          <w:bCs/>
          <w:kern w:val="36"/>
          <w:sz w:val="22"/>
          <w:szCs w:val="22"/>
          <w:lang w:eastAsia="en-GB"/>
          <w14:ligatures w14:val="none"/>
        </w:rPr>
        <w:lastRenderedPageBreak/>
        <w:t>References</w:t>
      </w:r>
    </w:p>
    <w:p w14:paraId="769903DA"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Bandura, A. (2004) </w:t>
      </w:r>
      <w:r w:rsidRPr="00574E62">
        <w:rPr>
          <w:rFonts w:ascii="Arial" w:eastAsia="Times New Roman" w:hAnsi="Arial" w:cs="Arial"/>
          <w:i/>
          <w:iCs/>
          <w:kern w:val="0"/>
          <w:sz w:val="22"/>
          <w:szCs w:val="22"/>
          <w:lang w:eastAsia="en-GB"/>
          <w14:ligatures w14:val="none"/>
        </w:rPr>
        <w:t>Health promotion by social cognitive means</w:t>
      </w:r>
      <w:r w:rsidRPr="00574E62">
        <w:rPr>
          <w:rFonts w:ascii="Arial" w:eastAsia="Times New Roman" w:hAnsi="Arial" w:cs="Arial"/>
          <w:kern w:val="0"/>
          <w:sz w:val="22"/>
          <w:szCs w:val="22"/>
          <w:lang w:eastAsia="en-GB"/>
          <w14:ligatures w14:val="none"/>
        </w:rPr>
        <w:t xml:space="preserve">. Health Education &amp; </w:t>
      </w:r>
      <w:proofErr w:type="spellStart"/>
      <w:r w:rsidRPr="00574E62">
        <w:rPr>
          <w:rFonts w:ascii="Arial" w:eastAsia="Times New Roman" w:hAnsi="Arial" w:cs="Arial"/>
          <w:kern w:val="0"/>
          <w:sz w:val="22"/>
          <w:szCs w:val="22"/>
          <w:lang w:eastAsia="en-GB"/>
          <w14:ligatures w14:val="none"/>
        </w:rPr>
        <w:t>Behavior</w:t>
      </w:r>
      <w:proofErr w:type="spellEnd"/>
      <w:r w:rsidRPr="00574E62">
        <w:rPr>
          <w:rFonts w:ascii="Arial" w:eastAsia="Times New Roman" w:hAnsi="Arial" w:cs="Arial"/>
          <w:kern w:val="0"/>
          <w:sz w:val="22"/>
          <w:szCs w:val="22"/>
          <w:lang w:eastAsia="en-GB"/>
          <w14:ligatures w14:val="none"/>
        </w:rPr>
        <w:t>, 31(2), pp. 143–164.</w:t>
      </w:r>
    </w:p>
    <w:p w14:paraId="6735B210"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Black Country ICS (2023) </w:t>
      </w:r>
      <w:r w:rsidRPr="00574E62">
        <w:rPr>
          <w:rFonts w:ascii="Arial" w:eastAsia="Times New Roman" w:hAnsi="Arial" w:cs="Arial"/>
          <w:i/>
          <w:iCs/>
          <w:kern w:val="0"/>
          <w:sz w:val="22"/>
          <w:szCs w:val="22"/>
          <w:lang w:eastAsia="en-GB"/>
          <w14:ligatures w14:val="none"/>
        </w:rPr>
        <w:t>Integrated Care Strategy 2023–2025</w:t>
      </w:r>
      <w:r w:rsidRPr="00574E62">
        <w:rPr>
          <w:rFonts w:ascii="Arial" w:eastAsia="Times New Roman" w:hAnsi="Arial" w:cs="Arial"/>
          <w:kern w:val="0"/>
          <w:sz w:val="22"/>
          <w:szCs w:val="22"/>
          <w:lang w:eastAsia="en-GB"/>
          <w14:ligatures w14:val="none"/>
        </w:rPr>
        <w:t>. Black Country Integrated Care System.</w:t>
      </w:r>
    </w:p>
    <w:p w14:paraId="11FCF0FF"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Bronfenbrenner, U. (1994) </w:t>
      </w:r>
      <w:r w:rsidRPr="00574E62">
        <w:rPr>
          <w:rFonts w:ascii="Arial" w:eastAsia="Times New Roman" w:hAnsi="Arial" w:cs="Arial"/>
          <w:i/>
          <w:iCs/>
          <w:kern w:val="0"/>
          <w:sz w:val="22"/>
          <w:szCs w:val="22"/>
          <w:lang w:eastAsia="en-GB"/>
          <w14:ligatures w14:val="none"/>
        </w:rPr>
        <w:t>Ecological models of human development</w:t>
      </w:r>
      <w:r w:rsidRPr="00574E62">
        <w:rPr>
          <w:rFonts w:ascii="Arial" w:eastAsia="Times New Roman" w:hAnsi="Arial" w:cs="Arial"/>
          <w:kern w:val="0"/>
          <w:sz w:val="22"/>
          <w:szCs w:val="22"/>
          <w:lang w:eastAsia="en-GB"/>
          <w14:ligatures w14:val="none"/>
        </w:rPr>
        <w:t xml:space="preserve">. International </w:t>
      </w:r>
      <w:proofErr w:type="spellStart"/>
      <w:r w:rsidRPr="00574E62">
        <w:rPr>
          <w:rFonts w:ascii="Arial" w:eastAsia="Times New Roman" w:hAnsi="Arial" w:cs="Arial"/>
          <w:kern w:val="0"/>
          <w:sz w:val="22"/>
          <w:szCs w:val="22"/>
          <w:lang w:eastAsia="en-GB"/>
          <w14:ligatures w14:val="none"/>
        </w:rPr>
        <w:t>Encyclopedia</w:t>
      </w:r>
      <w:proofErr w:type="spellEnd"/>
      <w:r w:rsidRPr="00574E62">
        <w:rPr>
          <w:rFonts w:ascii="Arial" w:eastAsia="Times New Roman" w:hAnsi="Arial" w:cs="Arial"/>
          <w:kern w:val="0"/>
          <w:sz w:val="22"/>
          <w:szCs w:val="22"/>
          <w:lang w:eastAsia="en-GB"/>
          <w14:ligatures w14:val="none"/>
        </w:rPr>
        <w:t xml:space="preserve"> of Education, 3(2), pp. 37–43.</w:t>
      </w:r>
    </w:p>
    <w:p w14:paraId="2FB630AB"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Department of Health and Social Care (DHSC) (2020) </w:t>
      </w:r>
      <w:r w:rsidRPr="00574E62">
        <w:rPr>
          <w:rFonts w:ascii="Arial" w:eastAsia="Times New Roman" w:hAnsi="Arial" w:cs="Arial"/>
          <w:i/>
          <w:iCs/>
          <w:kern w:val="0"/>
          <w:sz w:val="22"/>
          <w:szCs w:val="22"/>
          <w:lang w:eastAsia="en-GB"/>
          <w14:ligatures w14:val="none"/>
        </w:rPr>
        <w:t>Tackling obesity: empowering adults and children to live healthier lives</w:t>
      </w:r>
      <w:r w:rsidRPr="00574E62">
        <w:rPr>
          <w:rFonts w:ascii="Arial" w:eastAsia="Times New Roman" w:hAnsi="Arial" w:cs="Arial"/>
          <w:kern w:val="0"/>
          <w:sz w:val="22"/>
          <w:szCs w:val="22"/>
          <w:lang w:eastAsia="en-GB"/>
          <w14:ligatures w14:val="none"/>
        </w:rPr>
        <w:t>. London: DHSC.</w:t>
      </w:r>
    </w:p>
    <w:p w14:paraId="7B75D547"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Department of Health and Social Care (DHSC) (2022) </w:t>
      </w:r>
      <w:r w:rsidRPr="00574E62">
        <w:rPr>
          <w:rFonts w:ascii="Arial" w:eastAsia="Times New Roman" w:hAnsi="Arial" w:cs="Arial"/>
          <w:i/>
          <w:iCs/>
          <w:kern w:val="0"/>
          <w:sz w:val="22"/>
          <w:szCs w:val="22"/>
          <w:lang w:eastAsia="en-GB"/>
          <w14:ligatures w14:val="none"/>
        </w:rPr>
        <w:t>Women’s Health Strategy for England</w:t>
      </w:r>
      <w:r w:rsidRPr="00574E62">
        <w:rPr>
          <w:rFonts w:ascii="Arial" w:eastAsia="Times New Roman" w:hAnsi="Arial" w:cs="Arial"/>
          <w:kern w:val="0"/>
          <w:sz w:val="22"/>
          <w:szCs w:val="22"/>
          <w:lang w:eastAsia="en-GB"/>
          <w14:ligatures w14:val="none"/>
        </w:rPr>
        <w:t>. London: DHSC.</w:t>
      </w:r>
    </w:p>
    <w:p w14:paraId="7283F7BB"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Heise, L. (1998) </w:t>
      </w:r>
      <w:r w:rsidRPr="00574E62">
        <w:rPr>
          <w:rFonts w:ascii="Arial" w:eastAsia="Times New Roman" w:hAnsi="Arial" w:cs="Arial"/>
          <w:i/>
          <w:iCs/>
          <w:kern w:val="0"/>
          <w:sz w:val="22"/>
          <w:szCs w:val="22"/>
          <w:lang w:eastAsia="en-GB"/>
          <w14:ligatures w14:val="none"/>
        </w:rPr>
        <w:t>Violence against women: an integrated, ecological framework</w:t>
      </w:r>
      <w:r w:rsidRPr="00574E62">
        <w:rPr>
          <w:rFonts w:ascii="Arial" w:eastAsia="Times New Roman" w:hAnsi="Arial" w:cs="Arial"/>
          <w:kern w:val="0"/>
          <w:sz w:val="22"/>
          <w:szCs w:val="22"/>
          <w:lang w:eastAsia="en-GB"/>
          <w14:ligatures w14:val="none"/>
        </w:rPr>
        <w:t>. Violence Against Women, 4(3), pp. 262–290.</w:t>
      </w:r>
    </w:p>
    <w:p w14:paraId="4BC3B359"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Home Office (2021) </w:t>
      </w:r>
      <w:r w:rsidRPr="00574E62">
        <w:rPr>
          <w:rFonts w:ascii="Arial" w:eastAsia="Times New Roman" w:hAnsi="Arial" w:cs="Arial"/>
          <w:i/>
          <w:iCs/>
          <w:kern w:val="0"/>
          <w:sz w:val="22"/>
          <w:szCs w:val="22"/>
          <w:lang w:eastAsia="en-GB"/>
          <w14:ligatures w14:val="none"/>
        </w:rPr>
        <w:t>Domestic Abuse Act 2021: Statutory Guidance</w:t>
      </w:r>
      <w:r w:rsidRPr="00574E62">
        <w:rPr>
          <w:rFonts w:ascii="Arial" w:eastAsia="Times New Roman" w:hAnsi="Arial" w:cs="Arial"/>
          <w:kern w:val="0"/>
          <w:sz w:val="22"/>
          <w:szCs w:val="22"/>
          <w:lang w:eastAsia="en-GB"/>
          <w14:ligatures w14:val="none"/>
        </w:rPr>
        <w:t>. London: Home Office.</w:t>
      </w:r>
    </w:p>
    <w:p w14:paraId="2DC44542"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King’s Fund (2022) </w:t>
      </w:r>
      <w:r w:rsidRPr="00574E62">
        <w:rPr>
          <w:rFonts w:ascii="Arial" w:eastAsia="Times New Roman" w:hAnsi="Arial" w:cs="Arial"/>
          <w:i/>
          <w:iCs/>
          <w:kern w:val="0"/>
          <w:sz w:val="22"/>
          <w:szCs w:val="22"/>
          <w:lang w:eastAsia="en-GB"/>
          <w14:ligatures w14:val="none"/>
        </w:rPr>
        <w:t>The NHS workforce: trends, challenges and priorities</w:t>
      </w:r>
      <w:r w:rsidRPr="00574E62">
        <w:rPr>
          <w:rFonts w:ascii="Arial" w:eastAsia="Times New Roman" w:hAnsi="Arial" w:cs="Arial"/>
          <w:kern w:val="0"/>
          <w:sz w:val="22"/>
          <w:szCs w:val="22"/>
          <w:lang w:eastAsia="en-GB"/>
          <w14:ligatures w14:val="none"/>
        </w:rPr>
        <w:t>. London: The King’s Fund.</w:t>
      </w:r>
    </w:p>
    <w:p w14:paraId="5DA1CC57"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Local Government Association (2021) </w:t>
      </w:r>
      <w:r w:rsidRPr="00574E62">
        <w:rPr>
          <w:rFonts w:ascii="Arial" w:eastAsia="Times New Roman" w:hAnsi="Arial" w:cs="Arial"/>
          <w:i/>
          <w:iCs/>
          <w:kern w:val="0"/>
          <w:sz w:val="22"/>
          <w:szCs w:val="22"/>
          <w:lang w:eastAsia="en-GB"/>
          <w14:ligatures w14:val="none"/>
        </w:rPr>
        <w:t>Public health: community-centred approaches</w:t>
      </w:r>
      <w:r w:rsidRPr="00574E62">
        <w:rPr>
          <w:rFonts w:ascii="Arial" w:eastAsia="Times New Roman" w:hAnsi="Arial" w:cs="Arial"/>
          <w:kern w:val="0"/>
          <w:sz w:val="22"/>
          <w:szCs w:val="22"/>
          <w:lang w:eastAsia="en-GB"/>
          <w14:ligatures w14:val="none"/>
        </w:rPr>
        <w:t>. London: LGA.</w:t>
      </w:r>
    </w:p>
    <w:p w14:paraId="23291DDE"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NHS England (2019) </w:t>
      </w:r>
      <w:r w:rsidRPr="00574E62">
        <w:rPr>
          <w:rFonts w:ascii="Arial" w:eastAsia="Times New Roman" w:hAnsi="Arial" w:cs="Arial"/>
          <w:i/>
          <w:iCs/>
          <w:kern w:val="0"/>
          <w:sz w:val="22"/>
          <w:szCs w:val="22"/>
          <w:lang w:eastAsia="en-GB"/>
          <w14:ligatures w14:val="none"/>
        </w:rPr>
        <w:t>The NHS Long Term Plan</w:t>
      </w:r>
      <w:r w:rsidRPr="00574E62">
        <w:rPr>
          <w:rFonts w:ascii="Arial" w:eastAsia="Times New Roman" w:hAnsi="Arial" w:cs="Arial"/>
          <w:kern w:val="0"/>
          <w:sz w:val="22"/>
          <w:szCs w:val="22"/>
          <w:lang w:eastAsia="en-GB"/>
          <w14:ligatures w14:val="none"/>
        </w:rPr>
        <w:t>. London: NHS England.</w:t>
      </w:r>
    </w:p>
    <w:p w14:paraId="7B6B9594"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Office for National Statistics (ONS) (2023a) </w:t>
      </w:r>
      <w:r w:rsidRPr="00574E62">
        <w:rPr>
          <w:rFonts w:ascii="Arial" w:eastAsia="Times New Roman" w:hAnsi="Arial" w:cs="Arial"/>
          <w:i/>
          <w:iCs/>
          <w:kern w:val="0"/>
          <w:sz w:val="22"/>
          <w:szCs w:val="22"/>
          <w:lang w:eastAsia="en-GB"/>
          <w14:ligatures w14:val="none"/>
        </w:rPr>
        <w:t>Adult smoking habits in the UK: 2023</w:t>
      </w:r>
      <w:r w:rsidRPr="00574E62">
        <w:rPr>
          <w:rFonts w:ascii="Arial" w:eastAsia="Times New Roman" w:hAnsi="Arial" w:cs="Arial"/>
          <w:kern w:val="0"/>
          <w:sz w:val="22"/>
          <w:szCs w:val="22"/>
          <w:lang w:eastAsia="en-GB"/>
          <w14:ligatures w14:val="none"/>
        </w:rPr>
        <w:t>. Newport: ONS.</w:t>
      </w:r>
    </w:p>
    <w:p w14:paraId="695636FD"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Office for National Statistics (ONS) (2023b) </w:t>
      </w:r>
      <w:r w:rsidRPr="00574E62">
        <w:rPr>
          <w:rFonts w:ascii="Arial" w:eastAsia="Times New Roman" w:hAnsi="Arial" w:cs="Arial"/>
          <w:i/>
          <w:iCs/>
          <w:kern w:val="0"/>
          <w:sz w:val="22"/>
          <w:szCs w:val="22"/>
          <w:lang w:eastAsia="en-GB"/>
          <w14:ligatures w14:val="none"/>
        </w:rPr>
        <w:t>Health state life expectancies by national deprivation deciles, England</w:t>
      </w:r>
      <w:r w:rsidRPr="00574E62">
        <w:rPr>
          <w:rFonts w:ascii="Arial" w:eastAsia="Times New Roman" w:hAnsi="Arial" w:cs="Arial"/>
          <w:kern w:val="0"/>
          <w:sz w:val="22"/>
          <w:szCs w:val="22"/>
          <w:lang w:eastAsia="en-GB"/>
          <w14:ligatures w14:val="none"/>
        </w:rPr>
        <w:t>. Newport: ONS.</w:t>
      </w:r>
    </w:p>
    <w:p w14:paraId="2B887B3A"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Public Health England (2020) </w:t>
      </w:r>
      <w:r w:rsidRPr="00574E62">
        <w:rPr>
          <w:rFonts w:ascii="Arial" w:eastAsia="Times New Roman" w:hAnsi="Arial" w:cs="Arial"/>
          <w:i/>
          <w:iCs/>
          <w:kern w:val="0"/>
          <w:sz w:val="22"/>
          <w:szCs w:val="22"/>
          <w:lang w:eastAsia="en-GB"/>
          <w14:ligatures w14:val="none"/>
        </w:rPr>
        <w:t>Health matters: obesity and the food environment</w:t>
      </w:r>
      <w:r w:rsidRPr="00574E62">
        <w:rPr>
          <w:rFonts w:ascii="Arial" w:eastAsia="Times New Roman" w:hAnsi="Arial" w:cs="Arial"/>
          <w:kern w:val="0"/>
          <w:sz w:val="22"/>
          <w:szCs w:val="22"/>
          <w:lang w:eastAsia="en-GB"/>
          <w14:ligatures w14:val="none"/>
        </w:rPr>
        <w:t>. London: PHE.</w:t>
      </w:r>
    </w:p>
    <w:p w14:paraId="2DEC2874"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lastRenderedPageBreak/>
        <w:t xml:space="preserve">Rosenstock, I.M., </w:t>
      </w:r>
      <w:proofErr w:type="spellStart"/>
      <w:r w:rsidRPr="00574E62">
        <w:rPr>
          <w:rFonts w:ascii="Arial" w:eastAsia="Times New Roman" w:hAnsi="Arial" w:cs="Arial"/>
          <w:kern w:val="0"/>
          <w:sz w:val="22"/>
          <w:szCs w:val="22"/>
          <w:lang w:eastAsia="en-GB"/>
          <w14:ligatures w14:val="none"/>
        </w:rPr>
        <w:t>Strecher</w:t>
      </w:r>
      <w:proofErr w:type="spellEnd"/>
      <w:r w:rsidRPr="00574E62">
        <w:rPr>
          <w:rFonts w:ascii="Arial" w:eastAsia="Times New Roman" w:hAnsi="Arial" w:cs="Arial"/>
          <w:kern w:val="0"/>
          <w:sz w:val="22"/>
          <w:szCs w:val="22"/>
          <w:lang w:eastAsia="en-GB"/>
          <w14:ligatures w14:val="none"/>
        </w:rPr>
        <w:t xml:space="preserve">, V.J. and Becker, M.H. (1988) </w:t>
      </w:r>
      <w:r w:rsidRPr="00574E62">
        <w:rPr>
          <w:rFonts w:ascii="Arial" w:eastAsia="Times New Roman" w:hAnsi="Arial" w:cs="Arial"/>
          <w:i/>
          <w:iCs/>
          <w:kern w:val="0"/>
          <w:sz w:val="22"/>
          <w:szCs w:val="22"/>
          <w:lang w:eastAsia="en-GB"/>
          <w14:ligatures w14:val="none"/>
        </w:rPr>
        <w:t>Social learning theory and the Health Belief Model</w:t>
      </w:r>
      <w:r w:rsidRPr="00574E62">
        <w:rPr>
          <w:rFonts w:ascii="Arial" w:eastAsia="Times New Roman" w:hAnsi="Arial" w:cs="Arial"/>
          <w:kern w:val="0"/>
          <w:sz w:val="22"/>
          <w:szCs w:val="22"/>
          <w:lang w:eastAsia="en-GB"/>
          <w14:ligatures w14:val="none"/>
        </w:rPr>
        <w:t>. Health Education Quarterly, 15(2), pp. 175–183.</w:t>
      </w:r>
    </w:p>
    <w:p w14:paraId="57D8AF73"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UN Women (2022) </w:t>
      </w:r>
      <w:r w:rsidRPr="00574E62">
        <w:rPr>
          <w:rFonts w:ascii="Arial" w:eastAsia="Times New Roman" w:hAnsi="Arial" w:cs="Arial"/>
          <w:i/>
          <w:iCs/>
          <w:kern w:val="0"/>
          <w:sz w:val="22"/>
          <w:szCs w:val="22"/>
          <w:lang w:eastAsia="en-GB"/>
          <w14:ligatures w14:val="none"/>
        </w:rPr>
        <w:t>Progress on the Sustainable Development Goals: Gender Snapshot 2022</w:t>
      </w:r>
      <w:r w:rsidRPr="00574E62">
        <w:rPr>
          <w:rFonts w:ascii="Arial" w:eastAsia="Times New Roman" w:hAnsi="Arial" w:cs="Arial"/>
          <w:kern w:val="0"/>
          <w:sz w:val="22"/>
          <w:szCs w:val="22"/>
          <w:lang w:eastAsia="en-GB"/>
          <w14:ligatures w14:val="none"/>
        </w:rPr>
        <w:t>. New York: UN Women.</w:t>
      </w:r>
    </w:p>
    <w:p w14:paraId="2ECFA94B"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UN Women (2023) </w:t>
      </w:r>
      <w:r w:rsidRPr="00574E62">
        <w:rPr>
          <w:rFonts w:ascii="Arial" w:eastAsia="Times New Roman" w:hAnsi="Arial" w:cs="Arial"/>
          <w:i/>
          <w:iCs/>
          <w:kern w:val="0"/>
          <w:sz w:val="22"/>
          <w:szCs w:val="22"/>
          <w:lang w:eastAsia="en-GB"/>
          <w14:ligatures w14:val="none"/>
        </w:rPr>
        <w:t>Gender equality: global progress and challenges</w:t>
      </w:r>
      <w:r w:rsidRPr="00574E62">
        <w:rPr>
          <w:rFonts w:ascii="Arial" w:eastAsia="Times New Roman" w:hAnsi="Arial" w:cs="Arial"/>
          <w:kern w:val="0"/>
          <w:sz w:val="22"/>
          <w:szCs w:val="22"/>
          <w:lang w:eastAsia="en-GB"/>
          <w14:ligatures w14:val="none"/>
        </w:rPr>
        <w:t>. New York: UN Women.</w:t>
      </w:r>
    </w:p>
    <w:p w14:paraId="6F9E65E7"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UNDP (2021) </w:t>
      </w:r>
      <w:r w:rsidRPr="00574E62">
        <w:rPr>
          <w:rFonts w:ascii="Arial" w:eastAsia="Times New Roman" w:hAnsi="Arial" w:cs="Arial"/>
          <w:i/>
          <w:iCs/>
          <w:kern w:val="0"/>
          <w:sz w:val="22"/>
          <w:szCs w:val="22"/>
          <w:lang w:eastAsia="en-GB"/>
          <w14:ligatures w14:val="none"/>
        </w:rPr>
        <w:t>COVID</w:t>
      </w:r>
      <w:r w:rsidRPr="00574E62">
        <w:rPr>
          <w:rFonts w:ascii="Arial" w:eastAsia="Times New Roman" w:hAnsi="Arial" w:cs="Arial"/>
          <w:i/>
          <w:iCs/>
          <w:kern w:val="0"/>
          <w:sz w:val="22"/>
          <w:szCs w:val="22"/>
          <w:lang w:eastAsia="en-GB"/>
          <w14:ligatures w14:val="none"/>
        </w:rPr>
        <w:noBreakHyphen/>
        <w:t>19 and human development: assessing the crisis, envisioning the recovery</w:t>
      </w:r>
      <w:r w:rsidRPr="00574E62">
        <w:rPr>
          <w:rFonts w:ascii="Arial" w:eastAsia="Times New Roman" w:hAnsi="Arial" w:cs="Arial"/>
          <w:kern w:val="0"/>
          <w:sz w:val="22"/>
          <w:szCs w:val="22"/>
          <w:lang w:eastAsia="en-GB"/>
          <w14:ligatures w14:val="none"/>
        </w:rPr>
        <w:t>. New York: United Nations Development Programme.</w:t>
      </w:r>
    </w:p>
    <w:p w14:paraId="2AB84FF2"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United Nations (1979) </w:t>
      </w:r>
      <w:r w:rsidRPr="00574E62">
        <w:rPr>
          <w:rFonts w:ascii="Arial" w:eastAsia="Times New Roman" w:hAnsi="Arial" w:cs="Arial"/>
          <w:i/>
          <w:iCs/>
          <w:kern w:val="0"/>
          <w:sz w:val="22"/>
          <w:szCs w:val="22"/>
          <w:lang w:eastAsia="en-GB"/>
          <w14:ligatures w14:val="none"/>
        </w:rPr>
        <w:t>Convention on the Elimination of All Forms of Discrimination Against Women (CEDAW)</w:t>
      </w:r>
      <w:r w:rsidRPr="00574E62">
        <w:rPr>
          <w:rFonts w:ascii="Arial" w:eastAsia="Times New Roman" w:hAnsi="Arial" w:cs="Arial"/>
          <w:kern w:val="0"/>
          <w:sz w:val="22"/>
          <w:szCs w:val="22"/>
          <w:lang w:eastAsia="en-GB"/>
          <w14:ligatures w14:val="none"/>
        </w:rPr>
        <w:t>. New York: UN.</w:t>
      </w:r>
    </w:p>
    <w:p w14:paraId="7BDFC8A8"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United Nations (2015) </w:t>
      </w:r>
      <w:r w:rsidRPr="00574E62">
        <w:rPr>
          <w:rFonts w:ascii="Arial" w:eastAsia="Times New Roman" w:hAnsi="Arial" w:cs="Arial"/>
          <w:i/>
          <w:iCs/>
          <w:kern w:val="0"/>
          <w:sz w:val="22"/>
          <w:szCs w:val="22"/>
          <w:lang w:eastAsia="en-GB"/>
          <w14:ligatures w14:val="none"/>
        </w:rPr>
        <w:t>Transforming our world: the 2030 Agenda for Sustainable Development</w:t>
      </w:r>
      <w:r w:rsidRPr="00574E62">
        <w:rPr>
          <w:rFonts w:ascii="Arial" w:eastAsia="Times New Roman" w:hAnsi="Arial" w:cs="Arial"/>
          <w:kern w:val="0"/>
          <w:sz w:val="22"/>
          <w:szCs w:val="22"/>
          <w:lang w:eastAsia="en-GB"/>
          <w14:ligatures w14:val="none"/>
        </w:rPr>
        <w:t>. New York: UN.</w:t>
      </w:r>
    </w:p>
    <w:p w14:paraId="5321DBC0"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West Midlands Police (2022) </w:t>
      </w:r>
      <w:r w:rsidRPr="00574E62">
        <w:rPr>
          <w:rFonts w:ascii="Arial" w:eastAsia="Times New Roman" w:hAnsi="Arial" w:cs="Arial"/>
          <w:i/>
          <w:iCs/>
          <w:kern w:val="0"/>
          <w:sz w:val="22"/>
          <w:szCs w:val="22"/>
          <w:lang w:eastAsia="en-GB"/>
          <w14:ligatures w14:val="none"/>
        </w:rPr>
        <w:t>Violence Against Women and Girls Strategy</w:t>
      </w:r>
      <w:r w:rsidRPr="00574E62">
        <w:rPr>
          <w:rFonts w:ascii="Arial" w:eastAsia="Times New Roman" w:hAnsi="Arial" w:cs="Arial"/>
          <w:kern w:val="0"/>
          <w:sz w:val="22"/>
          <w:szCs w:val="22"/>
          <w:lang w:eastAsia="en-GB"/>
          <w14:ligatures w14:val="none"/>
        </w:rPr>
        <w:t>. Birmingham: West Midlands Police.</w:t>
      </w:r>
    </w:p>
    <w:p w14:paraId="54F8455E"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WHO (2021) </w:t>
      </w:r>
      <w:r w:rsidRPr="00574E62">
        <w:rPr>
          <w:rFonts w:ascii="Arial" w:eastAsia="Times New Roman" w:hAnsi="Arial" w:cs="Arial"/>
          <w:i/>
          <w:iCs/>
          <w:kern w:val="0"/>
          <w:sz w:val="22"/>
          <w:szCs w:val="22"/>
          <w:lang w:eastAsia="en-GB"/>
          <w14:ligatures w14:val="none"/>
        </w:rPr>
        <w:t>Universal Health Coverage: global monitoring report</w:t>
      </w:r>
      <w:r w:rsidRPr="00574E62">
        <w:rPr>
          <w:rFonts w:ascii="Arial" w:eastAsia="Times New Roman" w:hAnsi="Arial" w:cs="Arial"/>
          <w:kern w:val="0"/>
          <w:sz w:val="22"/>
          <w:szCs w:val="22"/>
          <w:lang w:eastAsia="en-GB"/>
          <w14:ligatures w14:val="none"/>
        </w:rPr>
        <w:t>. Geneva: World Health Organization.</w:t>
      </w:r>
    </w:p>
    <w:p w14:paraId="538A0136"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WHO (2022a) </w:t>
      </w:r>
      <w:r w:rsidRPr="00574E62">
        <w:rPr>
          <w:rFonts w:ascii="Arial" w:eastAsia="Times New Roman" w:hAnsi="Arial" w:cs="Arial"/>
          <w:i/>
          <w:iCs/>
          <w:kern w:val="0"/>
          <w:sz w:val="22"/>
          <w:szCs w:val="22"/>
          <w:lang w:eastAsia="en-GB"/>
          <w14:ligatures w14:val="none"/>
        </w:rPr>
        <w:t>Gender and health strategy 2022–2030</w:t>
      </w:r>
      <w:r w:rsidRPr="00574E62">
        <w:rPr>
          <w:rFonts w:ascii="Arial" w:eastAsia="Times New Roman" w:hAnsi="Arial" w:cs="Arial"/>
          <w:kern w:val="0"/>
          <w:sz w:val="22"/>
          <w:szCs w:val="22"/>
          <w:lang w:eastAsia="en-GB"/>
          <w14:ligatures w14:val="none"/>
        </w:rPr>
        <w:t>. Geneva: World Health Organization.</w:t>
      </w:r>
    </w:p>
    <w:p w14:paraId="705D5B31"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WHO (2022b) </w:t>
      </w:r>
      <w:r w:rsidRPr="00574E62">
        <w:rPr>
          <w:rFonts w:ascii="Arial" w:eastAsia="Times New Roman" w:hAnsi="Arial" w:cs="Arial"/>
          <w:i/>
          <w:iCs/>
          <w:kern w:val="0"/>
          <w:sz w:val="22"/>
          <w:szCs w:val="22"/>
          <w:lang w:eastAsia="en-GB"/>
          <w14:ligatures w14:val="none"/>
        </w:rPr>
        <w:t>Global Action Plan for the Prevention and Control of Noncommunicable Diseases 2023 update</w:t>
      </w:r>
      <w:r w:rsidRPr="00574E62">
        <w:rPr>
          <w:rFonts w:ascii="Arial" w:eastAsia="Times New Roman" w:hAnsi="Arial" w:cs="Arial"/>
          <w:kern w:val="0"/>
          <w:sz w:val="22"/>
          <w:szCs w:val="22"/>
          <w:lang w:eastAsia="en-GB"/>
          <w14:ligatures w14:val="none"/>
        </w:rPr>
        <w:t>. Geneva: World Health Organization.</w:t>
      </w:r>
    </w:p>
    <w:p w14:paraId="48805A31"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WHO (2023) </w:t>
      </w:r>
      <w:r w:rsidRPr="00574E62">
        <w:rPr>
          <w:rFonts w:ascii="Arial" w:eastAsia="Times New Roman" w:hAnsi="Arial" w:cs="Arial"/>
          <w:i/>
          <w:iCs/>
          <w:kern w:val="0"/>
          <w:sz w:val="22"/>
          <w:szCs w:val="22"/>
          <w:lang w:eastAsia="en-GB"/>
          <w14:ligatures w14:val="none"/>
        </w:rPr>
        <w:t>World Health Statistics 2023</w:t>
      </w:r>
      <w:r w:rsidRPr="00574E62">
        <w:rPr>
          <w:rFonts w:ascii="Arial" w:eastAsia="Times New Roman" w:hAnsi="Arial" w:cs="Arial"/>
          <w:kern w:val="0"/>
          <w:sz w:val="22"/>
          <w:szCs w:val="22"/>
          <w:lang w:eastAsia="en-GB"/>
          <w14:ligatures w14:val="none"/>
        </w:rPr>
        <w:t>. Geneva: World Health Organization.</w:t>
      </w:r>
    </w:p>
    <w:p w14:paraId="7F10D925"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Wolverhampton Council (2022) </w:t>
      </w:r>
      <w:r w:rsidRPr="00574E62">
        <w:rPr>
          <w:rFonts w:ascii="Arial" w:eastAsia="Times New Roman" w:hAnsi="Arial" w:cs="Arial"/>
          <w:i/>
          <w:iCs/>
          <w:kern w:val="0"/>
          <w:sz w:val="22"/>
          <w:szCs w:val="22"/>
          <w:lang w:eastAsia="en-GB"/>
          <w14:ligatures w14:val="none"/>
        </w:rPr>
        <w:t>Public Health Annual Report</w:t>
      </w:r>
      <w:r w:rsidRPr="00574E62">
        <w:rPr>
          <w:rFonts w:ascii="Arial" w:eastAsia="Times New Roman" w:hAnsi="Arial" w:cs="Arial"/>
          <w:kern w:val="0"/>
          <w:sz w:val="22"/>
          <w:szCs w:val="22"/>
          <w:lang w:eastAsia="en-GB"/>
          <w14:ligatures w14:val="none"/>
        </w:rPr>
        <w:t>. Wolverhampton: City of Wolverhampton Council.</w:t>
      </w:r>
    </w:p>
    <w:p w14:paraId="44676E5B" w14:textId="77777777" w:rsidR="00574E62" w:rsidRPr="00574E62" w:rsidRDefault="00574E62" w:rsidP="00574E62">
      <w:pPr>
        <w:spacing w:before="100" w:beforeAutospacing="1" w:after="100" w:afterAutospacing="1" w:line="360" w:lineRule="auto"/>
        <w:rPr>
          <w:rFonts w:ascii="Arial" w:eastAsia="Times New Roman" w:hAnsi="Arial" w:cs="Arial"/>
          <w:kern w:val="0"/>
          <w:sz w:val="22"/>
          <w:szCs w:val="22"/>
          <w:lang w:eastAsia="en-GB"/>
          <w14:ligatures w14:val="none"/>
        </w:rPr>
      </w:pPr>
      <w:r w:rsidRPr="00574E62">
        <w:rPr>
          <w:rFonts w:ascii="Arial" w:eastAsia="Times New Roman" w:hAnsi="Arial" w:cs="Arial"/>
          <w:kern w:val="0"/>
          <w:sz w:val="22"/>
          <w:szCs w:val="22"/>
          <w:lang w:eastAsia="en-GB"/>
          <w14:ligatures w14:val="none"/>
        </w:rPr>
        <w:t xml:space="preserve">Women’s Aid (2022) </w:t>
      </w:r>
      <w:r w:rsidRPr="00574E62">
        <w:rPr>
          <w:rFonts w:ascii="Arial" w:eastAsia="Times New Roman" w:hAnsi="Arial" w:cs="Arial"/>
          <w:i/>
          <w:iCs/>
          <w:kern w:val="0"/>
          <w:sz w:val="22"/>
          <w:szCs w:val="22"/>
          <w:lang w:eastAsia="en-GB"/>
          <w14:ligatures w14:val="none"/>
        </w:rPr>
        <w:t>The Domestic Abuse Report 2022: The Annual Audit</w:t>
      </w:r>
      <w:r w:rsidRPr="00574E62">
        <w:rPr>
          <w:rFonts w:ascii="Arial" w:eastAsia="Times New Roman" w:hAnsi="Arial" w:cs="Arial"/>
          <w:kern w:val="0"/>
          <w:sz w:val="22"/>
          <w:szCs w:val="22"/>
          <w:lang w:eastAsia="en-GB"/>
          <w14:ligatures w14:val="none"/>
        </w:rPr>
        <w:t>. London: Women’s Aid.</w:t>
      </w:r>
    </w:p>
    <w:sectPr w:rsidR="00574E62" w:rsidRPr="00574E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1DF6"/>
    <w:multiLevelType w:val="multilevel"/>
    <w:tmpl w:val="17E03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32C27"/>
    <w:multiLevelType w:val="multilevel"/>
    <w:tmpl w:val="1BE0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21329E"/>
    <w:multiLevelType w:val="multilevel"/>
    <w:tmpl w:val="22580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A93B4F"/>
    <w:multiLevelType w:val="multilevel"/>
    <w:tmpl w:val="F7947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5D531B"/>
    <w:multiLevelType w:val="multilevel"/>
    <w:tmpl w:val="05EC6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255964"/>
    <w:multiLevelType w:val="multilevel"/>
    <w:tmpl w:val="4E5ED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A77BC6"/>
    <w:multiLevelType w:val="multilevel"/>
    <w:tmpl w:val="72D2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521BCA"/>
    <w:multiLevelType w:val="multilevel"/>
    <w:tmpl w:val="84D0A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4E3007"/>
    <w:multiLevelType w:val="multilevel"/>
    <w:tmpl w:val="A46C6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1B7478"/>
    <w:multiLevelType w:val="multilevel"/>
    <w:tmpl w:val="EC983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8E5FE8"/>
    <w:multiLevelType w:val="multilevel"/>
    <w:tmpl w:val="44C2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E74BFD"/>
    <w:multiLevelType w:val="multilevel"/>
    <w:tmpl w:val="EA3A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5B5CCE"/>
    <w:multiLevelType w:val="multilevel"/>
    <w:tmpl w:val="14EA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614284"/>
    <w:multiLevelType w:val="multilevel"/>
    <w:tmpl w:val="21E0E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E95E28"/>
    <w:multiLevelType w:val="multilevel"/>
    <w:tmpl w:val="C25E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A47740"/>
    <w:multiLevelType w:val="multilevel"/>
    <w:tmpl w:val="67161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E817B0"/>
    <w:multiLevelType w:val="multilevel"/>
    <w:tmpl w:val="E50A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8648F3"/>
    <w:multiLevelType w:val="multilevel"/>
    <w:tmpl w:val="AC1E7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3A3639"/>
    <w:multiLevelType w:val="multilevel"/>
    <w:tmpl w:val="E520B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F3239"/>
    <w:multiLevelType w:val="multilevel"/>
    <w:tmpl w:val="097E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DD7E50"/>
    <w:multiLevelType w:val="multilevel"/>
    <w:tmpl w:val="318C4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A94B6A"/>
    <w:multiLevelType w:val="multilevel"/>
    <w:tmpl w:val="ADB8D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F1646D"/>
    <w:multiLevelType w:val="multilevel"/>
    <w:tmpl w:val="DCE6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A5685C"/>
    <w:multiLevelType w:val="multilevel"/>
    <w:tmpl w:val="A62A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AC1626"/>
    <w:multiLevelType w:val="multilevel"/>
    <w:tmpl w:val="EA08D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226385"/>
    <w:multiLevelType w:val="multilevel"/>
    <w:tmpl w:val="7720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DF2C52"/>
    <w:multiLevelType w:val="multilevel"/>
    <w:tmpl w:val="F9B63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1D5FED"/>
    <w:multiLevelType w:val="multilevel"/>
    <w:tmpl w:val="B936E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E614F6F"/>
    <w:multiLevelType w:val="multilevel"/>
    <w:tmpl w:val="4C500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F953D2"/>
    <w:multiLevelType w:val="multilevel"/>
    <w:tmpl w:val="D6DE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C54996"/>
    <w:multiLevelType w:val="multilevel"/>
    <w:tmpl w:val="8AC64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697B06"/>
    <w:multiLevelType w:val="multilevel"/>
    <w:tmpl w:val="EC703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4659F0"/>
    <w:multiLevelType w:val="multilevel"/>
    <w:tmpl w:val="3CBC5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493180"/>
    <w:multiLevelType w:val="multilevel"/>
    <w:tmpl w:val="5E26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F73D88"/>
    <w:multiLevelType w:val="multilevel"/>
    <w:tmpl w:val="ACD62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7759841">
    <w:abstractNumId w:val="5"/>
  </w:num>
  <w:num w:numId="2" w16cid:durableId="1966690822">
    <w:abstractNumId w:val="13"/>
  </w:num>
  <w:num w:numId="3" w16cid:durableId="2123063486">
    <w:abstractNumId w:val="22"/>
  </w:num>
  <w:num w:numId="4" w16cid:durableId="219828508">
    <w:abstractNumId w:val="4"/>
  </w:num>
  <w:num w:numId="5" w16cid:durableId="1630889679">
    <w:abstractNumId w:val="30"/>
  </w:num>
  <w:num w:numId="6" w16cid:durableId="2035499513">
    <w:abstractNumId w:val="24"/>
  </w:num>
  <w:num w:numId="7" w16cid:durableId="2047824420">
    <w:abstractNumId w:val="7"/>
  </w:num>
  <w:num w:numId="8" w16cid:durableId="613101046">
    <w:abstractNumId w:val="0"/>
  </w:num>
  <w:num w:numId="9" w16cid:durableId="1553343121">
    <w:abstractNumId w:val="29"/>
  </w:num>
  <w:num w:numId="10" w16cid:durableId="1283264799">
    <w:abstractNumId w:val="17"/>
  </w:num>
  <w:num w:numId="11" w16cid:durableId="854153342">
    <w:abstractNumId w:val="34"/>
  </w:num>
  <w:num w:numId="12" w16cid:durableId="966206051">
    <w:abstractNumId w:val="9"/>
  </w:num>
  <w:num w:numId="13" w16cid:durableId="38213241">
    <w:abstractNumId w:val="23"/>
  </w:num>
  <w:num w:numId="14" w16cid:durableId="918519291">
    <w:abstractNumId w:val="26"/>
  </w:num>
  <w:num w:numId="15" w16cid:durableId="401757638">
    <w:abstractNumId w:val="25"/>
  </w:num>
  <w:num w:numId="16" w16cid:durableId="1761289538">
    <w:abstractNumId w:val="14"/>
  </w:num>
  <w:num w:numId="17" w16cid:durableId="2010130416">
    <w:abstractNumId w:val="3"/>
  </w:num>
  <w:num w:numId="18" w16cid:durableId="1656256871">
    <w:abstractNumId w:val="19"/>
  </w:num>
  <w:num w:numId="19" w16cid:durableId="1755668817">
    <w:abstractNumId w:val="12"/>
  </w:num>
  <w:num w:numId="20" w16cid:durableId="1265729024">
    <w:abstractNumId w:val="6"/>
  </w:num>
  <w:num w:numId="21" w16cid:durableId="1800762574">
    <w:abstractNumId w:val="2"/>
  </w:num>
  <w:num w:numId="22" w16cid:durableId="506289350">
    <w:abstractNumId w:val="21"/>
  </w:num>
  <w:num w:numId="23" w16cid:durableId="473719325">
    <w:abstractNumId w:val="8"/>
  </w:num>
  <w:num w:numId="24" w16cid:durableId="747580911">
    <w:abstractNumId w:val="16"/>
  </w:num>
  <w:num w:numId="25" w16cid:durableId="306932859">
    <w:abstractNumId w:val="27"/>
  </w:num>
  <w:num w:numId="26" w16cid:durableId="1627808383">
    <w:abstractNumId w:val="1"/>
  </w:num>
  <w:num w:numId="27" w16cid:durableId="1865826089">
    <w:abstractNumId w:val="33"/>
  </w:num>
  <w:num w:numId="28" w16cid:durableId="2002197895">
    <w:abstractNumId w:val="15"/>
  </w:num>
  <w:num w:numId="29" w16cid:durableId="239291575">
    <w:abstractNumId w:val="28"/>
  </w:num>
  <w:num w:numId="30" w16cid:durableId="1807507800">
    <w:abstractNumId w:val="32"/>
  </w:num>
  <w:num w:numId="31" w16cid:durableId="54746064">
    <w:abstractNumId w:val="11"/>
  </w:num>
  <w:num w:numId="32" w16cid:durableId="1636568580">
    <w:abstractNumId w:val="31"/>
  </w:num>
  <w:num w:numId="33" w16cid:durableId="1077634653">
    <w:abstractNumId w:val="20"/>
  </w:num>
  <w:num w:numId="34" w16cid:durableId="1459952401">
    <w:abstractNumId w:val="18"/>
  </w:num>
  <w:num w:numId="35" w16cid:durableId="1238913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4D0"/>
    <w:rsid w:val="000F0DB6"/>
    <w:rsid w:val="001A01A5"/>
    <w:rsid w:val="002C662C"/>
    <w:rsid w:val="002E5F15"/>
    <w:rsid w:val="003E6783"/>
    <w:rsid w:val="00427193"/>
    <w:rsid w:val="00480F5C"/>
    <w:rsid w:val="00574E62"/>
    <w:rsid w:val="005B4A5C"/>
    <w:rsid w:val="005E2A55"/>
    <w:rsid w:val="006874D0"/>
    <w:rsid w:val="00737377"/>
    <w:rsid w:val="0083539D"/>
    <w:rsid w:val="0087651B"/>
    <w:rsid w:val="00AB675F"/>
    <w:rsid w:val="00D36A1B"/>
    <w:rsid w:val="00DA29EF"/>
    <w:rsid w:val="00DF112E"/>
    <w:rsid w:val="00ED0FBC"/>
    <w:rsid w:val="00FA3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E5661"/>
  <w15:chartTrackingRefBased/>
  <w15:docId w15:val="{E04A8A2D-C8F4-45B9-91DC-89BE1D6F2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4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74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74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74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74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74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74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74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74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4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74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74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74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74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74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74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74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74D0"/>
    <w:rPr>
      <w:rFonts w:eastAsiaTheme="majorEastAsia" w:cstheme="majorBidi"/>
      <w:color w:val="272727" w:themeColor="text1" w:themeTint="D8"/>
    </w:rPr>
  </w:style>
  <w:style w:type="paragraph" w:styleId="Title">
    <w:name w:val="Title"/>
    <w:basedOn w:val="Normal"/>
    <w:next w:val="Normal"/>
    <w:link w:val="TitleChar"/>
    <w:uiPriority w:val="10"/>
    <w:qFormat/>
    <w:rsid w:val="006874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4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74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74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74D0"/>
    <w:pPr>
      <w:spacing w:before="160"/>
      <w:jc w:val="center"/>
    </w:pPr>
    <w:rPr>
      <w:i/>
      <w:iCs/>
      <w:color w:val="404040" w:themeColor="text1" w:themeTint="BF"/>
    </w:rPr>
  </w:style>
  <w:style w:type="character" w:customStyle="1" w:styleId="QuoteChar">
    <w:name w:val="Quote Char"/>
    <w:basedOn w:val="DefaultParagraphFont"/>
    <w:link w:val="Quote"/>
    <w:uiPriority w:val="29"/>
    <w:rsid w:val="006874D0"/>
    <w:rPr>
      <w:i/>
      <w:iCs/>
      <w:color w:val="404040" w:themeColor="text1" w:themeTint="BF"/>
    </w:rPr>
  </w:style>
  <w:style w:type="paragraph" w:styleId="ListParagraph">
    <w:name w:val="List Paragraph"/>
    <w:basedOn w:val="Normal"/>
    <w:uiPriority w:val="34"/>
    <w:qFormat/>
    <w:rsid w:val="006874D0"/>
    <w:pPr>
      <w:ind w:left="720"/>
      <w:contextualSpacing/>
    </w:pPr>
  </w:style>
  <w:style w:type="character" w:styleId="IntenseEmphasis">
    <w:name w:val="Intense Emphasis"/>
    <w:basedOn w:val="DefaultParagraphFont"/>
    <w:uiPriority w:val="21"/>
    <w:qFormat/>
    <w:rsid w:val="006874D0"/>
    <w:rPr>
      <w:i/>
      <w:iCs/>
      <w:color w:val="0F4761" w:themeColor="accent1" w:themeShade="BF"/>
    </w:rPr>
  </w:style>
  <w:style w:type="paragraph" w:styleId="IntenseQuote">
    <w:name w:val="Intense Quote"/>
    <w:basedOn w:val="Normal"/>
    <w:next w:val="Normal"/>
    <w:link w:val="IntenseQuoteChar"/>
    <w:uiPriority w:val="30"/>
    <w:qFormat/>
    <w:rsid w:val="006874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74D0"/>
    <w:rPr>
      <w:i/>
      <w:iCs/>
      <w:color w:val="0F4761" w:themeColor="accent1" w:themeShade="BF"/>
    </w:rPr>
  </w:style>
  <w:style w:type="character" w:styleId="IntenseReference">
    <w:name w:val="Intense Reference"/>
    <w:basedOn w:val="DefaultParagraphFont"/>
    <w:uiPriority w:val="32"/>
    <w:qFormat/>
    <w:rsid w:val="006874D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b5396b3f-dc01-41c6-a648-ab88fc50c118}" enabled="0" method="" siteId="{b5396b3f-dc01-41c6-a648-ab88fc50c118}" removed="1"/>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2536</Words>
  <Characters>16778</Characters>
  <Application>Microsoft Office Word</Application>
  <DocSecurity>0</DocSecurity>
  <Lines>317</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Khan</dc:creator>
  <cp:keywords/>
  <dc:description/>
  <cp:lastModifiedBy>Sabrina Khan</cp:lastModifiedBy>
  <cp:revision>2</cp:revision>
  <dcterms:created xsi:type="dcterms:W3CDTF">2026-03-22T13:31:00Z</dcterms:created>
  <dcterms:modified xsi:type="dcterms:W3CDTF">2026-03-22T13:31:00Z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9a5d0e99-3e65-4384-8361-d7fdad43e400</vt:lpwstr>
  </property>
</Properties>
</file>