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1790" w:rsidRDefault="00B833F7" w:rsidP="003C4647">
      <w:pPr>
        <w:pStyle w:val="NormalWeb"/>
        <w:spacing w:line="360" w:lineRule="auto"/>
        <w:rPr>
          <w:rFonts w:ascii="Franklin Gothic Book" w:hAnsi="Franklin Gothic Book" w:cs="Calibri"/>
          <w:b/>
          <w:bCs/>
        </w:rPr>
      </w:pPr>
      <w:r w:rsidRPr="00B833F7">
        <w:rPr>
          <w:rFonts w:ascii="Franklin Gothic Book" w:hAnsi="Franklin Gothic Book" w:cs="Calibri"/>
          <w:b/>
          <w:bCs/>
        </w:rPr>
        <w:t xml:space="preserve">Discuss the Elaboration Likelihood Model </w:t>
      </w:r>
      <w:r w:rsidR="00AB4620">
        <w:rPr>
          <w:rFonts w:ascii="Franklin Gothic Book" w:hAnsi="Franklin Gothic Book" w:cs="Calibri"/>
          <w:b/>
          <w:bCs/>
        </w:rPr>
        <w:t xml:space="preserve">(ELM) </w:t>
      </w:r>
      <w:r w:rsidRPr="00B833F7">
        <w:rPr>
          <w:rFonts w:ascii="Franklin Gothic Book" w:hAnsi="Franklin Gothic Book" w:cs="Calibri"/>
          <w:b/>
          <w:bCs/>
        </w:rPr>
        <w:t>of persuasion</w:t>
      </w:r>
      <w:r>
        <w:rPr>
          <w:rFonts w:ascii="Franklin Gothic Book" w:hAnsi="Franklin Gothic Book" w:cs="Calibri"/>
          <w:b/>
          <w:bCs/>
        </w:rPr>
        <w:t>.</w:t>
      </w:r>
    </w:p>
    <w:p w:rsidR="00191790" w:rsidRDefault="00191790" w:rsidP="003C4647">
      <w:pPr>
        <w:pStyle w:val="NormalWeb"/>
        <w:spacing w:line="360" w:lineRule="auto"/>
        <w:rPr>
          <w:rFonts w:ascii="Franklin Gothic Book" w:hAnsi="Franklin Gothic Book" w:cs="Calibri"/>
          <w:b/>
          <w:bCs/>
        </w:rPr>
      </w:pPr>
    </w:p>
    <w:p w:rsidR="00191790" w:rsidRDefault="00AB4620" w:rsidP="00191790">
      <w:pPr>
        <w:pStyle w:val="NormalWeb"/>
        <w:spacing w:line="480" w:lineRule="auto"/>
        <w:ind w:firstLine="720"/>
        <w:rPr>
          <w:rFonts w:ascii="Franklin Gothic Book" w:hAnsi="Franklin Gothic Book" w:cs="Calibri"/>
          <w:bCs/>
        </w:rPr>
      </w:pPr>
      <w:r>
        <w:rPr>
          <w:rFonts w:ascii="Franklin Gothic Book" w:hAnsi="Franklin Gothic Book" w:cs="Calibri"/>
          <w:bCs/>
        </w:rPr>
        <w:t>An individual’s beliefs, emotions or behaviours towards a particular person, o</w:t>
      </w:r>
      <w:r w:rsidR="00AC029D">
        <w:rPr>
          <w:rFonts w:ascii="Franklin Gothic Book" w:hAnsi="Franklin Gothic Book" w:cs="Calibri"/>
          <w:bCs/>
        </w:rPr>
        <w:t xml:space="preserve">bject, event or group can be a consequence </w:t>
      </w:r>
      <w:r>
        <w:rPr>
          <w:rFonts w:ascii="Franklin Gothic Book" w:hAnsi="Franklin Gothic Book" w:cs="Calibri"/>
          <w:bCs/>
        </w:rPr>
        <w:t xml:space="preserve">of their attitude. </w:t>
      </w:r>
      <w:r w:rsidR="005B5075">
        <w:rPr>
          <w:rFonts w:ascii="Franklin Gothic Book" w:hAnsi="Franklin Gothic Book" w:cs="Calibri"/>
          <w:bCs/>
        </w:rPr>
        <w:t xml:space="preserve">Attitudes usually develop </w:t>
      </w:r>
      <w:r w:rsidR="00FA5F16">
        <w:rPr>
          <w:rFonts w:ascii="Franklin Gothic Book" w:hAnsi="Franklin Gothic Book" w:cs="Calibri"/>
          <w:bCs/>
        </w:rPr>
        <w:t xml:space="preserve">either </w:t>
      </w:r>
      <w:r w:rsidR="005B5075">
        <w:rPr>
          <w:rFonts w:ascii="Franklin Gothic Book" w:hAnsi="Franklin Gothic Book" w:cs="Calibri"/>
          <w:bCs/>
        </w:rPr>
        <w:t>as a result of a person’</w:t>
      </w:r>
      <w:r w:rsidR="00AC029D">
        <w:rPr>
          <w:rFonts w:ascii="Franklin Gothic Book" w:hAnsi="Franklin Gothic Book" w:cs="Calibri"/>
          <w:bCs/>
        </w:rPr>
        <w:t xml:space="preserve">s life experiences, </w:t>
      </w:r>
      <w:r w:rsidR="005B5075">
        <w:rPr>
          <w:rFonts w:ascii="Franklin Gothic Book" w:hAnsi="Franklin Gothic Book" w:cs="Calibri"/>
          <w:bCs/>
        </w:rPr>
        <w:t xml:space="preserve">the environment </w:t>
      </w:r>
      <w:r w:rsidR="0093262B">
        <w:rPr>
          <w:rFonts w:ascii="Franklin Gothic Book" w:hAnsi="Franklin Gothic Book" w:cs="Calibri"/>
          <w:bCs/>
        </w:rPr>
        <w:t>in which they have been brought up</w:t>
      </w:r>
      <w:r w:rsidR="00AC029D">
        <w:rPr>
          <w:rFonts w:ascii="Franklin Gothic Book" w:hAnsi="Franklin Gothic Book" w:cs="Calibri"/>
          <w:bCs/>
        </w:rPr>
        <w:t xml:space="preserve"> or </w:t>
      </w:r>
      <w:r w:rsidR="00FA5F16">
        <w:rPr>
          <w:rFonts w:ascii="Franklin Gothic Book" w:hAnsi="Franklin Gothic Book" w:cs="Calibri"/>
          <w:bCs/>
        </w:rPr>
        <w:t xml:space="preserve">surrounding </w:t>
      </w:r>
      <w:r w:rsidR="00AC029D">
        <w:rPr>
          <w:rFonts w:ascii="Franklin Gothic Book" w:hAnsi="Franklin Gothic Book" w:cs="Calibri"/>
          <w:bCs/>
        </w:rPr>
        <w:t>social influences</w:t>
      </w:r>
      <w:r w:rsidR="005B5075">
        <w:rPr>
          <w:rFonts w:ascii="Franklin Gothic Book" w:hAnsi="Franklin Gothic Book" w:cs="Calibri"/>
          <w:bCs/>
        </w:rPr>
        <w:t xml:space="preserve">. </w:t>
      </w:r>
      <w:r w:rsidR="00FA5F16">
        <w:rPr>
          <w:rFonts w:ascii="Franklin Gothic Book" w:hAnsi="Franklin Gothic Book" w:cs="Calibri"/>
          <w:bCs/>
        </w:rPr>
        <w:t xml:space="preserve">All such factors can be very influential in the development of a person’s attitudes and the way in which they choose to behave. Likewise, </w:t>
      </w:r>
      <w:r w:rsidR="00552F98">
        <w:rPr>
          <w:rFonts w:ascii="Franklin Gothic Book" w:hAnsi="Franklin Gothic Book" w:cs="Calibri"/>
          <w:bCs/>
        </w:rPr>
        <w:t xml:space="preserve">the act of </w:t>
      </w:r>
      <w:r w:rsidR="00FA5F16">
        <w:rPr>
          <w:rFonts w:ascii="Franklin Gothic Book" w:hAnsi="Franklin Gothic Book" w:cs="Calibri"/>
          <w:bCs/>
        </w:rPr>
        <w:t>persu</w:t>
      </w:r>
      <w:r w:rsidR="00826B77">
        <w:rPr>
          <w:rFonts w:ascii="Franklin Gothic Book" w:hAnsi="Franklin Gothic Book" w:cs="Calibri"/>
          <w:bCs/>
        </w:rPr>
        <w:t>asion is a crucial factor in any</w:t>
      </w:r>
      <w:r w:rsidR="00FA5F16">
        <w:rPr>
          <w:rFonts w:ascii="Franklin Gothic Book" w:hAnsi="Franklin Gothic Book" w:cs="Calibri"/>
          <w:bCs/>
        </w:rPr>
        <w:t xml:space="preserve"> attempt to change someone’s mind or feeling</w:t>
      </w:r>
      <w:r w:rsidR="00C52C1B">
        <w:rPr>
          <w:rFonts w:ascii="Franklin Gothic Book" w:hAnsi="Franklin Gothic Book" w:cs="Calibri"/>
          <w:bCs/>
        </w:rPr>
        <w:t xml:space="preserve">s towards something or someone, with the most prevalent intention </w:t>
      </w:r>
      <w:r w:rsidR="00552F98">
        <w:rPr>
          <w:rFonts w:ascii="Franklin Gothic Book" w:hAnsi="Franklin Gothic Book" w:cs="Calibri"/>
          <w:bCs/>
        </w:rPr>
        <w:t xml:space="preserve">usually </w:t>
      </w:r>
      <w:r w:rsidR="00C52C1B">
        <w:rPr>
          <w:rFonts w:ascii="Franklin Gothic Book" w:hAnsi="Franklin Gothic Book" w:cs="Calibri"/>
          <w:bCs/>
        </w:rPr>
        <w:t xml:space="preserve">being to change a person’s attitude. A person or group who is looking to persuade someone will look to adopt suitable mechanisms in order to </w:t>
      </w:r>
      <w:r w:rsidR="00826B77">
        <w:rPr>
          <w:rFonts w:ascii="Franklin Gothic Book" w:hAnsi="Franklin Gothic Book" w:cs="Calibri"/>
          <w:bCs/>
        </w:rPr>
        <w:t>successfully change a person’</w:t>
      </w:r>
      <w:r w:rsidR="009141B4">
        <w:rPr>
          <w:rFonts w:ascii="Franklin Gothic Book" w:hAnsi="Franklin Gothic Book" w:cs="Calibri"/>
          <w:bCs/>
        </w:rPr>
        <w:t xml:space="preserve">s attitude </w:t>
      </w:r>
      <w:r w:rsidR="00826B77">
        <w:rPr>
          <w:rFonts w:ascii="Franklin Gothic Book" w:hAnsi="Franklin Gothic Book" w:cs="Calibri"/>
          <w:bCs/>
        </w:rPr>
        <w:t>(Petty &amp; Brinol, 2010). Much r</w:t>
      </w:r>
      <w:r w:rsidR="009141B4">
        <w:rPr>
          <w:rFonts w:ascii="Franklin Gothic Book" w:hAnsi="Franklin Gothic Book" w:cs="Calibri"/>
          <w:bCs/>
        </w:rPr>
        <w:t xml:space="preserve">esearch has been conducted into individual attitudes, </w:t>
      </w:r>
      <w:r w:rsidR="00552F98">
        <w:rPr>
          <w:rFonts w:ascii="Franklin Gothic Book" w:hAnsi="Franklin Gothic Book" w:cs="Calibri"/>
          <w:bCs/>
        </w:rPr>
        <w:t>with</w:t>
      </w:r>
      <w:r w:rsidR="009141B4">
        <w:rPr>
          <w:rFonts w:ascii="Franklin Gothic Book" w:hAnsi="Franklin Gothic Book" w:cs="Calibri"/>
          <w:bCs/>
        </w:rPr>
        <w:t xml:space="preserve"> the Cognitive Dissonance Theory</w:t>
      </w:r>
      <w:r w:rsidR="00552F98">
        <w:rPr>
          <w:rFonts w:ascii="Franklin Gothic Book" w:hAnsi="Franklin Gothic Book" w:cs="Calibri"/>
          <w:bCs/>
        </w:rPr>
        <w:t xml:space="preserve"> for example</w:t>
      </w:r>
      <w:r w:rsidR="009141B4">
        <w:rPr>
          <w:rFonts w:ascii="Franklin Gothic Book" w:hAnsi="Franklin Gothic Book" w:cs="Calibri"/>
          <w:bCs/>
        </w:rPr>
        <w:t xml:space="preserve">. Festinger (1957) suggested that when a person obtains two or more pieces of information that are relevant but inconsistent with one another, the individual can appear to be in discomfort; </w:t>
      </w:r>
      <w:r w:rsidR="00B948C7">
        <w:rPr>
          <w:rFonts w:ascii="Franklin Gothic Book" w:hAnsi="Franklin Gothic Book" w:cs="Calibri"/>
          <w:bCs/>
        </w:rPr>
        <w:t xml:space="preserve">this state was </w:t>
      </w:r>
      <w:r w:rsidR="009141B4">
        <w:rPr>
          <w:rFonts w:ascii="Franklin Gothic Book" w:hAnsi="Franklin Gothic Book" w:cs="Calibri"/>
          <w:bCs/>
        </w:rPr>
        <w:t xml:space="preserve">named dissonance. Festinger later </w:t>
      </w:r>
      <w:r w:rsidR="00F23CA5">
        <w:rPr>
          <w:rFonts w:ascii="Franklin Gothic Book" w:hAnsi="Franklin Gothic Book" w:cs="Calibri"/>
          <w:bCs/>
        </w:rPr>
        <w:t xml:space="preserve">suggested that a person is motivated by this state of dissonance to engage in psychological efforts to reduce the inconsistency </w:t>
      </w:r>
      <w:r w:rsidR="006C638D">
        <w:rPr>
          <w:rFonts w:ascii="Franklin Gothic Book" w:hAnsi="Franklin Gothic Book" w:cs="Calibri"/>
          <w:bCs/>
        </w:rPr>
        <w:t xml:space="preserve">between the cognitions, therefore changing their attitude. There are a number of </w:t>
      </w:r>
      <w:r w:rsidR="00CE1549">
        <w:rPr>
          <w:rFonts w:ascii="Franklin Gothic Book" w:hAnsi="Franklin Gothic Book" w:cs="Calibri"/>
          <w:bCs/>
        </w:rPr>
        <w:t xml:space="preserve">different </w:t>
      </w:r>
      <w:r w:rsidR="006C638D">
        <w:rPr>
          <w:rFonts w:ascii="Franklin Gothic Book" w:hAnsi="Franklin Gothic Book" w:cs="Calibri"/>
          <w:bCs/>
        </w:rPr>
        <w:t xml:space="preserve">explanations and copious amounts of research </w:t>
      </w:r>
      <w:r w:rsidR="00CE1549">
        <w:rPr>
          <w:rFonts w:ascii="Franklin Gothic Book" w:hAnsi="Franklin Gothic Book" w:cs="Calibri"/>
          <w:bCs/>
        </w:rPr>
        <w:t xml:space="preserve">that </w:t>
      </w:r>
      <w:r w:rsidR="006C638D">
        <w:rPr>
          <w:rFonts w:ascii="Franklin Gothic Book" w:hAnsi="Franklin Gothic Book" w:cs="Calibri"/>
          <w:bCs/>
        </w:rPr>
        <w:t xml:space="preserve">has been conducted into changes in attitude. However, this essay will focus on </w:t>
      </w:r>
      <w:r w:rsidR="00552F98">
        <w:rPr>
          <w:rFonts w:ascii="Franklin Gothic Book" w:hAnsi="Franklin Gothic Book" w:cs="Calibri"/>
          <w:bCs/>
        </w:rPr>
        <w:t xml:space="preserve">the Elaboration Likelihood Model of persuasion. </w:t>
      </w:r>
    </w:p>
    <w:p w:rsidR="00191790" w:rsidRDefault="00191790" w:rsidP="00191790">
      <w:pPr>
        <w:pStyle w:val="NormalWeb"/>
        <w:spacing w:line="480" w:lineRule="auto"/>
        <w:ind w:firstLine="720"/>
        <w:rPr>
          <w:rFonts w:ascii="Franklin Gothic Book" w:hAnsi="Franklin Gothic Book" w:cs="Calibri"/>
          <w:bCs/>
        </w:rPr>
      </w:pPr>
    </w:p>
    <w:p w:rsidR="00AB4620" w:rsidRDefault="00AB4620" w:rsidP="00C438A6">
      <w:pPr>
        <w:pStyle w:val="NormalWeb"/>
        <w:spacing w:line="480" w:lineRule="auto"/>
        <w:ind w:firstLine="720"/>
        <w:rPr>
          <w:rFonts w:ascii="Franklin Gothic Book" w:hAnsi="Franklin Gothic Book" w:cs="Calibri"/>
          <w:bCs/>
        </w:rPr>
      </w:pPr>
      <w:r>
        <w:rPr>
          <w:rFonts w:ascii="Franklin Gothic Book" w:hAnsi="Franklin Gothic Book" w:cs="Calibri"/>
          <w:bCs/>
        </w:rPr>
        <w:t xml:space="preserve">One contribution to the development of the Elaboration Likelihood Model would be the Yale Attitude Change approach. </w:t>
      </w:r>
      <w:r w:rsidR="00552F98">
        <w:rPr>
          <w:rFonts w:ascii="Franklin Gothic Book" w:hAnsi="Franklin Gothic Book" w:cs="Calibri"/>
          <w:bCs/>
        </w:rPr>
        <w:t xml:space="preserve">This approach is a study conducted to establish </w:t>
      </w:r>
      <w:r w:rsidR="007750E1">
        <w:rPr>
          <w:rFonts w:ascii="Franklin Gothic Book" w:hAnsi="Franklin Gothic Book" w:cs="Calibri"/>
          <w:bCs/>
        </w:rPr>
        <w:lastRenderedPageBreak/>
        <w:t>which individuals</w:t>
      </w:r>
      <w:r w:rsidR="00552F98">
        <w:rPr>
          <w:rFonts w:ascii="Franklin Gothic Book" w:hAnsi="Franklin Gothic Book" w:cs="Calibri"/>
          <w:bCs/>
        </w:rPr>
        <w:t xml:space="preserve"> are more likely to change their attitudes </w:t>
      </w:r>
      <w:r w:rsidR="00CE1549">
        <w:rPr>
          <w:rFonts w:ascii="Franklin Gothic Book" w:hAnsi="Franklin Gothic Book" w:cs="Calibri"/>
          <w:bCs/>
        </w:rPr>
        <w:t>in</w:t>
      </w:r>
      <w:r w:rsidR="00552F98">
        <w:rPr>
          <w:rFonts w:ascii="Franklin Gothic Book" w:hAnsi="Franklin Gothic Book" w:cs="Calibri"/>
          <w:bCs/>
        </w:rPr>
        <w:t xml:space="preserve"> response to persuasive messages (Hovland, Janis &amp; Kelley, 1953). </w:t>
      </w:r>
      <w:r w:rsidR="0045146A">
        <w:rPr>
          <w:rFonts w:ascii="Franklin Gothic Book" w:hAnsi="Franklin Gothic Book" w:cs="Calibri"/>
          <w:bCs/>
        </w:rPr>
        <w:t xml:space="preserve">They fundamental principles </w:t>
      </w:r>
      <w:r w:rsidR="00CF1964">
        <w:rPr>
          <w:rFonts w:ascii="Franklin Gothic Book" w:hAnsi="Franklin Gothic Book" w:cs="Calibri"/>
          <w:bCs/>
        </w:rPr>
        <w:t xml:space="preserve">of this approach can said to be </w:t>
      </w:r>
      <w:r w:rsidR="00A82862">
        <w:rPr>
          <w:rFonts w:ascii="Franklin Gothic Book" w:hAnsi="Franklin Gothic Book" w:cs="Calibri"/>
          <w:bCs/>
        </w:rPr>
        <w:t xml:space="preserve">the source of communication, the nature of the communication </w:t>
      </w:r>
      <w:r w:rsidR="00E82BE0">
        <w:rPr>
          <w:rFonts w:ascii="Franklin Gothic Book" w:hAnsi="Franklin Gothic Book" w:cs="Calibri"/>
          <w:bCs/>
        </w:rPr>
        <w:t xml:space="preserve">and the nature of the audience, with factors affecting each component of a persuasive </w:t>
      </w:r>
      <w:r w:rsidR="007750E1">
        <w:rPr>
          <w:rFonts w:ascii="Franklin Gothic Book" w:hAnsi="Franklin Gothic Book" w:cs="Calibri"/>
          <w:bCs/>
        </w:rPr>
        <w:t>message</w:t>
      </w:r>
      <w:r w:rsidR="00E82BE0">
        <w:rPr>
          <w:rFonts w:ascii="Franklin Gothic Book" w:hAnsi="Franklin Gothic Book" w:cs="Calibri"/>
          <w:bCs/>
        </w:rPr>
        <w:t xml:space="preserve">. </w:t>
      </w:r>
      <w:r w:rsidR="003E12F1">
        <w:rPr>
          <w:rFonts w:ascii="Franklin Gothic Book" w:hAnsi="Franklin Gothic Book" w:cs="Calibri"/>
          <w:bCs/>
        </w:rPr>
        <w:t>The source considered the creditability and attractiveness of the communicator; the nature considered the quality and sincerity of the communication itself; and the nature of the audience considered the</w:t>
      </w:r>
      <w:r w:rsidR="007750E1">
        <w:rPr>
          <w:rFonts w:ascii="Franklin Gothic Book" w:hAnsi="Franklin Gothic Book" w:cs="Calibri"/>
          <w:bCs/>
        </w:rPr>
        <w:t>ir</w:t>
      </w:r>
      <w:r w:rsidR="003E12F1">
        <w:rPr>
          <w:rFonts w:ascii="Franklin Gothic Book" w:hAnsi="Franklin Gothic Book" w:cs="Calibri"/>
          <w:bCs/>
        </w:rPr>
        <w:t xml:space="preserve"> demographics, such as age, gender and so on. The approach gave due consideration to how these factors can influence an audience’s willingness to undergo a change in attitude through the use of a persuasive communication. Petty and Cacioppo (1986) </w:t>
      </w:r>
      <w:r w:rsidR="00C438A6">
        <w:rPr>
          <w:rFonts w:ascii="Franklin Gothic Book" w:hAnsi="Franklin Gothic Book" w:cs="Calibri"/>
          <w:bCs/>
        </w:rPr>
        <w:t xml:space="preserve">believed that the nature of the communication should not appear to be designed to influence the audience, later allowing them to develop the Elaboration Likelihood Model of persuasion. </w:t>
      </w:r>
    </w:p>
    <w:p w:rsidR="00191790" w:rsidRDefault="00191790" w:rsidP="00C438A6">
      <w:pPr>
        <w:pStyle w:val="NormalWeb"/>
        <w:spacing w:line="480" w:lineRule="auto"/>
        <w:ind w:firstLine="720"/>
        <w:rPr>
          <w:rFonts w:ascii="Franklin Gothic Book" w:hAnsi="Franklin Gothic Book" w:cs="Calibri"/>
          <w:bCs/>
        </w:rPr>
      </w:pPr>
    </w:p>
    <w:p w:rsidR="00622095" w:rsidRDefault="00C438A6" w:rsidP="00622095">
      <w:pPr>
        <w:pStyle w:val="NormalWeb"/>
        <w:spacing w:line="480" w:lineRule="auto"/>
        <w:ind w:firstLine="720"/>
        <w:rPr>
          <w:rFonts w:ascii="Franklin Gothic Book" w:hAnsi="Franklin Gothic Book" w:cs="Calibri"/>
          <w:bCs/>
        </w:rPr>
      </w:pPr>
      <w:r>
        <w:rPr>
          <w:rFonts w:ascii="Franklin Gothic Book" w:hAnsi="Franklin Gothic Book" w:cs="Calibri"/>
          <w:bCs/>
        </w:rPr>
        <w:t>The Elaboration Likelihood Model was established by Petty and Cacioppo in 1986. This was a model of persuasion</w:t>
      </w:r>
      <w:r w:rsidR="002E4BB6">
        <w:rPr>
          <w:rFonts w:ascii="Franklin Gothic Book" w:hAnsi="Franklin Gothic Book" w:cs="Calibri"/>
          <w:bCs/>
        </w:rPr>
        <w:t xml:space="preserve"> designed</w:t>
      </w:r>
      <w:r>
        <w:rPr>
          <w:rFonts w:ascii="Franklin Gothic Book" w:hAnsi="Franklin Gothic Book" w:cs="Calibri"/>
          <w:bCs/>
        </w:rPr>
        <w:t xml:space="preserve"> to cause</w:t>
      </w:r>
      <w:r w:rsidR="00191790">
        <w:rPr>
          <w:rFonts w:ascii="Franklin Gothic Book" w:hAnsi="Franklin Gothic Book" w:cs="Calibri"/>
          <w:bCs/>
        </w:rPr>
        <w:t xml:space="preserve"> a change in attitude. T</w:t>
      </w:r>
      <w:r>
        <w:rPr>
          <w:rFonts w:ascii="Franklin Gothic Book" w:hAnsi="Franklin Gothic Book" w:cs="Calibri"/>
          <w:bCs/>
        </w:rPr>
        <w:t>here are two different paths of persuasion to follow</w:t>
      </w:r>
      <w:r w:rsidR="00191790">
        <w:rPr>
          <w:rFonts w:ascii="Franklin Gothic Book" w:hAnsi="Franklin Gothic Book" w:cs="Calibri"/>
          <w:bCs/>
        </w:rPr>
        <w:t xml:space="preserve">; </w:t>
      </w:r>
      <w:r>
        <w:rPr>
          <w:rFonts w:ascii="Franklin Gothic Book" w:hAnsi="Franklin Gothic Book" w:cs="Calibri"/>
          <w:bCs/>
        </w:rPr>
        <w:t xml:space="preserve">a central </w:t>
      </w:r>
      <w:r w:rsidR="0079102A">
        <w:rPr>
          <w:rFonts w:ascii="Franklin Gothic Book" w:hAnsi="Franklin Gothic Book" w:cs="Calibri"/>
          <w:bCs/>
        </w:rPr>
        <w:t xml:space="preserve">route </w:t>
      </w:r>
      <w:r>
        <w:rPr>
          <w:rFonts w:ascii="Franklin Gothic Book" w:hAnsi="Franklin Gothic Book" w:cs="Calibri"/>
          <w:bCs/>
        </w:rPr>
        <w:t xml:space="preserve">and a peripheral route. </w:t>
      </w:r>
      <w:r w:rsidR="00B257F7">
        <w:rPr>
          <w:rFonts w:ascii="Franklin Gothic Book" w:hAnsi="Franklin Gothic Book" w:cs="Calibri"/>
          <w:bCs/>
        </w:rPr>
        <w:t xml:space="preserve">The choice of persuasive pathway can depend on the likelihood of </w:t>
      </w:r>
      <w:r w:rsidR="0079102A">
        <w:rPr>
          <w:rFonts w:ascii="Franklin Gothic Book" w:hAnsi="Franklin Gothic Book" w:cs="Calibri"/>
          <w:bCs/>
        </w:rPr>
        <w:t xml:space="preserve">the individuals </w:t>
      </w:r>
      <w:r w:rsidR="007750E1">
        <w:rPr>
          <w:rFonts w:ascii="Franklin Gothic Book" w:hAnsi="Franklin Gothic Book" w:cs="Calibri"/>
          <w:bCs/>
        </w:rPr>
        <w:t xml:space="preserve">who are </w:t>
      </w:r>
      <w:r w:rsidR="0079102A">
        <w:rPr>
          <w:rFonts w:ascii="Franklin Gothic Book" w:hAnsi="Franklin Gothic Book" w:cs="Calibri"/>
          <w:bCs/>
        </w:rPr>
        <w:t>receiving the persuasive communications t</w:t>
      </w:r>
      <w:r w:rsidR="007750E1">
        <w:rPr>
          <w:rFonts w:ascii="Franklin Gothic Book" w:hAnsi="Franklin Gothic Book" w:cs="Calibri"/>
          <w:bCs/>
        </w:rPr>
        <w:t>o engage in cognitive efforts of</w:t>
      </w:r>
      <w:r w:rsidR="0079102A">
        <w:rPr>
          <w:rFonts w:ascii="Franklin Gothic Book" w:hAnsi="Franklin Gothic Book" w:cs="Calibri"/>
          <w:bCs/>
        </w:rPr>
        <w:t xml:space="preserve"> elaboration (Chandler &amp; </w:t>
      </w:r>
      <w:proofErr w:type="spellStart"/>
      <w:r w:rsidR="0079102A">
        <w:rPr>
          <w:rFonts w:ascii="Franklin Gothic Book" w:hAnsi="Franklin Gothic Book" w:cs="Calibri"/>
          <w:bCs/>
        </w:rPr>
        <w:t>Munday</w:t>
      </w:r>
      <w:proofErr w:type="spellEnd"/>
      <w:r w:rsidR="0079102A">
        <w:rPr>
          <w:rFonts w:ascii="Franklin Gothic Book" w:hAnsi="Franklin Gothic Book" w:cs="Calibri"/>
          <w:bCs/>
        </w:rPr>
        <w:t xml:space="preserve">, 2011). </w:t>
      </w:r>
      <w:r w:rsidR="00EC6BC3">
        <w:rPr>
          <w:rFonts w:ascii="Franklin Gothic Book" w:hAnsi="Franklin Gothic Book" w:cs="Calibri"/>
          <w:bCs/>
        </w:rPr>
        <w:t xml:space="preserve">The central route involves a effortful, thoughtful and cognitive elaboration, where the individual is able to carry out a concise evaluation of the information delivered through the message. Whereas, the peripheral route is perhaps considered a more automated </w:t>
      </w:r>
      <w:r w:rsidR="00704DFB">
        <w:rPr>
          <w:rFonts w:ascii="Franklin Gothic Book" w:hAnsi="Franklin Gothic Book" w:cs="Calibri"/>
          <w:bCs/>
        </w:rPr>
        <w:t>response that focuses on superficial heuristics, positions of authority, context etc. Th</w:t>
      </w:r>
      <w:r w:rsidR="00191790">
        <w:rPr>
          <w:rFonts w:ascii="Franklin Gothic Book" w:hAnsi="Franklin Gothic Book" w:cs="Calibri"/>
          <w:bCs/>
        </w:rPr>
        <w:t xml:space="preserve">is route is </w:t>
      </w:r>
      <w:r w:rsidR="00704DFB">
        <w:rPr>
          <w:rFonts w:ascii="Franklin Gothic Book" w:hAnsi="Franklin Gothic Book" w:cs="Calibri"/>
          <w:bCs/>
        </w:rPr>
        <w:t xml:space="preserve">less demanding </w:t>
      </w:r>
      <w:r w:rsidR="00191790">
        <w:rPr>
          <w:rFonts w:ascii="Franklin Gothic Book" w:hAnsi="Franklin Gothic Book" w:cs="Calibri"/>
          <w:bCs/>
        </w:rPr>
        <w:t xml:space="preserve">on an individual’s cognitive resources and can often be seen to deliver a feasible </w:t>
      </w:r>
      <w:r w:rsidR="0023373C">
        <w:rPr>
          <w:rFonts w:ascii="Franklin Gothic Book" w:hAnsi="Franklin Gothic Book" w:cs="Calibri"/>
          <w:bCs/>
        </w:rPr>
        <w:t xml:space="preserve">attitude in the majority of circumstances, without the cost of effortful cognitive processing. </w:t>
      </w:r>
      <w:r w:rsidR="00820181">
        <w:rPr>
          <w:rFonts w:ascii="Franklin Gothic Book" w:hAnsi="Franklin Gothic Book" w:cs="Calibri"/>
          <w:bCs/>
        </w:rPr>
        <w:t xml:space="preserve">It is </w:t>
      </w:r>
      <w:r w:rsidR="00622095">
        <w:rPr>
          <w:rFonts w:ascii="Franklin Gothic Book" w:hAnsi="Franklin Gothic Book" w:cs="Calibri"/>
          <w:bCs/>
        </w:rPr>
        <w:t>proposed</w:t>
      </w:r>
      <w:r w:rsidR="00820181">
        <w:rPr>
          <w:rFonts w:ascii="Franklin Gothic Book" w:hAnsi="Franklin Gothic Book" w:cs="Calibri"/>
          <w:bCs/>
        </w:rPr>
        <w:t xml:space="preserve"> </w:t>
      </w:r>
      <w:r w:rsidR="00622095">
        <w:rPr>
          <w:rFonts w:ascii="Franklin Gothic Book" w:hAnsi="Franklin Gothic Book" w:cs="Calibri"/>
          <w:bCs/>
        </w:rPr>
        <w:t xml:space="preserve">that </w:t>
      </w:r>
      <w:r w:rsidR="007750E1">
        <w:rPr>
          <w:rFonts w:ascii="Franklin Gothic Book" w:hAnsi="Franklin Gothic Book" w:cs="Calibri"/>
          <w:bCs/>
        </w:rPr>
        <w:t xml:space="preserve">a </w:t>
      </w:r>
      <w:r w:rsidR="007750E1">
        <w:rPr>
          <w:rFonts w:ascii="Franklin Gothic Book" w:hAnsi="Franklin Gothic Book" w:cs="Calibri"/>
          <w:bCs/>
        </w:rPr>
        <w:lastRenderedPageBreak/>
        <w:t xml:space="preserve">change in </w:t>
      </w:r>
      <w:proofErr w:type="spellStart"/>
      <w:r w:rsidR="007750E1">
        <w:rPr>
          <w:rFonts w:ascii="Franklin Gothic Book" w:hAnsi="Franklin Gothic Book" w:cs="Calibri"/>
          <w:bCs/>
        </w:rPr>
        <w:t>attitufe</w:t>
      </w:r>
      <w:proofErr w:type="spellEnd"/>
      <w:r w:rsidR="00622095">
        <w:rPr>
          <w:rFonts w:ascii="Franklin Gothic Book" w:hAnsi="Franklin Gothic Book" w:cs="Calibri"/>
          <w:bCs/>
        </w:rPr>
        <w:t xml:space="preserve"> can be always understood through either one of these routes to persuasion (Cacioppo &amp; Petty, 1981).</w:t>
      </w:r>
    </w:p>
    <w:p w:rsidR="00622095" w:rsidRDefault="00622095" w:rsidP="00622095">
      <w:pPr>
        <w:pStyle w:val="NormalWeb"/>
        <w:spacing w:line="480" w:lineRule="auto"/>
        <w:ind w:firstLine="720"/>
        <w:rPr>
          <w:rFonts w:ascii="Franklin Gothic Book" w:hAnsi="Franklin Gothic Book" w:cs="Calibri"/>
          <w:bCs/>
        </w:rPr>
      </w:pPr>
    </w:p>
    <w:p w:rsidR="00EC6BC3" w:rsidRDefault="00236F28" w:rsidP="006E0AE3">
      <w:pPr>
        <w:pStyle w:val="NormalWeb"/>
        <w:spacing w:line="480" w:lineRule="auto"/>
        <w:ind w:firstLine="720"/>
        <w:rPr>
          <w:rFonts w:ascii="Franklin Gothic Book" w:hAnsi="Franklin Gothic Book" w:cs="Calibri"/>
          <w:bCs/>
        </w:rPr>
      </w:pPr>
      <w:r>
        <w:rPr>
          <w:rFonts w:ascii="Franklin Gothic Book" w:hAnsi="Franklin Gothic Book" w:cs="Calibri"/>
          <w:bCs/>
        </w:rPr>
        <w:t>It is suggested by the model that various attitudes could be seen to influence the likelihood of the attitude itself when preforming in a specific role, at a given level of elaboration (Baumeister &amp; Finkel, 2010). For example, low elaboration likelihood can be demonstrated when an individual experiences a shortfall in motivation or the ability to thoroughly contemplate a persuasive communication. In this case, premessage attitud</w:t>
      </w:r>
      <w:r w:rsidR="00F628DD">
        <w:rPr>
          <w:rFonts w:ascii="Franklin Gothic Book" w:hAnsi="Franklin Gothic Book" w:cs="Calibri"/>
          <w:bCs/>
        </w:rPr>
        <w:t>es can act as peripheral cues to gage</w:t>
      </w:r>
      <w:r>
        <w:rPr>
          <w:rFonts w:ascii="Franklin Gothic Book" w:hAnsi="Franklin Gothic Book" w:cs="Calibri"/>
          <w:bCs/>
        </w:rPr>
        <w:t xml:space="preserve"> whether the communication should be accepted or rejected. </w:t>
      </w:r>
      <w:r w:rsidR="00EC6BC3">
        <w:rPr>
          <w:rFonts w:ascii="Franklin Gothic Book" w:hAnsi="Franklin Gothic Book" w:cs="Calibri"/>
          <w:bCs/>
        </w:rPr>
        <w:t xml:space="preserve">In comparison, high elaboration likelihood is demonstrated when a person possesses both the ability and </w:t>
      </w:r>
      <w:r w:rsidR="00F628DD">
        <w:rPr>
          <w:rFonts w:ascii="Franklin Gothic Book" w:hAnsi="Franklin Gothic Book" w:cs="Calibri"/>
          <w:bCs/>
        </w:rPr>
        <w:t>motivation to carefully contemplate how they are able to</w:t>
      </w:r>
      <w:r w:rsidR="00EC6BC3">
        <w:rPr>
          <w:rFonts w:ascii="Franklin Gothic Book" w:hAnsi="Franklin Gothic Book" w:cs="Calibri"/>
          <w:bCs/>
        </w:rPr>
        <w:t xml:space="preserve"> benefit from a persuasive appeal. In this instance, premessage attitudes can allow for a bias evaluation of the message conveyed to take plac</w:t>
      </w:r>
      <w:r w:rsidR="006E0AE3">
        <w:rPr>
          <w:rFonts w:ascii="Franklin Gothic Book" w:hAnsi="Franklin Gothic Book" w:cs="Calibri"/>
          <w:bCs/>
        </w:rPr>
        <w:t xml:space="preserve">e (Fabrigar et al., 2002). </w:t>
      </w:r>
      <w:r w:rsidR="00622095">
        <w:rPr>
          <w:rFonts w:ascii="Franklin Gothic Book" w:hAnsi="Franklin Gothic Book" w:cs="Calibri"/>
          <w:bCs/>
        </w:rPr>
        <w:t>Furthermore, when elaboration likelihood is moderate, ra</w:t>
      </w:r>
      <w:r w:rsidR="00BC469A">
        <w:rPr>
          <w:rFonts w:ascii="Franklin Gothic Book" w:hAnsi="Franklin Gothic Book" w:cs="Calibri"/>
          <w:bCs/>
        </w:rPr>
        <w:t>ther than low or</w:t>
      </w:r>
      <w:r w:rsidR="00622095">
        <w:rPr>
          <w:rFonts w:ascii="Franklin Gothic Book" w:hAnsi="Franklin Gothic Book" w:cs="Calibri"/>
          <w:bCs/>
        </w:rPr>
        <w:t xml:space="preserve"> high, individuals are able to use source factors in order to establish how they should process the message received. For example, when the </w:t>
      </w:r>
      <w:r w:rsidR="00DA34D2">
        <w:rPr>
          <w:rFonts w:ascii="Franklin Gothic Book" w:hAnsi="Franklin Gothic Book" w:cs="Calibri"/>
          <w:bCs/>
        </w:rPr>
        <w:t xml:space="preserve">content of the </w:t>
      </w:r>
      <w:r w:rsidR="00622095">
        <w:rPr>
          <w:rFonts w:ascii="Franklin Gothic Book" w:hAnsi="Franklin Gothic Book" w:cs="Calibri"/>
          <w:bCs/>
        </w:rPr>
        <w:t xml:space="preserve">message received </w:t>
      </w:r>
      <w:r w:rsidR="00DA34D2">
        <w:rPr>
          <w:rFonts w:ascii="Franklin Gothic Book" w:hAnsi="Franklin Gothic Book" w:cs="Calibri"/>
          <w:bCs/>
        </w:rPr>
        <w:t>is of high personal importance, a person can understand if they need to carefully evaluate the merits of the presented arguments. Likewise, if an individual receives a message that is concerning a topic of low personal importance, they are able to recognise that the message doesn’t require effortful thought process</w:t>
      </w:r>
      <w:r w:rsidR="006E0AE3">
        <w:rPr>
          <w:rFonts w:ascii="Franklin Gothic Book" w:hAnsi="Franklin Gothic Book" w:cs="Calibri"/>
          <w:bCs/>
        </w:rPr>
        <w:t>es</w:t>
      </w:r>
      <w:r w:rsidR="00DA34D2">
        <w:rPr>
          <w:rFonts w:ascii="Franklin Gothic Book" w:hAnsi="Franklin Gothic Book" w:cs="Calibri"/>
          <w:bCs/>
        </w:rPr>
        <w:t xml:space="preserve"> and </w:t>
      </w:r>
      <w:r w:rsidR="006E0AE3">
        <w:rPr>
          <w:rFonts w:ascii="Franklin Gothic Book" w:hAnsi="Franklin Gothic Book" w:cs="Calibri"/>
          <w:bCs/>
        </w:rPr>
        <w:t>are able to find</w:t>
      </w:r>
      <w:r w:rsidR="00DA34D2">
        <w:rPr>
          <w:rFonts w:ascii="Franklin Gothic Book" w:hAnsi="Franklin Gothic Book" w:cs="Calibri"/>
          <w:bCs/>
        </w:rPr>
        <w:t xml:space="preserve"> simpler way</w:t>
      </w:r>
      <w:r w:rsidR="006E0AE3">
        <w:rPr>
          <w:rFonts w:ascii="Franklin Gothic Book" w:hAnsi="Franklin Gothic Book" w:cs="Calibri"/>
          <w:bCs/>
        </w:rPr>
        <w:t xml:space="preserve"> to process the message,</w:t>
      </w:r>
      <w:r w:rsidR="00DA34D2">
        <w:rPr>
          <w:rFonts w:ascii="Franklin Gothic Book" w:hAnsi="Franklin Gothic Book" w:cs="Calibri"/>
          <w:bCs/>
        </w:rPr>
        <w:t xml:space="preserve"> if an evaluation is in fact required</w:t>
      </w:r>
      <w:r w:rsidR="006E0AE3">
        <w:rPr>
          <w:rFonts w:ascii="Franklin Gothic Book" w:hAnsi="Franklin Gothic Book" w:cs="Calibri"/>
          <w:bCs/>
        </w:rPr>
        <w:t xml:space="preserve"> (Petty &amp; Cacioppo, 1984)</w:t>
      </w:r>
      <w:r w:rsidR="00DA34D2">
        <w:rPr>
          <w:rFonts w:ascii="Franklin Gothic Book" w:hAnsi="Franklin Gothic Book" w:cs="Calibri"/>
          <w:bCs/>
        </w:rPr>
        <w:t xml:space="preserve">.  </w:t>
      </w:r>
    </w:p>
    <w:p w:rsidR="006E0AE3" w:rsidRDefault="006E0AE3" w:rsidP="006E0AE3">
      <w:pPr>
        <w:pStyle w:val="NormalWeb"/>
        <w:spacing w:line="480" w:lineRule="auto"/>
        <w:ind w:firstLine="720"/>
        <w:rPr>
          <w:rFonts w:ascii="Franklin Gothic Book" w:hAnsi="Franklin Gothic Book" w:cs="Calibri"/>
          <w:bCs/>
        </w:rPr>
      </w:pPr>
    </w:p>
    <w:p w:rsidR="006C3477" w:rsidRDefault="00A71C43" w:rsidP="006E0AE3">
      <w:pPr>
        <w:pStyle w:val="NormalWeb"/>
        <w:spacing w:line="480" w:lineRule="auto"/>
        <w:ind w:firstLine="720"/>
        <w:rPr>
          <w:rFonts w:ascii="Franklin Gothic Book" w:hAnsi="Franklin Gothic Book" w:cs="Calibri"/>
          <w:bCs/>
        </w:rPr>
      </w:pPr>
      <w:r>
        <w:rPr>
          <w:rFonts w:ascii="Franklin Gothic Book" w:hAnsi="Franklin Gothic Book" w:cs="Calibri"/>
          <w:bCs/>
        </w:rPr>
        <w:t xml:space="preserve">The Elaboration Likelihood Model is deemed a powerful theory of persuasion. This model works to understand that audiences are able to consider the arguments displayed </w:t>
      </w:r>
      <w:r>
        <w:rPr>
          <w:rFonts w:ascii="Franklin Gothic Book" w:hAnsi="Franklin Gothic Book" w:cs="Calibri"/>
          <w:bCs/>
        </w:rPr>
        <w:lastRenderedPageBreak/>
        <w:t xml:space="preserve">in messages. </w:t>
      </w:r>
      <w:r w:rsidR="006C3477">
        <w:rPr>
          <w:rFonts w:ascii="Franklin Gothic Book" w:hAnsi="Franklin Gothic Book" w:cs="Calibri"/>
          <w:bCs/>
        </w:rPr>
        <w:t xml:space="preserve">On the other hand, the model also recognises how sometimes receivers of information can be passive, being persuaded by the peripheral route rather than the central route. Cleverly, the model is able to identify two conditions in which are able to differentiate which type of processing the audience is carrying out. This model has established several factors that are able to influence the thought an feelings an audience has about the information they are being fed. For example, whether listeners are engaging with the information, the quality and quantity of the arguments displayed and the credibility of the source. Therefore, the conceptually of this model is deemed an excellent theory of persuasion and is adopted by many in the world of media. </w:t>
      </w:r>
    </w:p>
    <w:p w:rsidR="006E0AE3" w:rsidRDefault="006E0AE3" w:rsidP="006E0AE3">
      <w:pPr>
        <w:pStyle w:val="NormalWeb"/>
        <w:spacing w:line="480" w:lineRule="auto"/>
        <w:ind w:firstLine="720"/>
        <w:rPr>
          <w:rFonts w:ascii="Franklin Gothic Book" w:hAnsi="Franklin Gothic Book" w:cs="Calibri"/>
          <w:bCs/>
        </w:rPr>
      </w:pPr>
      <w:r>
        <w:rPr>
          <w:rFonts w:ascii="Franklin Gothic Book" w:hAnsi="Franklin Gothic Book" w:cs="Calibri"/>
          <w:bCs/>
        </w:rPr>
        <w:t xml:space="preserve">Despite the usefulness of the Elaboration Likelihood Model as a framework for understanding the role of persuasion in attitude changes, there are limitations to the study. </w:t>
      </w:r>
      <w:r w:rsidR="00BC469A">
        <w:rPr>
          <w:rFonts w:ascii="Franklin Gothic Book" w:hAnsi="Franklin Gothic Book" w:cs="Calibri"/>
          <w:bCs/>
        </w:rPr>
        <w:t>One limitation of the study would be the poor classification of objective cues. People who look to persuade and influence</w:t>
      </w:r>
      <w:r w:rsidR="00B401AD">
        <w:rPr>
          <w:rFonts w:ascii="Franklin Gothic Book" w:hAnsi="Franklin Gothic Book" w:cs="Calibri"/>
          <w:bCs/>
        </w:rPr>
        <w:t xml:space="preserve"> individuals, such as marketers, control objective cues as a way of communication. If the model was able to predict which cues (either peripheral cues or central cues) would be processed under which circumstances, it would enable the effectiveness of communication to greatly improve. </w:t>
      </w:r>
      <w:r w:rsidR="008E4AF9">
        <w:rPr>
          <w:rFonts w:ascii="Franklin Gothic Book" w:hAnsi="Franklin Gothic Book" w:cs="Calibri"/>
          <w:bCs/>
        </w:rPr>
        <w:t>Currently, the Elaboration Likelihood Model is</w:t>
      </w:r>
      <w:r w:rsidR="00F47413">
        <w:rPr>
          <w:rFonts w:ascii="Franklin Gothic Book" w:hAnsi="Franklin Gothic Book" w:cs="Calibri"/>
          <w:bCs/>
        </w:rPr>
        <w:t xml:space="preserve"> able to describe the process</w:t>
      </w:r>
      <w:r w:rsidR="008E4AF9">
        <w:rPr>
          <w:rFonts w:ascii="Franklin Gothic Book" w:hAnsi="Franklin Gothic Book" w:cs="Calibri"/>
          <w:bCs/>
        </w:rPr>
        <w:t xml:space="preserve"> which results from an individual experiencing a motivational state; however, it can</w:t>
      </w:r>
      <w:r w:rsidR="00A71C43">
        <w:rPr>
          <w:rFonts w:ascii="Franklin Gothic Book" w:hAnsi="Franklin Gothic Book" w:cs="Calibri"/>
          <w:bCs/>
        </w:rPr>
        <w:t>not</w:t>
      </w:r>
      <w:r w:rsidR="008E4AF9">
        <w:rPr>
          <w:rFonts w:ascii="Franklin Gothic Book" w:hAnsi="Franklin Gothic Book" w:cs="Calibri"/>
          <w:bCs/>
        </w:rPr>
        <w:t xml:space="preserve"> predict the state itself. For example, one </w:t>
      </w:r>
      <w:r w:rsidR="00A71C43">
        <w:rPr>
          <w:rFonts w:ascii="Franklin Gothic Book" w:hAnsi="Franklin Gothic Book" w:cs="Calibri"/>
          <w:bCs/>
        </w:rPr>
        <w:t>individual could be motivated to process relevant information centrally, whereas another person may feel less motivated and will process the background information peripherally. Further still, a third individual may be motivated to process the background information centrally (</w:t>
      </w:r>
      <w:proofErr w:type="spellStart"/>
      <w:r w:rsidR="00A71C43">
        <w:rPr>
          <w:rFonts w:ascii="Franklin Gothic Book" w:hAnsi="Franklin Gothic Book" w:cs="Calibri"/>
          <w:bCs/>
        </w:rPr>
        <w:t>Bitner</w:t>
      </w:r>
      <w:proofErr w:type="spellEnd"/>
      <w:r w:rsidR="00A71C43">
        <w:rPr>
          <w:rFonts w:ascii="Franklin Gothic Book" w:hAnsi="Franklin Gothic Book" w:cs="Calibri"/>
          <w:bCs/>
        </w:rPr>
        <w:t xml:space="preserve"> &amp; </w:t>
      </w:r>
      <w:proofErr w:type="spellStart"/>
      <w:r w:rsidR="00A71C43">
        <w:rPr>
          <w:rFonts w:ascii="Franklin Gothic Book" w:hAnsi="Franklin Gothic Book" w:cs="Calibri"/>
          <w:bCs/>
        </w:rPr>
        <w:t>Obermiller</w:t>
      </w:r>
      <w:proofErr w:type="spellEnd"/>
      <w:r w:rsidR="00A71C43">
        <w:rPr>
          <w:rFonts w:ascii="Franklin Gothic Book" w:hAnsi="Franklin Gothic Book" w:cs="Calibri"/>
          <w:bCs/>
        </w:rPr>
        <w:t xml:space="preserve">, 1984). </w:t>
      </w:r>
      <w:r w:rsidR="006C3477">
        <w:rPr>
          <w:rFonts w:ascii="Franklin Gothic Book" w:hAnsi="Franklin Gothic Book" w:cs="Calibri"/>
          <w:bCs/>
        </w:rPr>
        <w:t xml:space="preserve">This demonstrated how further research could be conducted in this area to determine how an individual is motivated and work to classify the objective cues. </w:t>
      </w:r>
    </w:p>
    <w:p w:rsidR="006C3477" w:rsidRDefault="006C3477" w:rsidP="006E0AE3">
      <w:pPr>
        <w:pStyle w:val="NormalWeb"/>
        <w:spacing w:line="480" w:lineRule="auto"/>
        <w:ind w:firstLine="720"/>
        <w:rPr>
          <w:rFonts w:ascii="Franklin Gothic Book" w:hAnsi="Franklin Gothic Book" w:cs="Calibri"/>
          <w:bCs/>
        </w:rPr>
      </w:pPr>
    </w:p>
    <w:p w:rsidR="006C3477" w:rsidRDefault="006C3477" w:rsidP="006E0AE3">
      <w:pPr>
        <w:pStyle w:val="NormalWeb"/>
        <w:spacing w:line="480" w:lineRule="auto"/>
        <w:ind w:firstLine="720"/>
        <w:rPr>
          <w:rFonts w:ascii="Franklin Gothic Book" w:hAnsi="Franklin Gothic Book" w:cs="Calibri"/>
          <w:bCs/>
        </w:rPr>
      </w:pPr>
      <w:r>
        <w:rPr>
          <w:rFonts w:ascii="Franklin Gothic Book" w:hAnsi="Franklin Gothic Book" w:cs="Calibri"/>
          <w:bCs/>
        </w:rPr>
        <w:lastRenderedPageBreak/>
        <w:t xml:space="preserve">To conclude, the Elaboration Likelihood Model </w:t>
      </w:r>
      <w:r w:rsidR="00102BDD">
        <w:rPr>
          <w:rFonts w:ascii="Franklin Gothic Book" w:hAnsi="Franklin Gothic Book" w:cs="Calibri"/>
          <w:bCs/>
        </w:rPr>
        <w:t xml:space="preserve">demonstrates a useful insight into how this model has both influenced and explained how attitudes can undergo change and how individuals are best able to be persuaded. It is clear that the work of Petty and Cacioppo has laid the foundations for the explanation of the individual experiences feelings of motivation, and which routes are followed to engage. Further research could be conducted that could look to address the issue of classification of the two different objective cues. Such research would further strengthen the model, and allow for it to be adopted into many other areas of work and further afield as a crucial theory of persuasion. </w:t>
      </w:r>
    </w:p>
    <w:p w:rsidR="00A71C43" w:rsidRDefault="00A71C43" w:rsidP="006E0AE3">
      <w:pPr>
        <w:pStyle w:val="NormalWeb"/>
        <w:spacing w:line="480" w:lineRule="auto"/>
        <w:ind w:firstLine="720"/>
        <w:rPr>
          <w:rFonts w:ascii="Franklin Gothic Book" w:hAnsi="Franklin Gothic Book" w:cs="Calibri"/>
          <w:bCs/>
        </w:rPr>
      </w:pPr>
    </w:p>
    <w:p w:rsidR="00622095" w:rsidRDefault="00622095" w:rsidP="00EC6BC3">
      <w:pPr>
        <w:pStyle w:val="NormalWeb"/>
        <w:spacing w:line="480" w:lineRule="auto"/>
        <w:ind w:firstLine="720"/>
        <w:rPr>
          <w:rFonts w:ascii="Franklin Gothic Book" w:hAnsi="Franklin Gothic Book" w:cs="Calibri"/>
          <w:bCs/>
        </w:rPr>
      </w:pPr>
    </w:p>
    <w:p w:rsidR="00622095" w:rsidRDefault="00622095" w:rsidP="00EC6BC3">
      <w:pPr>
        <w:pStyle w:val="NormalWeb"/>
        <w:spacing w:line="480" w:lineRule="auto"/>
        <w:ind w:firstLine="720"/>
        <w:rPr>
          <w:rFonts w:ascii="Franklin Gothic Book" w:hAnsi="Franklin Gothic Book" w:cs="Calibri"/>
          <w:bCs/>
        </w:rPr>
      </w:pPr>
    </w:p>
    <w:p w:rsidR="00C438A6" w:rsidRPr="003C4647" w:rsidRDefault="00C438A6" w:rsidP="00552F98">
      <w:pPr>
        <w:pStyle w:val="NormalWeb"/>
        <w:spacing w:line="480" w:lineRule="auto"/>
        <w:rPr>
          <w:rFonts w:ascii="Franklin Gothic Book" w:hAnsi="Franklin Gothic Book" w:cs="Calibri"/>
          <w:bCs/>
        </w:rPr>
      </w:pPr>
    </w:p>
    <w:p w:rsidR="00B833F7" w:rsidRDefault="00B833F7" w:rsidP="00552F98">
      <w:pPr>
        <w:pStyle w:val="NormalWeb"/>
        <w:spacing w:line="480" w:lineRule="auto"/>
        <w:rPr>
          <w:rFonts w:ascii="Franklin Gothic Book" w:hAnsi="Franklin Gothic Book" w:cs="Calibri"/>
          <w:b/>
          <w:bCs/>
        </w:rPr>
      </w:pPr>
    </w:p>
    <w:p w:rsidR="00B833F7" w:rsidRPr="00B833F7" w:rsidRDefault="00B833F7" w:rsidP="003C4647">
      <w:pPr>
        <w:pStyle w:val="NormalWeb"/>
        <w:spacing w:line="360" w:lineRule="auto"/>
        <w:rPr>
          <w:rFonts w:ascii="Franklin Gothic Book" w:hAnsi="Franklin Gothic Book"/>
        </w:rPr>
      </w:pPr>
      <w:r w:rsidRPr="00B833F7">
        <w:rPr>
          <w:rFonts w:ascii="Franklin Gothic Book" w:hAnsi="Franklin Gothic Book" w:cs="Calibri"/>
          <w:b/>
          <w:bCs/>
        </w:rPr>
        <w:t xml:space="preserve"> </w:t>
      </w: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102BDD" w:rsidRDefault="00102BDD" w:rsidP="003C4647">
      <w:pPr>
        <w:spacing w:line="360" w:lineRule="auto"/>
        <w:rPr>
          <w:rFonts w:ascii="Franklin Gothic Book" w:hAnsi="Franklin Gothic Book"/>
        </w:rPr>
      </w:pPr>
    </w:p>
    <w:p w:rsidR="002D4E28" w:rsidRDefault="002D4E28" w:rsidP="00102BDD">
      <w:pPr>
        <w:spacing w:line="480" w:lineRule="auto"/>
        <w:rPr>
          <w:rFonts w:ascii="Franklin Gothic Book" w:hAnsi="Franklin Gothic Book"/>
        </w:rPr>
      </w:pPr>
    </w:p>
    <w:p w:rsidR="00FE1F31" w:rsidRPr="002D4E28" w:rsidRDefault="00191790" w:rsidP="00102BDD">
      <w:pPr>
        <w:spacing w:line="480" w:lineRule="auto"/>
        <w:rPr>
          <w:rFonts w:ascii="Franklin Gothic Book" w:hAnsi="Franklin Gothic Book"/>
          <w:b/>
        </w:rPr>
      </w:pPr>
      <w:bookmarkStart w:id="0" w:name="_GoBack"/>
      <w:r w:rsidRPr="002D4E28">
        <w:rPr>
          <w:rFonts w:ascii="Franklin Gothic Book" w:hAnsi="Franklin Gothic Book"/>
          <w:b/>
        </w:rPr>
        <w:lastRenderedPageBreak/>
        <w:t xml:space="preserve">References </w:t>
      </w:r>
    </w:p>
    <w:bookmarkEnd w:id="0"/>
    <w:p w:rsidR="00102BDD" w:rsidRPr="00102BDD" w:rsidRDefault="00102BDD" w:rsidP="00102BDD">
      <w:pPr>
        <w:spacing w:line="480" w:lineRule="auto"/>
        <w:rPr>
          <w:rFonts w:ascii="Franklin Gothic Book" w:hAnsi="Franklin Gothic Book"/>
        </w:rPr>
      </w:pPr>
    </w:p>
    <w:p w:rsidR="00191790" w:rsidRPr="00102BDD" w:rsidRDefault="0079102A" w:rsidP="00102BDD">
      <w:pPr>
        <w:rPr>
          <w:rFonts w:ascii="Franklin Gothic Book" w:hAnsi="Franklin Gothic Book"/>
        </w:rPr>
      </w:pPr>
      <w:r w:rsidRPr="00102BDD">
        <w:rPr>
          <w:rFonts w:ascii="Franklin Gothic Book" w:hAnsi="Franklin Gothic Book" w:cs="Arial"/>
          <w:color w:val="222222"/>
          <w:shd w:val="clear" w:color="auto" w:fill="FFFFFF"/>
        </w:rPr>
        <w:t>Anderson, N. H. (1971). Integration theory and attitude change.</w:t>
      </w:r>
      <w:r w:rsidRPr="00102BDD">
        <w:rPr>
          <w:rStyle w:val="apple-converted-space"/>
          <w:rFonts w:ascii="Franklin Gothic Book" w:hAnsi="Franklin Gothic Book" w:cs="Arial"/>
          <w:color w:val="222222"/>
          <w:shd w:val="clear" w:color="auto" w:fill="FFFFFF"/>
        </w:rPr>
        <w:t> </w:t>
      </w:r>
      <w:r w:rsidRPr="00102BDD">
        <w:rPr>
          <w:rFonts w:ascii="Franklin Gothic Book" w:hAnsi="Franklin Gothic Book" w:cs="Arial"/>
          <w:i/>
          <w:iCs/>
          <w:color w:val="222222"/>
        </w:rPr>
        <w:t>Psychological review</w:t>
      </w:r>
      <w:r w:rsidRPr="00102BDD">
        <w:rPr>
          <w:rFonts w:ascii="Franklin Gothic Book" w:hAnsi="Franklin Gothic Book" w:cs="Arial"/>
          <w:color w:val="222222"/>
          <w:shd w:val="clear" w:color="auto" w:fill="FFFFFF"/>
        </w:rPr>
        <w:t>,</w:t>
      </w:r>
      <w:r w:rsidRPr="00102BDD">
        <w:rPr>
          <w:rStyle w:val="apple-converted-space"/>
          <w:rFonts w:ascii="Franklin Gothic Book" w:hAnsi="Franklin Gothic Book" w:cs="Arial"/>
          <w:color w:val="222222"/>
          <w:shd w:val="clear" w:color="auto" w:fill="FFFFFF"/>
        </w:rPr>
        <w:t> </w:t>
      </w:r>
      <w:r w:rsidRPr="00102BDD">
        <w:rPr>
          <w:rFonts w:ascii="Franklin Gothic Book" w:hAnsi="Franklin Gothic Book" w:cs="Arial"/>
          <w:i/>
          <w:iCs/>
          <w:color w:val="222222"/>
        </w:rPr>
        <w:t>78</w:t>
      </w:r>
      <w:r w:rsidRPr="00102BDD">
        <w:rPr>
          <w:rFonts w:ascii="Franklin Gothic Book" w:hAnsi="Franklin Gothic Book" w:cs="Arial"/>
          <w:color w:val="222222"/>
          <w:shd w:val="clear" w:color="auto" w:fill="FFFFFF"/>
        </w:rPr>
        <w:t>(3), 171.</w:t>
      </w:r>
    </w:p>
    <w:p w:rsidR="0079102A" w:rsidRPr="00102BDD" w:rsidRDefault="0079102A" w:rsidP="00102BDD">
      <w:pPr>
        <w:spacing w:line="480" w:lineRule="auto"/>
        <w:rPr>
          <w:rFonts w:ascii="Franklin Gothic Book" w:hAnsi="Franklin Gothic Book"/>
        </w:rPr>
      </w:pPr>
    </w:p>
    <w:p w:rsidR="00191790" w:rsidRPr="00102BDD" w:rsidRDefault="00191790" w:rsidP="00102BDD">
      <w:pPr>
        <w:rPr>
          <w:rFonts w:ascii="Franklin Gothic Book" w:hAnsi="Franklin Gothic Book" w:cs="Arial"/>
          <w:color w:val="222222"/>
          <w:shd w:val="clear" w:color="auto" w:fill="FFFFFF"/>
        </w:rPr>
      </w:pPr>
      <w:r w:rsidRPr="00102BDD">
        <w:rPr>
          <w:rFonts w:ascii="Franklin Gothic Book" w:hAnsi="Franklin Gothic Book" w:cs="Arial"/>
          <w:color w:val="222222"/>
          <w:shd w:val="clear" w:color="auto" w:fill="FFFFFF"/>
        </w:rPr>
        <w:t>Baumeister, R. F., &amp; Finkel, E. J. (Eds.). (2010). </w:t>
      </w:r>
      <w:r w:rsidRPr="00102BDD">
        <w:rPr>
          <w:rFonts w:ascii="Franklin Gothic Book" w:hAnsi="Franklin Gothic Book" w:cs="Arial"/>
          <w:i/>
          <w:iCs/>
          <w:color w:val="222222"/>
        </w:rPr>
        <w:t>Advanced social psychology: The state of the science</w:t>
      </w:r>
      <w:r w:rsidRPr="00102BDD">
        <w:rPr>
          <w:rFonts w:ascii="Franklin Gothic Book" w:hAnsi="Franklin Gothic Book" w:cs="Arial"/>
          <w:color w:val="222222"/>
          <w:shd w:val="clear" w:color="auto" w:fill="FFFFFF"/>
        </w:rPr>
        <w:t>. OUP USA.</w:t>
      </w:r>
    </w:p>
    <w:p w:rsidR="0079102A" w:rsidRDefault="0079102A" w:rsidP="00102BDD">
      <w:pPr>
        <w:spacing w:line="480" w:lineRule="auto"/>
        <w:rPr>
          <w:rFonts w:ascii="Franklin Gothic Book" w:hAnsi="Franklin Gothic Book" w:cs="Arial"/>
          <w:color w:val="222222"/>
          <w:shd w:val="clear" w:color="auto" w:fill="FFFFFF"/>
        </w:rPr>
      </w:pPr>
    </w:p>
    <w:p w:rsidR="00102BDD" w:rsidRPr="00102BDD" w:rsidRDefault="00102BDD" w:rsidP="00102BDD">
      <w:pPr>
        <w:rPr>
          <w:rFonts w:ascii="Franklin Gothic Book" w:hAnsi="Franklin Gothic Book"/>
        </w:rPr>
      </w:pPr>
      <w:proofErr w:type="spellStart"/>
      <w:r w:rsidRPr="00102BDD">
        <w:rPr>
          <w:rFonts w:ascii="Franklin Gothic Book" w:hAnsi="Franklin Gothic Book" w:cs="Arial"/>
          <w:color w:val="222222"/>
          <w:shd w:val="clear" w:color="auto" w:fill="FFFFFF"/>
        </w:rPr>
        <w:t>Bitner</w:t>
      </w:r>
      <w:proofErr w:type="spellEnd"/>
      <w:r w:rsidRPr="00102BDD">
        <w:rPr>
          <w:rFonts w:ascii="Franklin Gothic Book" w:hAnsi="Franklin Gothic Book" w:cs="Arial"/>
          <w:color w:val="222222"/>
          <w:shd w:val="clear" w:color="auto" w:fill="FFFFFF"/>
        </w:rPr>
        <w:t xml:space="preserve">, M. J., &amp; </w:t>
      </w:r>
      <w:proofErr w:type="spellStart"/>
      <w:r w:rsidRPr="00102BDD">
        <w:rPr>
          <w:rFonts w:ascii="Franklin Gothic Book" w:hAnsi="Franklin Gothic Book" w:cs="Arial"/>
          <w:color w:val="222222"/>
          <w:shd w:val="clear" w:color="auto" w:fill="FFFFFF"/>
        </w:rPr>
        <w:t>Obermiller</w:t>
      </w:r>
      <w:proofErr w:type="spellEnd"/>
      <w:r w:rsidRPr="00102BDD">
        <w:rPr>
          <w:rFonts w:ascii="Franklin Gothic Book" w:hAnsi="Franklin Gothic Book" w:cs="Arial"/>
          <w:color w:val="222222"/>
          <w:shd w:val="clear" w:color="auto" w:fill="FFFFFF"/>
        </w:rPr>
        <w:t>, C. (1985). The elaboration likelihood model: Limitations and extensions in marketing. </w:t>
      </w:r>
      <w:r w:rsidRPr="00102BDD">
        <w:rPr>
          <w:rFonts w:ascii="Franklin Gothic Book" w:hAnsi="Franklin Gothic Book" w:cs="Arial"/>
          <w:i/>
          <w:iCs/>
          <w:color w:val="222222"/>
        </w:rPr>
        <w:t>ACR North American Advances</w:t>
      </w:r>
      <w:r w:rsidRPr="00102BDD">
        <w:rPr>
          <w:rFonts w:ascii="Franklin Gothic Book" w:hAnsi="Franklin Gothic Book" w:cs="Arial"/>
          <w:color w:val="222222"/>
          <w:shd w:val="clear" w:color="auto" w:fill="FFFFFF"/>
        </w:rPr>
        <w:t>.</w:t>
      </w:r>
    </w:p>
    <w:p w:rsidR="00102BDD" w:rsidRDefault="00102BDD" w:rsidP="00102BDD">
      <w:pPr>
        <w:spacing w:line="480" w:lineRule="auto"/>
        <w:rPr>
          <w:rFonts w:ascii="Franklin Gothic Book" w:hAnsi="Franklin Gothic Book" w:cs="Arial"/>
          <w:color w:val="222222"/>
          <w:shd w:val="clear" w:color="auto" w:fill="FFFFFF"/>
        </w:rPr>
      </w:pPr>
    </w:p>
    <w:p w:rsidR="00102BDD" w:rsidRPr="00102BDD" w:rsidRDefault="00102BDD" w:rsidP="00102BDD">
      <w:pPr>
        <w:rPr>
          <w:rFonts w:ascii="Franklin Gothic Book" w:hAnsi="Franklin Gothic Book"/>
        </w:rPr>
      </w:pPr>
      <w:r w:rsidRPr="00102BDD">
        <w:rPr>
          <w:rFonts w:ascii="Franklin Gothic Book" w:hAnsi="Franklin Gothic Book" w:cs="Arial"/>
          <w:color w:val="222222"/>
          <w:shd w:val="clear" w:color="auto" w:fill="FFFFFF"/>
        </w:rPr>
        <w:t>Bryant, J., &amp; Oliver, M. B. (Eds.). (2009). </w:t>
      </w:r>
      <w:r w:rsidRPr="00102BDD">
        <w:rPr>
          <w:rFonts w:ascii="Franklin Gothic Book" w:hAnsi="Franklin Gothic Book" w:cs="Arial"/>
          <w:i/>
          <w:iCs/>
          <w:color w:val="222222"/>
        </w:rPr>
        <w:t>Media effects: Advances in theory and research</w:t>
      </w:r>
      <w:r w:rsidRPr="00102BDD">
        <w:rPr>
          <w:rFonts w:ascii="Franklin Gothic Book" w:hAnsi="Franklin Gothic Book" w:cs="Arial"/>
          <w:color w:val="222222"/>
          <w:shd w:val="clear" w:color="auto" w:fill="FFFFFF"/>
        </w:rPr>
        <w:t>. Routledge.</w:t>
      </w:r>
    </w:p>
    <w:p w:rsidR="00102BDD" w:rsidRPr="00102BDD" w:rsidRDefault="00102BDD" w:rsidP="00102BDD">
      <w:pPr>
        <w:spacing w:line="480" w:lineRule="auto"/>
        <w:rPr>
          <w:rFonts w:ascii="Franklin Gothic Book" w:hAnsi="Franklin Gothic Book" w:cs="Arial"/>
          <w:color w:val="222222"/>
          <w:shd w:val="clear" w:color="auto" w:fill="FFFFFF"/>
        </w:rPr>
      </w:pPr>
    </w:p>
    <w:p w:rsidR="0079102A" w:rsidRPr="00102BDD" w:rsidRDefault="0079102A" w:rsidP="00102BDD">
      <w:pPr>
        <w:rPr>
          <w:rFonts w:ascii="Franklin Gothic Book" w:hAnsi="Franklin Gothic Book"/>
        </w:rPr>
      </w:pPr>
      <w:r w:rsidRPr="00102BDD">
        <w:rPr>
          <w:rFonts w:ascii="Franklin Gothic Book" w:hAnsi="Franklin Gothic Book" w:cs="Arial"/>
          <w:color w:val="222222"/>
          <w:shd w:val="clear" w:color="auto" w:fill="FFFFFF"/>
        </w:rPr>
        <w:t xml:space="preserve">Chandler, D., &amp; </w:t>
      </w:r>
      <w:proofErr w:type="spellStart"/>
      <w:r w:rsidRPr="00102BDD">
        <w:rPr>
          <w:rFonts w:ascii="Franklin Gothic Book" w:hAnsi="Franklin Gothic Book" w:cs="Arial"/>
          <w:color w:val="222222"/>
          <w:shd w:val="clear" w:color="auto" w:fill="FFFFFF"/>
        </w:rPr>
        <w:t>Munday</w:t>
      </w:r>
      <w:proofErr w:type="spellEnd"/>
      <w:r w:rsidRPr="00102BDD">
        <w:rPr>
          <w:rFonts w:ascii="Franklin Gothic Book" w:hAnsi="Franklin Gothic Book" w:cs="Arial"/>
          <w:color w:val="222222"/>
          <w:shd w:val="clear" w:color="auto" w:fill="FFFFFF"/>
        </w:rPr>
        <w:t>, R. (2011).</w:t>
      </w:r>
      <w:r w:rsidRPr="00102BDD">
        <w:rPr>
          <w:rStyle w:val="apple-converted-space"/>
          <w:rFonts w:ascii="Franklin Gothic Book" w:hAnsi="Franklin Gothic Book" w:cs="Arial"/>
          <w:color w:val="222222"/>
          <w:shd w:val="clear" w:color="auto" w:fill="FFFFFF"/>
        </w:rPr>
        <w:t> </w:t>
      </w:r>
      <w:r w:rsidRPr="00102BDD">
        <w:rPr>
          <w:rFonts w:ascii="Franklin Gothic Book" w:hAnsi="Franklin Gothic Book" w:cs="Arial"/>
          <w:i/>
          <w:iCs/>
          <w:color w:val="222222"/>
        </w:rPr>
        <w:t>A dictionary of media and communication</w:t>
      </w:r>
      <w:r w:rsidRPr="00102BDD">
        <w:rPr>
          <w:rFonts w:ascii="Franklin Gothic Book" w:hAnsi="Franklin Gothic Book" w:cs="Arial"/>
          <w:color w:val="222222"/>
          <w:shd w:val="clear" w:color="auto" w:fill="FFFFFF"/>
        </w:rPr>
        <w:t>. OUP Oxford.</w:t>
      </w:r>
    </w:p>
    <w:p w:rsidR="00191790" w:rsidRPr="00102BDD" w:rsidRDefault="00191790" w:rsidP="00102BDD">
      <w:pPr>
        <w:spacing w:line="480" w:lineRule="auto"/>
        <w:rPr>
          <w:rFonts w:ascii="Franklin Gothic Book" w:hAnsi="Franklin Gothic Book"/>
        </w:rPr>
      </w:pPr>
    </w:p>
    <w:p w:rsidR="00F628DD" w:rsidRPr="00102BDD" w:rsidRDefault="00F628DD" w:rsidP="00102BDD">
      <w:pPr>
        <w:rPr>
          <w:rFonts w:ascii="Franklin Gothic Book" w:hAnsi="Franklin Gothic Book"/>
        </w:rPr>
      </w:pPr>
      <w:r w:rsidRPr="00102BDD">
        <w:rPr>
          <w:rFonts w:ascii="Franklin Gothic Book" w:hAnsi="Franklin Gothic Book" w:cs="Arial"/>
          <w:color w:val="222222"/>
          <w:shd w:val="clear" w:color="auto" w:fill="FFFFFF"/>
        </w:rPr>
        <w:t>Shah, J. Y., &amp; Gardner, W. L. (Eds.). (2008). </w:t>
      </w:r>
      <w:r w:rsidRPr="00102BDD">
        <w:rPr>
          <w:rFonts w:ascii="Franklin Gothic Book" w:hAnsi="Franklin Gothic Book" w:cs="Arial"/>
          <w:i/>
          <w:iCs/>
          <w:color w:val="222222"/>
        </w:rPr>
        <w:t>Handbook of motivation science</w:t>
      </w:r>
      <w:r w:rsidRPr="00102BDD">
        <w:rPr>
          <w:rFonts w:ascii="Franklin Gothic Book" w:hAnsi="Franklin Gothic Book" w:cs="Arial"/>
          <w:color w:val="222222"/>
          <w:shd w:val="clear" w:color="auto" w:fill="FFFFFF"/>
        </w:rPr>
        <w:t>. Guilford Press.</w:t>
      </w:r>
    </w:p>
    <w:p w:rsidR="00191790" w:rsidRDefault="00191790" w:rsidP="003C4647">
      <w:pPr>
        <w:spacing w:line="360" w:lineRule="auto"/>
        <w:rPr>
          <w:rFonts w:ascii="Franklin Gothic Book" w:hAnsi="Franklin Gothic Book"/>
        </w:rPr>
      </w:pPr>
    </w:p>
    <w:p w:rsidR="00F628DD" w:rsidRPr="00B833F7" w:rsidRDefault="00F628DD" w:rsidP="003C4647">
      <w:pPr>
        <w:spacing w:line="360" w:lineRule="auto"/>
        <w:rPr>
          <w:rFonts w:ascii="Franklin Gothic Book" w:hAnsi="Franklin Gothic Book"/>
        </w:rPr>
      </w:pPr>
    </w:p>
    <w:sectPr w:rsidR="00F628DD" w:rsidRPr="00B833F7" w:rsidSect="008D6C03">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4AA3" w:rsidRDefault="00C94AA3" w:rsidP="003C4647">
      <w:r>
        <w:separator/>
      </w:r>
    </w:p>
  </w:endnote>
  <w:endnote w:type="continuationSeparator" w:id="0">
    <w:p w:rsidR="00C94AA3" w:rsidRDefault="00C94AA3" w:rsidP="003C46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9065780"/>
      <w:docPartObj>
        <w:docPartGallery w:val="Page Numbers (Bottom of Page)"/>
        <w:docPartUnique/>
      </w:docPartObj>
    </w:sdtPr>
    <w:sdtEndPr>
      <w:rPr>
        <w:rStyle w:val="PageNumber"/>
      </w:rPr>
    </w:sdtEndPr>
    <w:sdtContent>
      <w:p w:rsidR="003C4647" w:rsidRDefault="003C4647" w:rsidP="005A0D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C4647" w:rsidRDefault="003C4647" w:rsidP="003C46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2368345"/>
      <w:docPartObj>
        <w:docPartGallery w:val="Page Numbers (Bottom of Page)"/>
        <w:docPartUnique/>
      </w:docPartObj>
    </w:sdtPr>
    <w:sdtEndPr>
      <w:rPr>
        <w:rStyle w:val="PageNumber"/>
      </w:rPr>
    </w:sdtEndPr>
    <w:sdtContent>
      <w:p w:rsidR="003C4647" w:rsidRDefault="003C4647" w:rsidP="005A0D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C4647" w:rsidRDefault="003C4647" w:rsidP="003C46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4AA3" w:rsidRDefault="00C94AA3" w:rsidP="003C4647">
      <w:r>
        <w:separator/>
      </w:r>
    </w:p>
  </w:footnote>
  <w:footnote w:type="continuationSeparator" w:id="0">
    <w:p w:rsidR="00C94AA3" w:rsidRDefault="00C94AA3" w:rsidP="003C464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3F7"/>
    <w:rsid w:val="00102BDD"/>
    <w:rsid w:val="00191790"/>
    <w:rsid w:val="0023373C"/>
    <w:rsid w:val="00236F28"/>
    <w:rsid w:val="002D4E28"/>
    <w:rsid w:val="002E4BB6"/>
    <w:rsid w:val="003C4647"/>
    <w:rsid w:val="003E12F1"/>
    <w:rsid w:val="0045146A"/>
    <w:rsid w:val="00552F98"/>
    <w:rsid w:val="0057644C"/>
    <w:rsid w:val="005B5075"/>
    <w:rsid w:val="00617378"/>
    <w:rsid w:val="00622095"/>
    <w:rsid w:val="006C3477"/>
    <w:rsid w:val="006C638D"/>
    <w:rsid w:val="006E0AE3"/>
    <w:rsid w:val="00704DFB"/>
    <w:rsid w:val="007750E1"/>
    <w:rsid w:val="0079102A"/>
    <w:rsid w:val="007C6DC3"/>
    <w:rsid w:val="00820181"/>
    <w:rsid w:val="00826B77"/>
    <w:rsid w:val="008902EF"/>
    <w:rsid w:val="008973F2"/>
    <w:rsid w:val="008D6C03"/>
    <w:rsid w:val="008E4AF9"/>
    <w:rsid w:val="009141B4"/>
    <w:rsid w:val="0093262B"/>
    <w:rsid w:val="009B43A2"/>
    <w:rsid w:val="00A71C43"/>
    <w:rsid w:val="00A82862"/>
    <w:rsid w:val="00AB4620"/>
    <w:rsid w:val="00AC029D"/>
    <w:rsid w:val="00B20BA7"/>
    <w:rsid w:val="00B257F7"/>
    <w:rsid w:val="00B401AD"/>
    <w:rsid w:val="00B833F7"/>
    <w:rsid w:val="00B948C7"/>
    <w:rsid w:val="00BC469A"/>
    <w:rsid w:val="00C438A6"/>
    <w:rsid w:val="00C52C1B"/>
    <w:rsid w:val="00C94AA3"/>
    <w:rsid w:val="00CE1549"/>
    <w:rsid w:val="00CF1964"/>
    <w:rsid w:val="00D410CA"/>
    <w:rsid w:val="00DA34D2"/>
    <w:rsid w:val="00E82BE0"/>
    <w:rsid w:val="00EC6BC3"/>
    <w:rsid w:val="00F23CA5"/>
    <w:rsid w:val="00F47413"/>
    <w:rsid w:val="00F628DD"/>
    <w:rsid w:val="00FA5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612006"/>
  <w14:defaultImageDpi w14:val="32767"/>
  <w15:chartTrackingRefBased/>
  <w15:docId w15:val="{EA2BE010-8345-4E43-8EFC-9B68F39F6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9102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33F7"/>
    <w:pPr>
      <w:spacing w:before="100" w:beforeAutospacing="1" w:after="100" w:afterAutospacing="1"/>
    </w:pPr>
    <w:rPr>
      <w:lang w:eastAsia="en-GB"/>
    </w:rPr>
  </w:style>
  <w:style w:type="paragraph" w:styleId="Footer">
    <w:name w:val="footer"/>
    <w:basedOn w:val="Normal"/>
    <w:link w:val="FooterChar"/>
    <w:uiPriority w:val="99"/>
    <w:unhideWhenUsed/>
    <w:rsid w:val="003C4647"/>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C4647"/>
  </w:style>
  <w:style w:type="character" w:styleId="PageNumber">
    <w:name w:val="page number"/>
    <w:basedOn w:val="DefaultParagraphFont"/>
    <w:uiPriority w:val="99"/>
    <w:semiHidden/>
    <w:unhideWhenUsed/>
    <w:rsid w:val="003C4647"/>
  </w:style>
  <w:style w:type="character" w:customStyle="1" w:styleId="apple-converted-space">
    <w:name w:val="apple-converted-space"/>
    <w:basedOn w:val="DefaultParagraphFont"/>
    <w:rsid w:val="001917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349244">
      <w:bodyDiv w:val="1"/>
      <w:marLeft w:val="0"/>
      <w:marRight w:val="0"/>
      <w:marTop w:val="0"/>
      <w:marBottom w:val="0"/>
      <w:divBdr>
        <w:top w:val="none" w:sz="0" w:space="0" w:color="auto"/>
        <w:left w:val="none" w:sz="0" w:space="0" w:color="auto"/>
        <w:bottom w:val="none" w:sz="0" w:space="0" w:color="auto"/>
        <w:right w:val="none" w:sz="0" w:space="0" w:color="auto"/>
      </w:divBdr>
    </w:div>
    <w:div w:id="462773693">
      <w:bodyDiv w:val="1"/>
      <w:marLeft w:val="0"/>
      <w:marRight w:val="0"/>
      <w:marTop w:val="0"/>
      <w:marBottom w:val="0"/>
      <w:divBdr>
        <w:top w:val="none" w:sz="0" w:space="0" w:color="auto"/>
        <w:left w:val="none" w:sz="0" w:space="0" w:color="auto"/>
        <w:bottom w:val="none" w:sz="0" w:space="0" w:color="auto"/>
        <w:right w:val="none" w:sz="0" w:space="0" w:color="auto"/>
      </w:divBdr>
    </w:div>
    <w:div w:id="636028684">
      <w:bodyDiv w:val="1"/>
      <w:marLeft w:val="0"/>
      <w:marRight w:val="0"/>
      <w:marTop w:val="0"/>
      <w:marBottom w:val="0"/>
      <w:divBdr>
        <w:top w:val="none" w:sz="0" w:space="0" w:color="auto"/>
        <w:left w:val="none" w:sz="0" w:space="0" w:color="auto"/>
        <w:bottom w:val="none" w:sz="0" w:space="0" w:color="auto"/>
        <w:right w:val="none" w:sz="0" w:space="0" w:color="auto"/>
      </w:divBdr>
    </w:div>
    <w:div w:id="679426438">
      <w:bodyDiv w:val="1"/>
      <w:marLeft w:val="0"/>
      <w:marRight w:val="0"/>
      <w:marTop w:val="0"/>
      <w:marBottom w:val="0"/>
      <w:divBdr>
        <w:top w:val="none" w:sz="0" w:space="0" w:color="auto"/>
        <w:left w:val="none" w:sz="0" w:space="0" w:color="auto"/>
        <w:bottom w:val="none" w:sz="0" w:space="0" w:color="auto"/>
        <w:right w:val="none" w:sz="0" w:space="0" w:color="auto"/>
      </w:divBdr>
    </w:div>
    <w:div w:id="1169294546">
      <w:bodyDiv w:val="1"/>
      <w:marLeft w:val="0"/>
      <w:marRight w:val="0"/>
      <w:marTop w:val="0"/>
      <w:marBottom w:val="0"/>
      <w:divBdr>
        <w:top w:val="none" w:sz="0" w:space="0" w:color="auto"/>
        <w:left w:val="none" w:sz="0" w:space="0" w:color="auto"/>
        <w:bottom w:val="none" w:sz="0" w:space="0" w:color="auto"/>
        <w:right w:val="none" w:sz="0" w:space="0" w:color="auto"/>
      </w:divBdr>
    </w:div>
    <w:div w:id="1757433200">
      <w:bodyDiv w:val="1"/>
      <w:marLeft w:val="0"/>
      <w:marRight w:val="0"/>
      <w:marTop w:val="0"/>
      <w:marBottom w:val="0"/>
      <w:divBdr>
        <w:top w:val="none" w:sz="0" w:space="0" w:color="auto"/>
        <w:left w:val="none" w:sz="0" w:space="0" w:color="auto"/>
        <w:bottom w:val="none" w:sz="0" w:space="0" w:color="auto"/>
        <w:right w:val="none" w:sz="0" w:space="0" w:color="auto"/>
      </w:divBdr>
    </w:div>
    <w:div w:id="1894922557">
      <w:bodyDiv w:val="1"/>
      <w:marLeft w:val="0"/>
      <w:marRight w:val="0"/>
      <w:marTop w:val="0"/>
      <w:marBottom w:val="0"/>
      <w:divBdr>
        <w:top w:val="none" w:sz="0" w:space="0" w:color="auto"/>
        <w:left w:val="none" w:sz="0" w:space="0" w:color="auto"/>
        <w:bottom w:val="none" w:sz="0" w:space="0" w:color="auto"/>
        <w:right w:val="none" w:sz="0" w:space="0" w:color="auto"/>
      </w:divBdr>
      <w:divsChild>
        <w:div w:id="1945765157">
          <w:marLeft w:val="0"/>
          <w:marRight w:val="0"/>
          <w:marTop w:val="0"/>
          <w:marBottom w:val="0"/>
          <w:divBdr>
            <w:top w:val="none" w:sz="0" w:space="0" w:color="auto"/>
            <w:left w:val="none" w:sz="0" w:space="0" w:color="auto"/>
            <w:bottom w:val="none" w:sz="0" w:space="0" w:color="auto"/>
            <w:right w:val="none" w:sz="0" w:space="0" w:color="auto"/>
          </w:divBdr>
          <w:divsChild>
            <w:div w:id="1761877067">
              <w:marLeft w:val="0"/>
              <w:marRight w:val="0"/>
              <w:marTop w:val="0"/>
              <w:marBottom w:val="0"/>
              <w:divBdr>
                <w:top w:val="none" w:sz="0" w:space="0" w:color="auto"/>
                <w:left w:val="none" w:sz="0" w:space="0" w:color="auto"/>
                <w:bottom w:val="none" w:sz="0" w:space="0" w:color="auto"/>
                <w:right w:val="none" w:sz="0" w:space="0" w:color="auto"/>
              </w:divBdr>
              <w:divsChild>
                <w:div w:id="256183890">
                  <w:marLeft w:val="0"/>
                  <w:marRight w:val="0"/>
                  <w:marTop w:val="0"/>
                  <w:marBottom w:val="0"/>
                  <w:divBdr>
                    <w:top w:val="none" w:sz="0" w:space="0" w:color="auto"/>
                    <w:left w:val="none" w:sz="0" w:space="0" w:color="auto"/>
                    <w:bottom w:val="none" w:sz="0" w:space="0" w:color="auto"/>
                    <w:right w:val="none" w:sz="0" w:space="0" w:color="auto"/>
                  </w:divBdr>
                  <w:divsChild>
                    <w:div w:id="92788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6</Pages>
  <Words>1344</Words>
  <Characters>7664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13</cp:revision>
  <dcterms:created xsi:type="dcterms:W3CDTF">2018-03-17T13:54:00Z</dcterms:created>
  <dcterms:modified xsi:type="dcterms:W3CDTF">2018-03-19T15:51:00Z</dcterms:modified>
</cp:coreProperties>
</file>