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623820" w:rsidR="00852065" w:rsidP="00A2626A" w:rsidRDefault="005C57BF" w14:paraId="7537E7CD" w14:textId="15E0C8D2">
      <w:pPr>
        <w:pStyle w:val="NoSpacing"/>
        <w:spacing w:line="360" w:lineRule="auto"/>
        <w:jc w:val="both"/>
        <w:rPr>
          <w:lang w:val="en-GB"/>
        </w:rPr>
      </w:pPr>
      <w:r w:rsidRPr="00A406E5">
        <w:rPr>
          <w:rFonts w:ascii="Arial" w:hAnsi="Arial" w:cs="Arial"/>
          <w:noProof/>
        </w:rPr>
        <w:drawing>
          <wp:anchor distT="0" distB="0" distL="114300" distR="114300" simplePos="0" relativeHeight="251659264" behindDoc="0" locked="0" layoutInCell="1" allowOverlap="1" wp14:anchorId="6B84E18D" wp14:editId="32BD3B3B">
            <wp:simplePos x="0" y="0"/>
            <wp:positionH relativeFrom="column">
              <wp:posOffset>-323850</wp:posOffset>
            </wp:positionH>
            <wp:positionV relativeFrom="paragraph">
              <wp:posOffset>0</wp:posOffset>
            </wp:positionV>
            <wp:extent cx="1581150" cy="590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81150" cy="59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623820" w:rsidR="008A54F4" w:rsidP="00A2626A" w:rsidRDefault="008A54F4" w14:paraId="3BB6C290" w14:textId="77777777">
      <w:pPr>
        <w:pStyle w:val="NoSpacing"/>
        <w:spacing w:line="360" w:lineRule="auto"/>
        <w:jc w:val="both"/>
        <w:rPr>
          <w:lang w:val="en-GB"/>
        </w:rPr>
      </w:pPr>
    </w:p>
    <w:p w:rsidRPr="00623820" w:rsidR="00B21F0F" w:rsidP="00A2626A" w:rsidRDefault="00B21F0F" w14:paraId="2FC25B41" w14:textId="77777777">
      <w:pPr>
        <w:pStyle w:val="NoSpacing"/>
        <w:spacing w:line="360" w:lineRule="auto"/>
        <w:jc w:val="both"/>
        <w:rPr>
          <w:lang w:val="en-GB"/>
        </w:rPr>
      </w:pPr>
    </w:p>
    <w:p w:rsidR="005C57BF" w:rsidP="005C57BF" w:rsidRDefault="005C57BF" w14:paraId="63533E27" w14:textId="6F7E7BAF">
      <w:pPr>
        <w:spacing w:line="360" w:lineRule="auto"/>
        <w:jc w:val="center"/>
        <w:rPr>
          <w:rFonts w:ascii="Times New Roman" w:hAnsi="Times New Roman" w:cs="Times New Roman"/>
          <w:b/>
          <w:bCs/>
          <w:sz w:val="32"/>
          <w:szCs w:val="32"/>
        </w:rPr>
      </w:pPr>
      <w:r w:rsidRPr="005C57BF">
        <w:rPr>
          <w:rFonts w:ascii="Times New Roman" w:hAnsi="Times New Roman" w:cs="Times New Roman"/>
          <w:b/>
          <w:bCs/>
          <w:sz w:val="32"/>
          <w:szCs w:val="32"/>
        </w:rPr>
        <w:t>MODULE CODE: BMHP5023</w:t>
      </w:r>
    </w:p>
    <w:p w:rsidRPr="005C57BF" w:rsidR="005C57BF" w:rsidP="005C57BF" w:rsidRDefault="005C57BF" w14:paraId="7F57F3EF" w14:textId="5F83EE20">
      <w:pPr>
        <w:spacing w:line="360" w:lineRule="auto"/>
        <w:jc w:val="center"/>
        <w:rPr>
          <w:rFonts w:ascii="Times New Roman" w:hAnsi="Times New Roman" w:cs="Times New Roman"/>
          <w:b/>
          <w:bCs/>
          <w:sz w:val="32"/>
          <w:szCs w:val="32"/>
        </w:rPr>
      </w:pPr>
      <w:r w:rsidRPr="005C57BF">
        <w:rPr>
          <w:rFonts w:ascii="Times New Roman" w:hAnsi="Times New Roman" w:cs="Times New Roman"/>
          <w:b/>
          <w:bCs/>
          <w:sz w:val="32"/>
          <w:szCs w:val="32"/>
        </w:rPr>
        <w:t>MODULE: INTRODUCTION TO PHYSIOLOGY</w:t>
      </w:r>
    </w:p>
    <w:p w:rsidR="00A13F45" w:rsidP="00A2626A" w:rsidRDefault="00A13F45" w14:paraId="22D34099" w14:textId="3D9DD749">
      <w:pPr>
        <w:spacing w:line="360" w:lineRule="auto"/>
        <w:jc w:val="both"/>
        <w:rPr>
          <w:b/>
          <w:bCs/>
        </w:rPr>
      </w:pPr>
    </w:p>
    <w:p w:rsidR="00743CFC" w:rsidP="00A2626A" w:rsidRDefault="00743CFC" w14:paraId="6B58E428" w14:textId="4C35CE2A">
      <w:pPr>
        <w:spacing w:line="360" w:lineRule="auto"/>
        <w:jc w:val="both"/>
        <w:rPr>
          <w:b/>
          <w:bCs/>
        </w:rPr>
      </w:pPr>
    </w:p>
    <w:p w:rsidR="00743CFC" w:rsidP="00A2626A" w:rsidRDefault="00743CFC" w14:paraId="4732F002" w14:textId="082E52E6">
      <w:pPr>
        <w:spacing w:line="360" w:lineRule="auto"/>
        <w:jc w:val="both"/>
        <w:rPr>
          <w:b/>
          <w:bCs/>
        </w:rPr>
      </w:pPr>
    </w:p>
    <w:p w:rsidR="00743CFC" w:rsidP="00A2626A" w:rsidRDefault="00743CFC" w14:paraId="742EF0AF" w14:textId="47D44D14">
      <w:pPr>
        <w:spacing w:line="360" w:lineRule="auto"/>
        <w:jc w:val="both"/>
        <w:rPr>
          <w:b/>
          <w:bCs/>
        </w:rPr>
      </w:pPr>
    </w:p>
    <w:p w:rsidRPr="00623820" w:rsidR="00743CFC" w:rsidP="00A2626A" w:rsidRDefault="00743CFC" w14:paraId="369DDA7F" w14:textId="77777777">
      <w:pPr>
        <w:spacing w:line="360" w:lineRule="auto"/>
        <w:jc w:val="both"/>
        <w:rPr>
          <w:b/>
          <w:bCs/>
        </w:rPr>
      </w:pPr>
    </w:p>
    <w:p w:rsidRPr="00623820" w:rsidR="00A13F45" w:rsidP="008A54F4" w:rsidRDefault="008A54F4" w14:paraId="2582DAD3" w14:textId="7A3D9508">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CASE STUDY REPORT: UNDERSTANDING TYPE 2 DIABETES, BLOOD GLUCOSE REGULATION, CELLULAR METABOLISM AND LIFESTYLE MANAGEMENT</w:t>
      </w:r>
    </w:p>
    <w:p w:rsidRPr="00623820" w:rsidR="008A54F4" w:rsidP="008A54F4" w:rsidRDefault="008A54F4" w14:paraId="1F61E033" w14:textId="77777777">
      <w:pPr>
        <w:spacing w:line="360" w:lineRule="auto"/>
        <w:jc w:val="center"/>
        <w:rPr>
          <w:rFonts w:ascii="Times New Roman" w:hAnsi="Times New Roman" w:cs="Times New Roman"/>
          <w:b/>
          <w:bCs/>
          <w:sz w:val="32"/>
          <w:szCs w:val="32"/>
        </w:rPr>
      </w:pPr>
    </w:p>
    <w:p w:rsidRPr="00623820" w:rsidR="008A54F4" w:rsidP="008A54F4" w:rsidRDefault="008A54F4" w14:paraId="7C3B55B9" w14:textId="77777777">
      <w:pPr>
        <w:spacing w:line="360" w:lineRule="auto"/>
        <w:jc w:val="center"/>
        <w:rPr>
          <w:rFonts w:ascii="Times New Roman" w:hAnsi="Times New Roman" w:cs="Times New Roman"/>
          <w:b/>
          <w:bCs/>
          <w:sz w:val="32"/>
          <w:szCs w:val="32"/>
        </w:rPr>
      </w:pPr>
    </w:p>
    <w:p w:rsidR="008A54F4" w:rsidP="008A54F4" w:rsidRDefault="008A54F4" w14:paraId="4610D2C6" w14:textId="784FDDE7">
      <w:pPr>
        <w:spacing w:line="360" w:lineRule="auto"/>
        <w:jc w:val="center"/>
      </w:pPr>
      <w:r w:rsidRPr="2ED9AD8D" w:rsidR="650A04D2">
        <w:rPr>
          <w:rFonts w:ascii="Times New Roman" w:hAnsi="Times New Roman" w:cs="Times New Roman"/>
          <w:b w:val="1"/>
          <w:bCs w:val="1"/>
          <w:sz w:val="32"/>
          <w:szCs w:val="32"/>
        </w:rPr>
        <w:t>Lecture: Farah Islam</w:t>
      </w:r>
    </w:p>
    <w:p w:rsidRPr="00623820" w:rsidR="00623820" w:rsidP="008A54F4" w:rsidRDefault="00623820" w14:paraId="316DEB66" w14:textId="77777777">
      <w:pPr>
        <w:spacing w:line="360" w:lineRule="auto"/>
        <w:jc w:val="center"/>
        <w:rPr>
          <w:rFonts w:ascii="Times New Roman" w:hAnsi="Times New Roman" w:cs="Times New Roman"/>
          <w:b/>
          <w:bCs/>
          <w:sz w:val="32"/>
          <w:szCs w:val="32"/>
        </w:rPr>
      </w:pPr>
    </w:p>
    <w:p w:rsidRPr="00623820" w:rsidR="008A54F4" w:rsidP="008A54F4" w:rsidRDefault="008A54F4" w14:paraId="54C0B33D" w14:textId="40B053A0">
      <w:pPr>
        <w:spacing w:line="360" w:lineRule="auto"/>
        <w:jc w:val="center"/>
        <w:rPr>
          <w:rFonts w:ascii="Times New Roman" w:hAnsi="Times New Roman" w:cs="Times New Roman"/>
          <w:b w:val="1"/>
          <w:bCs w:val="1"/>
          <w:sz w:val="32"/>
          <w:szCs w:val="32"/>
        </w:rPr>
      </w:pPr>
      <w:r w:rsidRPr="2ED9AD8D" w:rsidR="008A54F4">
        <w:rPr>
          <w:rFonts w:ascii="Times New Roman" w:hAnsi="Times New Roman" w:cs="Times New Roman"/>
          <w:b w:val="1"/>
          <w:bCs w:val="1"/>
          <w:sz w:val="32"/>
          <w:szCs w:val="32"/>
        </w:rPr>
        <w:t>NAME</w:t>
      </w:r>
      <w:r w:rsidRPr="2ED9AD8D" w:rsidR="00451676">
        <w:rPr>
          <w:rFonts w:ascii="Times New Roman" w:hAnsi="Times New Roman" w:cs="Times New Roman"/>
          <w:b w:val="1"/>
          <w:bCs w:val="1"/>
          <w:sz w:val="32"/>
          <w:szCs w:val="32"/>
        </w:rPr>
        <w:t>:</w:t>
      </w:r>
      <w:r w:rsidRPr="2ED9AD8D" w:rsidR="00A773CC">
        <w:rPr>
          <w:rFonts w:ascii="Times New Roman" w:hAnsi="Times New Roman" w:cs="Times New Roman"/>
          <w:b w:val="1"/>
          <w:bCs w:val="1"/>
          <w:sz w:val="32"/>
          <w:szCs w:val="32"/>
        </w:rPr>
        <w:t xml:space="preserve"> </w:t>
      </w:r>
      <w:r w:rsidRPr="2ED9AD8D" w:rsidR="4DB1A63F">
        <w:rPr>
          <w:rFonts w:ascii="Times New Roman" w:hAnsi="Times New Roman" w:cs="Times New Roman"/>
          <w:b w:val="1"/>
          <w:bCs w:val="1"/>
          <w:sz w:val="32"/>
          <w:szCs w:val="32"/>
        </w:rPr>
        <w:t>Barbara Singh</w:t>
      </w:r>
    </w:p>
    <w:p w:rsidRPr="00623820" w:rsidR="008A54F4" w:rsidP="008A54F4" w:rsidRDefault="008A54F4" w14:paraId="4CC31B31" w14:textId="58221CB3">
      <w:pPr>
        <w:spacing w:line="360" w:lineRule="auto"/>
        <w:jc w:val="center"/>
        <w:rPr>
          <w:rFonts w:ascii="Times New Roman" w:hAnsi="Times New Roman" w:cs="Times New Roman"/>
          <w:b w:val="1"/>
          <w:bCs w:val="1"/>
          <w:sz w:val="32"/>
          <w:szCs w:val="32"/>
        </w:rPr>
      </w:pPr>
      <w:r w:rsidRPr="2ED9AD8D" w:rsidR="008A54F4">
        <w:rPr>
          <w:rFonts w:ascii="Times New Roman" w:hAnsi="Times New Roman" w:cs="Times New Roman"/>
          <w:b w:val="1"/>
          <w:bCs w:val="1"/>
          <w:sz w:val="32"/>
          <w:szCs w:val="32"/>
        </w:rPr>
        <w:t>ID</w:t>
      </w:r>
      <w:r w:rsidRPr="2ED9AD8D" w:rsidR="00451676">
        <w:rPr>
          <w:rFonts w:ascii="Times New Roman" w:hAnsi="Times New Roman" w:cs="Times New Roman"/>
          <w:b w:val="1"/>
          <w:bCs w:val="1"/>
          <w:sz w:val="32"/>
          <w:szCs w:val="32"/>
        </w:rPr>
        <w:t>:</w:t>
      </w:r>
      <w:r w:rsidRPr="2ED9AD8D" w:rsidR="38EA7A94">
        <w:rPr>
          <w:rFonts w:ascii="Times New Roman" w:hAnsi="Times New Roman" w:cs="Times New Roman"/>
          <w:b w:val="1"/>
          <w:bCs w:val="1"/>
          <w:sz w:val="32"/>
          <w:szCs w:val="32"/>
        </w:rPr>
        <w:t>2507806</w:t>
      </w:r>
    </w:p>
    <w:p w:rsidRPr="00623820" w:rsidR="008A54F4" w:rsidP="008A54F4" w:rsidRDefault="008A54F4" w14:paraId="1EA3F361" w14:textId="6A4B8119">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WORD:</w:t>
      </w:r>
      <w:r w:rsidR="00D83D61">
        <w:rPr>
          <w:rFonts w:ascii="Times New Roman" w:hAnsi="Times New Roman" w:cs="Times New Roman"/>
          <w:b/>
          <w:bCs/>
          <w:sz w:val="32"/>
          <w:szCs w:val="32"/>
        </w:rPr>
        <w:t xml:space="preserve"> 217</w:t>
      </w:r>
      <w:r w:rsidR="00196809">
        <w:rPr>
          <w:rFonts w:ascii="Times New Roman" w:hAnsi="Times New Roman" w:cs="Times New Roman"/>
          <w:b/>
          <w:bCs/>
          <w:sz w:val="32"/>
          <w:szCs w:val="32"/>
        </w:rPr>
        <w:t>5</w:t>
      </w:r>
    </w:p>
    <w:p w:rsidRPr="00623820" w:rsidR="009A1F18" w:rsidRDefault="008A54F4" w14:paraId="67FC82C6" w14:textId="2665F083">
      <w:pPr>
        <w:rPr>
          <w:rFonts w:ascii="Times New Roman" w:hAnsi="Times New Roman" w:eastAsia="Times New Roman" w:cs="Times New Roman"/>
          <w:b/>
          <w:bCs/>
          <w:sz w:val="36"/>
          <w:szCs w:val="36"/>
        </w:rPr>
      </w:pPr>
      <w:r w:rsidRPr="00623820">
        <w:rPr>
          <w:rFonts w:ascii="Times New Roman" w:hAnsi="Times New Roman" w:eastAsia="Times New Roman" w:cs="Times New Roman"/>
          <w:b/>
          <w:bCs/>
          <w:sz w:val="36"/>
          <w:szCs w:val="36"/>
        </w:rPr>
        <w:br w:type="page"/>
      </w:r>
    </w:p>
    <w:sdt>
      <w:sdtPr>
        <w:id w:val="-1584828691"/>
        <w:docPartObj>
          <w:docPartGallery w:val="Table of Contents"/>
          <w:docPartUnique/>
        </w:docPartObj>
        <w:rPr>
          <w:rFonts w:ascii="Times New Roman" w:hAnsi="Times New Roman" w:eastAsia="Calibri" w:cs="Times New Roman" w:eastAsiaTheme="minorAscii"/>
          <w:color w:val="0D0D0D" w:themeColor="text1" w:themeTint="F2"/>
          <w:sz w:val="28"/>
          <w:szCs w:val="28"/>
        </w:rPr>
      </w:sdtPr>
      <w:sdtEndPr>
        <w:rPr>
          <w:rFonts w:ascii="Times New Roman" w:hAnsi="Times New Roman" w:eastAsia="Calibri" w:cs="Times New Roman" w:eastAsiaTheme="minorAscii"/>
          <w:b w:val="1"/>
          <w:bCs w:val="1"/>
          <w:color w:val="0D0D0D" w:themeColor="text1" w:themeTint="F2" w:themeShade="FF"/>
          <w:sz w:val="24"/>
          <w:szCs w:val="24"/>
        </w:rPr>
      </w:sdtEndPr>
      <w:sdtContent>
        <w:p w:rsidRPr="00A773CC" w:rsidR="00B21F0F" w:rsidP="00623820" w:rsidRDefault="00B21F0F" w14:paraId="58381C9B" w14:textId="22DC6139">
          <w:pPr>
            <w:pStyle w:val="TOCHeading"/>
            <w:spacing w:line="360" w:lineRule="auto"/>
            <w:jc w:val="center"/>
            <w:rPr>
              <w:rFonts w:ascii="Times New Roman" w:hAnsi="Times New Roman" w:cs="Times New Roman"/>
              <w:b/>
              <w:bCs/>
              <w:color w:val="0D0D0D" w:themeColor="text1" w:themeTint="F2"/>
              <w:sz w:val="28"/>
              <w:szCs w:val="28"/>
            </w:rPr>
          </w:pPr>
          <w:r w:rsidRPr="00A773CC">
            <w:rPr>
              <w:rFonts w:ascii="Times New Roman" w:hAnsi="Times New Roman" w:cs="Times New Roman"/>
              <w:b/>
              <w:bCs/>
              <w:color w:val="0D0D0D" w:themeColor="text1" w:themeTint="F2"/>
              <w:sz w:val="28"/>
              <w:szCs w:val="28"/>
            </w:rPr>
            <w:t>Table of Contents</w:t>
          </w:r>
        </w:p>
        <w:p w:rsidRPr="00623820" w:rsidR="00623820" w:rsidP="00623820" w:rsidRDefault="00B21F0F" w14:paraId="2A5F6414" w14:textId="1FB89D6B">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r w:rsidRPr="00623820">
            <w:rPr>
              <w:rFonts w:ascii="Times New Roman" w:hAnsi="Times New Roman" w:cs="Times New Roman"/>
              <w:color w:val="0D0D0D" w:themeColor="text1" w:themeTint="F2"/>
              <w:sz w:val="24"/>
              <w:szCs w:val="24"/>
            </w:rPr>
            <w:fldChar w:fldCharType="begin"/>
          </w:r>
          <w:r w:rsidRPr="00623820">
            <w:rPr>
              <w:rFonts w:ascii="Times New Roman" w:hAnsi="Times New Roman" w:cs="Times New Roman"/>
              <w:color w:val="0D0D0D" w:themeColor="text1" w:themeTint="F2"/>
              <w:sz w:val="24"/>
              <w:szCs w:val="24"/>
            </w:rPr>
            <w:instrText xml:space="preserve"> TOC \o "1-3" \h \z \u </w:instrText>
          </w:r>
          <w:r w:rsidRPr="00623820">
            <w:rPr>
              <w:rFonts w:ascii="Times New Roman" w:hAnsi="Times New Roman" w:cs="Times New Roman"/>
              <w:color w:val="0D0D0D" w:themeColor="text1" w:themeTint="F2"/>
              <w:sz w:val="24"/>
              <w:szCs w:val="24"/>
            </w:rPr>
            <w:fldChar w:fldCharType="separate"/>
          </w:r>
          <w:hyperlink w:history="1" w:anchor="_Toc242393206">
            <w:r w:rsidRPr="00623820" w:rsidR="00623820">
              <w:rPr>
                <w:rStyle w:val="Hyperlink"/>
                <w:rFonts w:ascii="Times New Roman" w:hAnsi="Times New Roman" w:cs="Times New Roman"/>
                <w:noProof/>
                <w:color w:val="0D0D0D" w:themeColor="text1" w:themeTint="F2"/>
                <w:sz w:val="24"/>
                <w:szCs w:val="24"/>
              </w:rPr>
              <w:t>1. Introduction: Understanding Diabetes and Its Risk Factors</w:t>
            </w:r>
            <w:r w:rsidRPr="00623820" w:rsidR="00623820">
              <w:rPr>
                <w:rFonts w:ascii="Times New Roman" w:hAnsi="Times New Roman" w:cs="Times New Roman"/>
                <w:noProof/>
                <w:webHidden/>
                <w:color w:val="0D0D0D" w:themeColor="text1" w:themeTint="F2"/>
                <w:sz w:val="24"/>
                <w:szCs w:val="24"/>
              </w:rPr>
              <w:tab/>
            </w:r>
            <w:r w:rsidRPr="00623820" w:rsidR="00623820">
              <w:rPr>
                <w:rFonts w:ascii="Times New Roman" w:hAnsi="Times New Roman" w:cs="Times New Roman"/>
                <w:noProof/>
                <w:webHidden/>
                <w:color w:val="0D0D0D" w:themeColor="text1" w:themeTint="F2"/>
                <w:sz w:val="24"/>
                <w:szCs w:val="24"/>
              </w:rPr>
              <w:fldChar w:fldCharType="begin"/>
            </w:r>
            <w:r w:rsidRPr="00623820" w:rsidR="00623820">
              <w:rPr>
                <w:rFonts w:ascii="Times New Roman" w:hAnsi="Times New Roman" w:cs="Times New Roman"/>
                <w:noProof/>
                <w:webHidden/>
                <w:color w:val="0D0D0D" w:themeColor="text1" w:themeTint="F2"/>
                <w:sz w:val="24"/>
                <w:szCs w:val="24"/>
              </w:rPr>
              <w:instrText xml:space="preserve"> PAGEREF _Toc242393206 \h </w:instrText>
            </w:r>
            <w:r w:rsidRPr="00623820" w:rsidR="00623820">
              <w:rPr>
                <w:rFonts w:ascii="Times New Roman" w:hAnsi="Times New Roman" w:cs="Times New Roman"/>
                <w:noProof/>
                <w:webHidden/>
                <w:color w:val="0D0D0D" w:themeColor="text1" w:themeTint="F2"/>
                <w:sz w:val="24"/>
                <w:szCs w:val="24"/>
              </w:rPr>
            </w:r>
            <w:r w:rsidRPr="00623820" w:rsidR="00623820">
              <w:rPr>
                <w:rFonts w:ascii="Times New Roman" w:hAnsi="Times New Roman" w:cs="Times New Roman"/>
                <w:noProof/>
                <w:webHidden/>
                <w:color w:val="0D0D0D" w:themeColor="text1" w:themeTint="F2"/>
                <w:sz w:val="24"/>
                <w:szCs w:val="24"/>
              </w:rPr>
              <w:fldChar w:fldCharType="separate"/>
            </w:r>
            <w:r w:rsidRPr="00623820" w:rsidR="00623820">
              <w:rPr>
                <w:rFonts w:ascii="Times New Roman" w:hAnsi="Times New Roman" w:cs="Times New Roman"/>
                <w:noProof/>
                <w:webHidden/>
                <w:color w:val="0D0D0D" w:themeColor="text1" w:themeTint="F2"/>
                <w:sz w:val="24"/>
                <w:szCs w:val="24"/>
              </w:rPr>
              <w:t>3</w:t>
            </w:r>
            <w:r w:rsidRPr="00623820" w:rsid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288F10B5" w14:textId="136AC9AC">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07">
            <w:r w:rsidRPr="00623820">
              <w:rPr>
                <w:rStyle w:val="Hyperlink"/>
                <w:rFonts w:ascii="Times New Roman" w:hAnsi="Times New Roman" w:cs="Times New Roman"/>
                <w:noProof/>
                <w:color w:val="0D0D0D" w:themeColor="text1" w:themeTint="F2"/>
                <w:sz w:val="24"/>
                <w:szCs w:val="24"/>
              </w:rPr>
              <w:t>1.1 Definition and Overview of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380C77F" w14:textId="3E3B488D">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08">
            <w:r w:rsidRPr="00623820">
              <w:rPr>
                <w:rStyle w:val="Hyperlink"/>
                <w:rFonts w:ascii="Times New Roman" w:hAnsi="Times New Roman" w:cs="Times New Roman"/>
                <w:noProof/>
                <w:color w:val="0D0D0D" w:themeColor="text1" w:themeTint="F2"/>
                <w:sz w:val="24"/>
                <w:szCs w:val="24"/>
              </w:rPr>
              <w:t>1.2 Risk Factors and Health Implications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_Toc242393208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4E722183" w14:textId="5A90C328">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09">
            <w:r w:rsidRPr="00623820">
              <w:rPr>
                <w:rStyle w:val="Hyperlink"/>
                <w:rFonts w:ascii="Times New Roman" w:hAnsi="Times New Roman" w:cs="Times New Roman"/>
                <w:noProof/>
                <w:color w:val="0D0D0D" w:themeColor="text1" w:themeTint="F2"/>
                <w:sz w:val="24"/>
                <w:szCs w:val="24"/>
              </w:rPr>
              <w:t>2. Physiological Regulation of Blood Glucose Levels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_Toc242393209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0B7C7848" w14:textId="3A580AFF">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0">
            <w:r w:rsidRPr="00623820">
              <w:rPr>
                <w:rStyle w:val="Hyperlink"/>
                <w:rFonts w:ascii="Times New Roman" w:hAnsi="Times New Roman" w:cs="Times New Roman"/>
                <w:noProof/>
                <w:color w:val="0D0D0D" w:themeColor="text1" w:themeTint="F2"/>
                <w:sz w:val="24"/>
                <w:szCs w:val="24"/>
              </w:rPr>
              <w:t>2.1 The Role of the Pancreas, Insulin and Glucagon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_Toc242393210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411F25E4" w14:textId="55710549">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1">
            <w:r w:rsidRPr="00623820">
              <w:rPr>
                <w:rStyle w:val="Hyperlink"/>
                <w:rFonts w:ascii="Times New Roman" w:hAnsi="Times New Roman" w:cs="Times New Roman"/>
                <w:noProof/>
                <w:color w:val="0D0D0D" w:themeColor="text1" w:themeTint="F2"/>
                <w:sz w:val="24"/>
                <w:szCs w:val="24"/>
              </w:rPr>
              <w:t>2.2 Homeostasis and Negative Feedback Mechanisms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_Toc242393211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4</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62FD7D75" w14:textId="3C84E5F5">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2">
            <w:r w:rsidRPr="00623820">
              <w:rPr>
                <w:rStyle w:val="Hyperlink"/>
                <w:rFonts w:ascii="Times New Roman" w:hAnsi="Times New Roman" w:cs="Times New Roman"/>
                <w:noProof/>
                <w:color w:val="0D0D0D" w:themeColor="text1" w:themeTint="F2"/>
                <w:sz w:val="24"/>
                <w:szCs w:val="24"/>
              </w:rPr>
              <w:t>2.3 Disruption of Glucose Regulation in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_Toc242393212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4</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31C2E558" w14:textId="5167EAA0">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3">
            <w:r w:rsidRPr="00623820">
              <w:rPr>
                <w:rStyle w:val="Hyperlink"/>
                <w:rFonts w:ascii="Times New Roman" w:hAnsi="Times New Roman" w:cs="Times New Roman"/>
                <w:noProof/>
                <w:color w:val="0D0D0D" w:themeColor="text1" w:themeTint="F2"/>
                <w:sz w:val="24"/>
                <w:szCs w:val="24"/>
              </w:rPr>
              <w:t>3. Cellular Metabolism: How Oxygen and Glucose Produce Energy</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_Toc242393213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CE533C4" w14:textId="2A005697">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4">
            <w:r w:rsidRPr="00623820">
              <w:rPr>
                <w:rStyle w:val="Hyperlink"/>
                <w:rFonts w:ascii="Times New Roman" w:hAnsi="Times New Roman" w:cs="Times New Roman"/>
                <w:noProof/>
                <w:color w:val="0D0D0D" w:themeColor="text1" w:themeTint="F2"/>
                <w:sz w:val="24"/>
                <w:szCs w:val="24"/>
              </w:rPr>
              <w:t>3.1 Glucose as a Source of Cellular Energy</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_Toc242393214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FFFB508" w14:textId="1C64734F">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5">
            <w:r w:rsidRPr="00623820">
              <w:rPr>
                <w:rStyle w:val="Hyperlink"/>
                <w:rFonts w:ascii="Times New Roman" w:hAnsi="Times New Roman" w:cs="Times New Roman"/>
                <w:noProof/>
                <w:color w:val="0D0D0D" w:themeColor="text1" w:themeTint="F2"/>
                <w:sz w:val="24"/>
                <w:szCs w:val="24"/>
              </w:rPr>
              <w:t>3.2 Stages of Aerobic Cellular Respiration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_Toc242393215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2FD0AAAE" w14:textId="5889B9A8">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6">
            <w:r w:rsidRPr="00623820">
              <w:rPr>
                <w:rStyle w:val="Hyperlink"/>
                <w:rFonts w:ascii="Times New Roman" w:hAnsi="Times New Roman" w:cs="Times New Roman"/>
                <w:noProof/>
                <w:color w:val="0D0D0D" w:themeColor="text1" w:themeTint="F2"/>
                <w:sz w:val="24"/>
                <w:szCs w:val="24"/>
              </w:rPr>
              <w:t>3.3 Relationship Between Cellular Metabolism and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_Toc242393216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7330A695" w14:textId="56B91EC0">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7">
            <w:r w:rsidRPr="00623820">
              <w:rPr>
                <w:rStyle w:val="Hyperlink"/>
                <w:rFonts w:ascii="Times New Roman" w:hAnsi="Times New Roman" w:cs="Times New Roman"/>
                <w:noProof/>
                <w:color w:val="0D0D0D" w:themeColor="text1" w:themeTint="F2"/>
                <w:sz w:val="24"/>
                <w:szCs w:val="24"/>
              </w:rPr>
              <w:t>4. Recording and Monitoring Blood Glucose Levels in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2C738603" w14:textId="4CC4F33B">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8">
            <w:r w:rsidRPr="00623820">
              <w:rPr>
                <w:rStyle w:val="Hyperlink"/>
                <w:rFonts w:ascii="Times New Roman" w:hAnsi="Times New Roman" w:cs="Times New Roman"/>
                <w:noProof/>
                <w:color w:val="0D0D0D" w:themeColor="text1" w:themeTint="F2"/>
                <w:sz w:val="24"/>
                <w:szCs w:val="24"/>
              </w:rPr>
              <w:t>4.1 Methods of Blood Glucose Monitoring</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_Toc242393218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66E8D982" w14:textId="27E3491A">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19">
            <w:r w:rsidRPr="00623820">
              <w:rPr>
                <w:rStyle w:val="Hyperlink"/>
                <w:rFonts w:ascii="Times New Roman" w:hAnsi="Times New Roman" w:cs="Times New Roman"/>
                <w:noProof/>
                <w:color w:val="0D0D0D" w:themeColor="text1" w:themeTint="F2"/>
                <w:sz w:val="24"/>
                <w:szCs w:val="24"/>
              </w:rPr>
              <w:t>4.2 Importance of Recording and Tracking Glucose Data</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_Toc242393219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0DED47D1" w14:textId="7C827401">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0">
            <w:r w:rsidRPr="00623820">
              <w:rPr>
                <w:rStyle w:val="Hyperlink"/>
                <w:rFonts w:ascii="Times New Roman" w:hAnsi="Times New Roman" w:cs="Times New Roman"/>
                <w:noProof/>
                <w:color w:val="0D0D0D" w:themeColor="text1" w:themeTint="F2"/>
                <w:sz w:val="24"/>
                <w:szCs w:val="24"/>
              </w:rPr>
              <w:t>4.3 Using Routine Health Data to Improve Patient Outcomes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_Toc242393220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62E8CC81" w14:textId="028CD82F">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1">
            <w:r w:rsidRPr="00623820">
              <w:rPr>
                <w:rStyle w:val="Hyperlink"/>
                <w:rFonts w:ascii="Times New Roman" w:hAnsi="Times New Roman" w:cs="Times New Roman"/>
                <w:noProof/>
                <w:color w:val="0D0D0D" w:themeColor="text1" w:themeTint="F2"/>
                <w:sz w:val="24"/>
                <w:szCs w:val="24"/>
              </w:rPr>
              <w:t>5. Evidence-Based Lifestyle Recommendations for Managing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_Toc242393221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7FA57D1" w14:textId="01CC4535">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2">
            <w:r w:rsidRPr="00623820">
              <w:rPr>
                <w:rStyle w:val="Hyperlink"/>
                <w:rFonts w:ascii="Times New Roman" w:hAnsi="Times New Roman" w:cs="Times New Roman"/>
                <w:noProof/>
                <w:color w:val="0D0D0D" w:themeColor="text1" w:themeTint="F2"/>
                <w:sz w:val="24"/>
                <w:szCs w:val="24"/>
              </w:rPr>
              <w:t>5.1 Dietary Changes and Weight Management</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_Toc242393222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8</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7A07B66D" w14:textId="322EBCD2">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3">
            <w:r w:rsidRPr="00623820">
              <w:rPr>
                <w:rStyle w:val="Hyperlink"/>
                <w:rFonts w:ascii="Times New Roman" w:hAnsi="Times New Roman" w:cs="Times New Roman"/>
                <w:noProof/>
                <w:color w:val="0D0D0D" w:themeColor="text1" w:themeTint="F2"/>
                <w:sz w:val="24"/>
                <w:szCs w:val="24"/>
              </w:rPr>
              <w:t>5.2 Physical Activity and Exercise</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_Toc242393223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8</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4EE7B12" w14:textId="37E99FC7">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4">
            <w:r w:rsidRPr="00623820">
              <w:rPr>
                <w:rStyle w:val="Hyperlink"/>
                <w:rFonts w:ascii="Times New Roman" w:hAnsi="Times New Roman" w:cs="Times New Roman"/>
                <w:noProof/>
                <w:color w:val="0D0D0D" w:themeColor="text1" w:themeTint="F2"/>
                <w:sz w:val="24"/>
                <w:szCs w:val="24"/>
              </w:rPr>
              <w:t>5.3 Smoking Cessation and Additional Lifestyle Improvements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_Toc242393224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1BF4249A" w14:textId="4D398792">
          <w:pPr>
            <w:pStyle w:val="TOC2"/>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5">
            <w:r w:rsidRPr="00623820">
              <w:rPr>
                <w:rStyle w:val="Hyperlink"/>
                <w:rFonts w:ascii="Times New Roman" w:hAnsi="Times New Roman" w:cs="Times New Roman"/>
                <w:noProof/>
                <w:color w:val="0D0D0D" w:themeColor="text1" w:themeTint="F2"/>
                <w:sz w:val="24"/>
                <w:szCs w:val="24"/>
              </w:rPr>
              <w:t>5.4 Patient Education and Long-Term Behavioural Change</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_Toc242393225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002CF13B" w14:textId="7423E48D">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6">
            <w:r w:rsidRPr="00623820">
              <w:rPr>
                <w:rStyle w:val="Hyperlink"/>
                <w:rFonts w:ascii="Times New Roman" w:hAnsi="Times New Roman" w:cs="Times New Roman"/>
                <w:noProof/>
                <w:color w:val="0D0D0D" w:themeColor="text1" w:themeTint="F2"/>
                <w:sz w:val="24"/>
                <w:szCs w:val="24"/>
              </w:rPr>
              <w:t>6. Conclusion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_Toc242393226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rsidRPr="00623820" w:rsidR="00623820" w:rsidP="00623820" w:rsidRDefault="00623820" w14:paraId="572F0A45" w14:textId="51F6D369">
          <w:pPr>
            <w:pStyle w:val="TOC1"/>
            <w:tabs>
              <w:tab w:val="right" w:leader="dot" w:pos="9350"/>
            </w:tabs>
            <w:spacing w:line="360" w:lineRule="auto"/>
            <w:jc w:val="center"/>
            <w:rPr>
              <w:rFonts w:ascii="Times New Roman" w:hAnsi="Times New Roman" w:cs="Times New Roman" w:eastAsiaTheme="minorEastAsia"/>
              <w:noProof/>
              <w:color w:val="0D0D0D" w:themeColor="text1" w:themeTint="F2"/>
              <w:kern w:val="2"/>
              <w:sz w:val="24"/>
              <w:szCs w:val="24"/>
              <w:lang w:eastAsia="en-GB"/>
              <w14:ligatures w14:val="standardContextual"/>
            </w:rPr>
          </w:pPr>
          <w:hyperlink w:history="1" w:anchor="_Toc242393227">
            <w:r w:rsidRPr="00623820">
              <w:rPr>
                <w:rStyle w:val="Hyperlink"/>
                <w:rFonts w:ascii="Times New Roman" w:hAnsi="Times New Roman" w:cs="Times New Roman"/>
                <w:noProof/>
                <w:color w:val="0D0D0D" w:themeColor="text1" w:themeTint="F2"/>
                <w:sz w:val="24"/>
                <w:szCs w:val="24"/>
              </w:rPr>
              <w:t>References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11</w:t>
            </w:r>
            <w:r w:rsidRPr="00623820">
              <w:rPr>
                <w:rFonts w:ascii="Times New Roman" w:hAnsi="Times New Roman" w:cs="Times New Roman"/>
                <w:noProof/>
                <w:webHidden/>
                <w:color w:val="0D0D0D" w:themeColor="text1" w:themeTint="F2"/>
                <w:sz w:val="24"/>
                <w:szCs w:val="24"/>
              </w:rPr>
              <w:fldChar w:fldCharType="end"/>
            </w:r>
          </w:hyperlink>
        </w:p>
        <w:p w:rsidRPr="00623820" w:rsidR="00B21F0F" w:rsidP="00623820" w:rsidRDefault="00B21F0F" w14:paraId="7BAE51E7" w14:textId="42A9EEDB">
          <w:pPr>
            <w:spacing w:line="360" w:lineRule="auto"/>
            <w:jc w:val="center"/>
            <w:rPr>
              <w:rFonts w:ascii="Times New Roman" w:hAnsi="Times New Roman" w:cs="Times New Roman"/>
              <w:color w:val="0D0D0D" w:themeColor="text1" w:themeTint="F2"/>
              <w:sz w:val="24"/>
              <w:szCs w:val="24"/>
            </w:rPr>
          </w:pPr>
          <w:r w:rsidRPr="00623820">
            <w:rPr>
              <w:rFonts w:ascii="Times New Roman" w:hAnsi="Times New Roman" w:cs="Times New Roman"/>
              <w:b/>
              <w:bCs/>
              <w:color w:val="0D0D0D" w:themeColor="text1" w:themeTint="F2"/>
              <w:sz w:val="24"/>
              <w:szCs w:val="24"/>
            </w:rPr>
            <w:fldChar w:fldCharType="end"/>
          </w:r>
        </w:p>
      </w:sdtContent>
    </w:sdt>
    <w:p w:rsidRPr="00623820" w:rsidR="009A1F18" w:rsidRDefault="009A1F18" w14:paraId="5A516652" w14:textId="77777777">
      <w:pPr>
        <w:rPr>
          <w:rFonts w:ascii="Times New Roman" w:hAnsi="Times New Roman" w:eastAsia="Times New Roman" w:cs="Times New Roman"/>
          <w:b/>
          <w:bCs/>
          <w:sz w:val="36"/>
          <w:szCs w:val="36"/>
        </w:rPr>
      </w:pPr>
      <w:r w:rsidRPr="00623820">
        <w:rPr>
          <w:rFonts w:ascii="Times New Roman" w:hAnsi="Times New Roman" w:eastAsia="Times New Roman" w:cs="Times New Roman"/>
          <w:b/>
          <w:bCs/>
          <w:sz w:val="36"/>
          <w:szCs w:val="36"/>
        </w:rPr>
        <w:br w:type="page"/>
      </w:r>
    </w:p>
    <w:p w:rsidRPr="00623820" w:rsidR="00A13F45" w:rsidP="00663794" w:rsidRDefault="00A13F45" w14:paraId="28118821" w14:textId="5D31CB4E">
      <w:pPr>
        <w:pStyle w:val="Heading1"/>
      </w:pPr>
      <w:bookmarkStart w:name="_Toc242393206" w:id="0"/>
      <w:r w:rsidRPr="00623820">
        <w:lastRenderedPageBreak/>
        <w:t>1. Introduction: Understanding Diabetes and Its Risk Factors</w:t>
      </w:r>
      <w:bookmarkEnd w:id="0"/>
    </w:p>
    <w:p w:rsidRPr="00623820" w:rsidR="00A13F45" w:rsidP="008A54F4" w:rsidRDefault="00A13F45" w14:paraId="43A024C4" w14:textId="77777777">
      <w:pPr>
        <w:pStyle w:val="Heading2"/>
        <w:rPr>
          <w:sz w:val="24"/>
          <w:szCs w:val="24"/>
        </w:rPr>
      </w:pPr>
      <w:bookmarkStart w:name="_Toc242393207" w:id="1"/>
      <w:r w:rsidRPr="00623820">
        <w:rPr>
          <w:sz w:val="24"/>
          <w:szCs w:val="24"/>
        </w:rPr>
        <w:t>1.1 Definition and Overview of Diabetes</w:t>
      </w:r>
      <w:bookmarkEnd w:id="1"/>
    </w:p>
    <w:p w:rsidRPr="00623820" w:rsidR="00A13F45" w:rsidP="00A2626A" w:rsidRDefault="007D08F4" w14:paraId="71AF57AE" w14:textId="0BBCDFCB">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The condition of diabetes mellitus is a metabolic disorder that is chronic and is characterised by high blood glucose levels. The cause of Type 1 diabetes is the autoimmune destruction of insulin producing cells of the pancreas, as compared to Type 2 diabetes that is caused by insulin resistance and gradual dysfunction of the pancreatic beta-cells. Having proper glucose levels is critical to energy generation in the body and normal activity in organs</w:t>
      </w:r>
      <w:r w:rsidRPr="000B7453" w:rsidR="000B7453">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Basak</w:t>
      </w:r>
      <w:proofErr w:type="spellEnd"/>
      <w:r w:rsidRPr="000B7453" w:rsidR="000B7453">
        <w:rPr>
          <w:rFonts w:ascii="Times New Roman" w:hAnsi="Times New Roman" w:eastAsia="Times New Roman" w:cs="Times New Roman"/>
          <w:sz w:val="24"/>
          <w:szCs w:val="24"/>
        </w:rPr>
        <w:t xml:space="preserve"> and Laskar, 2024)</w:t>
      </w:r>
      <w:r w:rsidRPr="00623820">
        <w:rPr>
          <w:rFonts w:ascii="Times New Roman" w:hAnsi="Times New Roman" w:eastAsia="Times New Roman" w:cs="Times New Roman"/>
          <w:sz w:val="24"/>
          <w:szCs w:val="24"/>
        </w:rPr>
        <w:t>. Type 2 diabetes is a major challenge to UK primary healthcare service due to its need to be monitored continuously, treated and educated.</w:t>
      </w:r>
    </w:p>
    <w:p w:rsidRPr="00623820" w:rsidR="00A13F45" w:rsidP="008A54F4" w:rsidRDefault="00A13F45" w14:paraId="6EC39E4D" w14:textId="77777777">
      <w:pPr>
        <w:pStyle w:val="Heading2"/>
        <w:rPr>
          <w:sz w:val="24"/>
          <w:szCs w:val="24"/>
        </w:rPr>
      </w:pPr>
      <w:bookmarkStart w:name="_Toc242393208" w:id="2"/>
      <w:r w:rsidRPr="00623820">
        <w:rPr>
          <w:sz w:val="24"/>
          <w:szCs w:val="24"/>
        </w:rPr>
        <w:t>1.2 Risk Factors and Health Implications</w:t>
      </w:r>
      <w:bookmarkEnd w:id="2"/>
    </w:p>
    <w:p w:rsidRPr="00623820" w:rsidR="00A13F45" w:rsidP="00A2626A" w:rsidRDefault="007D08F4" w14:paraId="619CE5FC" w14:textId="33A0E1E6">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Diabetes type 2 occurs </w:t>
      </w:r>
      <w:proofErr w:type="gramStart"/>
      <w:r w:rsidRPr="00623820">
        <w:rPr>
          <w:rFonts w:ascii="Times New Roman" w:hAnsi="Times New Roman" w:eastAsia="Times New Roman" w:cs="Times New Roman"/>
          <w:sz w:val="24"/>
          <w:szCs w:val="24"/>
        </w:rPr>
        <w:t>as a result of</w:t>
      </w:r>
      <w:proofErr w:type="gramEnd"/>
      <w:r w:rsidRPr="00623820">
        <w:rPr>
          <w:rFonts w:ascii="Times New Roman" w:hAnsi="Times New Roman" w:eastAsia="Times New Roman" w:cs="Times New Roman"/>
          <w:sz w:val="24"/>
          <w:szCs w:val="24"/>
        </w:rPr>
        <w:t xml:space="preserve"> interplay of the modifiable and non-modifiable risk factors. Preconditions are obesity, a sedentary lifestyle, bad eating habits and smoking, and ageing, genetic predisposition and family history are the added factors to risk. Continued hyperglycaemia destroys blood and nerve cells which predisposes the body to cardiovascular disease, kidney failure, diabetic retinopathy and neuropathy. Diagnosis early, educating the patients and introducing proper lifestyle changes is thus necessary to prevent complications and to enable successful management of the disease in the long run.</w:t>
      </w:r>
    </w:p>
    <w:p w:rsidRPr="00623820" w:rsidR="00A13F45" w:rsidP="00663794" w:rsidRDefault="00A13F45" w14:paraId="5B2FD1AE" w14:textId="77777777">
      <w:pPr>
        <w:pStyle w:val="Heading1"/>
      </w:pPr>
      <w:bookmarkStart w:name="_Toc242393209" w:id="3"/>
      <w:r w:rsidRPr="00623820">
        <w:t xml:space="preserve">2. Physiological Regulation of Blood </w:t>
      </w:r>
      <w:r w:rsidRPr="00663794">
        <w:t>Glucose</w:t>
      </w:r>
      <w:r w:rsidRPr="00623820">
        <w:t xml:space="preserve"> Levels</w:t>
      </w:r>
      <w:bookmarkEnd w:id="3"/>
    </w:p>
    <w:p w:rsidRPr="00623820" w:rsidR="00A13F45" w:rsidP="008A54F4" w:rsidRDefault="00A13F45" w14:paraId="548BF7F2" w14:textId="77777777">
      <w:pPr>
        <w:pStyle w:val="Heading2"/>
        <w:rPr>
          <w:sz w:val="24"/>
          <w:szCs w:val="24"/>
        </w:rPr>
      </w:pPr>
      <w:bookmarkStart w:name="_Toc242393210" w:id="4"/>
      <w:r w:rsidRPr="00623820">
        <w:rPr>
          <w:sz w:val="24"/>
          <w:szCs w:val="24"/>
        </w:rPr>
        <w:t>2.1 The Role of the Pancreas, Insulin and Glucagon</w:t>
      </w:r>
      <w:bookmarkEnd w:id="4"/>
    </w:p>
    <w:p w:rsidRPr="00623820" w:rsidR="007D08F4" w:rsidP="007D08F4" w:rsidRDefault="007D08F4" w14:paraId="218C4431"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The major role of the pancreas is to maintain the blood glucose level by specialised endocrine cells it bears within the islets of Langerhans. Pancreatic beta cells secrete insulin and alpha cells secrete glucagon. The combination of these hormones helps in the regulation of glucose levels that are suitable to the normal functioning of the body.</w:t>
      </w:r>
    </w:p>
    <w:p w:rsidRPr="00623820" w:rsidR="007D08F4" w:rsidP="007D08F4" w:rsidRDefault="007D08F4" w14:paraId="1D20C234" w14:textId="56D052B3">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After eating, the carbohydrates are digested to glucose that is sent to the blood that raises glucose levels in the blood. As a result, beta cells in the pancreas release the insulin</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Belani</w:t>
      </w:r>
      <w:proofErr w:type="spellEnd"/>
      <w:r w:rsidRPr="000B7453" w:rsidR="000B7453">
        <w:rPr>
          <w:rFonts w:ascii="Times New Roman" w:hAnsi="Times New Roman" w:eastAsia="Times New Roman" w:cs="Times New Roman"/>
          <w:sz w:val="24"/>
          <w:szCs w:val="24"/>
        </w:rPr>
        <w:t>, 2026)</w:t>
      </w:r>
      <w:r w:rsidRPr="00623820">
        <w:rPr>
          <w:rFonts w:ascii="Times New Roman" w:hAnsi="Times New Roman" w:eastAsia="Times New Roman" w:cs="Times New Roman"/>
          <w:sz w:val="24"/>
          <w:szCs w:val="24"/>
        </w:rPr>
        <w:t xml:space="preserve">. Insulin promotes uptake of glucose into skeletal muscle and adipose tissue by enhancing the transport of </w:t>
      </w:r>
      <w:r w:rsidRPr="00623820">
        <w:rPr>
          <w:rFonts w:ascii="Times New Roman" w:hAnsi="Times New Roman" w:eastAsia="Times New Roman" w:cs="Times New Roman"/>
          <w:sz w:val="24"/>
          <w:szCs w:val="24"/>
        </w:rPr>
        <w:lastRenderedPageBreak/>
        <w:t>GLUT4 transport proteins to cell membranes. It also promotes production of glycogen in liver and muscles so that any surplus glucose would be stored to be used in the future.</w:t>
      </w:r>
    </w:p>
    <w:p w:rsidRPr="00623820" w:rsidR="00A13F45" w:rsidP="007D08F4" w:rsidRDefault="007D08F4" w14:paraId="37EAA6C2" w14:textId="5C61E263">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On the other hand, the level of glucose in blood reduces during fasting, leading to glucagon release by pancreatic alpha cells. This hormone causes glycogenolysis in the liver, </w:t>
      </w:r>
      <w:proofErr w:type="gramStart"/>
      <w:r w:rsidRPr="00623820">
        <w:rPr>
          <w:rFonts w:ascii="Times New Roman" w:hAnsi="Times New Roman" w:eastAsia="Times New Roman" w:cs="Times New Roman"/>
          <w:sz w:val="24"/>
          <w:szCs w:val="24"/>
        </w:rPr>
        <w:t>as a result of</w:t>
      </w:r>
      <w:proofErr w:type="gramEnd"/>
      <w:r w:rsidRPr="00623820">
        <w:rPr>
          <w:rFonts w:ascii="Times New Roman" w:hAnsi="Times New Roman" w:eastAsia="Times New Roman" w:cs="Times New Roman"/>
          <w:sz w:val="24"/>
          <w:szCs w:val="24"/>
        </w:rPr>
        <w:t xml:space="preserve"> which the stored glycogen is converted into glucose. The glucagon also stimulates gluconeogenesis that allows the liver to synthesi</w:t>
      </w:r>
      <w:r w:rsidR="000B7453">
        <w:rPr>
          <w:rFonts w:ascii="Times New Roman" w:hAnsi="Times New Roman" w:eastAsia="Times New Roman" w:cs="Times New Roman"/>
          <w:sz w:val="24"/>
          <w:szCs w:val="24"/>
        </w:rPr>
        <w:t>s</w:t>
      </w:r>
      <w:r w:rsidRPr="00623820">
        <w:rPr>
          <w:rFonts w:ascii="Times New Roman" w:hAnsi="Times New Roman" w:eastAsia="Times New Roman" w:cs="Times New Roman"/>
          <w:sz w:val="24"/>
          <w:szCs w:val="24"/>
        </w:rPr>
        <w:t xml:space="preserve">e glucose out of non-carbohydrate minerals. </w:t>
      </w:r>
    </w:p>
    <w:p w:rsidRPr="00623820" w:rsidR="00A13F45" w:rsidP="008A54F4" w:rsidRDefault="00A13F45" w14:paraId="400C3A8A" w14:textId="77777777">
      <w:pPr>
        <w:pStyle w:val="Heading2"/>
        <w:rPr>
          <w:sz w:val="24"/>
          <w:szCs w:val="24"/>
        </w:rPr>
      </w:pPr>
      <w:bookmarkStart w:name="_Toc242393211" w:id="5"/>
      <w:r w:rsidRPr="00623820">
        <w:rPr>
          <w:sz w:val="24"/>
          <w:szCs w:val="24"/>
        </w:rPr>
        <w:t>2.2 Homeostasis and Negative Feedback Mechanisms</w:t>
      </w:r>
      <w:bookmarkEnd w:id="5"/>
    </w:p>
    <w:p w:rsidRPr="00623820" w:rsidR="0052687B" w:rsidP="0052687B" w:rsidRDefault="0052687B" w14:paraId="6EB13044"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The term homeostasis describes the way the body </w:t>
      </w:r>
      <w:proofErr w:type="gramStart"/>
      <w:r w:rsidRPr="00623820">
        <w:rPr>
          <w:rFonts w:ascii="Times New Roman" w:hAnsi="Times New Roman" w:eastAsia="Times New Roman" w:cs="Times New Roman"/>
          <w:sz w:val="24"/>
          <w:szCs w:val="24"/>
        </w:rPr>
        <w:t>is able to</w:t>
      </w:r>
      <w:proofErr w:type="gramEnd"/>
      <w:r w:rsidRPr="00623820">
        <w:rPr>
          <w:rFonts w:ascii="Times New Roman" w:hAnsi="Times New Roman" w:eastAsia="Times New Roman" w:cs="Times New Roman"/>
          <w:sz w:val="24"/>
          <w:szCs w:val="24"/>
        </w:rPr>
        <w:t xml:space="preserve"> maintain a relatively stable level of internal condition in spite of changes in the environment or physiological conditions. Insulin and glucagon are involved in blood glucose regulation took care of by the negative feedback mechanisms.</w:t>
      </w:r>
    </w:p>
    <w:p w:rsidRPr="00623820" w:rsidR="0052687B" w:rsidP="0052687B" w:rsidRDefault="0052687B" w14:paraId="1E959093" w14:textId="27EACA2C">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Increase in glucose levels stimulates insulin release which facilitates cellular uptake and </w:t>
      </w:r>
      <w:proofErr w:type="gramStart"/>
      <w:r w:rsidRPr="00623820">
        <w:rPr>
          <w:rFonts w:ascii="Times New Roman" w:hAnsi="Times New Roman" w:eastAsia="Times New Roman" w:cs="Times New Roman"/>
          <w:sz w:val="24"/>
          <w:szCs w:val="24"/>
        </w:rPr>
        <w:t>storage, and</w:t>
      </w:r>
      <w:proofErr w:type="gramEnd"/>
      <w:r w:rsidRPr="00623820">
        <w:rPr>
          <w:rFonts w:ascii="Times New Roman" w:hAnsi="Times New Roman" w:eastAsia="Times New Roman" w:cs="Times New Roman"/>
          <w:sz w:val="24"/>
          <w:szCs w:val="24"/>
        </w:rPr>
        <w:t xml:space="preserve"> lowers glucose levels in circulation</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 xml:space="preserve">(Chandrasekaran and </w:t>
      </w:r>
      <w:proofErr w:type="spellStart"/>
      <w:r w:rsidRPr="000B7453" w:rsidR="000B7453">
        <w:rPr>
          <w:rFonts w:ascii="Times New Roman" w:hAnsi="Times New Roman" w:eastAsia="Times New Roman" w:cs="Times New Roman"/>
          <w:sz w:val="24"/>
          <w:szCs w:val="24"/>
        </w:rPr>
        <w:t>Weiskirchen</w:t>
      </w:r>
      <w:proofErr w:type="spellEnd"/>
      <w:r w:rsidRPr="000B7453" w:rsidR="000B7453">
        <w:rPr>
          <w:rFonts w:ascii="Times New Roman" w:hAnsi="Times New Roman" w:eastAsia="Times New Roman" w:cs="Times New Roman"/>
          <w:sz w:val="24"/>
          <w:szCs w:val="24"/>
        </w:rPr>
        <w:t>, 2024)</w:t>
      </w:r>
      <w:r w:rsidRPr="00623820">
        <w:rPr>
          <w:rFonts w:ascii="Times New Roman" w:hAnsi="Times New Roman" w:eastAsia="Times New Roman" w:cs="Times New Roman"/>
          <w:sz w:val="24"/>
          <w:szCs w:val="24"/>
        </w:rPr>
        <w:t>. Insulin secretion is decreased as concentrations are brought back to normal. When glucose levels fall, glucagon provokes the hepatic glucose release, replenishing the circulation levels.</w:t>
      </w:r>
    </w:p>
    <w:p w:rsidRPr="00623820" w:rsidR="00A13F45" w:rsidP="0052687B" w:rsidRDefault="0052687B" w14:paraId="0AA197CB" w14:textId="6AD81238">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It has been noted that effective regulation is especially crucial </w:t>
      </w:r>
      <w:proofErr w:type="gramStart"/>
      <w:r w:rsidRPr="00623820">
        <w:rPr>
          <w:rFonts w:ascii="Times New Roman" w:hAnsi="Times New Roman" w:eastAsia="Times New Roman" w:cs="Times New Roman"/>
          <w:sz w:val="24"/>
          <w:szCs w:val="24"/>
        </w:rPr>
        <w:t>due to the fact that</w:t>
      </w:r>
      <w:proofErr w:type="gramEnd"/>
      <w:r w:rsidRPr="00623820">
        <w:rPr>
          <w:rFonts w:ascii="Times New Roman" w:hAnsi="Times New Roman" w:eastAsia="Times New Roman" w:cs="Times New Roman"/>
          <w:sz w:val="24"/>
          <w:szCs w:val="24"/>
        </w:rPr>
        <w:t xml:space="preserve"> glucose is an important source of energy to the brain. Sweating, confusion, seizures and unconsciousness can also be caused by hypoglycaemia and dehydration, vascular damage, and possible serious diabetic complications can be more frequent due to prolonged hyperglycaemia.</w:t>
      </w:r>
    </w:p>
    <w:p w:rsidRPr="00623820" w:rsidR="00A13F45" w:rsidP="008A54F4" w:rsidRDefault="00A13F45" w14:paraId="744907EE" w14:textId="77777777">
      <w:pPr>
        <w:pStyle w:val="Heading2"/>
        <w:rPr>
          <w:sz w:val="24"/>
          <w:szCs w:val="24"/>
        </w:rPr>
      </w:pPr>
      <w:bookmarkStart w:name="_Toc242393212" w:id="6"/>
      <w:r w:rsidRPr="00623820">
        <w:rPr>
          <w:sz w:val="24"/>
          <w:szCs w:val="24"/>
        </w:rPr>
        <w:t>2.3 Disruption of Glucose Regulation in Type 2 Diabetes</w:t>
      </w:r>
      <w:bookmarkEnd w:id="6"/>
    </w:p>
    <w:p w:rsidRPr="00623820" w:rsidR="00853E2B" w:rsidP="00853E2B" w:rsidRDefault="00853E2B" w14:paraId="5F53C507" w14:textId="2F8F86EA">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In type 2 diabetes, insulin-responsive tissues fail to response with appropriate levels of insulin, leading to decreased glucose uptake and a diminished response in suppressing the production of hepatic glucose. To begin with, pancreatic beta cells make up by secreting more insulin. Nevertheless, the dysfunction of beta-cells gradually becomes progressive and does not allow producing insulin in adequate amounts to overcome resistance</w:t>
      </w:r>
      <w:r w:rsidRPr="000B7453" w:rsidR="000B7453">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Caturano</w:t>
      </w:r>
      <w:proofErr w:type="spellEnd"/>
      <w:r w:rsidRPr="000B7453" w:rsidR="000B7453">
        <w:rPr>
          <w:rFonts w:ascii="Times New Roman" w:hAnsi="Times New Roman" w:eastAsia="Times New Roman" w:cs="Times New Roman"/>
          <w:sz w:val="24"/>
          <w:szCs w:val="24"/>
        </w:rPr>
        <w:t xml:space="preserve"> et al., 2023)</w:t>
      </w:r>
      <w:r w:rsidRPr="00623820">
        <w:rPr>
          <w:rFonts w:ascii="Times New Roman" w:hAnsi="Times New Roman" w:eastAsia="Times New Roman" w:cs="Times New Roman"/>
          <w:sz w:val="24"/>
          <w:szCs w:val="24"/>
        </w:rPr>
        <w:t>.</w:t>
      </w:r>
    </w:p>
    <w:p w:rsidRPr="00623820" w:rsidR="00853E2B" w:rsidP="00853E2B" w:rsidRDefault="00853E2B" w14:paraId="2BBA93DC"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lastRenderedPageBreak/>
        <w:t>This results in high blood glucose especially after feeding and this could in turn rise during fasting. Continuous hyperglycaemia leads to inflammation, oxidative stress and vascular complications.</w:t>
      </w:r>
    </w:p>
    <w:p w:rsidRPr="00623820" w:rsidR="00A13F45" w:rsidP="00853E2B" w:rsidRDefault="00853E2B" w14:paraId="63A1DBB0" w14:textId="2FC71698">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These physiological abnormalities prove that the successful management needs the integration of activities, including proper medication, nutrition change, frequent physical activity and individualised glucose testing to reduce complications and remain metabolically stable.</w:t>
      </w:r>
    </w:p>
    <w:p w:rsidRPr="00623820" w:rsidR="00A13F45" w:rsidP="00663794" w:rsidRDefault="00A13F45" w14:paraId="5375E4A6" w14:textId="77777777">
      <w:pPr>
        <w:pStyle w:val="Heading1"/>
      </w:pPr>
      <w:bookmarkStart w:name="_Toc242393213" w:id="7"/>
      <w:r w:rsidRPr="00623820">
        <w:t xml:space="preserve">3. Cellular Metabolism: How </w:t>
      </w:r>
      <w:r w:rsidRPr="00663794">
        <w:t>Oxygen</w:t>
      </w:r>
      <w:r w:rsidRPr="00623820">
        <w:t xml:space="preserve"> and Glucose Produce Energy</w:t>
      </w:r>
      <w:bookmarkEnd w:id="7"/>
    </w:p>
    <w:p w:rsidRPr="00623820" w:rsidR="00A13F45" w:rsidP="008A54F4" w:rsidRDefault="00A13F45" w14:paraId="6CD19BDA" w14:textId="77777777">
      <w:pPr>
        <w:pStyle w:val="Heading2"/>
        <w:rPr>
          <w:sz w:val="24"/>
          <w:szCs w:val="24"/>
        </w:rPr>
      </w:pPr>
      <w:bookmarkStart w:name="_Toc242393214" w:id="8"/>
      <w:r w:rsidRPr="00623820">
        <w:rPr>
          <w:sz w:val="24"/>
          <w:szCs w:val="24"/>
        </w:rPr>
        <w:t>3.1 Glucose as a Source of Cellular Energy</w:t>
      </w:r>
      <w:bookmarkEnd w:id="8"/>
    </w:p>
    <w:p w:rsidRPr="00623820" w:rsidR="00853E2B" w:rsidP="00853E2B" w:rsidRDefault="00853E2B" w14:paraId="7A99A79B" w14:textId="774EA3E8">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Glucose is also a major source of energy that is needed by human cells to facilitate cell respiration. This converts the chemical energy that is contained in glucose to adenosine triphosphate (ATP), a substance that triggers the body to move</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Dhondge</w:t>
      </w:r>
      <w:proofErr w:type="spellEnd"/>
      <w:r w:rsidRPr="000B7453" w:rsidR="000B7453">
        <w:rPr>
          <w:rFonts w:ascii="Times New Roman" w:hAnsi="Times New Roman" w:eastAsia="Times New Roman" w:cs="Times New Roman"/>
          <w:sz w:val="24"/>
          <w:szCs w:val="24"/>
        </w:rPr>
        <w:t xml:space="preserve"> et al., 2024)</w:t>
      </w:r>
      <w:r w:rsidRPr="00623820">
        <w:rPr>
          <w:rFonts w:ascii="Times New Roman" w:hAnsi="Times New Roman" w:eastAsia="Times New Roman" w:cs="Times New Roman"/>
          <w:sz w:val="24"/>
          <w:szCs w:val="24"/>
        </w:rPr>
        <w:t>.</w:t>
      </w:r>
    </w:p>
    <w:p w:rsidRPr="00623820" w:rsidR="00853E2B" w:rsidP="00853E2B" w:rsidRDefault="00853E2B" w14:paraId="73BFEBF4"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The specialised transport proteins aid the entry of glucose into cells. Insulin promotes the intake of glucose in skeletal muscle and fat tissue and some other tissues do not need the assistance of insulin but have their individual transport systems.</w:t>
      </w:r>
    </w:p>
    <w:p w:rsidRPr="00623820" w:rsidR="00A13F45" w:rsidP="00853E2B" w:rsidRDefault="00853E2B" w14:paraId="6D611F4C" w14:textId="24CBE4C1">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ATP helps in muscle contraction, active transportation along the cell membrane, protein synthesis, repairing of cells, normal functioning of the organs. This means that to be physiologically stable, glucose needs to be used appropriately and particularly where energy is needed such as in the brain and muscles.</w:t>
      </w:r>
    </w:p>
    <w:p w:rsidRPr="00623820" w:rsidR="00A13F45" w:rsidP="008A54F4" w:rsidRDefault="00A13F45" w14:paraId="41FA9C52" w14:textId="77777777">
      <w:pPr>
        <w:pStyle w:val="Heading2"/>
        <w:rPr>
          <w:sz w:val="24"/>
          <w:szCs w:val="24"/>
        </w:rPr>
      </w:pPr>
      <w:bookmarkStart w:name="_Toc242393215" w:id="9"/>
      <w:r w:rsidRPr="00623820">
        <w:rPr>
          <w:sz w:val="24"/>
          <w:szCs w:val="24"/>
        </w:rPr>
        <w:t>3.2 Stages of Aerobic Cellular Respiration</w:t>
      </w:r>
      <w:bookmarkEnd w:id="9"/>
    </w:p>
    <w:p w:rsidRPr="00623820" w:rsidR="00853E2B" w:rsidP="00853E2B" w:rsidRDefault="00853E2B" w14:paraId="080E12BB"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Aerobic cellular respiration entails </w:t>
      </w:r>
      <w:proofErr w:type="gramStart"/>
      <w:r w:rsidRPr="00623820">
        <w:rPr>
          <w:rFonts w:ascii="Times New Roman" w:hAnsi="Times New Roman" w:eastAsia="Times New Roman" w:cs="Times New Roman"/>
          <w:sz w:val="24"/>
          <w:szCs w:val="24"/>
        </w:rPr>
        <w:t>a number of</w:t>
      </w:r>
      <w:proofErr w:type="gramEnd"/>
      <w:r w:rsidRPr="00623820">
        <w:rPr>
          <w:rFonts w:ascii="Times New Roman" w:hAnsi="Times New Roman" w:eastAsia="Times New Roman" w:cs="Times New Roman"/>
          <w:sz w:val="24"/>
          <w:szCs w:val="24"/>
        </w:rPr>
        <w:t xml:space="preserve"> interrelated biochemical reactions that transform glucose into cellular energy that may be used.</w:t>
      </w:r>
    </w:p>
    <w:p w:rsidRPr="00623820" w:rsidR="00853E2B" w:rsidP="00853E2B" w:rsidRDefault="00853E2B" w14:paraId="1EF15745" w14:textId="3ACD92E3">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Glycolysis, the initial step, takes place in cytoplasm, and during this process, a glucose molecule is broken down into two pyruvate molecules. This is where a low amount of ATP is produced and NADH, which carries electrons of high energy, is produced</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(Liu et al., 2022)</w:t>
      </w:r>
      <w:r w:rsidRPr="00623820">
        <w:rPr>
          <w:rFonts w:ascii="Times New Roman" w:hAnsi="Times New Roman" w:eastAsia="Times New Roman" w:cs="Times New Roman"/>
          <w:sz w:val="24"/>
          <w:szCs w:val="24"/>
        </w:rPr>
        <w:t>.</w:t>
      </w:r>
    </w:p>
    <w:p w:rsidRPr="00623820" w:rsidR="00853E2B" w:rsidP="00853E2B" w:rsidRDefault="00853E2B" w14:paraId="2BADA28C" w14:textId="151867D3">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lastRenderedPageBreak/>
        <w:t xml:space="preserve">Pyruvate reaches to mitochondria under aerobic </w:t>
      </w:r>
      <w:proofErr w:type="gramStart"/>
      <w:r w:rsidRPr="00623820">
        <w:rPr>
          <w:rFonts w:ascii="Times New Roman" w:hAnsi="Times New Roman" w:eastAsia="Times New Roman" w:cs="Times New Roman"/>
          <w:sz w:val="24"/>
          <w:szCs w:val="24"/>
        </w:rPr>
        <w:t>conditions</w:t>
      </w:r>
      <w:proofErr w:type="gramEnd"/>
      <w:r w:rsidRPr="00623820">
        <w:rPr>
          <w:rFonts w:ascii="Times New Roman" w:hAnsi="Times New Roman" w:eastAsia="Times New Roman" w:cs="Times New Roman"/>
          <w:sz w:val="24"/>
          <w:szCs w:val="24"/>
        </w:rPr>
        <w:t xml:space="preserve"> and it is changed to acetyl- CoA. The acetyl-CoA will then get into the citric acid cycle, which yields carbon dioxide and other electron carriers, such as NADH and FADH</w:t>
      </w:r>
      <w:r w:rsidRPr="00623820">
        <w:rPr>
          <w:rFonts w:ascii="Times New Roman" w:hAnsi="Times New Roman" w:eastAsia="Times New Roman" w:cs="Times New Roman"/>
          <w:sz w:val="24"/>
          <w:szCs w:val="24"/>
          <w:vertAlign w:val="subscript"/>
        </w:rPr>
        <w:t>2</w:t>
      </w:r>
      <w:r w:rsidRPr="00623820">
        <w:rPr>
          <w:rFonts w:ascii="Times New Roman" w:hAnsi="Times New Roman" w:eastAsia="Times New Roman" w:cs="Times New Roman"/>
          <w:sz w:val="24"/>
          <w:szCs w:val="24"/>
        </w:rPr>
        <w:t>.</w:t>
      </w:r>
    </w:p>
    <w:p w:rsidRPr="00623820" w:rsidR="00A13F45" w:rsidP="00A2626A" w:rsidRDefault="00853E2B" w14:paraId="437F1B42" w14:textId="2EF1EF2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This can be achieved by sufficient oxygen supply to facilitate smooth aerobic production of ATP, and by glucose being the plentiful metabolic substrate. The combination of these substances facilitates sustenance of energy needed in the normal cellular operations.</w:t>
      </w:r>
    </w:p>
    <w:p w:rsidRPr="00623820" w:rsidR="00A13F45" w:rsidP="008A54F4" w:rsidRDefault="00A13F45" w14:paraId="7E45985A" w14:textId="77777777">
      <w:pPr>
        <w:pStyle w:val="Heading2"/>
        <w:rPr>
          <w:sz w:val="24"/>
          <w:szCs w:val="24"/>
        </w:rPr>
      </w:pPr>
      <w:bookmarkStart w:name="_Toc242393216" w:id="10"/>
      <w:r w:rsidRPr="00623820">
        <w:rPr>
          <w:sz w:val="24"/>
          <w:szCs w:val="24"/>
        </w:rPr>
        <w:t>3.3 Relationship Between Cellular Metabolism and Diabetes</w:t>
      </w:r>
      <w:bookmarkEnd w:id="10"/>
    </w:p>
    <w:p w:rsidRPr="00623820" w:rsidR="00A13F45" w:rsidP="00A2626A" w:rsidRDefault="00853E2B" w14:paraId="4EF2ABAE" w14:textId="36ACB2EF">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The reason is insulin resistance inhibits normal glucose uptake in insulin-sensitive tissue in Type 2 diabetes, thereby impairs the normal regulation of metabolism. Though blood circulation glucose levels can be adequate, the low functioning of glucose </w:t>
      </w:r>
      <w:proofErr w:type="gramStart"/>
      <w:r w:rsidRPr="00623820">
        <w:rPr>
          <w:rFonts w:ascii="Times New Roman" w:hAnsi="Times New Roman" w:eastAsia="Times New Roman" w:cs="Times New Roman"/>
          <w:sz w:val="24"/>
          <w:szCs w:val="24"/>
        </w:rPr>
        <w:t>use</w:t>
      </w:r>
      <w:proofErr w:type="gramEnd"/>
      <w:r w:rsidRPr="00623820">
        <w:rPr>
          <w:rFonts w:ascii="Times New Roman" w:hAnsi="Times New Roman" w:eastAsia="Times New Roman" w:cs="Times New Roman"/>
          <w:sz w:val="24"/>
          <w:szCs w:val="24"/>
        </w:rPr>
        <w:t xml:space="preserve"> and related metabolic disorders may also be a cause of fatigue</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(Lu et al., 2024)</w:t>
      </w:r>
      <w:r w:rsidRPr="00623820">
        <w:rPr>
          <w:rFonts w:ascii="Times New Roman" w:hAnsi="Times New Roman" w:eastAsia="Times New Roman" w:cs="Times New Roman"/>
          <w:sz w:val="24"/>
          <w:szCs w:val="24"/>
        </w:rPr>
        <w:t>. Normal concentrations of blood glucose are line with better functioning of the cells as well as lessens chances of physiological problems that may emerge over time.</w:t>
      </w:r>
    </w:p>
    <w:p w:rsidRPr="00623820" w:rsidR="00A13F45" w:rsidP="00663794" w:rsidRDefault="00A13F45" w14:paraId="4EB11D22" w14:textId="77777777">
      <w:pPr>
        <w:pStyle w:val="Heading1"/>
      </w:pPr>
      <w:bookmarkStart w:name="_Toc242393217" w:id="11"/>
      <w:r w:rsidRPr="00623820">
        <w:t>4. Recording and Monitoring Blood Glucose Levels in Type 2 Diabetes</w:t>
      </w:r>
      <w:bookmarkEnd w:id="11"/>
    </w:p>
    <w:p w:rsidRPr="00623820" w:rsidR="00A13F45" w:rsidP="008A54F4" w:rsidRDefault="00A13F45" w14:paraId="7BB782E8" w14:textId="77777777">
      <w:pPr>
        <w:pStyle w:val="Heading2"/>
        <w:rPr>
          <w:sz w:val="24"/>
          <w:szCs w:val="24"/>
        </w:rPr>
      </w:pPr>
      <w:bookmarkStart w:name="_Toc242393218" w:id="12"/>
      <w:r w:rsidRPr="00623820">
        <w:rPr>
          <w:sz w:val="24"/>
          <w:szCs w:val="24"/>
        </w:rPr>
        <w:t>4.1 Methods of Blood Glucose Monitoring</w:t>
      </w:r>
      <w:bookmarkEnd w:id="12"/>
    </w:p>
    <w:p w:rsidRPr="00623820" w:rsidR="00A13F45" w:rsidP="00A2626A" w:rsidRDefault="00C542B7" w14:paraId="421B1050" w14:textId="2A70CB45">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Alteration of blood glucose levels offers valuable insights into treatment and glycaemic control limitations. Capillary blood glucose is done by taking a small sample of blood with a finger-prick meter and assessing the levels of the glucose in a mobile meter. This technique gives an instant reading, enabling patients to detect potentially harmful variations. Continuous glucose monitoring (CGM) is an approach that employs a sensor under the skin to approximate the glucose levels in the interstitial fluid. It offers recurring measurements and identification of trends all through the day and night. Glycated haemoglobin (HbA1c) analysis of levels of glucose chemically bound to haemoglobin is a test of average glycaemic exposure over two to three months. HbA1c can help periodic check-up of the clinical condition as opposed to individual glucose levels because it points to more long-term management.</w:t>
      </w:r>
    </w:p>
    <w:p w:rsidR="00751394" w:rsidP="008A54F4" w:rsidRDefault="00751394" w14:paraId="2DEEDA94" w14:textId="77777777">
      <w:pPr>
        <w:pStyle w:val="Heading2"/>
        <w:rPr>
          <w:sz w:val="24"/>
          <w:szCs w:val="24"/>
        </w:rPr>
      </w:pPr>
      <w:bookmarkStart w:name="_Toc242393219" w:id="13"/>
    </w:p>
    <w:p w:rsidR="00751394" w:rsidP="008A54F4" w:rsidRDefault="00751394" w14:paraId="372663B2" w14:textId="77777777">
      <w:pPr>
        <w:pStyle w:val="Heading2"/>
        <w:rPr>
          <w:sz w:val="24"/>
          <w:szCs w:val="24"/>
        </w:rPr>
      </w:pPr>
    </w:p>
    <w:p w:rsidRPr="00623820" w:rsidR="00A13F45" w:rsidP="008A54F4" w:rsidRDefault="00A13F45" w14:paraId="234DA99A" w14:textId="3F443808">
      <w:pPr>
        <w:pStyle w:val="Heading2"/>
        <w:rPr>
          <w:sz w:val="24"/>
          <w:szCs w:val="24"/>
        </w:rPr>
      </w:pPr>
      <w:r w:rsidRPr="00623820">
        <w:rPr>
          <w:sz w:val="24"/>
          <w:szCs w:val="24"/>
        </w:rPr>
        <w:lastRenderedPageBreak/>
        <w:t>4.2 Importance of Recording and Tracking Glucose Data</w:t>
      </w:r>
      <w:bookmarkEnd w:id="13"/>
    </w:p>
    <w:p w:rsidRPr="00623820" w:rsidR="00A13F45" w:rsidP="00A2626A" w:rsidRDefault="00C542B7" w14:paraId="17E1AB85" w14:textId="52E05AD3">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Coupling the time-resolved measurements of glucose allows patients and healthcare providers to discover the repetitive trends of hyperglycaemia and hypoglycaemia. Comparisons of pre and post meal readings will be able to show the effect of specific foods on glucose levels and the record of physical activity might indicate the variation in the insulin sensitivity. Monitoring is also useful in measuring the effectiveness of medication and to identify conditions that need modification in treatment. The repeated measurements of HbA1c offer more evidence </w:t>
      </w:r>
      <w:proofErr w:type="gramStart"/>
      <w:r w:rsidRPr="00623820">
        <w:rPr>
          <w:rFonts w:ascii="Times New Roman" w:hAnsi="Times New Roman" w:eastAsia="Times New Roman" w:cs="Times New Roman"/>
          <w:sz w:val="24"/>
          <w:szCs w:val="24"/>
        </w:rPr>
        <w:t>with regard to</w:t>
      </w:r>
      <w:proofErr w:type="gramEnd"/>
      <w:r w:rsidRPr="00623820">
        <w:rPr>
          <w:rFonts w:ascii="Times New Roman" w:hAnsi="Times New Roman" w:eastAsia="Times New Roman" w:cs="Times New Roman"/>
          <w:sz w:val="24"/>
          <w:szCs w:val="24"/>
        </w:rPr>
        <w:t xml:space="preserve"> long-term glycaemic management</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Mahgoub</w:t>
      </w:r>
      <w:proofErr w:type="spellEnd"/>
      <w:r w:rsidRPr="000B7453" w:rsidR="000B7453">
        <w:rPr>
          <w:rFonts w:ascii="Times New Roman" w:hAnsi="Times New Roman" w:eastAsia="Times New Roman" w:cs="Times New Roman"/>
          <w:sz w:val="24"/>
          <w:szCs w:val="24"/>
        </w:rPr>
        <w:t xml:space="preserve"> et al., 2023)</w:t>
      </w:r>
      <w:r w:rsidRPr="00623820">
        <w:rPr>
          <w:rFonts w:ascii="Times New Roman" w:hAnsi="Times New Roman" w:eastAsia="Times New Roman" w:cs="Times New Roman"/>
          <w:sz w:val="24"/>
          <w:szCs w:val="24"/>
        </w:rPr>
        <w:t>. These findings can help practice nurses, when they need to set individual goals and enhance comprehension in the patients by using them in the context of the consultation. Nevertheless, not all people with Type 2 diabetes will need to conduct routine self-monitoring. Its appropriateness varies by type of treatment, risk of hypoglycaemia, clinical conditions, and individual requirements. Monitoring must not therefore be a source of unwarranted burdens but should offer significant information.</w:t>
      </w:r>
    </w:p>
    <w:p w:rsidRPr="00623820" w:rsidR="00A13F45" w:rsidP="008A54F4" w:rsidRDefault="00A13F45" w14:paraId="477DCF41" w14:textId="77777777">
      <w:pPr>
        <w:pStyle w:val="Heading2"/>
        <w:rPr>
          <w:sz w:val="24"/>
          <w:szCs w:val="24"/>
        </w:rPr>
      </w:pPr>
      <w:bookmarkStart w:name="_Toc242393220" w:id="14"/>
      <w:r w:rsidRPr="00623820">
        <w:rPr>
          <w:sz w:val="24"/>
          <w:szCs w:val="24"/>
        </w:rPr>
        <w:t>4.3 Using Routine Health Data to Improve Patient Outcomes</w:t>
      </w:r>
      <w:bookmarkEnd w:id="14"/>
    </w:p>
    <w:p w:rsidRPr="00623820" w:rsidR="00A13F45" w:rsidP="00A2626A" w:rsidRDefault="008A54F4" w14:paraId="621A0EB2" w14:textId="7A3CF849">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Routine check-ups of diabetes include glucose records, HbA1c, blood pressure, weight, kidney functioning and cholesterol level. A holistic interpretation of these indicators </w:t>
      </w:r>
      <w:proofErr w:type="gramStart"/>
      <w:r w:rsidRPr="00623820">
        <w:rPr>
          <w:rFonts w:ascii="Times New Roman" w:hAnsi="Times New Roman" w:eastAsia="Times New Roman" w:cs="Times New Roman"/>
          <w:sz w:val="24"/>
          <w:szCs w:val="24"/>
        </w:rPr>
        <w:t>allow</w:t>
      </w:r>
      <w:proofErr w:type="gramEnd"/>
      <w:r w:rsidRPr="00623820">
        <w:rPr>
          <w:rFonts w:ascii="Times New Roman" w:hAnsi="Times New Roman" w:eastAsia="Times New Roman" w:cs="Times New Roman"/>
          <w:sz w:val="24"/>
          <w:szCs w:val="24"/>
        </w:rPr>
        <w:t xml:space="preserve"> medical workers to detect the risk of cardiovascular diseases, identify new complications and monitor treatment. To illustrate this, when kidney functions worsen, it could be necessary to check medication and conduct further research. The use of shared decision-making enables patients to learn about their outcomes and involvement in the individual care planning</w:t>
      </w:r>
      <w:r w:rsidRPr="000B7453" w:rsidR="000B7453">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Tegegne</w:t>
      </w:r>
      <w:proofErr w:type="spellEnd"/>
      <w:r w:rsidRPr="000B7453" w:rsidR="000B7453">
        <w:rPr>
          <w:rFonts w:ascii="Times New Roman" w:hAnsi="Times New Roman" w:eastAsia="Times New Roman" w:cs="Times New Roman"/>
          <w:sz w:val="24"/>
          <w:szCs w:val="24"/>
        </w:rPr>
        <w:t xml:space="preserve"> et al., 2024)</w:t>
      </w:r>
      <w:r w:rsidRPr="00623820">
        <w:rPr>
          <w:rFonts w:ascii="Times New Roman" w:hAnsi="Times New Roman" w:eastAsia="Times New Roman" w:cs="Times New Roman"/>
          <w:sz w:val="24"/>
          <w:szCs w:val="24"/>
        </w:rPr>
        <w:t xml:space="preserve">. However, improper measurements, incomplete data, lack of health literacy and disparate access to monitoring platforms can decrease the accuracy of data. Doctors </w:t>
      </w:r>
      <w:proofErr w:type="gramStart"/>
      <w:r w:rsidRPr="00623820">
        <w:rPr>
          <w:rFonts w:ascii="Times New Roman" w:hAnsi="Times New Roman" w:eastAsia="Times New Roman" w:cs="Times New Roman"/>
          <w:sz w:val="24"/>
          <w:szCs w:val="24"/>
        </w:rPr>
        <w:t>have to</w:t>
      </w:r>
      <w:proofErr w:type="gramEnd"/>
      <w:r w:rsidRPr="00623820">
        <w:rPr>
          <w:rFonts w:ascii="Times New Roman" w:hAnsi="Times New Roman" w:eastAsia="Times New Roman" w:cs="Times New Roman"/>
          <w:sz w:val="24"/>
          <w:szCs w:val="24"/>
        </w:rPr>
        <w:t xml:space="preserve"> therefore analy</w:t>
      </w:r>
      <w:r w:rsidR="000B7453">
        <w:rPr>
          <w:rFonts w:ascii="Times New Roman" w:hAnsi="Times New Roman" w:eastAsia="Times New Roman" w:cs="Times New Roman"/>
          <w:sz w:val="24"/>
          <w:szCs w:val="24"/>
        </w:rPr>
        <w:t>s</w:t>
      </w:r>
      <w:r w:rsidRPr="00623820">
        <w:rPr>
          <w:rFonts w:ascii="Times New Roman" w:hAnsi="Times New Roman" w:eastAsia="Times New Roman" w:cs="Times New Roman"/>
          <w:sz w:val="24"/>
          <w:szCs w:val="24"/>
        </w:rPr>
        <w:t>e findings in the broader clinical context of individual patients.</w:t>
      </w:r>
    </w:p>
    <w:p w:rsidRPr="00623820" w:rsidR="00A13F45" w:rsidP="00663794" w:rsidRDefault="00A13F45" w14:paraId="1CB2BFA6" w14:textId="77777777">
      <w:pPr>
        <w:pStyle w:val="Heading1"/>
      </w:pPr>
      <w:bookmarkStart w:name="_Toc242393221" w:id="15"/>
      <w:r w:rsidRPr="00623820">
        <w:t xml:space="preserve">5. Evidence-Based Lifestyle </w:t>
      </w:r>
      <w:r w:rsidRPr="00663794">
        <w:t>Recommendations</w:t>
      </w:r>
      <w:r w:rsidRPr="00623820">
        <w:t xml:space="preserve"> for Managing Type 2 Diabetes</w:t>
      </w:r>
      <w:bookmarkEnd w:id="15"/>
    </w:p>
    <w:p w:rsidRPr="00623820" w:rsidR="00A13F45" w:rsidP="008A54F4" w:rsidRDefault="00A13F45" w14:paraId="106EF5E2" w14:textId="77777777">
      <w:pPr>
        <w:pStyle w:val="Heading2"/>
        <w:rPr>
          <w:sz w:val="24"/>
          <w:szCs w:val="24"/>
        </w:rPr>
      </w:pPr>
      <w:bookmarkStart w:name="_Toc242393222" w:id="16"/>
      <w:r w:rsidRPr="00623820">
        <w:rPr>
          <w:sz w:val="24"/>
          <w:szCs w:val="24"/>
        </w:rPr>
        <w:t>5.1 Dietary Changes and Weight Management</w:t>
      </w:r>
      <w:bookmarkEnd w:id="16"/>
    </w:p>
    <w:p w:rsidRPr="00623820" w:rsidR="008A54F4" w:rsidP="008A54F4" w:rsidRDefault="008A54F4" w14:paraId="3A24EF3C"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The features of dietary modification are central in Type 2 diabetes management since food intake directly affects the level of glucose in post-meal, weight and cardiovascular health. Patients are </w:t>
      </w:r>
      <w:r w:rsidRPr="00623820">
        <w:rPr>
          <w:rFonts w:ascii="Times New Roman" w:hAnsi="Times New Roman" w:eastAsia="Times New Roman" w:cs="Times New Roman"/>
          <w:sz w:val="24"/>
          <w:szCs w:val="24"/>
        </w:rPr>
        <w:lastRenderedPageBreak/>
        <w:t>advised to eat balanced diets that include the use of vegetables, whole grain, legumes, foods rich in fibre and proper sources of lean protein.</w:t>
      </w:r>
    </w:p>
    <w:p w:rsidRPr="00623820" w:rsidR="008A54F4" w:rsidP="008A54F4" w:rsidRDefault="008A54F4" w14:paraId="35FAABC3" w14:textId="69FBD35B">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Glycaemic control may be enhanced by cutting on sugary beverages, refined contributions of carbohydrates and overconsumption of foodstuffs with high energy content. The portion of carbohydrates is especially crucial since carbohydrate digestion has a direct effect on blood glucose levels</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Osunde</w:t>
      </w:r>
      <w:proofErr w:type="spellEnd"/>
      <w:r w:rsidRPr="000B7453" w:rsidR="000B7453">
        <w:rPr>
          <w:rFonts w:ascii="Times New Roman" w:hAnsi="Times New Roman" w:eastAsia="Times New Roman" w:cs="Times New Roman"/>
          <w:sz w:val="24"/>
          <w:szCs w:val="24"/>
        </w:rPr>
        <w:t xml:space="preserve"> et al., 2025)</w:t>
      </w:r>
      <w:r w:rsidRPr="00623820">
        <w:rPr>
          <w:rFonts w:ascii="Times New Roman" w:hAnsi="Times New Roman" w:eastAsia="Times New Roman" w:cs="Times New Roman"/>
          <w:sz w:val="24"/>
          <w:szCs w:val="24"/>
        </w:rPr>
        <w:t>.</w:t>
      </w:r>
    </w:p>
    <w:p w:rsidRPr="00623820" w:rsidR="008A54F4" w:rsidP="008A54F4" w:rsidRDefault="008A54F4" w14:paraId="6C9C1EF2"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In the patient with a problem of overweight or obesity, long-term weight loss can enhance insulin sensitivity and decrease the metabolic load. Diabetes remission can also be supported in some of the patients by substantial weight loss to a varying degree.</w:t>
      </w:r>
    </w:p>
    <w:p w:rsidRPr="00623820" w:rsidR="00A13F45" w:rsidP="008A54F4" w:rsidRDefault="008A54F4" w14:paraId="5DAC278D" w14:textId="3C5C123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Nevertheless, unreliable diets can be cumbersome and ineffective in case of improper planning, causing nutritional deficits. Practice nurses are thus advised to promote sensible dietary changes guided by a registered dietitians where necessary. The recommendations should look at personal preferences, cultural dietary habits, economic situation and current medical history to assist the implementation of positive changes.</w:t>
      </w:r>
    </w:p>
    <w:p w:rsidRPr="00623820" w:rsidR="00A13F45" w:rsidP="008A54F4" w:rsidRDefault="00A13F45" w14:paraId="3076295C" w14:textId="77777777">
      <w:pPr>
        <w:pStyle w:val="Heading2"/>
        <w:rPr>
          <w:sz w:val="24"/>
          <w:szCs w:val="24"/>
        </w:rPr>
      </w:pPr>
      <w:bookmarkStart w:name="_Toc242393223" w:id="17"/>
      <w:r w:rsidRPr="00623820">
        <w:rPr>
          <w:sz w:val="24"/>
          <w:szCs w:val="24"/>
        </w:rPr>
        <w:t>5.2 Physical Activity and Exercise</w:t>
      </w:r>
      <w:bookmarkEnd w:id="17"/>
    </w:p>
    <w:p w:rsidRPr="00623820" w:rsidR="008A54F4" w:rsidP="008A54F4" w:rsidRDefault="008A54F4" w14:paraId="7AA59B98"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Exercise enhances glycaemic regulation by increasing the insulin sensitivity and the uptake of glucose by skeletal muscles, thus enhancing better control of glycaemic regulation. Aerobic exercise such as fast walking, bicycling and swimming is also an effective way to gain cardiovascular fitness and weight loss.</w:t>
      </w:r>
    </w:p>
    <w:p w:rsidRPr="00623820" w:rsidR="008A54F4" w:rsidP="008A54F4" w:rsidRDefault="008A54F4" w14:paraId="3E4F0437" w14:textId="77777777">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Adequate physical activity is also recommended to be about 150 minutes of moderate intensity exercise done by the adults with Type 2 diabetes, based on their capabilities and the situation in which they are. Resistance training offers several other advantages such as strengthening of muscles and committing to glucose metabolism.</w:t>
      </w:r>
    </w:p>
    <w:p w:rsidRPr="00623820" w:rsidR="00A13F45" w:rsidP="008A54F4" w:rsidRDefault="008A54F4" w14:paraId="468642D6" w14:textId="7DC21C04">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The exercise program </w:t>
      </w:r>
      <w:r w:rsidRPr="00623820" w:rsidR="00663794">
        <w:rPr>
          <w:rFonts w:ascii="Times New Roman" w:hAnsi="Times New Roman" w:eastAsia="Times New Roman" w:cs="Times New Roman"/>
          <w:sz w:val="24"/>
          <w:szCs w:val="24"/>
        </w:rPr>
        <w:t>needs</w:t>
      </w:r>
      <w:r w:rsidRPr="00623820">
        <w:rPr>
          <w:rFonts w:ascii="Times New Roman" w:hAnsi="Times New Roman" w:eastAsia="Times New Roman" w:cs="Times New Roman"/>
          <w:sz w:val="24"/>
          <w:szCs w:val="24"/>
        </w:rPr>
        <w:t xml:space="preserve"> to start slowly especially when it comes to individuals who had never exercised</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w:t>
      </w:r>
      <w:proofErr w:type="spellStart"/>
      <w:r w:rsidRPr="000B7453" w:rsidR="000B7453">
        <w:rPr>
          <w:rFonts w:ascii="Times New Roman" w:hAnsi="Times New Roman" w:eastAsia="Times New Roman" w:cs="Times New Roman"/>
          <w:sz w:val="24"/>
          <w:szCs w:val="24"/>
        </w:rPr>
        <w:t>Szczechla</w:t>
      </w:r>
      <w:proofErr w:type="spellEnd"/>
      <w:r w:rsidRPr="000B7453" w:rsidR="000B7453">
        <w:rPr>
          <w:rFonts w:ascii="Times New Roman" w:hAnsi="Times New Roman" w:eastAsia="Times New Roman" w:cs="Times New Roman"/>
          <w:sz w:val="24"/>
          <w:szCs w:val="24"/>
        </w:rPr>
        <w:t xml:space="preserve"> et al., 2023)</w:t>
      </w:r>
      <w:r w:rsidRPr="00623820">
        <w:rPr>
          <w:rFonts w:ascii="Times New Roman" w:hAnsi="Times New Roman" w:eastAsia="Times New Roman" w:cs="Times New Roman"/>
          <w:sz w:val="24"/>
          <w:szCs w:val="24"/>
        </w:rPr>
        <w:t xml:space="preserve">. Exercise-related hypoglycaemia can be observed in patients on insulin or some type of glucose-lowering medicines, and they will need extra prevention. The </w:t>
      </w:r>
      <w:r w:rsidRPr="00623820">
        <w:rPr>
          <w:rFonts w:ascii="Times New Roman" w:hAnsi="Times New Roman" w:eastAsia="Times New Roman" w:cs="Times New Roman"/>
          <w:sz w:val="24"/>
          <w:szCs w:val="24"/>
        </w:rPr>
        <w:lastRenderedPageBreak/>
        <w:t>individual evaluation is the necessary measure, thus, having physical activity that is safe, attainable and useful.</w:t>
      </w:r>
    </w:p>
    <w:p w:rsidRPr="00623820" w:rsidR="00A13F45" w:rsidP="008A54F4" w:rsidRDefault="00A13F45" w14:paraId="27BED5FF" w14:textId="77777777">
      <w:pPr>
        <w:pStyle w:val="Heading2"/>
        <w:rPr>
          <w:sz w:val="24"/>
          <w:szCs w:val="24"/>
        </w:rPr>
      </w:pPr>
      <w:bookmarkStart w:name="_Toc242393224" w:id="18"/>
      <w:r w:rsidRPr="00623820">
        <w:rPr>
          <w:sz w:val="24"/>
          <w:szCs w:val="24"/>
        </w:rPr>
        <w:t>5.3 Smoking Cessation and Additional Lifestyle Improvements</w:t>
      </w:r>
      <w:bookmarkEnd w:id="18"/>
    </w:p>
    <w:p w:rsidRPr="00623820" w:rsidR="00A13F45" w:rsidP="00A2626A" w:rsidRDefault="008A54F4" w14:paraId="4811F556" w14:textId="73EF3A04">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Smoking predisposes people with Type 2 diabetes to vascular complications </w:t>
      </w:r>
      <w:proofErr w:type="gramStart"/>
      <w:r w:rsidRPr="00623820">
        <w:rPr>
          <w:rFonts w:ascii="Times New Roman" w:hAnsi="Times New Roman" w:eastAsia="Times New Roman" w:cs="Times New Roman"/>
          <w:sz w:val="24"/>
          <w:szCs w:val="24"/>
        </w:rPr>
        <w:t>and also</w:t>
      </w:r>
      <w:proofErr w:type="gramEnd"/>
      <w:r w:rsidRPr="00623820">
        <w:rPr>
          <w:rFonts w:ascii="Times New Roman" w:hAnsi="Times New Roman" w:eastAsia="Times New Roman" w:cs="Times New Roman"/>
          <w:sz w:val="24"/>
          <w:szCs w:val="24"/>
        </w:rPr>
        <w:t>, cardiovascular risks. This therapeutic approach should therefore focus on smoking cessation by advising the smoke therapeutically, by means of behaviour counselling and NHS stop-odd services. Enough sleep and proper management of stress can also be helpful in the regulation of glucose and adherence to treatment. Reducing the use of alcohol leads to fewer metabolic and cardiovascular risks. Such interventions work best when included in realistic lifestyle plans that acknowledge the individual circumstances and promote sustainable change, by encouraging gradual behaviour changes</w:t>
      </w:r>
      <w:r w:rsidRPr="00623820" w:rsidR="00A13F45">
        <w:rPr>
          <w:rFonts w:ascii="Times New Roman" w:hAnsi="Times New Roman" w:eastAsia="Times New Roman" w:cs="Times New Roman"/>
          <w:sz w:val="24"/>
          <w:szCs w:val="24"/>
        </w:rPr>
        <w:t>.</w:t>
      </w:r>
    </w:p>
    <w:p w:rsidRPr="00623820" w:rsidR="00A13F45" w:rsidP="008A54F4" w:rsidRDefault="00A13F45" w14:paraId="73FDB397" w14:textId="77777777">
      <w:pPr>
        <w:pStyle w:val="Heading2"/>
        <w:rPr>
          <w:sz w:val="24"/>
          <w:szCs w:val="24"/>
        </w:rPr>
      </w:pPr>
      <w:bookmarkStart w:name="_Toc242393225" w:id="19"/>
      <w:r w:rsidRPr="00623820">
        <w:rPr>
          <w:sz w:val="24"/>
          <w:szCs w:val="24"/>
        </w:rPr>
        <w:t>5.4 Patient Education and Long-Term Behavioural Change</w:t>
      </w:r>
      <w:bookmarkEnd w:id="19"/>
    </w:p>
    <w:p w:rsidRPr="00623820" w:rsidR="00A13F45" w:rsidP="00A2626A" w:rsidRDefault="008A54F4" w14:paraId="66DF8F68" w14:textId="225DC2AF">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 xml:space="preserve">Practice nurses aid management of diabetes with personal education, frequent reviews, joint </w:t>
      </w:r>
      <w:proofErr w:type="gramStart"/>
      <w:r w:rsidRPr="00623820">
        <w:rPr>
          <w:rFonts w:ascii="Times New Roman" w:hAnsi="Times New Roman" w:eastAsia="Times New Roman" w:cs="Times New Roman"/>
          <w:sz w:val="24"/>
          <w:szCs w:val="24"/>
        </w:rPr>
        <w:t>goal-setting</w:t>
      </w:r>
      <w:proofErr w:type="gramEnd"/>
      <w:r w:rsidRPr="00623820">
        <w:rPr>
          <w:rFonts w:ascii="Times New Roman" w:hAnsi="Times New Roman" w:eastAsia="Times New Roman" w:cs="Times New Roman"/>
          <w:sz w:val="24"/>
          <w:szCs w:val="24"/>
        </w:rPr>
        <w:t>. Patients must be instructed regarding the medication, nutrition, exercise and monitoring. Self-management knowledge and confidence can be reinforced by structured diabetes education programmes</w:t>
      </w:r>
      <w:r w:rsidR="000B7453">
        <w:rPr>
          <w:rFonts w:ascii="Times New Roman" w:hAnsi="Times New Roman" w:eastAsia="Times New Roman" w:cs="Times New Roman"/>
          <w:sz w:val="24"/>
          <w:szCs w:val="24"/>
        </w:rPr>
        <w:t xml:space="preserve"> </w:t>
      </w:r>
      <w:r w:rsidRPr="000B7453" w:rsidR="000B7453">
        <w:rPr>
          <w:rFonts w:ascii="Times New Roman" w:hAnsi="Times New Roman" w:eastAsia="Times New Roman" w:cs="Times New Roman"/>
          <w:sz w:val="24"/>
          <w:szCs w:val="24"/>
        </w:rPr>
        <w:t>(Taylor, 2024)</w:t>
      </w:r>
      <w:r w:rsidRPr="00623820">
        <w:rPr>
          <w:rFonts w:ascii="Times New Roman" w:hAnsi="Times New Roman" w:eastAsia="Times New Roman" w:cs="Times New Roman"/>
          <w:sz w:val="24"/>
          <w:szCs w:val="24"/>
        </w:rPr>
        <w:t>. Ongoing professional care promotes treatment compliance, informed choice and lifestyle modification with sustainability which lowers the chances of complications that may be avoided.</w:t>
      </w:r>
    </w:p>
    <w:p w:rsidRPr="00623820" w:rsidR="00A13F45" w:rsidP="00663794" w:rsidRDefault="00A13F45" w14:paraId="298D63D2" w14:textId="77777777">
      <w:pPr>
        <w:pStyle w:val="Heading1"/>
      </w:pPr>
      <w:bookmarkStart w:name="_Toc242393226" w:id="20"/>
      <w:r w:rsidRPr="00623820">
        <w:t xml:space="preserve">6. </w:t>
      </w:r>
      <w:r w:rsidRPr="00663794">
        <w:t>Conclusion</w:t>
      </w:r>
      <w:bookmarkEnd w:id="20"/>
    </w:p>
    <w:p w:rsidRPr="00751394" w:rsidR="00B21F0F" w:rsidP="00751394" w:rsidRDefault="008A54F4" w14:paraId="4FE9C3C6" w14:textId="56CB86DE">
      <w:pPr>
        <w:spacing w:before="100" w:beforeAutospacing="1" w:after="100" w:afterAutospacing="1" w:line="360" w:lineRule="auto"/>
        <w:jc w:val="both"/>
        <w:rPr>
          <w:rFonts w:ascii="Times New Roman" w:hAnsi="Times New Roman" w:eastAsia="Times New Roman" w:cs="Times New Roman"/>
          <w:sz w:val="24"/>
          <w:szCs w:val="24"/>
        </w:rPr>
      </w:pPr>
      <w:r w:rsidRPr="00623820">
        <w:rPr>
          <w:rFonts w:ascii="Times New Roman" w:hAnsi="Times New Roman" w:eastAsia="Times New Roman" w:cs="Times New Roman"/>
          <w:sz w:val="24"/>
          <w:szCs w:val="24"/>
        </w:rPr>
        <w:t>Diabetes type 2 is characteri</w:t>
      </w:r>
      <w:r w:rsidR="000B7453">
        <w:rPr>
          <w:rFonts w:ascii="Times New Roman" w:hAnsi="Times New Roman" w:eastAsia="Times New Roman" w:cs="Times New Roman"/>
          <w:sz w:val="24"/>
          <w:szCs w:val="24"/>
        </w:rPr>
        <w:t>s</w:t>
      </w:r>
      <w:r w:rsidRPr="00623820">
        <w:rPr>
          <w:rFonts w:ascii="Times New Roman" w:hAnsi="Times New Roman" w:eastAsia="Times New Roman" w:cs="Times New Roman"/>
          <w:sz w:val="24"/>
          <w:szCs w:val="24"/>
        </w:rPr>
        <w:t xml:space="preserve">ed by insulin resistance, progressive dysfunction of the beta-cell, and defective control of blood glucose levels. Glucose homeostasis is governed by insulin and glucagon and aerobic cellular respiration converts glucose to ATP which is used in normal physiological processes. Regular glucose evaluation, HbA1c analysis and other clinical measurements assist in the individualisation of treatment and prevention of the development of complications. Metabolic control and long-term health outcomes can be enhanced by balanced nutrition, exercise, or responding to smoking cessation and patient education. Treatment of diabetes thus involves a concerted effort that incorporates physiological concepts, significant clinical follow-up, professional </w:t>
      </w:r>
      <w:r w:rsidRPr="00623820" w:rsidR="00663794">
        <w:rPr>
          <w:rFonts w:ascii="Times New Roman" w:hAnsi="Times New Roman" w:eastAsia="Times New Roman" w:cs="Times New Roman"/>
          <w:sz w:val="24"/>
          <w:szCs w:val="24"/>
        </w:rPr>
        <w:t>counselling</w:t>
      </w:r>
      <w:r w:rsidRPr="00623820">
        <w:rPr>
          <w:rFonts w:ascii="Times New Roman" w:hAnsi="Times New Roman" w:eastAsia="Times New Roman" w:cs="Times New Roman"/>
          <w:sz w:val="24"/>
          <w:szCs w:val="24"/>
        </w:rPr>
        <w:t xml:space="preserve"> and life-long lifestyle changes</w:t>
      </w:r>
      <w:r w:rsidRPr="00623820" w:rsidR="00A13F45">
        <w:rPr>
          <w:rFonts w:ascii="Times New Roman" w:hAnsi="Times New Roman" w:eastAsia="Times New Roman" w:cs="Times New Roman"/>
          <w:sz w:val="24"/>
          <w:szCs w:val="24"/>
        </w:rPr>
        <w:t>.</w:t>
      </w:r>
      <w:r w:rsidRPr="00623820" w:rsidR="00B21F0F">
        <w:rPr>
          <w:sz w:val="24"/>
          <w:szCs w:val="24"/>
        </w:rPr>
        <w:br w:type="page"/>
      </w:r>
    </w:p>
    <w:p w:rsidRPr="00663794" w:rsidR="00A13F45" w:rsidP="00663794" w:rsidRDefault="00B21F0F" w14:paraId="3089D7A4" w14:textId="0CDBB2F2">
      <w:pPr>
        <w:pStyle w:val="Heading1"/>
      </w:pPr>
      <w:bookmarkStart w:name="_Toc242393227" w:id="21"/>
      <w:r w:rsidRPr="00623820">
        <w:lastRenderedPageBreak/>
        <w:t>References</w:t>
      </w:r>
      <w:bookmarkEnd w:id="21"/>
    </w:p>
    <w:p w:rsidRPr="00FF04FF" w:rsidR="00FF04FF" w:rsidP="00FF04FF" w:rsidRDefault="00FF04FF" w14:paraId="45197BE8"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Basak</w:t>
      </w:r>
      <w:proofErr w:type="spellEnd"/>
      <w:r w:rsidRPr="00FF04FF">
        <w:rPr>
          <w:rFonts w:ascii="Times New Roman" w:hAnsi="Times New Roman" w:cs="Times New Roman"/>
          <w:sz w:val="24"/>
          <w:szCs w:val="24"/>
        </w:rPr>
        <w:t xml:space="preserve">, M. and Laskar, M.A., 2024. Pathophysiology, </w:t>
      </w:r>
      <w:proofErr w:type="gramStart"/>
      <w:r w:rsidRPr="00FF04FF">
        <w:rPr>
          <w:rFonts w:ascii="Times New Roman" w:hAnsi="Times New Roman" w:cs="Times New Roman"/>
          <w:sz w:val="24"/>
          <w:szCs w:val="24"/>
        </w:rPr>
        <w:t>life style</w:t>
      </w:r>
      <w:proofErr w:type="gramEnd"/>
      <w:r w:rsidRPr="00FF04FF">
        <w:rPr>
          <w:rFonts w:ascii="Times New Roman" w:hAnsi="Times New Roman" w:cs="Times New Roman"/>
          <w:sz w:val="24"/>
          <w:szCs w:val="24"/>
        </w:rPr>
        <w:t xml:space="preserve"> intervention and complications of Type-2 diabetes: A review. </w:t>
      </w:r>
      <w:r w:rsidRPr="00FF04FF">
        <w:rPr>
          <w:rFonts w:ascii="Times New Roman" w:hAnsi="Times New Roman" w:cs="Times New Roman"/>
          <w:i/>
          <w:iCs/>
          <w:sz w:val="24"/>
          <w:szCs w:val="24"/>
        </w:rPr>
        <w:t>Journal of Applied Pharmaceutical Research</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12</w:t>
      </w:r>
      <w:r w:rsidRPr="00FF04FF">
        <w:rPr>
          <w:rFonts w:ascii="Times New Roman" w:hAnsi="Times New Roman" w:cs="Times New Roman"/>
          <w:sz w:val="24"/>
          <w:szCs w:val="24"/>
        </w:rPr>
        <w:t>(3), pp.01-10.</w:t>
      </w:r>
    </w:p>
    <w:p w:rsidRPr="00FF04FF" w:rsidR="00FF04FF" w:rsidP="00FF04FF" w:rsidRDefault="00FF04FF" w14:paraId="7DB339C9"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Belani</w:t>
      </w:r>
      <w:proofErr w:type="spellEnd"/>
      <w:r w:rsidRPr="00FF04FF">
        <w:rPr>
          <w:rFonts w:ascii="Times New Roman" w:hAnsi="Times New Roman" w:cs="Times New Roman"/>
          <w:sz w:val="24"/>
          <w:szCs w:val="24"/>
        </w:rPr>
        <w:t xml:space="preserve">, J.D., 2026. Interpreting Continuous Glucose Monitoring Through Metabolic Physiology: A Framework for Precision Nutrition in Type 2 Diabetes. </w:t>
      </w:r>
      <w:r w:rsidRPr="00FF04FF">
        <w:rPr>
          <w:rFonts w:ascii="Times New Roman" w:hAnsi="Times New Roman" w:cs="Times New Roman"/>
          <w:i/>
          <w:iCs/>
          <w:sz w:val="24"/>
          <w:szCs w:val="24"/>
        </w:rPr>
        <w:t>Nutrients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18</w:t>
      </w:r>
      <w:r w:rsidRPr="00FF04FF">
        <w:rPr>
          <w:rFonts w:ascii="Times New Roman" w:hAnsi="Times New Roman" w:cs="Times New Roman"/>
          <w:sz w:val="24"/>
          <w:szCs w:val="24"/>
        </w:rPr>
        <w:t>(15), p.2578.</w:t>
      </w:r>
    </w:p>
    <w:p w:rsidRPr="00FF04FF" w:rsidR="00FF04FF" w:rsidP="00FF04FF" w:rsidRDefault="00FF04FF" w14:paraId="5FBCD14C"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Caturano</w:t>
      </w:r>
      <w:proofErr w:type="spellEnd"/>
      <w:r w:rsidRPr="00FF04FF">
        <w:rPr>
          <w:rFonts w:ascii="Times New Roman" w:hAnsi="Times New Roman" w:cs="Times New Roman"/>
          <w:sz w:val="24"/>
          <w:szCs w:val="24"/>
        </w:rPr>
        <w:t xml:space="preserve">, A., D’Angelo, M., </w:t>
      </w:r>
      <w:proofErr w:type="spellStart"/>
      <w:r w:rsidRPr="00FF04FF">
        <w:rPr>
          <w:rFonts w:ascii="Times New Roman" w:hAnsi="Times New Roman" w:cs="Times New Roman"/>
          <w:sz w:val="24"/>
          <w:szCs w:val="24"/>
        </w:rPr>
        <w:t>Mormone</w:t>
      </w:r>
      <w:proofErr w:type="spellEnd"/>
      <w:r w:rsidRPr="00FF04FF">
        <w:rPr>
          <w:rFonts w:ascii="Times New Roman" w:hAnsi="Times New Roman" w:cs="Times New Roman"/>
          <w:sz w:val="24"/>
          <w:szCs w:val="24"/>
        </w:rPr>
        <w:t xml:space="preserve">, A., Russo, V., </w:t>
      </w:r>
      <w:proofErr w:type="spellStart"/>
      <w:r w:rsidRPr="00FF04FF">
        <w:rPr>
          <w:rFonts w:ascii="Times New Roman" w:hAnsi="Times New Roman" w:cs="Times New Roman"/>
          <w:sz w:val="24"/>
          <w:szCs w:val="24"/>
        </w:rPr>
        <w:t>Mollica</w:t>
      </w:r>
      <w:proofErr w:type="spellEnd"/>
      <w:r w:rsidRPr="00FF04FF">
        <w:rPr>
          <w:rFonts w:ascii="Times New Roman" w:hAnsi="Times New Roman" w:cs="Times New Roman"/>
          <w:sz w:val="24"/>
          <w:szCs w:val="24"/>
        </w:rPr>
        <w:t xml:space="preserve">, M.P., Salvatore, T., </w:t>
      </w:r>
      <w:proofErr w:type="spellStart"/>
      <w:r w:rsidRPr="00FF04FF">
        <w:rPr>
          <w:rFonts w:ascii="Times New Roman" w:hAnsi="Times New Roman" w:cs="Times New Roman"/>
          <w:sz w:val="24"/>
          <w:szCs w:val="24"/>
        </w:rPr>
        <w:t>Galiero</w:t>
      </w:r>
      <w:proofErr w:type="spellEnd"/>
      <w:r w:rsidRPr="00FF04FF">
        <w:rPr>
          <w:rFonts w:ascii="Times New Roman" w:hAnsi="Times New Roman" w:cs="Times New Roman"/>
          <w:sz w:val="24"/>
          <w:szCs w:val="24"/>
        </w:rPr>
        <w:t xml:space="preserve">, R., Rinaldi, L., </w:t>
      </w:r>
      <w:proofErr w:type="spellStart"/>
      <w:r w:rsidRPr="00FF04FF">
        <w:rPr>
          <w:rFonts w:ascii="Times New Roman" w:hAnsi="Times New Roman" w:cs="Times New Roman"/>
          <w:sz w:val="24"/>
          <w:szCs w:val="24"/>
        </w:rPr>
        <w:t>Vetrano</w:t>
      </w:r>
      <w:proofErr w:type="spellEnd"/>
      <w:r w:rsidRPr="00FF04FF">
        <w:rPr>
          <w:rFonts w:ascii="Times New Roman" w:hAnsi="Times New Roman" w:cs="Times New Roman"/>
          <w:sz w:val="24"/>
          <w:szCs w:val="24"/>
        </w:rPr>
        <w:t xml:space="preserve">, E., </w:t>
      </w:r>
      <w:proofErr w:type="spellStart"/>
      <w:r w:rsidRPr="00FF04FF">
        <w:rPr>
          <w:rFonts w:ascii="Times New Roman" w:hAnsi="Times New Roman" w:cs="Times New Roman"/>
          <w:sz w:val="24"/>
          <w:szCs w:val="24"/>
        </w:rPr>
        <w:t>Marfella</w:t>
      </w:r>
      <w:proofErr w:type="spellEnd"/>
      <w:r w:rsidRPr="00FF04FF">
        <w:rPr>
          <w:rFonts w:ascii="Times New Roman" w:hAnsi="Times New Roman" w:cs="Times New Roman"/>
          <w:sz w:val="24"/>
          <w:szCs w:val="24"/>
        </w:rPr>
        <w:t xml:space="preserve">, R. and </w:t>
      </w:r>
      <w:proofErr w:type="spellStart"/>
      <w:r w:rsidRPr="00FF04FF">
        <w:rPr>
          <w:rFonts w:ascii="Times New Roman" w:hAnsi="Times New Roman" w:cs="Times New Roman"/>
          <w:sz w:val="24"/>
          <w:szCs w:val="24"/>
        </w:rPr>
        <w:t>Monda</w:t>
      </w:r>
      <w:proofErr w:type="spellEnd"/>
      <w:r w:rsidRPr="00FF04FF">
        <w:rPr>
          <w:rFonts w:ascii="Times New Roman" w:hAnsi="Times New Roman" w:cs="Times New Roman"/>
          <w:sz w:val="24"/>
          <w:szCs w:val="24"/>
        </w:rPr>
        <w:t xml:space="preserve">, M., 2023. Oxidative stress in type 2 diabetes: impacts from pathogenesis to lifestyle modifications. </w:t>
      </w:r>
      <w:r w:rsidRPr="00FF04FF">
        <w:rPr>
          <w:rFonts w:ascii="Times New Roman" w:hAnsi="Times New Roman" w:cs="Times New Roman"/>
          <w:i/>
          <w:iCs/>
          <w:sz w:val="24"/>
          <w:szCs w:val="24"/>
        </w:rPr>
        <w:t>Current issues in molecular biology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45</w:t>
      </w:r>
      <w:r w:rsidRPr="00FF04FF">
        <w:rPr>
          <w:rFonts w:ascii="Times New Roman" w:hAnsi="Times New Roman" w:cs="Times New Roman"/>
          <w:sz w:val="24"/>
          <w:szCs w:val="24"/>
        </w:rPr>
        <w:t>(8), pp.6651-6666.</w:t>
      </w:r>
    </w:p>
    <w:p w:rsidRPr="00FF04FF" w:rsidR="00FF04FF" w:rsidP="00FF04FF" w:rsidRDefault="00FF04FF" w14:paraId="69B6456C" w14:textId="77777777">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Chandrasekaran, P. and </w:t>
      </w:r>
      <w:proofErr w:type="spellStart"/>
      <w:r w:rsidRPr="00FF04FF">
        <w:rPr>
          <w:rFonts w:ascii="Times New Roman" w:hAnsi="Times New Roman" w:cs="Times New Roman"/>
          <w:sz w:val="24"/>
          <w:szCs w:val="24"/>
        </w:rPr>
        <w:t>Weiskirchen</w:t>
      </w:r>
      <w:proofErr w:type="spellEnd"/>
      <w:r w:rsidRPr="00FF04FF">
        <w:rPr>
          <w:rFonts w:ascii="Times New Roman" w:hAnsi="Times New Roman" w:cs="Times New Roman"/>
          <w:sz w:val="24"/>
          <w:szCs w:val="24"/>
        </w:rPr>
        <w:t xml:space="preserve">, R., 2024. The role of obesity in type 2 diabetes mellitus—an overview. </w:t>
      </w:r>
      <w:r w:rsidRPr="00FF04FF">
        <w:rPr>
          <w:rFonts w:ascii="Times New Roman" w:hAnsi="Times New Roman" w:cs="Times New Roman"/>
          <w:i/>
          <w:iCs/>
          <w:sz w:val="24"/>
          <w:szCs w:val="24"/>
        </w:rPr>
        <w:t>International journal of molecular sciences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25</w:t>
      </w:r>
      <w:r w:rsidRPr="00FF04FF">
        <w:rPr>
          <w:rFonts w:ascii="Times New Roman" w:hAnsi="Times New Roman" w:cs="Times New Roman"/>
          <w:sz w:val="24"/>
          <w:szCs w:val="24"/>
        </w:rPr>
        <w:t>(3), p.1882.</w:t>
      </w:r>
    </w:p>
    <w:p w:rsidRPr="00FF04FF" w:rsidR="00FF04FF" w:rsidP="00FF04FF" w:rsidRDefault="00FF04FF" w14:paraId="109220E5"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Dhondge</w:t>
      </w:r>
      <w:proofErr w:type="spellEnd"/>
      <w:r w:rsidRPr="00FF04FF">
        <w:rPr>
          <w:rFonts w:ascii="Times New Roman" w:hAnsi="Times New Roman" w:cs="Times New Roman"/>
          <w:sz w:val="24"/>
          <w:szCs w:val="24"/>
        </w:rPr>
        <w:t xml:space="preserve">, R.H., Agrawal, S., Patil, R., Kadu, A. and Kothari, M., 2024. A comprehensive review of metabolic syndrome and its role in cardiovascular disease and type 2 diabetes mellitus: Mechanisms, risk factors, and management. </w:t>
      </w:r>
      <w:proofErr w:type="spellStart"/>
      <w:r w:rsidRPr="00FF04FF">
        <w:rPr>
          <w:rFonts w:ascii="Times New Roman" w:hAnsi="Times New Roman" w:cs="Times New Roman"/>
          <w:i/>
          <w:iCs/>
          <w:sz w:val="24"/>
          <w:szCs w:val="24"/>
        </w:rPr>
        <w:t>Cureus</w:t>
      </w:r>
      <w:proofErr w:type="spellEnd"/>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16</w:t>
      </w:r>
      <w:r w:rsidRPr="00FF04FF">
        <w:rPr>
          <w:rFonts w:ascii="Times New Roman" w:hAnsi="Times New Roman" w:cs="Times New Roman"/>
          <w:sz w:val="24"/>
          <w:szCs w:val="24"/>
        </w:rPr>
        <w:t>(8).</w:t>
      </w:r>
    </w:p>
    <w:p w:rsidRPr="00FF04FF" w:rsidR="00FF04FF" w:rsidP="00FF04FF" w:rsidRDefault="00FF04FF" w14:paraId="5104B0CE" w14:textId="77777777">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Liu, Y., Jiang, J., You, W., Gong, D., Ma, X., Wu, M. and Li, F., 2022. Exploring facilitators and barriers to self-management engagement of Chinese people with type 2 diabetes mellitus and poor blood glucose control: a descriptive qualitative study. </w:t>
      </w:r>
      <w:r w:rsidRPr="00FF04FF">
        <w:rPr>
          <w:rFonts w:ascii="Times New Roman" w:hAnsi="Times New Roman" w:cs="Times New Roman"/>
          <w:i/>
          <w:iCs/>
          <w:sz w:val="24"/>
          <w:szCs w:val="24"/>
        </w:rPr>
        <w:t>BMC endocrine disorders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22</w:t>
      </w:r>
      <w:r w:rsidRPr="00FF04FF">
        <w:rPr>
          <w:rFonts w:ascii="Times New Roman" w:hAnsi="Times New Roman" w:cs="Times New Roman"/>
          <w:sz w:val="24"/>
          <w:szCs w:val="24"/>
        </w:rPr>
        <w:t>(1), p.294.</w:t>
      </w:r>
    </w:p>
    <w:p w:rsidRPr="00FF04FF" w:rsidR="00FF04FF" w:rsidP="00FF04FF" w:rsidRDefault="00FF04FF" w14:paraId="3BFFB0D8" w14:textId="77777777">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Lu, X., Xie, Q., Pan, X., Zhang, R., Zhang, X., Peng, G., Zhang, Y., Shen, S. and Tong, N., 2024. Type 2 diabetes mellitus in adults: pathogenesis, prevention and therapy. </w:t>
      </w:r>
      <w:r w:rsidRPr="00FF04FF">
        <w:rPr>
          <w:rFonts w:ascii="Times New Roman" w:hAnsi="Times New Roman" w:cs="Times New Roman"/>
          <w:i/>
          <w:iCs/>
          <w:sz w:val="24"/>
          <w:szCs w:val="24"/>
        </w:rPr>
        <w:t>Signal transduction and targeted therapy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9</w:t>
      </w:r>
      <w:r w:rsidRPr="00FF04FF">
        <w:rPr>
          <w:rFonts w:ascii="Times New Roman" w:hAnsi="Times New Roman" w:cs="Times New Roman"/>
          <w:sz w:val="24"/>
          <w:szCs w:val="24"/>
        </w:rPr>
        <w:t>(1), p.262.</w:t>
      </w:r>
    </w:p>
    <w:p w:rsidRPr="00FF04FF" w:rsidR="00FF04FF" w:rsidP="00FF04FF" w:rsidRDefault="00FF04FF" w14:paraId="5B30186C"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Mahgoub</w:t>
      </w:r>
      <w:proofErr w:type="spellEnd"/>
      <w:r w:rsidRPr="00FF04FF">
        <w:rPr>
          <w:rFonts w:ascii="Times New Roman" w:hAnsi="Times New Roman" w:cs="Times New Roman"/>
          <w:sz w:val="24"/>
          <w:szCs w:val="24"/>
        </w:rPr>
        <w:t xml:space="preserve">, M.O., Ali, I.I., </w:t>
      </w:r>
      <w:proofErr w:type="spellStart"/>
      <w:r w:rsidRPr="00FF04FF">
        <w:rPr>
          <w:rFonts w:ascii="Times New Roman" w:hAnsi="Times New Roman" w:cs="Times New Roman"/>
          <w:sz w:val="24"/>
          <w:szCs w:val="24"/>
        </w:rPr>
        <w:t>Adeghate</w:t>
      </w:r>
      <w:proofErr w:type="spellEnd"/>
      <w:r w:rsidRPr="00FF04FF">
        <w:rPr>
          <w:rFonts w:ascii="Times New Roman" w:hAnsi="Times New Roman" w:cs="Times New Roman"/>
          <w:sz w:val="24"/>
          <w:szCs w:val="24"/>
        </w:rPr>
        <w:t xml:space="preserve">, J.O., Tekes, K., </w:t>
      </w:r>
      <w:proofErr w:type="spellStart"/>
      <w:r w:rsidRPr="00FF04FF">
        <w:rPr>
          <w:rFonts w:ascii="Times New Roman" w:hAnsi="Times New Roman" w:cs="Times New Roman"/>
          <w:sz w:val="24"/>
          <w:szCs w:val="24"/>
        </w:rPr>
        <w:t>Kalász</w:t>
      </w:r>
      <w:proofErr w:type="spellEnd"/>
      <w:r w:rsidRPr="00FF04FF">
        <w:rPr>
          <w:rFonts w:ascii="Times New Roman" w:hAnsi="Times New Roman" w:cs="Times New Roman"/>
          <w:sz w:val="24"/>
          <w:szCs w:val="24"/>
        </w:rPr>
        <w:t xml:space="preserve">, H. and </w:t>
      </w:r>
      <w:proofErr w:type="spellStart"/>
      <w:r w:rsidRPr="00FF04FF">
        <w:rPr>
          <w:rFonts w:ascii="Times New Roman" w:hAnsi="Times New Roman" w:cs="Times New Roman"/>
          <w:sz w:val="24"/>
          <w:szCs w:val="24"/>
        </w:rPr>
        <w:t>Adeghate</w:t>
      </w:r>
      <w:proofErr w:type="spellEnd"/>
      <w:r w:rsidRPr="00FF04FF">
        <w:rPr>
          <w:rFonts w:ascii="Times New Roman" w:hAnsi="Times New Roman" w:cs="Times New Roman"/>
          <w:sz w:val="24"/>
          <w:szCs w:val="24"/>
        </w:rPr>
        <w:t xml:space="preserve">, E.A., 2023. An update on the molecular and cellular basis of pharmacotherapy in type 2 diabetes mellitus. </w:t>
      </w:r>
      <w:r w:rsidRPr="00FF04FF">
        <w:rPr>
          <w:rFonts w:ascii="Times New Roman" w:hAnsi="Times New Roman" w:cs="Times New Roman"/>
          <w:i/>
          <w:iCs/>
          <w:sz w:val="24"/>
          <w:szCs w:val="24"/>
        </w:rPr>
        <w:t>International journal of molecular sciences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24</w:t>
      </w:r>
      <w:r w:rsidRPr="00FF04FF">
        <w:rPr>
          <w:rFonts w:ascii="Times New Roman" w:hAnsi="Times New Roman" w:cs="Times New Roman"/>
          <w:sz w:val="24"/>
          <w:szCs w:val="24"/>
        </w:rPr>
        <w:t>(11), p.9328.</w:t>
      </w:r>
    </w:p>
    <w:p w:rsidRPr="00FF04FF" w:rsidR="00FF04FF" w:rsidP="00FF04FF" w:rsidRDefault="00FF04FF" w14:paraId="5F25CBC9"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Osunde</w:t>
      </w:r>
      <w:proofErr w:type="spellEnd"/>
      <w:r w:rsidRPr="00FF04FF">
        <w:rPr>
          <w:rFonts w:ascii="Times New Roman" w:hAnsi="Times New Roman" w:cs="Times New Roman"/>
          <w:sz w:val="24"/>
          <w:szCs w:val="24"/>
        </w:rPr>
        <w:t xml:space="preserve">, R.N., </w:t>
      </w:r>
      <w:proofErr w:type="spellStart"/>
      <w:r w:rsidRPr="00FF04FF">
        <w:rPr>
          <w:rFonts w:ascii="Times New Roman" w:hAnsi="Times New Roman" w:cs="Times New Roman"/>
          <w:sz w:val="24"/>
          <w:szCs w:val="24"/>
        </w:rPr>
        <w:t>Olorunfemi</w:t>
      </w:r>
      <w:proofErr w:type="spellEnd"/>
      <w:r w:rsidRPr="00FF04FF">
        <w:rPr>
          <w:rFonts w:ascii="Times New Roman" w:hAnsi="Times New Roman" w:cs="Times New Roman"/>
          <w:sz w:val="24"/>
          <w:szCs w:val="24"/>
        </w:rPr>
        <w:t xml:space="preserve">, O., Edwards, O.S., </w:t>
      </w:r>
      <w:proofErr w:type="spellStart"/>
      <w:r w:rsidRPr="00FF04FF">
        <w:rPr>
          <w:rFonts w:ascii="Times New Roman" w:hAnsi="Times New Roman" w:cs="Times New Roman"/>
          <w:sz w:val="24"/>
          <w:szCs w:val="24"/>
        </w:rPr>
        <w:t>Oduyemi</w:t>
      </w:r>
      <w:proofErr w:type="spellEnd"/>
      <w:r w:rsidRPr="00FF04FF">
        <w:rPr>
          <w:rFonts w:ascii="Times New Roman" w:hAnsi="Times New Roman" w:cs="Times New Roman"/>
          <w:sz w:val="24"/>
          <w:szCs w:val="24"/>
        </w:rPr>
        <w:t xml:space="preserve">, R.O. and </w:t>
      </w:r>
      <w:proofErr w:type="spellStart"/>
      <w:r w:rsidRPr="00FF04FF">
        <w:rPr>
          <w:rFonts w:ascii="Times New Roman" w:hAnsi="Times New Roman" w:cs="Times New Roman"/>
          <w:sz w:val="24"/>
          <w:szCs w:val="24"/>
        </w:rPr>
        <w:t>Sodimu</w:t>
      </w:r>
      <w:proofErr w:type="spellEnd"/>
      <w:r w:rsidRPr="00FF04FF">
        <w:rPr>
          <w:rFonts w:ascii="Times New Roman" w:hAnsi="Times New Roman" w:cs="Times New Roman"/>
          <w:sz w:val="24"/>
          <w:szCs w:val="24"/>
        </w:rPr>
        <w:t xml:space="preserve">, J.O., 2025. Transforming Diabetes Management: Optimizing Blood Glucose Control through Lifestyle Strategies for Better Health Outcomes–Scoping Review. </w:t>
      </w:r>
      <w:r w:rsidRPr="00FF04FF">
        <w:rPr>
          <w:rFonts w:ascii="Times New Roman" w:hAnsi="Times New Roman" w:cs="Times New Roman"/>
          <w:i/>
          <w:iCs/>
          <w:sz w:val="24"/>
          <w:szCs w:val="24"/>
        </w:rPr>
        <w:t>Bangladesh Journal of Endocrinology and Metabolism</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w:t>
      </w:r>
      <w:r w:rsidRPr="00FF04FF">
        <w:rPr>
          <w:rFonts w:ascii="Times New Roman" w:hAnsi="Times New Roman" w:cs="Times New Roman"/>
          <w:sz w:val="24"/>
          <w:szCs w:val="24"/>
        </w:rPr>
        <w:t>(1), pp.18-25.</w:t>
      </w:r>
    </w:p>
    <w:p w:rsidRPr="00FF04FF" w:rsidR="00FF04FF" w:rsidP="00FF04FF" w:rsidRDefault="00FF04FF" w14:paraId="4807D515"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lastRenderedPageBreak/>
        <w:t>Szczechla</w:t>
      </w:r>
      <w:proofErr w:type="spellEnd"/>
      <w:r w:rsidRPr="00FF04FF">
        <w:rPr>
          <w:rFonts w:ascii="Times New Roman" w:hAnsi="Times New Roman" w:cs="Times New Roman"/>
          <w:sz w:val="24"/>
          <w:szCs w:val="24"/>
        </w:rPr>
        <w:t xml:space="preserve">, M., </w:t>
      </w:r>
      <w:proofErr w:type="spellStart"/>
      <w:r w:rsidRPr="00FF04FF">
        <w:rPr>
          <w:rFonts w:ascii="Times New Roman" w:hAnsi="Times New Roman" w:cs="Times New Roman"/>
          <w:sz w:val="24"/>
          <w:szCs w:val="24"/>
        </w:rPr>
        <w:t>Balewska</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Naskręt</w:t>
      </w:r>
      <w:proofErr w:type="spellEnd"/>
      <w:r w:rsidRPr="00FF04FF">
        <w:rPr>
          <w:rFonts w:ascii="Times New Roman" w:hAnsi="Times New Roman" w:cs="Times New Roman"/>
          <w:sz w:val="24"/>
          <w:szCs w:val="24"/>
        </w:rPr>
        <w:t xml:space="preserve">, D., </w:t>
      </w:r>
      <w:proofErr w:type="spellStart"/>
      <w:r w:rsidRPr="00FF04FF">
        <w:rPr>
          <w:rFonts w:ascii="Times New Roman" w:hAnsi="Times New Roman" w:cs="Times New Roman"/>
          <w:sz w:val="24"/>
          <w:szCs w:val="24"/>
        </w:rPr>
        <w:t>Zozulińska-Ziółkiewicz</w:t>
      </w:r>
      <w:proofErr w:type="spellEnd"/>
      <w:r w:rsidRPr="00FF04FF">
        <w:rPr>
          <w:rFonts w:ascii="Times New Roman" w:hAnsi="Times New Roman" w:cs="Times New Roman"/>
          <w:sz w:val="24"/>
          <w:szCs w:val="24"/>
        </w:rPr>
        <w:t xml:space="preserve">, D. and </w:t>
      </w:r>
      <w:proofErr w:type="spellStart"/>
      <w:r w:rsidRPr="00FF04FF">
        <w:rPr>
          <w:rFonts w:ascii="Times New Roman" w:hAnsi="Times New Roman" w:cs="Times New Roman"/>
          <w:sz w:val="24"/>
          <w:szCs w:val="24"/>
        </w:rPr>
        <w:t>Uruska</w:t>
      </w:r>
      <w:proofErr w:type="spellEnd"/>
      <w:r w:rsidRPr="00FF04FF">
        <w:rPr>
          <w:rFonts w:ascii="Times New Roman" w:hAnsi="Times New Roman" w:cs="Times New Roman"/>
          <w:sz w:val="24"/>
          <w:szCs w:val="24"/>
        </w:rPr>
        <w:t xml:space="preserve">, A., 2023. Molecular changes in cells of patients with type 2 diabetes mellitus depending on changes in glycemia level in the context of Lifestyle—An overview of the latest scientific discoveries. </w:t>
      </w:r>
      <w:r w:rsidRPr="00FF04FF">
        <w:rPr>
          <w:rFonts w:ascii="Times New Roman" w:hAnsi="Times New Roman" w:cs="Times New Roman"/>
          <w:i/>
          <w:iCs/>
          <w:sz w:val="24"/>
          <w:szCs w:val="24"/>
        </w:rPr>
        <w:t>Current Issues in Molecular Biology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45</w:t>
      </w:r>
      <w:r w:rsidRPr="00FF04FF">
        <w:rPr>
          <w:rFonts w:ascii="Times New Roman" w:hAnsi="Times New Roman" w:cs="Times New Roman"/>
          <w:sz w:val="24"/>
          <w:szCs w:val="24"/>
        </w:rPr>
        <w:t>(3), pp.1961-1981.</w:t>
      </w:r>
    </w:p>
    <w:p w:rsidRPr="00FF04FF" w:rsidR="00FF04FF" w:rsidP="00FF04FF" w:rsidRDefault="00FF04FF" w14:paraId="6F865227" w14:textId="77777777">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Taylor, R., 2024. Understanding the cause of type 2 diabetes. </w:t>
      </w:r>
      <w:r w:rsidRPr="00FF04FF">
        <w:rPr>
          <w:rFonts w:ascii="Times New Roman" w:hAnsi="Times New Roman" w:cs="Times New Roman"/>
          <w:i/>
          <w:iCs/>
          <w:sz w:val="24"/>
          <w:szCs w:val="24"/>
        </w:rPr>
        <w:t>The lancet Diabetes &amp; endocrinology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12</w:t>
      </w:r>
      <w:r w:rsidRPr="00FF04FF">
        <w:rPr>
          <w:rFonts w:ascii="Times New Roman" w:hAnsi="Times New Roman" w:cs="Times New Roman"/>
          <w:sz w:val="24"/>
          <w:szCs w:val="24"/>
        </w:rPr>
        <w:t>(9), pp.664-673.</w:t>
      </w:r>
    </w:p>
    <w:p w:rsidRPr="00FF04FF" w:rsidR="00FF04FF" w:rsidP="00FF04FF" w:rsidRDefault="00FF04FF" w14:paraId="0F0AA5F8" w14:textId="77777777">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Tegegne</w:t>
      </w:r>
      <w:proofErr w:type="spellEnd"/>
      <w:r w:rsidRPr="00FF04FF">
        <w:rPr>
          <w:rFonts w:ascii="Times New Roman" w:hAnsi="Times New Roman" w:cs="Times New Roman"/>
          <w:sz w:val="24"/>
          <w:szCs w:val="24"/>
        </w:rPr>
        <w:t xml:space="preserve">, B.A., </w:t>
      </w:r>
      <w:proofErr w:type="spellStart"/>
      <w:r w:rsidRPr="00FF04FF">
        <w:rPr>
          <w:rFonts w:ascii="Times New Roman" w:hAnsi="Times New Roman" w:cs="Times New Roman"/>
          <w:sz w:val="24"/>
          <w:szCs w:val="24"/>
        </w:rPr>
        <w:t>Adugna</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Yenet</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Yihunie</w:t>
      </w:r>
      <w:proofErr w:type="spellEnd"/>
      <w:r w:rsidRPr="00FF04FF">
        <w:rPr>
          <w:rFonts w:ascii="Times New Roman" w:hAnsi="Times New Roman" w:cs="Times New Roman"/>
          <w:sz w:val="24"/>
          <w:szCs w:val="24"/>
        </w:rPr>
        <w:t xml:space="preserve"> Belay, W., </w:t>
      </w:r>
      <w:proofErr w:type="spellStart"/>
      <w:r w:rsidRPr="00FF04FF">
        <w:rPr>
          <w:rFonts w:ascii="Times New Roman" w:hAnsi="Times New Roman" w:cs="Times New Roman"/>
          <w:sz w:val="24"/>
          <w:szCs w:val="24"/>
        </w:rPr>
        <w:t>Yibeltal</w:t>
      </w:r>
      <w:proofErr w:type="spellEnd"/>
      <w:r w:rsidRPr="00FF04FF">
        <w:rPr>
          <w:rFonts w:ascii="Times New Roman" w:hAnsi="Times New Roman" w:cs="Times New Roman"/>
          <w:sz w:val="24"/>
          <w:szCs w:val="24"/>
        </w:rPr>
        <w:t xml:space="preserve">, Y., </w:t>
      </w:r>
      <w:proofErr w:type="spellStart"/>
      <w:r w:rsidRPr="00FF04FF">
        <w:rPr>
          <w:rFonts w:ascii="Times New Roman" w:hAnsi="Times New Roman" w:cs="Times New Roman"/>
          <w:sz w:val="24"/>
          <w:szCs w:val="24"/>
        </w:rPr>
        <w:t>Dagne</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Hibstu</w:t>
      </w:r>
      <w:proofErr w:type="spellEnd"/>
      <w:r w:rsidRPr="00FF04FF">
        <w:rPr>
          <w:rFonts w:ascii="Times New Roman" w:hAnsi="Times New Roman" w:cs="Times New Roman"/>
          <w:sz w:val="24"/>
          <w:szCs w:val="24"/>
        </w:rPr>
        <w:t xml:space="preserve"> </w:t>
      </w:r>
      <w:proofErr w:type="spellStart"/>
      <w:r w:rsidRPr="00FF04FF">
        <w:rPr>
          <w:rFonts w:ascii="Times New Roman" w:hAnsi="Times New Roman" w:cs="Times New Roman"/>
          <w:sz w:val="24"/>
          <w:szCs w:val="24"/>
        </w:rPr>
        <w:t>Teffera</w:t>
      </w:r>
      <w:proofErr w:type="spellEnd"/>
      <w:r w:rsidRPr="00FF04FF">
        <w:rPr>
          <w:rFonts w:ascii="Times New Roman" w:hAnsi="Times New Roman" w:cs="Times New Roman"/>
          <w:sz w:val="24"/>
          <w:szCs w:val="24"/>
        </w:rPr>
        <w:t xml:space="preserve">, Z., Amare, G.A., </w:t>
      </w:r>
      <w:proofErr w:type="spellStart"/>
      <w:r w:rsidRPr="00FF04FF">
        <w:rPr>
          <w:rFonts w:ascii="Times New Roman" w:hAnsi="Times New Roman" w:cs="Times New Roman"/>
          <w:sz w:val="24"/>
          <w:szCs w:val="24"/>
        </w:rPr>
        <w:t>Abebaw</w:t>
      </w:r>
      <w:proofErr w:type="spellEnd"/>
      <w:r w:rsidRPr="00FF04FF">
        <w:rPr>
          <w:rFonts w:ascii="Times New Roman" w:hAnsi="Times New Roman" w:cs="Times New Roman"/>
          <w:sz w:val="24"/>
          <w:szCs w:val="24"/>
        </w:rPr>
        <w:t xml:space="preserve">, D., </w:t>
      </w:r>
      <w:proofErr w:type="spellStart"/>
      <w:r w:rsidRPr="00FF04FF">
        <w:rPr>
          <w:rFonts w:ascii="Times New Roman" w:hAnsi="Times New Roman" w:cs="Times New Roman"/>
          <w:sz w:val="24"/>
          <w:szCs w:val="24"/>
        </w:rPr>
        <w:t>Tewabe</w:t>
      </w:r>
      <w:proofErr w:type="spellEnd"/>
      <w:r w:rsidRPr="00FF04FF">
        <w:rPr>
          <w:rFonts w:ascii="Times New Roman" w:hAnsi="Times New Roman" w:cs="Times New Roman"/>
          <w:sz w:val="24"/>
          <w:szCs w:val="24"/>
        </w:rPr>
        <w:t xml:space="preserve">, H. and Abebe, R.B., 2024. A critical review on diabetes mellitus type 1 and type 2 management approaches: from lifestyle modification to current and novel targets and therapeutic agents. </w:t>
      </w:r>
      <w:r w:rsidRPr="00FF04FF">
        <w:rPr>
          <w:rFonts w:ascii="Times New Roman" w:hAnsi="Times New Roman" w:cs="Times New Roman"/>
          <w:i/>
          <w:iCs/>
          <w:sz w:val="24"/>
          <w:szCs w:val="24"/>
        </w:rPr>
        <w:t>Frontiers in Endocrinology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15</w:t>
      </w:r>
      <w:r w:rsidRPr="00FF04FF">
        <w:rPr>
          <w:rFonts w:ascii="Times New Roman" w:hAnsi="Times New Roman" w:cs="Times New Roman"/>
          <w:sz w:val="24"/>
          <w:szCs w:val="24"/>
        </w:rPr>
        <w:t>, p.1440456.</w:t>
      </w:r>
    </w:p>
    <w:sectPr w:rsidRPr="00FF04FF" w:rsidR="00FF04FF" w:rsidSect="00751394">
      <w:footerReference w:type="default" r:id="rId9"/>
      <w:footerReference w:type="firs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614D1" w:rsidP="00F64E69" w:rsidRDefault="008614D1" w14:paraId="6F3E6EA7" w14:textId="77777777">
      <w:pPr>
        <w:spacing w:after="0" w:line="240" w:lineRule="auto"/>
      </w:pPr>
      <w:r>
        <w:separator/>
      </w:r>
    </w:p>
  </w:endnote>
  <w:endnote w:type="continuationSeparator" w:id="0">
    <w:p w:rsidR="008614D1" w:rsidP="00F64E69" w:rsidRDefault="008614D1" w14:paraId="1A73B2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9570825"/>
      <w:docPartObj>
        <w:docPartGallery w:val="Page Numbers (Bottom of Page)"/>
        <w:docPartUnique/>
      </w:docPartObj>
    </w:sdtPr>
    <w:sdtEndPr>
      <w:rPr>
        <w:rFonts w:ascii="Times New Roman" w:hAnsi="Times New Roman" w:cs="Times New Roman"/>
        <w:noProof/>
        <w:sz w:val="20"/>
        <w:szCs w:val="20"/>
      </w:rPr>
    </w:sdtEndPr>
    <w:sdtContent>
      <w:p w:rsidRPr="00F64E69" w:rsidR="00F64E69" w:rsidRDefault="00F64E69" w14:paraId="2CEB1931" w14:textId="695D6655">
        <w:pPr>
          <w:pStyle w:val="Footer"/>
          <w:jc w:val="right"/>
          <w:rPr>
            <w:rFonts w:ascii="Times New Roman" w:hAnsi="Times New Roman" w:cs="Times New Roman"/>
            <w:sz w:val="20"/>
            <w:szCs w:val="20"/>
          </w:rPr>
        </w:pPr>
        <w:r w:rsidRPr="00F64E69">
          <w:rPr>
            <w:rFonts w:ascii="Times New Roman" w:hAnsi="Times New Roman" w:cs="Times New Roman"/>
            <w:sz w:val="20"/>
            <w:szCs w:val="20"/>
          </w:rPr>
          <w:fldChar w:fldCharType="begin"/>
        </w:r>
        <w:r w:rsidRPr="00F64E69">
          <w:rPr>
            <w:rFonts w:ascii="Times New Roman" w:hAnsi="Times New Roman" w:cs="Times New Roman"/>
            <w:sz w:val="20"/>
            <w:szCs w:val="20"/>
          </w:rPr>
          <w:instrText xml:space="preserve"> PAGE   \* MERGEFORMAT </w:instrText>
        </w:r>
        <w:r w:rsidRPr="00F64E69">
          <w:rPr>
            <w:rFonts w:ascii="Times New Roman" w:hAnsi="Times New Roman" w:cs="Times New Roman"/>
            <w:sz w:val="20"/>
            <w:szCs w:val="20"/>
          </w:rPr>
          <w:fldChar w:fldCharType="separate"/>
        </w:r>
        <w:r w:rsidRPr="00F64E69">
          <w:rPr>
            <w:rFonts w:ascii="Times New Roman" w:hAnsi="Times New Roman" w:cs="Times New Roman"/>
            <w:noProof/>
            <w:sz w:val="20"/>
            <w:szCs w:val="20"/>
          </w:rPr>
          <w:t>2</w:t>
        </w:r>
        <w:r w:rsidRPr="00F64E69">
          <w:rPr>
            <w:rFonts w:ascii="Times New Roman" w:hAnsi="Times New Roman" w:cs="Times New Roman"/>
            <w:noProof/>
            <w:sz w:val="20"/>
            <w:szCs w:val="20"/>
          </w:rPr>
          <w:fldChar w:fldCharType="end"/>
        </w:r>
      </w:p>
    </w:sdtContent>
  </w:sdt>
  <w:p w:rsidR="00F64E69" w:rsidRDefault="00F64E69" w14:paraId="0F102F9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4837531"/>
      <w:docPartObj>
        <w:docPartGallery w:val="Page Numbers (Bottom of Page)"/>
        <w:docPartUnique/>
      </w:docPartObj>
    </w:sdtPr>
    <w:sdtEndPr>
      <w:rPr>
        <w:noProof/>
      </w:rPr>
    </w:sdtEndPr>
    <w:sdtContent>
      <w:p w:rsidR="00A773CC" w:rsidRDefault="00A773CC" w14:paraId="75312DB4" w14:textId="4D20DB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773CC" w:rsidRDefault="00A773CC" w14:paraId="07F8F7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614D1" w:rsidP="00F64E69" w:rsidRDefault="008614D1" w14:paraId="5483B760" w14:textId="77777777">
      <w:pPr>
        <w:spacing w:after="0" w:line="240" w:lineRule="auto"/>
      </w:pPr>
      <w:r>
        <w:separator/>
      </w:r>
    </w:p>
  </w:footnote>
  <w:footnote w:type="continuationSeparator" w:id="0">
    <w:p w:rsidR="008614D1" w:rsidP="00F64E69" w:rsidRDefault="008614D1" w14:paraId="229D0C18"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45"/>
    <w:rsid w:val="000B7453"/>
    <w:rsid w:val="00196809"/>
    <w:rsid w:val="00304E74"/>
    <w:rsid w:val="00451676"/>
    <w:rsid w:val="0052687B"/>
    <w:rsid w:val="00535870"/>
    <w:rsid w:val="005C57BF"/>
    <w:rsid w:val="00602190"/>
    <w:rsid w:val="00611622"/>
    <w:rsid w:val="00623820"/>
    <w:rsid w:val="00663794"/>
    <w:rsid w:val="00743CFC"/>
    <w:rsid w:val="00751394"/>
    <w:rsid w:val="007D08F4"/>
    <w:rsid w:val="00852065"/>
    <w:rsid w:val="00853E2B"/>
    <w:rsid w:val="008614D1"/>
    <w:rsid w:val="008A54F4"/>
    <w:rsid w:val="009A1F18"/>
    <w:rsid w:val="00A048AA"/>
    <w:rsid w:val="00A13F45"/>
    <w:rsid w:val="00A2626A"/>
    <w:rsid w:val="00A27269"/>
    <w:rsid w:val="00A773CC"/>
    <w:rsid w:val="00AB7139"/>
    <w:rsid w:val="00B21F0F"/>
    <w:rsid w:val="00B67BDD"/>
    <w:rsid w:val="00C47784"/>
    <w:rsid w:val="00C542B7"/>
    <w:rsid w:val="00D83D61"/>
    <w:rsid w:val="00F14960"/>
    <w:rsid w:val="00F64E69"/>
    <w:rsid w:val="00FD4BD5"/>
    <w:rsid w:val="00FF04FF"/>
    <w:rsid w:val="2ED9AD8D"/>
    <w:rsid w:val="38EA7A94"/>
    <w:rsid w:val="4DB1A63F"/>
    <w:rsid w:val="650A04D2"/>
    <w:rsid w:val="7206B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BEAB"/>
  <w15:chartTrackingRefBased/>
  <w15:docId w15:val="{0089E56D-1495-4C45-A155-F3DA6A93E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link w:val="Heading1Char"/>
    <w:uiPriority w:val="9"/>
    <w:qFormat/>
    <w:rsid w:val="00663794"/>
    <w:pPr>
      <w:spacing w:before="100" w:beforeAutospacing="1" w:after="100" w:afterAutospacing="1" w:line="240" w:lineRule="auto"/>
      <w:outlineLvl w:val="0"/>
    </w:pPr>
    <w:rPr>
      <w:rFonts w:ascii="Times New Roman" w:hAnsi="Times New Roman" w:eastAsia="Times New Roman" w:cs="Times New Roman"/>
      <w:b/>
      <w:bCs/>
      <w:kern w:val="36"/>
      <w:sz w:val="28"/>
      <w:szCs w:val="48"/>
    </w:rPr>
  </w:style>
  <w:style w:type="paragraph" w:styleId="Heading2">
    <w:name w:val="heading 2"/>
    <w:basedOn w:val="Normal"/>
    <w:link w:val="Heading2Char"/>
    <w:uiPriority w:val="9"/>
    <w:qFormat/>
    <w:rsid w:val="00A13F45"/>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A13F45"/>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63794"/>
    <w:rPr>
      <w:rFonts w:ascii="Times New Roman" w:hAnsi="Times New Roman" w:eastAsia="Times New Roman" w:cs="Times New Roman"/>
      <w:b/>
      <w:bCs/>
      <w:kern w:val="36"/>
      <w:sz w:val="28"/>
      <w:szCs w:val="48"/>
      <w:lang w:val="en-GB"/>
    </w:rPr>
  </w:style>
  <w:style w:type="character" w:styleId="Heading2Char" w:customStyle="1">
    <w:name w:val="Heading 2 Char"/>
    <w:basedOn w:val="DefaultParagraphFont"/>
    <w:link w:val="Heading2"/>
    <w:uiPriority w:val="9"/>
    <w:rsid w:val="00A13F45"/>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A13F45"/>
    <w:rPr>
      <w:rFonts w:ascii="Times New Roman" w:hAnsi="Times New Roman" w:eastAsia="Times New Roman" w:cs="Times New Roman"/>
      <w:b/>
      <w:bCs/>
      <w:sz w:val="27"/>
      <w:szCs w:val="27"/>
    </w:rPr>
  </w:style>
  <w:style w:type="paragraph" w:styleId="NormalWeb">
    <w:name w:val="Normal (Web)"/>
    <w:basedOn w:val="Normal"/>
    <w:uiPriority w:val="99"/>
    <w:semiHidden/>
    <w:unhideWhenUsed/>
    <w:rsid w:val="00A13F45"/>
    <w:pPr>
      <w:spacing w:before="100" w:beforeAutospacing="1" w:after="100" w:afterAutospacing="1" w:line="240" w:lineRule="auto"/>
    </w:pPr>
    <w:rPr>
      <w:rFonts w:ascii="Times New Roman" w:hAnsi="Times New Roman" w:eastAsia="Times New Roman" w:cs="Times New Roman"/>
      <w:sz w:val="24"/>
      <w:szCs w:val="24"/>
    </w:rPr>
  </w:style>
  <w:style w:type="paragraph" w:styleId="NoSpacing">
    <w:name w:val="No Spacing"/>
    <w:uiPriority w:val="1"/>
    <w:qFormat/>
    <w:rsid w:val="00A2626A"/>
    <w:pPr>
      <w:spacing w:after="0" w:line="240" w:lineRule="auto"/>
    </w:pPr>
  </w:style>
  <w:style w:type="paragraph" w:styleId="TOCHeading">
    <w:name w:val="TOC Heading"/>
    <w:basedOn w:val="Heading1"/>
    <w:next w:val="Normal"/>
    <w:uiPriority w:val="39"/>
    <w:unhideWhenUsed/>
    <w:qFormat/>
    <w:rsid w:val="00B21F0F"/>
    <w:pPr>
      <w:keepNext/>
      <w:keepLines/>
      <w:spacing w:before="240" w:beforeAutospacing="0" w:after="0" w:afterAutospacing="0" w:line="259" w:lineRule="auto"/>
      <w:outlineLvl w:val="9"/>
    </w:pPr>
    <w:rPr>
      <w:rFonts w:asciiTheme="majorHAnsi" w:hAnsiTheme="majorHAnsi" w:eastAsiaTheme="majorEastAsia"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B21F0F"/>
    <w:pPr>
      <w:spacing w:after="100"/>
    </w:pPr>
  </w:style>
  <w:style w:type="paragraph" w:styleId="TOC2">
    <w:name w:val="toc 2"/>
    <w:basedOn w:val="Normal"/>
    <w:next w:val="Normal"/>
    <w:autoRedefine/>
    <w:uiPriority w:val="39"/>
    <w:unhideWhenUsed/>
    <w:rsid w:val="00B21F0F"/>
    <w:pPr>
      <w:spacing w:after="100"/>
      <w:ind w:left="220"/>
    </w:pPr>
  </w:style>
  <w:style w:type="character" w:styleId="Hyperlink">
    <w:name w:val="Hyperlink"/>
    <w:basedOn w:val="DefaultParagraphFont"/>
    <w:uiPriority w:val="99"/>
    <w:unhideWhenUsed/>
    <w:rsid w:val="00B21F0F"/>
    <w:rPr>
      <w:color w:val="0563C1" w:themeColor="hyperlink"/>
      <w:u w:val="single"/>
    </w:rPr>
  </w:style>
  <w:style w:type="paragraph" w:styleId="Header">
    <w:name w:val="header"/>
    <w:basedOn w:val="Normal"/>
    <w:link w:val="HeaderChar"/>
    <w:uiPriority w:val="99"/>
    <w:unhideWhenUsed/>
    <w:rsid w:val="00F64E69"/>
    <w:pPr>
      <w:tabs>
        <w:tab w:val="center" w:pos="4513"/>
        <w:tab w:val="right" w:pos="9026"/>
      </w:tabs>
      <w:spacing w:after="0" w:line="240" w:lineRule="auto"/>
    </w:pPr>
  </w:style>
  <w:style w:type="character" w:styleId="HeaderChar" w:customStyle="1">
    <w:name w:val="Header Char"/>
    <w:basedOn w:val="DefaultParagraphFont"/>
    <w:link w:val="Header"/>
    <w:uiPriority w:val="99"/>
    <w:rsid w:val="00F64E69"/>
    <w:rPr>
      <w:lang w:val="en-GB"/>
    </w:rPr>
  </w:style>
  <w:style w:type="paragraph" w:styleId="Footer">
    <w:name w:val="footer"/>
    <w:basedOn w:val="Normal"/>
    <w:link w:val="FooterChar"/>
    <w:uiPriority w:val="99"/>
    <w:unhideWhenUsed/>
    <w:rsid w:val="00F64E69"/>
    <w:pPr>
      <w:tabs>
        <w:tab w:val="center" w:pos="4513"/>
        <w:tab w:val="right" w:pos="9026"/>
      </w:tabs>
      <w:spacing w:after="0" w:line="240" w:lineRule="auto"/>
    </w:pPr>
  </w:style>
  <w:style w:type="character" w:styleId="FooterChar" w:customStyle="1">
    <w:name w:val="Footer Char"/>
    <w:basedOn w:val="DefaultParagraphFont"/>
    <w:link w:val="Footer"/>
    <w:uiPriority w:val="99"/>
    <w:rsid w:val="00F64E6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1615333">
      <w:bodyDiv w:val="1"/>
      <w:marLeft w:val="0"/>
      <w:marRight w:val="0"/>
      <w:marTop w:val="0"/>
      <w:marBottom w:val="0"/>
      <w:divBdr>
        <w:top w:val="none" w:sz="0" w:space="0" w:color="auto"/>
        <w:left w:val="none" w:sz="0" w:space="0" w:color="auto"/>
        <w:bottom w:val="none" w:sz="0" w:space="0" w:color="auto"/>
        <w:right w:val="none" w:sz="0" w:space="0" w:color="auto"/>
      </w:divBdr>
      <w:divsChild>
        <w:div w:id="1432122713">
          <w:marLeft w:val="0"/>
          <w:marRight w:val="0"/>
          <w:marTop w:val="0"/>
          <w:marBottom w:val="0"/>
          <w:divBdr>
            <w:top w:val="none" w:sz="0" w:space="0" w:color="auto"/>
            <w:left w:val="none" w:sz="0" w:space="0" w:color="auto"/>
            <w:bottom w:val="none" w:sz="0" w:space="0" w:color="auto"/>
            <w:right w:val="none" w:sz="0" w:space="0" w:color="auto"/>
          </w:divBdr>
          <w:divsChild>
            <w:div w:id="705638252">
              <w:marLeft w:val="0"/>
              <w:marRight w:val="0"/>
              <w:marTop w:val="0"/>
              <w:marBottom w:val="0"/>
              <w:divBdr>
                <w:top w:val="none" w:sz="0" w:space="0" w:color="auto"/>
                <w:left w:val="none" w:sz="0" w:space="0" w:color="auto"/>
                <w:bottom w:val="none" w:sz="0" w:space="0" w:color="auto"/>
                <w:right w:val="none" w:sz="0" w:space="0" w:color="auto"/>
              </w:divBdr>
              <w:divsChild>
                <w:div w:id="1880781356">
                  <w:marLeft w:val="0"/>
                  <w:marRight w:val="0"/>
                  <w:marTop w:val="0"/>
                  <w:marBottom w:val="0"/>
                  <w:divBdr>
                    <w:top w:val="none" w:sz="0" w:space="0" w:color="auto"/>
                    <w:left w:val="none" w:sz="0" w:space="0" w:color="auto"/>
                    <w:bottom w:val="none" w:sz="0" w:space="0" w:color="auto"/>
                    <w:right w:val="none" w:sz="0" w:space="0" w:color="auto"/>
                  </w:divBdr>
                  <w:divsChild>
                    <w:div w:id="18221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18146-9FED-422C-8B9E-E9A990818BE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Barbara Singh (2507806)</lastModifiedBy>
  <revision>41</revision>
  <dcterms:created xsi:type="dcterms:W3CDTF">2026-10-08T17:11:00.0000000Z</dcterms:created>
  <dcterms:modified xsi:type="dcterms:W3CDTF">2026-10-26T05:28:50.5127039Z</dcterms:modified>
</coreProperties>
</file>