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7F870" w14:textId="77777777" w:rsidR="003E00BE" w:rsidRPr="003E00BE" w:rsidRDefault="003E00BE" w:rsidP="003E00BE">
      <w:pPr>
        <w:jc w:val="center"/>
        <w:rPr>
          <w:rFonts w:ascii="Calibri" w:eastAsia="Times New Roman" w:hAnsi="Calibri" w:cs="Calibri"/>
          <w:b/>
          <w:bCs/>
          <w:color w:val="000000"/>
          <w:sz w:val="36"/>
          <w:szCs w:val="36"/>
          <w:u w:val="single"/>
          <w:lang w:eastAsia="en-GB"/>
        </w:rPr>
      </w:pPr>
    </w:p>
    <w:p w14:paraId="01672FDA" w14:textId="77777777" w:rsidR="003E00BE" w:rsidRPr="003E00BE" w:rsidRDefault="003E00BE" w:rsidP="003E00BE">
      <w:pPr>
        <w:jc w:val="center"/>
        <w:rPr>
          <w:rFonts w:ascii="Calibri" w:eastAsia="Times New Roman" w:hAnsi="Calibri" w:cs="Calibri"/>
          <w:b/>
          <w:bCs/>
          <w:color w:val="000000"/>
          <w:sz w:val="36"/>
          <w:szCs w:val="36"/>
          <w:u w:val="single"/>
          <w:lang w:eastAsia="en-GB"/>
        </w:rPr>
      </w:pPr>
    </w:p>
    <w:p w14:paraId="109A1629" w14:textId="2B20BAEB" w:rsidR="003E00BE" w:rsidRDefault="003E00BE" w:rsidP="003E00BE">
      <w:pPr>
        <w:jc w:val="center"/>
        <w:rPr>
          <w:rFonts w:ascii="Calibri" w:eastAsia="Times New Roman" w:hAnsi="Calibri" w:cs="Calibri"/>
          <w:b/>
          <w:bCs/>
          <w:color w:val="000000"/>
          <w:sz w:val="42"/>
          <w:szCs w:val="42"/>
          <w:u w:val="single"/>
          <w:lang w:eastAsia="en-GB"/>
        </w:rPr>
      </w:pPr>
    </w:p>
    <w:p w14:paraId="21AF86BD" w14:textId="77777777" w:rsidR="003E00BE" w:rsidRDefault="003E00BE" w:rsidP="003E00BE">
      <w:pPr>
        <w:jc w:val="center"/>
        <w:rPr>
          <w:rFonts w:ascii="Calibri" w:eastAsia="Times New Roman" w:hAnsi="Calibri" w:cs="Calibri"/>
          <w:b/>
          <w:bCs/>
          <w:color w:val="000000"/>
          <w:sz w:val="42"/>
          <w:szCs w:val="42"/>
          <w:u w:val="single"/>
          <w:lang w:eastAsia="en-GB"/>
        </w:rPr>
      </w:pPr>
    </w:p>
    <w:p w14:paraId="3F89EC36" w14:textId="77777777" w:rsidR="003E00BE" w:rsidRPr="003E00BE" w:rsidRDefault="003E00BE" w:rsidP="003E00BE">
      <w:pPr>
        <w:jc w:val="center"/>
        <w:rPr>
          <w:rFonts w:ascii="Calibri" w:eastAsia="Times New Roman" w:hAnsi="Calibri" w:cs="Calibri"/>
          <w:b/>
          <w:bCs/>
          <w:color w:val="000000"/>
          <w:sz w:val="42"/>
          <w:szCs w:val="42"/>
          <w:u w:val="single"/>
          <w:lang w:eastAsia="en-GB"/>
        </w:rPr>
      </w:pPr>
    </w:p>
    <w:p w14:paraId="18F3F530" w14:textId="77777777" w:rsidR="003E00BE" w:rsidRPr="003E00BE" w:rsidRDefault="003E00BE" w:rsidP="003E00BE">
      <w:pPr>
        <w:jc w:val="center"/>
        <w:rPr>
          <w:rFonts w:ascii="Calibri" w:eastAsia="Times New Roman" w:hAnsi="Calibri" w:cs="Calibri"/>
          <w:b/>
          <w:bCs/>
          <w:color w:val="000000"/>
          <w:sz w:val="40"/>
          <w:szCs w:val="40"/>
          <w:u w:val="single"/>
          <w:lang w:eastAsia="en-GB"/>
        </w:rPr>
      </w:pPr>
      <w:r w:rsidRPr="003E00BE">
        <w:rPr>
          <w:rFonts w:ascii="Calibri" w:eastAsia="Times New Roman" w:hAnsi="Calibri" w:cs="Calibri"/>
          <w:b/>
          <w:bCs/>
          <w:color w:val="000000"/>
          <w:sz w:val="40"/>
          <w:szCs w:val="40"/>
          <w:u w:val="single"/>
          <w:lang w:eastAsia="en-GB"/>
        </w:rPr>
        <w:t>Britain and the Great War (HPHI60040</w:t>
      </w:r>
    </w:p>
    <w:p w14:paraId="295C2D25" w14:textId="77777777" w:rsidR="003E00BE" w:rsidRPr="003E00BE" w:rsidRDefault="003E00BE" w:rsidP="003E00BE">
      <w:pPr>
        <w:jc w:val="center"/>
        <w:rPr>
          <w:rFonts w:ascii="Calibri" w:eastAsia="Times New Roman" w:hAnsi="Calibri" w:cs="Calibri"/>
          <w:b/>
          <w:bCs/>
          <w:color w:val="000000"/>
          <w:sz w:val="40"/>
          <w:szCs w:val="40"/>
          <w:lang w:eastAsia="en-GB"/>
        </w:rPr>
      </w:pPr>
      <w:r w:rsidRPr="003E00BE">
        <w:rPr>
          <w:rFonts w:ascii="Calibri" w:eastAsia="Times New Roman" w:hAnsi="Calibri" w:cs="Calibri"/>
          <w:b/>
          <w:bCs/>
          <w:color w:val="000000"/>
          <w:sz w:val="40"/>
          <w:szCs w:val="40"/>
          <w:lang w:eastAsia="en-GB"/>
        </w:rPr>
        <w:t>Portfolio</w:t>
      </w:r>
    </w:p>
    <w:p w14:paraId="5981A21A" w14:textId="77777777" w:rsidR="003E00BE" w:rsidRPr="003E00BE" w:rsidRDefault="003E00BE" w:rsidP="003E00BE">
      <w:pPr>
        <w:jc w:val="center"/>
        <w:rPr>
          <w:rFonts w:ascii="Calibri" w:eastAsia="Times New Roman" w:hAnsi="Calibri" w:cs="Calibri"/>
          <w:color w:val="000000"/>
          <w:sz w:val="40"/>
          <w:szCs w:val="40"/>
          <w:lang w:eastAsia="en-GB"/>
        </w:rPr>
      </w:pPr>
      <w:r w:rsidRPr="003E00BE">
        <w:rPr>
          <w:rFonts w:ascii="Calibri" w:eastAsia="Times New Roman" w:hAnsi="Calibri" w:cs="Calibri"/>
          <w:color w:val="000000"/>
          <w:sz w:val="40"/>
          <w:szCs w:val="40"/>
          <w:lang w:eastAsia="en-GB"/>
        </w:rPr>
        <w:t>1500 Word Book Review</w:t>
      </w:r>
      <w:r w:rsidRPr="003E00BE">
        <w:rPr>
          <w:rFonts w:ascii="Calibri" w:eastAsia="Times New Roman" w:hAnsi="Calibri" w:cs="Calibri"/>
          <w:color w:val="000000"/>
          <w:sz w:val="40"/>
          <w:szCs w:val="40"/>
          <w:lang w:eastAsia="en-GB"/>
        </w:rPr>
        <w:br/>
        <w:t>&amp;</w:t>
      </w:r>
      <w:r w:rsidRPr="003E00BE">
        <w:rPr>
          <w:rFonts w:ascii="Calibri" w:eastAsia="Times New Roman" w:hAnsi="Calibri" w:cs="Calibri"/>
          <w:color w:val="000000"/>
          <w:sz w:val="40"/>
          <w:szCs w:val="40"/>
          <w:lang w:eastAsia="en-GB"/>
        </w:rPr>
        <w:br/>
        <w:t>1000 Word Document Report</w:t>
      </w:r>
    </w:p>
    <w:p w14:paraId="4A8F61A6" w14:textId="77777777" w:rsidR="003E00BE" w:rsidRDefault="003E00BE" w:rsidP="003E00BE">
      <w:pPr>
        <w:jc w:val="center"/>
        <w:rPr>
          <w:rFonts w:ascii="Calibri" w:eastAsia="Times New Roman" w:hAnsi="Calibri" w:cs="Calibri"/>
          <w:color w:val="000000"/>
          <w:sz w:val="36"/>
          <w:szCs w:val="36"/>
          <w:lang w:eastAsia="en-GB"/>
        </w:rPr>
      </w:pPr>
    </w:p>
    <w:p w14:paraId="5889F5F8" w14:textId="77777777" w:rsidR="003E00BE" w:rsidRDefault="003E00BE" w:rsidP="003E00BE">
      <w:pPr>
        <w:jc w:val="center"/>
        <w:rPr>
          <w:rFonts w:ascii="Calibri" w:eastAsia="Times New Roman" w:hAnsi="Calibri" w:cs="Calibri"/>
          <w:color w:val="000000"/>
          <w:sz w:val="36"/>
          <w:szCs w:val="36"/>
          <w:lang w:eastAsia="en-GB"/>
        </w:rPr>
      </w:pPr>
    </w:p>
    <w:p w14:paraId="3D3F3127" w14:textId="7E58AE39" w:rsidR="003E00BE" w:rsidRPr="003E00BE" w:rsidRDefault="003E00BE" w:rsidP="003E00BE">
      <w:pPr>
        <w:jc w:val="center"/>
        <w:rPr>
          <w:rFonts w:ascii="Calibri" w:eastAsia="Times New Roman" w:hAnsi="Calibri" w:cs="Calibri"/>
          <w:color w:val="000000"/>
          <w:sz w:val="36"/>
          <w:szCs w:val="36"/>
          <w:lang w:eastAsia="en-GB"/>
        </w:rPr>
      </w:pPr>
      <w:r>
        <w:rPr>
          <w:rFonts w:ascii="Calibri" w:eastAsia="Times New Roman" w:hAnsi="Calibri" w:cs="Calibri"/>
          <w:color w:val="000000"/>
          <w:sz w:val="32"/>
          <w:szCs w:val="32"/>
          <w:lang w:eastAsia="en-GB"/>
        </w:rPr>
        <w:t>Declan Lennon (1703779)</w:t>
      </w:r>
      <w:r w:rsidRPr="003E00BE">
        <w:rPr>
          <w:rFonts w:ascii="Calibri" w:eastAsia="Times New Roman" w:hAnsi="Calibri" w:cs="Calibri"/>
          <w:color w:val="000000"/>
          <w:sz w:val="36"/>
          <w:szCs w:val="36"/>
          <w:lang w:eastAsia="en-GB"/>
        </w:rPr>
        <w:br w:type="page"/>
      </w:r>
    </w:p>
    <w:p w14:paraId="1E261832" w14:textId="77777777" w:rsidR="003E00BE" w:rsidRPr="003E00BE" w:rsidRDefault="003E00BE" w:rsidP="00527C71">
      <w:pPr>
        <w:spacing w:after="0" w:line="360" w:lineRule="auto"/>
        <w:jc w:val="both"/>
        <w:rPr>
          <w:rFonts w:ascii="Calibri" w:eastAsia="Times New Roman" w:hAnsi="Calibri" w:cs="Calibri"/>
          <w:b/>
          <w:bCs/>
          <w:color w:val="000000"/>
          <w:sz w:val="24"/>
          <w:szCs w:val="24"/>
          <w:u w:val="single"/>
          <w:lang w:eastAsia="en-GB"/>
        </w:rPr>
      </w:pPr>
      <w:r w:rsidRPr="003E00BE">
        <w:rPr>
          <w:rFonts w:ascii="Calibri" w:eastAsia="Times New Roman" w:hAnsi="Calibri" w:cs="Calibri"/>
          <w:b/>
          <w:bCs/>
          <w:color w:val="000000"/>
          <w:sz w:val="24"/>
          <w:szCs w:val="24"/>
          <w:u w:val="single"/>
          <w:lang w:eastAsia="en-GB"/>
        </w:rPr>
        <w:lastRenderedPageBreak/>
        <w:t xml:space="preserve">Book Review – Siegfried Sassoon, </w:t>
      </w:r>
      <w:r w:rsidRPr="003E00BE">
        <w:rPr>
          <w:rFonts w:ascii="Calibri" w:eastAsia="Times New Roman" w:hAnsi="Calibri" w:cs="Calibri"/>
          <w:b/>
          <w:bCs/>
          <w:i/>
          <w:iCs/>
          <w:color w:val="000000"/>
          <w:sz w:val="24"/>
          <w:szCs w:val="24"/>
          <w:u w:val="single"/>
          <w:lang w:eastAsia="en-GB"/>
        </w:rPr>
        <w:t xml:space="preserve">Memoirs of and Infantry Soldier, </w:t>
      </w:r>
      <w:r w:rsidRPr="003E00BE">
        <w:rPr>
          <w:rFonts w:ascii="Calibri" w:eastAsia="Times New Roman" w:hAnsi="Calibri" w:cs="Calibri"/>
          <w:b/>
          <w:bCs/>
          <w:color w:val="000000"/>
          <w:sz w:val="24"/>
          <w:szCs w:val="24"/>
          <w:u w:val="single"/>
          <w:lang w:eastAsia="en-GB"/>
        </w:rPr>
        <w:t xml:space="preserve">1930 </w:t>
      </w:r>
    </w:p>
    <w:p w14:paraId="16B328D4" w14:textId="3B5DF252" w:rsidR="003E00BE" w:rsidRPr="003E00BE" w:rsidRDefault="003E00BE" w:rsidP="00527C71">
      <w:pPr>
        <w:spacing w:after="0" w:line="360" w:lineRule="auto"/>
        <w:jc w:val="both"/>
        <w:rPr>
          <w:rFonts w:ascii="Calibri" w:eastAsia="Times New Roman" w:hAnsi="Calibri" w:cs="Calibri"/>
          <w:b/>
          <w:bCs/>
          <w:color w:val="000000"/>
          <w:sz w:val="24"/>
          <w:szCs w:val="24"/>
          <w:u w:val="single"/>
          <w:lang w:eastAsia="en-GB"/>
        </w:rPr>
      </w:pPr>
      <w:r w:rsidRPr="003E00BE">
        <w:rPr>
          <w:rFonts w:ascii="Calibri" w:eastAsia="Times New Roman" w:hAnsi="Calibri" w:cs="Calibri"/>
          <w:b/>
          <w:bCs/>
          <w:color w:val="000000"/>
          <w:sz w:val="24"/>
          <w:szCs w:val="24"/>
          <w:u w:val="single"/>
          <w:lang w:eastAsia="en-GB"/>
        </w:rPr>
        <w:t>(Word Count: 1545)</w:t>
      </w:r>
    </w:p>
    <w:p w14:paraId="03B9CE68" w14:textId="77777777" w:rsidR="003E00BE" w:rsidRPr="003E00BE" w:rsidRDefault="003E00BE" w:rsidP="00527C71">
      <w:pPr>
        <w:spacing w:after="0" w:line="360" w:lineRule="auto"/>
        <w:jc w:val="both"/>
        <w:rPr>
          <w:rFonts w:ascii="Calibri" w:eastAsia="Times New Roman" w:hAnsi="Calibri" w:cs="Calibri"/>
          <w:color w:val="000000"/>
          <w:sz w:val="24"/>
          <w:szCs w:val="24"/>
          <w:lang w:eastAsia="en-GB"/>
        </w:rPr>
      </w:pPr>
    </w:p>
    <w:p w14:paraId="3513450E" w14:textId="2E32F5DA" w:rsidR="009565BA" w:rsidRPr="003E00BE" w:rsidRDefault="009565BA"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t xml:space="preserve">This book review will discuss and analyse the book </w:t>
      </w:r>
      <w:r w:rsidRPr="003E00BE">
        <w:rPr>
          <w:rFonts w:ascii="Calibri" w:eastAsia="Times New Roman" w:hAnsi="Calibri" w:cs="Calibri"/>
          <w:i/>
          <w:iCs/>
          <w:color w:val="000000"/>
          <w:sz w:val="24"/>
          <w:szCs w:val="24"/>
          <w:lang w:eastAsia="en-GB"/>
        </w:rPr>
        <w:t>Memoirs of an Infantry Soldier.</w:t>
      </w:r>
      <w:r w:rsidR="00974311" w:rsidRPr="003E00BE">
        <w:rPr>
          <w:rStyle w:val="FootnoteReference"/>
          <w:rFonts w:ascii="Calibri" w:eastAsia="Times New Roman" w:hAnsi="Calibri" w:cs="Calibri"/>
          <w:color w:val="000000"/>
          <w:sz w:val="24"/>
          <w:szCs w:val="24"/>
          <w:lang w:eastAsia="en-GB"/>
        </w:rPr>
        <w:footnoteReference w:id="1"/>
      </w:r>
      <w:r w:rsidRPr="003E00BE">
        <w:rPr>
          <w:rFonts w:ascii="Calibri" w:eastAsia="Times New Roman" w:hAnsi="Calibri" w:cs="Calibri"/>
          <w:i/>
          <w:iCs/>
          <w:color w:val="000000"/>
          <w:sz w:val="24"/>
          <w:szCs w:val="24"/>
          <w:lang w:eastAsia="en-GB"/>
        </w:rPr>
        <w:t xml:space="preserve"> </w:t>
      </w:r>
      <w:r w:rsidRPr="003E00BE">
        <w:rPr>
          <w:rFonts w:ascii="Calibri" w:eastAsia="Times New Roman" w:hAnsi="Calibri" w:cs="Calibri"/>
          <w:color w:val="000000"/>
          <w:sz w:val="24"/>
          <w:szCs w:val="24"/>
          <w:lang w:eastAsia="en-GB"/>
        </w:rPr>
        <w:t xml:space="preserve">It shall commence by firstly discussing the provenance of the book and an </w:t>
      </w:r>
      <w:r w:rsidR="00974311" w:rsidRPr="003E00BE">
        <w:rPr>
          <w:rFonts w:ascii="Calibri" w:eastAsia="Times New Roman" w:hAnsi="Calibri" w:cs="Calibri"/>
          <w:color w:val="000000"/>
          <w:sz w:val="24"/>
          <w:szCs w:val="24"/>
          <w:lang w:eastAsia="en-GB"/>
        </w:rPr>
        <w:t>in-depth</w:t>
      </w:r>
      <w:r w:rsidRPr="003E00BE">
        <w:rPr>
          <w:rFonts w:ascii="Calibri" w:eastAsia="Times New Roman" w:hAnsi="Calibri" w:cs="Calibri"/>
          <w:color w:val="000000"/>
          <w:sz w:val="24"/>
          <w:szCs w:val="24"/>
          <w:lang w:eastAsia="en-GB"/>
        </w:rPr>
        <w:t xml:space="preserve"> discussion of the book. Following these sections, the main arguments within the book will be analysed and conclude with a discussion on the book as an academic aid. </w:t>
      </w:r>
      <w:r w:rsidRPr="003E00BE">
        <w:rPr>
          <w:rFonts w:ascii="Calibri" w:eastAsia="Times New Roman" w:hAnsi="Calibri" w:cs="Calibri"/>
          <w:i/>
          <w:iCs/>
          <w:color w:val="000000"/>
          <w:sz w:val="24"/>
          <w:szCs w:val="24"/>
          <w:lang w:eastAsia="en-GB"/>
        </w:rPr>
        <w:t xml:space="preserve">Memoirs of an Infantry Soldier </w:t>
      </w:r>
      <w:r w:rsidRPr="003E00BE">
        <w:rPr>
          <w:rFonts w:ascii="Calibri" w:eastAsia="Times New Roman" w:hAnsi="Calibri" w:cs="Calibri"/>
          <w:color w:val="000000"/>
          <w:sz w:val="24"/>
          <w:szCs w:val="24"/>
          <w:lang w:eastAsia="en-GB"/>
        </w:rPr>
        <w:t xml:space="preserve">was written by a British Officer in the infantry who fought in The Great War named Siegfried Sassoon. The soldier in </w:t>
      </w:r>
      <w:r w:rsidRPr="003E00BE">
        <w:rPr>
          <w:rFonts w:ascii="Calibri" w:eastAsia="Times New Roman" w:hAnsi="Calibri" w:cs="Calibri"/>
          <w:i/>
          <w:iCs/>
          <w:color w:val="000000"/>
          <w:sz w:val="24"/>
          <w:szCs w:val="24"/>
          <w:lang w:eastAsia="en-GB"/>
        </w:rPr>
        <w:t xml:space="preserve">Memoirs of an Infantry Soldier </w:t>
      </w:r>
      <w:r w:rsidRPr="003E00BE">
        <w:rPr>
          <w:rFonts w:ascii="Calibri" w:eastAsia="Times New Roman" w:hAnsi="Calibri" w:cs="Calibri"/>
          <w:color w:val="000000"/>
          <w:sz w:val="24"/>
          <w:szCs w:val="24"/>
          <w:lang w:eastAsia="en-GB"/>
        </w:rPr>
        <w:t>is named George Sherston, however, that name is simply a pseudonym for Sassoon due to the fact that he opt</w:t>
      </w:r>
      <w:r w:rsidR="00240061">
        <w:rPr>
          <w:rFonts w:ascii="Calibri" w:eastAsia="Times New Roman" w:hAnsi="Calibri" w:cs="Calibri"/>
          <w:color w:val="000000"/>
          <w:sz w:val="24"/>
          <w:szCs w:val="24"/>
          <w:lang w:eastAsia="en-GB"/>
        </w:rPr>
        <w:t>ed</w:t>
      </w:r>
      <w:r w:rsidRPr="003E00BE">
        <w:rPr>
          <w:rFonts w:ascii="Calibri" w:eastAsia="Times New Roman" w:hAnsi="Calibri" w:cs="Calibri"/>
          <w:color w:val="000000"/>
          <w:sz w:val="24"/>
          <w:szCs w:val="24"/>
          <w:lang w:eastAsia="en-GB"/>
        </w:rPr>
        <w:t xml:space="preserve"> to produce his own experiences in a more fictional style, </w:t>
      </w:r>
      <w:r w:rsidR="00240061">
        <w:rPr>
          <w:rFonts w:ascii="Calibri" w:eastAsia="Times New Roman" w:hAnsi="Calibri" w:cs="Calibri"/>
          <w:color w:val="000000"/>
          <w:sz w:val="24"/>
          <w:szCs w:val="24"/>
          <w:lang w:eastAsia="en-GB"/>
        </w:rPr>
        <w:t>despite the style in which Sassoon chooses to write</w:t>
      </w:r>
      <w:r w:rsidRPr="003E00BE">
        <w:rPr>
          <w:rFonts w:ascii="Calibri" w:eastAsia="Times New Roman" w:hAnsi="Calibri" w:cs="Calibri"/>
          <w:color w:val="000000"/>
          <w:sz w:val="24"/>
          <w:szCs w:val="24"/>
          <w:lang w:eastAsia="en-GB"/>
        </w:rPr>
        <w:t xml:space="preserve"> these memoirs are only loosely fictional.</w:t>
      </w:r>
      <w:r w:rsidR="000B2001" w:rsidRPr="003E00BE">
        <w:rPr>
          <w:rStyle w:val="FootnoteReference"/>
          <w:rFonts w:ascii="Calibri" w:eastAsia="Times New Roman" w:hAnsi="Calibri" w:cs="Calibri"/>
          <w:color w:val="000000"/>
          <w:sz w:val="24"/>
          <w:szCs w:val="24"/>
          <w:lang w:eastAsia="en-GB"/>
        </w:rPr>
        <w:footnoteReference w:id="2"/>
      </w:r>
      <w:r w:rsidRPr="003E00BE">
        <w:rPr>
          <w:rFonts w:ascii="Calibri" w:eastAsia="Times New Roman" w:hAnsi="Calibri" w:cs="Calibri"/>
          <w:color w:val="000000"/>
          <w:sz w:val="24"/>
          <w:szCs w:val="24"/>
          <w:lang w:eastAsia="en-GB"/>
        </w:rPr>
        <w:t xml:space="preserve"> The book is part two of a trilogy written by Sassoon named </w:t>
      </w:r>
      <w:r w:rsidRPr="003E00BE">
        <w:rPr>
          <w:rFonts w:ascii="Calibri" w:eastAsia="Times New Roman" w:hAnsi="Calibri" w:cs="Calibri"/>
          <w:i/>
          <w:iCs/>
          <w:color w:val="000000"/>
          <w:sz w:val="24"/>
          <w:szCs w:val="24"/>
          <w:lang w:eastAsia="en-GB"/>
        </w:rPr>
        <w:t>The Sherston Trilogy,</w:t>
      </w:r>
      <w:r w:rsidR="00240061">
        <w:rPr>
          <w:rFonts w:ascii="Calibri" w:eastAsia="Times New Roman" w:hAnsi="Calibri" w:cs="Calibri"/>
          <w:i/>
          <w:iCs/>
          <w:color w:val="000000"/>
          <w:sz w:val="24"/>
          <w:szCs w:val="24"/>
          <w:lang w:eastAsia="en-GB"/>
        </w:rPr>
        <w:t xml:space="preserve"> </w:t>
      </w:r>
      <w:r w:rsidR="00240061">
        <w:rPr>
          <w:rFonts w:ascii="Calibri" w:eastAsia="Times New Roman" w:hAnsi="Calibri" w:cs="Calibri"/>
          <w:color w:val="000000"/>
          <w:sz w:val="24"/>
          <w:szCs w:val="24"/>
          <w:lang w:eastAsia="en-GB"/>
        </w:rPr>
        <w:t>in</w:t>
      </w:r>
      <w:bookmarkStart w:id="0" w:name="_GoBack"/>
      <w:bookmarkEnd w:id="0"/>
      <w:r w:rsidRPr="003E00BE">
        <w:rPr>
          <w:rFonts w:ascii="Calibri" w:eastAsia="Times New Roman" w:hAnsi="Calibri" w:cs="Calibri"/>
          <w:i/>
          <w:iCs/>
          <w:color w:val="000000"/>
          <w:sz w:val="24"/>
          <w:szCs w:val="24"/>
          <w:lang w:eastAsia="en-GB"/>
        </w:rPr>
        <w:t xml:space="preserve"> </w:t>
      </w:r>
      <w:r w:rsidRPr="003E00BE">
        <w:rPr>
          <w:rFonts w:ascii="Calibri" w:eastAsia="Times New Roman" w:hAnsi="Calibri" w:cs="Calibri"/>
          <w:color w:val="000000"/>
          <w:sz w:val="24"/>
          <w:szCs w:val="24"/>
          <w:lang w:eastAsia="en-GB"/>
        </w:rPr>
        <w:t xml:space="preserve">which the other two titles are </w:t>
      </w:r>
      <w:r w:rsidRPr="003E00BE">
        <w:rPr>
          <w:rFonts w:ascii="Calibri" w:eastAsia="Times New Roman" w:hAnsi="Calibri" w:cs="Calibri"/>
          <w:i/>
          <w:iCs/>
          <w:color w:val="000000"/>
          <w:sz w:val="24"/>
          <w:szCs w:val="24"/>
          <w:lang w:eastAsia="en-GB"/>
        </w:rPr>
        <w:t>Memoirs of a Fox-Hunting Man</w:t>
      </w:r>
      <w:r w:rsidRPr="003E00BE">
        <w:rPr>
          <w:rFonts w:ascii="Calibri" w:eastAsia="Times New Roman" w:hAnsi="Calibri" w:cs="Calibri"/>
          <w:color w:val="000000"/>
          <w:sz w:val="24"/>
          <w:szCs w:val="24"/>
          <w:lang w:eastAsia="en-GB"/>
        </w:rPr>
        <w:t xml:space="preserve"> and </w:t>
      </w:r>
      <w:r w:rsidRPr="003E00BE">
        <w:rPr>
          <w:rFonts w:ascii="Calibri" w:eastAsia="Times New Roman" w:hAnsi="Calibri" w:cs="Calibri"/>
          <w:i/>
          <w:iCs/>
          <w:color w:val="000000"/>
          <w:sz w:val="24"/>
          <w:szCs w:val="24"/>
          <w:lang w:eastAsia="en-GB"/>
        </w:rPr>
        <w:t>Sherston’s Progress</w:t>
      </w:r>
      <w:r w:rsidRPr="003E00BE">
        <w:rPr>
          <w:rFonts w:ascii="Calibri" w:eastAsia="Times New Roman" w:hAnsi="Calibri" w:cs="Calibri"/>
          <w:color w:val="000000"/>
          <w:sz w:val="24"/>
          <w:szCs w:val="24"/>
          <w:lang w:eastAsia="en-GB"/>
        </w:rPr>
        <w:t>. </w:t>
      </w:r>
    </w:p>
    <w:p w14:paraId="3F4CE7AD" w14:textId="77777777" w:rsidR="009565BA" w:rsidRPr="003E00BE" w:rsidRDefault="009565BA" w:rsidP="00527C71">
      <w:pPr>
        <w:spacing w:after="0" w:line="360" w:lineRule="auto"/>
        <w:jc w:val="both"/>
        <w:rPr>
          <w:rFonts w:ascii="Calibri" w:eastAsia="Times New Roman" w:hAnsi="Calibri" w:cs="Calibri"/>
          <w:sz w:val="24"/>
          <w:szCs w:val="24"/>
          <w:lang w:eastAsia="en-GB"/>
        </w:rPr>
      </w:pPr>
    </w:p>
    <w:p w14:paraId="0460BD88" w14:textId="57AB4518" w:rsidR="009565BA" w:rsidRPr="003E00BE" w:rsidRDefault="009565BA"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t>Siegfried Sassoon was born in Kent on the 8th September 1886. His mother hailed from an artistic family from Thorneycroft, and his father heralded from a Jewish merchant family that originated from India and Iran.</w:t>
      </w:r>
      <w:r w:rsidR="000B2001" w:rsidRPr="003E00BE">
        <w:rPr>
          <w:rStyle w:val="FootnoteReference"/>
          <w:rFonts w:ascii="Calibri" w:eastAsia="Times New Roman" w:hAnsi="Calibri" w:cs="Calibri"/>
          <w:color w:val="000000"/>
          <w:sz w:val="24"/>
          <w:szCs w:val="24"/>
          <w:lang w:eastAsia="en-GB"/>
        </w:rPr>
        <w:footnoteReference w:id="3"/>
      </w:r>
      <w:r w:rsidRPr="003E00BE">
        <w:rPr>
          <w:rFonts w:ascii="Calibri" w:eastAsia="Times New Roman" w:hAnsi="Calibri" w:cs="Calibri"/>
          <w:color w:val="000000"/>
          <w:sz w:val="24"/>
          <w:szCs w:val="24"/>
          <w:lang w:eastAsia="en-GB"/>
        </w:rPr>
        <w:t xml:space="preserve"> Sassoon attended Cambridge University, however departed prior to completion of a degree.</w:t>
      </w:r>
      <w:r w:rsidR="000B2001" w:rsidRPr="003E00BE">
        <w:rPr>
          <w:rStyle w:val="FootnoteReference"/>
          <w:rFonts w:ascii="Calibri" w:eastAsia="Times New Roman" w:hAnsi="Calibri" w:cs="Calibri"/>
          <w:color w:val="000000"/>
          <w:sz w:val="24"/>
          <w:szCs w:val="24"/>
          <w:lang w:eastAsia="en-GB"/>
        </w:rPr>
        <w:footnoteReference w:id="4"/>
      </w:r>
      <w:r w:rsidRPr="003E00BE">
        <w:rPr>
          <w:rFonts w:ascii="Calibri" w:eastAsia="Times New Roman" w:hAnsi="Calibri" w:cs="Calibri"/>
          <w:color w:val="000000"/>
          <w:sz w:val="24"/>
          <w:szCs w:val="24"/>
          <w:lang w:eastAsia="en-GB"/>
        </w:rPr>
        <w:t xml:space="preserve"> In May of 1915</w:t>
      </w:r>
      <w:r w:rsidR="00664FF6" w:rsidRPr="003E00BE">
        <w:rPr>
          <w:rFonts w:ascii="Calibri" w:eastAsia="Times New Roman" w:hAnsi="Calibri" w:cs="Calibri"/>
          <w:color w:val="000000"/>
          <w:sz w:val="24"/>
          <w:szCs w:val="24"/>
          <w:lang w:eastAsia="en-GB"/>
        </w:rPr>
        <w:t>,</w:t>
      </w:r>
      <w:r w:rsidRPr="003E00BE">
        <w:rPr>
          <w:rFonts w:ascii="Calibri" w:eastAsia="Times New Roman" w:hAnsi="Calibri" w:cs="Calibri"/>
          <w:color w:val="000000"/>
          <w:sz w:val="24"/>
          <w:szCs w:val="24"/>
          <w:lang w:eastAsia="en-GB"/>
        </w:rPr>
        <w:t xml:space="preserve"> Sassoon was assigned to the Royal Welch Fusiliers as an Officer, posted to France and given the safety of a job behind the front line. However, Sassoon is not content with this and seeks a piece of the action. Sassoon was given the nickname ‘Mad Jack’ due to his suicidal ventures, and deeply impressed many people with his bravery whilst on duty at the frontline.</w:t>
      </w:r>
      <w:r w:rsidR="000B2001" w:rsidRPr="003E00BE">
        <w:rPr>
          <w:rStyle w:val="FootnoteReference"/>
          <w:rFonts w:ascii="Calibri" w:eastAsia="Times New Roman" w:hAnsi="Calibri" w:cs="Calibri"/>
          <w:color w:val="000000"/>
          <w:sz w:val="24"/>
          <w:szCs w:val="24"/>
          <w:lang w:eastAsia="en-GB"/>
        </w:rPr>
        <w:footnoteReference w:id="5"/>
      </w:r>
    </w:p>
    <w:p w14:paraId="0E53AA2E" w14:textId="77777777" w:rsidR="009565BA" w:rsidRPr="003E00BE" w:rsidRDefault="009565BA" w:rsidP="00527C71">
      <w:pPr>
        <w:spacing w:after="0" w:line="360" w:lineRule="auto"/>
        <w:jc w:val="both"/>
        <w:rPr>
          <w:rFonts w:ascii="Calibri" w:eastAsia="Times New Roman" w:hAnsi="Calibri" w:cs="Calibri"/>
          <w:sz w:val="24"/>
          <w:szCs w:val="24"/>
          <w:lang w:eastAsia="en-GB"/>
        </w:rPr>
      </w:pPr>
    </w:p>
    <w:p w14:paraId="3AB45AC9" w14:textId="5610FA19" w:rsidR="009565BA" w:rsidRPr="003E00BE" w:rsidRDefault="009565BA"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lastRenderedPageBreak/>
        <w:t xml:space="preserve">Sassoon uses his artistic licence in producing work under a Pseudonym so instinctively the question must be asked whether he has done this in other areas of the </w:t>
      </w:r>
      <w:r w:rsidR="005228E3" w:rsidRPr="003E00BE">
        <w:rPr>
          <w:rFonts w:ascii="Calibri" w:eastAsia="Times New Roman" w:hAnsi="Calibri" w:cs="Calibri"/>
          <w:color w:val="000000"/>
          <w:sz w:val="24"/>
          <w:szCs w:val="24"/>
          <w:lang w:eastAsia="en-GB"/>
        </w:rPr>
        <w:t>book and</w:t>
      </w:r>
      <w:r w:rsidRPr="003E00BE">
        <w:rPr>
          <w:rFonts w:ascii="Calibri" w:eastAsia="Times New Roman" w:hAnsi="Calibri" w:cs="Calibri"/>
          <w:color w:val="000000"/>
          <w:sz w:val="24"/>
          <w:szCs w:val="24"/>
          <w:lang w:eastAsia="en-GB"/>
        </w:rPr>
        <w:t xml:space="preserve"> questions the validity of the book and how factual it is. If approaching the book as a novel it can be argued that Sassoon is not as adept a storyteller as </w:t>
      </w:r>
      <w:r w:rsidRPr="003E00BE">
        <w:rPr>
          <w:rFonts w:ascii="Calibri" w:eastAsia="Times New Roman" w:hAnsi="Calibri" w:cs="Calibri"/>
          <w:i/>
          <w:iCs/>
          <w:color w:val="000000"/>
          <w:sz w:val="24"/>
          <w:szCs w:val="24"/>
          <w:lang w:eastAsia="en-GB"/>
        </w:rPr>
        <w:t xml:space="preserve">Goodbye to all That </w:t>
      </w:r>
      <w:r w:rsidRPr="003E00BE">
        <w:rPr>
          <w:rFonts w:ascii="Calibri" w:eastAsia="Times New Roman" w:hAnsi="Calibri" w:cs="Calibri"/>
          <w:color w:val="000000"/>
          <w:sz w:val="24"/>
          <w:szCs w:val="24"/>
          <w:lang w:eastAsia="en-GB"/>
        </w:rPr>
        <w:t xml:space="preserve">writer Robert Graves or Erich Maria Remarque, writer of </w:t>
      </w:r>
      <w:r w:rsidRPr="003E00BE">
        <w:rPr>
          <w:rFonts w:ascii="Calibri" w:eastAsia="Times New Roman" w:hAnsi="Calibri" w:cs="Calibri"/>
          <w:i/>
          <w:iCs/>
          <w:color w:val="000000"/>
          <w:sz w:val="24"/>
          <w:szCs w:val="24"/>
          <w:lang w:eastAsia="en-GB"/>
        </w:rPr>
        <w:t>All Quiet on the Western Front</w:t>
      </w:r>
      <w:r w:rsidRPr="003E00BE">
        <w:rPr>
          <w:rFonts w:ascii="Calibri" w:eastAsia="Times New Roman" w:hAnsi="Calibri" w:cs="Calibri"/>
          <w:color w:val="000000"/>
          <w:sz w:val="24"/>
          <w:szCs w:val="24"/>
          <w:lang w:eastAsia="en-GB"/>
        </w:rPr>
        <w:t xml:space="preserve">, however,  when approaching from a purely historical and factual viewpoint there would be a struggle to find such an in detail and thought provoking account of a single soldiers experience of The Great War than that of Siegfried Sassoon’s </w:t>
      </w:r>
      <w:r w:rsidRPr="003E00BE">
        <w:rPr>
          <w:rFonts w:ascii="Calibri" w:eastAsia="Times New Roman" w:hAnsi="Calibri" w:cs="Calibri"/>
          <w:i/>
          <w:iCs/>
          <w:color w:val="000000"/>
          <w:sz w:val="24"/>
          <w:szCs w:val="24"/>
          <w:lang w:eastAsia="en-GB"/>
        </w:rPr>
        <w:t>Memoirs of An Infantry Officer.</w:t>
      </w:r>
    </w:p>
    <w:p w14:paraId="340BB413" w14:textId="77777777" w:rsidR="009565BA" w:rsidRPr="003E00BE" w:rsidRDefault="009565BA" w:rsidP="00527C71">
      <w:pPr>
        <w:spacing w:after="0" w:line="360" w:lineRule="auto"/>
        <w:jc w:val="both"/>
        <w:rPr>
          <w:rFonts w:ascii="Calibri" w:eastAsia="Times New Roman" w:hAnsi="Calibri" w:cs="Calibri"/>
          <w:sz w:val="24"/>
          <w:szCs w:val="24"/>
          <w:lang w:eastAsia="en-GB"/>
        </w:rPr>
      </w:pPr>
    </w:p>
    <w:p w14:paraId="121B002A" w14:textId="7663CB85" w:rsidR="009565BA" w:rsidRPr="003E00BE" w:rsidRDefault="009565BA"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i/>
          <w:iCs/>
          <w:color w:val="000000"/>
          <w:sz w:val="24"/>
          <w:szCs w:val="24"/>
          <w:lang w:eastAsia="en-GB"/>
        </w:rPr>
        <w:t xml:space="preserve">Memoirs of an Infantry Soldier </w:t>
      </w:r>
      <w:r w:rsidRPr="003E00BE">
        <w:rPr>
          <w:rFonts w:ascii="Calibri" w:eastAsia="Times New Roman" w:hAnsi="Calibri" w:cs="Calibri"/>
          <w:color w:val="000000"/>
          <w:sz w:val="24"/>
          <w:szCs w:val="24"/>
          <w:lang w:eastAsia="en-GB"/>
        </w:rPr>
        <w:t>begins slightly before where the first book ends as it sees Sherston in the Army school, where he masters and remasters the art of open warfare, that his superiors expect to emerge at any time following a smash through the German ranks by the British troops in the infantry. Army School is where Sherston first began to show the realities of war, he notes stark contrasts between trench life on the front line and life at the Army school.</w:t>
      </w:r>
      <w:r w:rsidR="000B2001" w:rsidRPr="003E00BE">
        <w:rPr>
          <w:rStyle w:val="FootnoteReference"/>
          <w:rFonts w:ascii="Calibri" w:eastAsia="Times New Roman" w:hAnsi="Calibri" w:cs="Calibri"/>
          <w:color w:val="000000"/>
          <w:sz w:val="24"/>
          <w:szCs w:val="24"/>
          <w:lang w:eastAsia="en-GB"/>
        </w:rPr>
        <w:footnoteReference w:id="6"/>
      </w:r>
      <w:r w:rsidRPr="003E00BE">
        <w:rPr>
          <w:rFonts w:ascii="Calibri" w:eastAsia="Times New Roman" w:hAnsi="Calibri" w:cs="Calibri"/>
          <w:color w:val="000000"/>
          <w:sz w:val="24"/>
          <w:szCs w:val="24"/>
          <w:lang w:eastAsia="en-GB"/>
        </w:rPr>
        <w:t xml:space="preserve"> He also notes the differences in skills being taught to skills that are required on the front line, this is apparent when Sassoon writes</w:t>
      </w:r>
      <w:r w:rsidR="00377F06" w:rsidRPr="003E00BE">
        <w:rPr>
          <w:rFonts w:ascii="Calibri" w:eastAsia="Times New Roman" w:hAnsi="Calibri" w:cs="Calibri"/>
          <w:color w:val="000000"/>
          <w:sz w:val="24"/>
          <w:szCs w:val="24"/>
          <w:lang w:eastAsia="en-GB"/>
        </w:rPr>
        <w:t xml:space="preserve"> “Parades and lectures were all in the day’s work, but they failed to convince me of their affinity with our long days and nights in the Front Line”</w:t>
      </w:r>
      <w:r w:rsidRPr="003E00BE">
        <w:rPr>
          <w:rFonts w:ascii="Calibri" w:eastAsia="Times New Roman" w:hAnsi="Calibri" w:cs="Calibri"/>
          <w:color w:val="000000"/>
          <w:sz w:val="24"/>
          <w:szCs w:val="24"/>
          <w:lang w:eastAsia="en-GB"/>
        </w:rPr>
        <w:t>.</w:t>
      </w:r>
      <w:r w:rsidR="000B2001" w:rsidRPr="003E00BE">
        <w:rPr>
          <w:rStyle w:val="FootnoteReference"/>
          <w:rFonts w:ascii="Calibri" w:eastAsia="Times New Roman" w:hAnsi="Calibri" w:cs="Calibri"/>
          <w:color w:val="000000"/>
          <w:sz w:val="24"/>
          <w:szCs w:val="24"/>
          <w:lang w:eastAsia="en-GB"/>
        </w:rPr>
        <w:footnoteReference w:id="7"/>
      </w:r>
      <w:r w:rsidRPr="003E00BE">
        <w:rPr>
          <w:rFonts w:ascii="Calibri" w:eastAsia="Times New Roman" w:hAnsi="Calibri" w:cs="Calibri"/>
          <w:color w:val="000000"/>
          <w:sz w:val="24"/>
          <w:szCs w:val="24"/>
          <w:lang w:eastAsia="en-GB"/>
        </w:rPr>
        <w:t xml:space="preserve"> This is again shown when stating</w:t>
      </w:r>
      <w:r w:rsidR="00393917" w:rsidRPr="003E00BE">
        <w:rPr>
          <w:rFonts w:ascii="Calibri" w:eastAsia="Times New Roman" w:hAnsi="Calibri" w:cs="Calibri"/>
          <w:color w:val="000000"/>
          <w:sz w:val="24"/>
          <w:szCs w:val="24"/>
          <w:lang w:eastAsia="en-GB"/>
        </w:rPr>
        <w:t xml:space="preserve"> “Sometimes a renowned big-game hunter gave us demonstrations of the art of sniping…but I was no good at rifle-shooting and, as far as I was concerned he would have been more profitably employed in reducing the numerical strength of the enemy. He was an expert on loopholes and telescopic-sights; </w:t>
      </w:r>
      <w:r w:rsidR="00F77956" w:rsidRPr="003E00BE">
        <w:rPr>
          <w:rFonts w:ascii="Calibri" w:eastAsia="Times New Roman" w:hAnsi="Calibri" w:cs="Calibri"/>
          <w:color w:val="000000"/>
          <w:sz w:val="24"/>
          <w:szCs w:val="24"/>
          <w:lang w:eastAsia="en-GB"/>
        </w:rPr>
        <w:t>but telescopic sights were a luxury seldom enjoyed by an infantry battalion in the trenches”.</w:t>
      </w:r>
      <w:r w:rsidR="00F77956" w:rsidRPr="003E00BE">
        <w:rPr>
          <w:rStyle w:val="FootnoteReference"/>
          <w:rFonts w:ascii="Calibri" w:eastAsia="Times New Roman" w:hAnsi="Calibri" w:cs="Calibri"/>
          <w:color w:val="000000"/>
          <w:sz w:val="24"/>
          <w:szCs w:val="24"/>
          <w:lang w:eastAsia="en-GB"/>
        </w:rPr>
        <w:footnoteReference w:id="8"/>
      </w:r>
      <w:r w:rsidRPr="003E00BE">
        <w:rPr>
          <w:rFonts w:ascii="Calibri" w:eastAsia="Times New Roman" w:hAnsi="Calibri" w:cs="Calibri"/>
          <w:color w:val="000000"/>
          <w:sz w:val="24"/>
          <w:szCs w:val="24"/>
          <w:lang w:eastAsia="en-GB"/>
        </w:rPr>
        <w:t xml:space="preserve"> In </w:t>
      </w:r>
      <w:r w:rsidRPr="003E00BE">
        <w:rPr>
          <w:rFonts w:ascii="Calibri" w:eastAsia="Times New Roman" w:hAnsi="Calibri" w:cs="Calibri"/>
          <w:i/>
          <w:iCs/>
          <w:color w:val="000000"/>
          <w:sz w:val="24"/>
          <w:szCs w:val="24"/>
          <w:lang w:eastAsia="en-GB"/>
        </w:rPr>
        <w:t xml:space="preserve">Memoirs of an Infantry Soldier </w:t>
      </w:r>
      <w:r w:rsidRPr="003E00BE">
        <w:rPr>
          <w:rFonts w:ascii="Calibri" w:eastAsia="Times New Roman" w:hAnsi="Calibri" w:cs="Calibri"/>
          <w:color w:val="000000"/>
          <w:sz w:val="24"/>
          <w:szCs w:val="24"/>
          <w:lang w:eastAsia="en-GB"/>
        </w:rPr>
        <w:t>Sassoon makes it obvious that Sherston’s experiences of the war do not represent everybody’s experiences of the war, an example of this is when it states</w:t>
      </w:r>
      <w:r w:rsidR="00F77956" w:rsidRPr="003E00BE">
        <w:rPr>
          <w:rFonts w:ascii="Calibri" w:eastAsia="Times New Roman" w:hAnsi="Calibri" w:cs="Calibri"/>
          <w:color w:val="000000"/>
          <w:sz w:val="24"/>
          <w:szCs w:val="24"/>
          <w:lang w:eastAsia="en-GB"/>
        </w:rPr>
        <w:t xml:space="preserve"> “those who expect a universalization of the Great War must look for it elsewhere. Here they will only find an attempt to show its effect on a somewhat solitary-minded young man”.</w:t>
      </w:r>
      <w:r w:rsidR="000B2001" w:rsidRPr="003E00BE">
        <w:rPr>
          <w:rStyle w:val="FootnoteReference"/>
          <w:rFonts w:ascii="Calibri" w:eastAsia="Times New Roman" w:hAnsi="Calibri" w:cs="Calibri"/>
          <w:color w:val="000000"/>
          <w:sz w:val="24"/>
          <w:szCs w:val="24"/>
          <w:lang w:eastAsia="en-GB"/>
        </w:rPr>
        <w:footnoteReference w:id="9"/>
      </w:r>
      <w:r w:rsidRPr="003E00BE">
        <w:rPr>
          <w:rFonts w:ascii="Calibri" w:eastAsia="Times New Roman" w:hAnsi="Calibri" w:cs="Calibri"/>
          <w:color w:val="000000"/>
          <w:sz w:val="24"/>
          <w:szCs w:val="24"/>
          <w:lang w:eastAsia="en-GB"/>
        </w:rPr>
        <w:t> </w:t>
      </w:r>
    </w:p>
    <w:p w14:paraId="30E1FAD7" w14:textId="77777777" w:rsidR="009565BA" w:rsidRPr="003E00BE" w:rsidRDefault="009565BA" w:rsidP="00527C71">
      <w:pPr>
        <w:spacing w:after="0" w:line="360" w:lineRule="auto"/>
        <w:jc w:val="both"/>
        <w:rPr>
          <w:rFonts w:ascii="Calibri" w:eastAsia="Times New Roman" w:hAnsi="Calibri" w:cs="Calibri"/>
          <w:sz w:val="24"/>
          <w:szCs w:val="24"/>
          <w:lang w:eastAsia="en-GB"/>
        </w:rPr>
      </w:pPr>
    </w:p>
    <w:p w14:paraId="6860CAB1" w14:textId="0290B6DF" w:rsidR="009565BA" w:rsidRPr="003E00BE" w:rsidRDefault="009565BA"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lastRenderedPageBreak/>
        <w:t xml:space="preserve">Apparent in this book is Sassoon’s awareness that he has an advantage over others as </w:t>
      </w:r>
      <w:r w:rsidR="00974311" w:rsidRPr="003E00BE">
        <w:rPr>
          <w:rFonts w:ascii="Calibri" w:eastAsia="Times New Roman" w:hAnsi="Calibri" w:cs="Calibri"/>
          <w:color w:val="000000"/>
          <w:sz w:val="24"/>
          <w:szCs w:val="24"/>
          <w:lang w:eastAsia="en-GB"/>
        </w:rPr>
        <w:t xml:space="preserve">an officer and not a private. </w:t>
      </w:r>
      <w:r w:rsidRPr="003E00BE">
        <w:rPr>
          <w:rFonts w:ascii="Calibri" w:eastAsia="Times New Roman" w:hAnsi="Calibri" w:cs="Calibri"/>
          <w:color w:val="000000"/>
          <w:sz w:val="24"/>
          <w:szCs w:val="24"/>
          <w:lang w:eastAsia="en-GB"/>
        </w:rPr>
        <w:t xml:space="preserve">Despite other people’s thoughts Sassoon regarded himself as foolhardy and not brave. He also shows that the agony of losing many friends that Sassoon experienced and the dread of what he saw is bitter and </w:t>
      </w:r>
      <w:r w:rsidR="005228E3" w:rsidRPr="003E00BE">
        <w:rPr>
          <w:rFonts w:ascii="Calibri" w:eastAsia="Times New Roman" w:hAnsi="Calibri" w:cs="Calibri"/>
          <w:color w:val="000000"/>
          <w:sz w:val="24"/>
          <w:szCs w:val="24"/>
          <w:lang w:eastAsia="en-GB"/>
        </w:rPr>
        <w:t>heart-breaking</w:t>
      </w:r>
      <w:r w:rsidRPr="003E00BE">
        <w:rPr>
          <w:rFonts w:ascii="Calibri" w:eastAsia="Times New Roman" w:hAnsi="Calibri" w:cs="Calibri"/>
          <w:color w:val="000000"/>
          <w:sz w:val="24"/>
          <w:szCs w:val="24"/>
          <w:lang w:eastAsia="en-GB"/>
        </w:rPr>
        <w:t xml:space="preserve">, and there is no need to be horrific and aggrandized. Throughout the book there is a clear and obvious gradual development of awakening and doubt and displeasure towards the war which is engrossing to read, while ‘Sherston’ is simply a cog in the machine, he never raises questions as to the reason that he is there, and nor does he question the morality of shooting other human beings. This reiterates what is said and felt in other accounts of The Great War such as Graves’ </w:t>
      </w:r>
      <w:r w:rsidRPr="003E00BE">
        <w:rPr>
          <w:rFonts w:ascii="Calibri" w:eastAsia="Times New Roman" w:hAnsi="Calibri" w:cs="Calibri"/>
          <w:i/>
          <w:iCs/>
          <w:color w:val="000000"/>
          <w:sz w:val="24"/>
          <w:szCs w:val="24"/>
          <w:lang w:eastAsia="en-GB"/>
        </w:rPr>
        <w:t xml:space="preserve">Goodbye to </w:t>
      </w:r>
      <w:r w:rsidR="00974311" w:rsidRPr="003E00BE">
        <w:rPr>
          <w:rFonts w:ascii="Calibri" w:eastAsia="Times New Roman" w:hAnsi="Calibri" w:cs="Calibri"/>
          <w:i/>
          <w:iCs/>
          <w:color w:val="000000"/>
          <w:sz w:val="24"/>
          <w:szCs w:val="24"/>
          <w:lang w:eastAsia="en-GB"/>
        </w:rPr>
        <w:t>All That.</w:t>
      </w:r>
      <w:r w:rsidR="00974311" w:rsidRPr="003E00BE">
        <w:rPr>
          <w:rStyle w:val="FootnoteReference"/>
          <w:rFonts w:ascii="Calibri" w:eastAsia="Times New Roman" w:hAnsi="Calibri" w:cs="Calibri"/>
          <w:i/>
          <w:iCs/>
          <w:color w:val="000000"/>
          <w:sz w:val="24"/>
          <w:szCs w:val="24"/>
          <w:lang w:eastAsia="en-GB"/>
        </w:rPr>
        <w:footnoteReference w:id="10"/>
      </w:r>
      <w:r w:rsidRPr="003E00BE">
        <w:rPr>
          <w:rFonts w:ascii="Calibri" w:eastAsia="Times New Roman" w:hAnsi="Calibri" w:cs="Calibri"/>
          <w:color w:val="000000"/>
          <w:sz w:val="24"/>
          <w:szCs w:val="24"/>
          <w:lang w:eastAsia="en-GB"/>
        </w:rPr>
        <w:t> </w:t>
      </w:r>
    </w:p>
    <w:p w14:paraId="644CD82B" w14:textId="77777777" w:rsidR="009565BA" w:rsidRPr="003E00BE" w:rsidRDefault="009565BA" w:rsidP="00527C71">
      <w:pPr>
        <w:spacing w:after="0" w:line="360" w:lineRule="auto"/>
        <w:jc w:val="both"/>
        <w:rPr>
          <w:rFonts w:ascii="Calibri" w:eastAsia="Times New Roman" w:hAnsi="Calibri" w:cs="Calibri"/>
          <w:sz w:val="24"/>
          <w:szCs w:val="24"/>
          <w:lang w:eastAsia="en-GB"/>
        </w:rPr>
      </w:pPr>
    </w:p>
    <w:p w14:paraId="730DCABA" w14:textId="57A0056E" w:rsidR="009565BA" w:rsidRPr="003E00BE" w:rsidRDefault="009565BA"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t>Sassoon does state in the book that he does not wish to kill Germans however, he justifies the action of doing so by</w:t>
      </w:r>
      <w:r w:rsidR="00377F06" w:rsidRPr="003E00BE">
        <w:rPr>
          <w:rFonts w:ascii="Calibri" w:eastAsia="Times New Roman" w:hAnsi="Calibri" w:cs="Calibri"/>
          <w:color w:val="000000"/>
          <w:sz w:val="24"/>
          <w:szCs w:val="24"/>
          <w:lang w:eastAsia="en-GB"/>
        </w:rPr>
        <w:t xml:space="preserve"> arguing self-defence when stating “ I didn’t want to kill and Germans myself, but one had to kill people in self-defence</w:t>
      </w:r>
      <w:r w:rsidR="006D32E9" w:rsidRPr="003E00BE">
        <w:rPr>
          <w:rFonts w:ascii="Calibri" w:eastAsia="Times New Roman" w:hAnsi="Calibri" w:cs="Calibri"/>
          <w:color w:val="000000"/>
          <w:sz w:val="24"/>
          <w:szCs w:val="24"/>
          <w:lang w:eastAsia="en-GB"/>
        </w:rPr>
        <w:t>”</w:t>
      </w:r>
      <w:r w:rsidR="00377F06" w:rsidRPr="003E00BE">
        <w:rPr>
          <w:rFonts w:ascii="Calibri" w:eastAsia="Times New Roman" w:hAnsi="Calibri" w:cs="Calibri"/>
          <w:color w:val="000000"/>
          <w:sz w:val="24"/>
          <w:szCs w:val="24"/>
          <w:lang w:eastAsia="en-GB"/>
        </w:rPr>
        <w:t>.</w:t>
      </w:r>
      <w:r w:rsidR="00377F06" w:rsidRPr="003E00BE">
        <w:rPr>
          <w:rStyle w:val="FootnoteReference"/>
          <w:rFonts w:ascii="Calibri" w:eastAsia="Times New Roman" w:hAnsi="Calibri" w:cs="Calibri"/>
          <w:color w:val="000000"/>
          <w:sz w:val="24"/>
          <w:szCs w:val="24"/>
          <w:lang w:eastAsia="en-GB"/>
        </w:rPr>
        <w:footnoteReference w:id="11"/>
      </w:r>
      <w:r w:rsidRPr="003E00BE">
        <w:rPr>
          <w:rFonts w:ascii="Calibri" w:eastAsia="Times New Roman" w:hAnsi="Calibri" w:cs="Calibri"/>
          <w:color w:val="000000"/>
          <w:sz w:val="24"/>
          <w:szCs w:val="24"/>
          <w:lang w:eastAsia="en-GB"/>
        </w:rPr>
        <w:t xml:space="preserve"> However, throughout Sassoon’s book you </w:t>
      </w:r>
      <w:r w:rsidR="00974311" w:rsidRPr="003E00BE">
        <w:rPr>
          <w:rFonts w:ascii="Calibri" w:eastAsia="Times New Roman" w:hAnsi="Calibri" w:cs="Calibri"/>
          <w:color w:val="000000"/>
          <w:sz w:val="24"/>
          <w:szCs w:val="24"/>
          <w:lang w:eastAsia="en-GB"/>
        </w:rPr>
        <w:t>bear</w:t>
      </w:r>
      <w:r w:rsidRPr="003E00BE">
        <w:rPr>
          <w:rFonts w:ascii="Calibri" w:eastAsia="Times New Roman" w:hAnsi="Calibri" w:cs="Calibri"/>
          <w:color w:val="000000"/>
          <w:sz w:val="24"/>
          <w:szCs w:val="24"/>
          <w:lang w:eastAsia="en-GB"/>
        </w:rPr>
        <w:t xml:space="preserve"> witness to a growing craving of </w:t>
      </w:r>
      <w:r w:rsidR="005228E3" w:rsidRPr="003E00BE">
        <w:rPr>
          <w:rFonts w:ascii="Calibri" w:eastAsia="Times New Roman" w:hAnsi="Calibri" w:cs="Calibri"/>
          <w:color w:val="000000"/>
          <w:sz w:val="24"/>
          <w:szCs w:val="24"/>
          <w:lang w:eastAsia="en-GB"/>
        </w:rPr>
        <w:t>Sherston</w:t>
      </w:r>
      <w:r w:rsidRPr="003E00BE">
        <w:rPr>
          <w:rFonts w:ascii="Calibri" w:eastAsia="Times New Roman" w:hAnsi="Calibri" w:cs="Calibri"/>
          <w:color w:val="000000"/>
          <w:sz w:val="24"/>
          <w:szCs w:val="24"/>
          <w:lang w:eastAsia="en-GB"/>
        </w:rPr>
        <w:t xml:space="preserve"> to act upon his emerging concerns regarding the war. Sherston harbours a belief that if he is outspoken regarding the war then this will have an increased impact as opposed to the complaints of a regular infantryman. In</w:t>
      </w:r>
      <w:r w:rsidRPr="003E00BE">
        <w:rPr>
          <w:rFonts w:ascii="Calibri" w:eastAsia="Times New Roman" w:hAnsi="Calibri" w:cs="Calibri"/>
          <w:i/>
          <w:iCs/>
          <w:color w:val="000000"/>
          <w:sz w:val="24"/>
          <w:szCs w:val="24"/>
          <w:lang w:eastAsia="en-GB"/>
        </w:rPr>
        <w:t xml:space="preserve"> Memoirs of an Infantry Man</w:t>
      </w:r>
      <w:r w:rsidRPr="003E00BE">
        <w:rPr>
          <w:rFonts w:ascii="Calibri" w:eastAsia="Times New Roman" w:hAnsi="Calibri" w:cs="Calibri"/>
          <w:color w:val="000000"/>
          <w:sz w:val="24"/>
          <w:szCs w:val="24"/>
          <w:lang w:eastAsia="en-GB"/>
        </w:rPr>
        <w:t xml:space="preserve"> Sherston is injured in battle, where he then returns home to heal in the luxurious surroundings of an officer’s hospital, following that, Sherston then stays in the Sussex countryside at the home of a Lord and Lady. While recovering Sherston becomes enraged by the British public’s ignorance at events on the front line, and also bewildered by the lack of anger shown towards the waste of life that is </w:t>
      </w:r>
      <w:r w:rsidR="005228E3" w:rsidRPr="003E00BE">
        <w:rPr>
          <w:rFonts w:ascii="Calibri" w:eastAsia="Times New Roman" w:hAnsi="Calibri" w:cs="Calibri"/>
          <w:color w:val="000000"/>
          <w:sz w:val="24"/>
          <w:szCs w:val="24"/>
          <w:lang w:eastAsia="en-GB"/>
        </w:rPr>
        <w:t>occurring</w:t>
      </w:r>
      <w:r w:rsidRPr="003E00BE">
        <w:rPr>
          <w:rFonts w:ascii="Calibri" w:eastAsia="Times New Roman" w:hAnsi="Calibri" w:cs="Calibri"/>
          <w:color w:val="000000"/>
          <w:sz w:val="24"/>
          <w:szCs w:val="24"/>
          <w:lang w:eastAsia="en-GB"/>
        </w:rPr>
        <w:t xml:space="preserve">. Sherston also notes the disinformation being fed to the British public in the newspapers having himself witnessed </w:t>
      </w:r>
      <w:r w:rsidR="005228E3" w:rsidRPr="003E00BE">
        <w:rPr>
          <w:rFonts w:ascii="Calibri" w:eastAsia="Times New Roman" w:hAnsi="Calibri" w:cs="Calibri"/>
          <w:color w:val="000000"/>
          <w:sz w:val="24"/>
          <w:szCs w:val="24"/>
          <w:lang w:eastAsia="en-GB"/>
        </w:rPr>
        <w:t>first-hand</w:t>
      </w:r>
      <w:r w:rsidRPr="003E00BE">
        <w:rPr>
          <w:rFonts w:ascii="Calibri" w:eastAsia="Times New Roman" w:hAnsi="Calibri" w:cs="Calibri"/>
          <w:color w:val="000000"/>
          <w:sz w:val="24"/>
          <w:szCs w:val="24"/>
          <w:lang w:eastAsia="en-GB"/>
        </w:rPr>
        <w:t xml:space="preserve"> the errors and misguided orders made by superiors who are eager to get ahead in their careers, </w:t>
      </w:r>
      <w:r w:rsidR="005228E3" w:rsidRPr="003E00BE">
        <w:rPr>
          <w:rFonts w:ascii="Calibri" w:eastAsia="Times New Roman" w:hAnsi="Calibri" w:cs="Calibri"/>
          <w:color w:val="000000"/>
          <w:sz w:val="24"/>
          <w:szCs w:val="24"/>
          <w:lang w:eastAsia="en-GB"/>
        </w:rPr>
        <w:t>Sherston</w:t>
      </w:r>
      <w:r w:rsidRPr="003E00BE">
        <w:rPr>
          <w:rFonts w:ascii="Calibri" w:eastAsia="Times New Roman" w:hAnsi="Calibri" w:cs="Calibri"/>
          <w:color w:val="000000"/>
          <w:sz w:val="24"/>
          <w:szCs w:val="24"/>
          <w:lang w:eastAsia="en-GB"/>
        </w:rPr>
        <w:t xml:space="preserve"> uses this ignorance and naivety in order to motivate himself. </w:t>
      </w:r>
    </w:p>
    <w:p w14:paraId="73272AFE" w14:textId="77777777" w:rsidR="009565BA" w:rsidRPr="003E00BE" w:rsidRDefault="009565BA" w:rsidP="00527C71">
      <w:pPr>
        <w:spacing w:after="0" w:line="360" w:lineRule="auto"/>
        <w:jc w:val="both"/>
        <w:rPr>
          <w:rFonts w:ascii="Calibri" w:eastAsia="Times New Roman" w:hAnsi="Calibri" w:cs="Calibri"/>
          <w:sz w:val="24"/>
          <w:szCs w:val="24"/>
          <w:lang w:eastAsia="en-GB"/>
        </w:rPr>
      </w:pPr>
    </w:p>
    <w:p w14:paraId="40A941FE" w14:textId="2773F48A" w:rsidR="009565BA" w:rsidRPr="003E00BE" w:rsidRDefault="009565BA"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t xml:space="preserve">There are plenty of questions that are raised in Sassoon’s book, while also not appearing patronizing or intimidating. Sassoon’s </w:t>
      </w:r>
      <w:r w:rsidR="005228E3" w:rsidRPr="003E00BE">
        <w:rPr>
          <w:rFonts w:ascii="Calibri" w:eastAsia="Times New Roman" w:hAnsi="Calibri" w:cs="Calibri"/>
          <w:color w:val="000000"/>
          <w:sz w:val="24"/>
          <w:szCs w:val="24"/>
          <w:lang w:eastAsia="en-GB"/>
        </w:rPr>
        <w:t>candour</w:t>
      </w:r>
      <w:r w:rsidRPr="003E00BE">
        <w:rPr>
          <w:rFonts w:ascii="Calibri" w:eastAsia="Times New Roman" w:hAnsi="Calibri" w:cs="Calibri"/>
          <w:color w:val="000000"/>
          <w:sz w:val="24"/>
          <w:szCs w:val="24"/>
          <w:lang w:eastAsia="en-GB"/>
        </w:rPr>
        <w:t xml:space="preserve"> and broad-mindedness make the book informative and invigorating to read. Sassoon depicts how he slowly came to the decision to ultimately write his letter in which Sassoon speaks out </w:t>
      </w:r>
      <w:r w:rsidR="005228E3" w:rsidRPr="003E00BE">
        <w:rPr>
          <w:rFonts w:ascii="Calibri" w:eastAsia="Times New Roman" w:hAnsi="Calibri" w:cs="Calibri"/>
          <w:color w:val="000000"/>
          <w:sz w:val="24"/>
          <w:szCs w:val="24"/>
          <w:lang w:eastAsia="en-GB"/>
        </w:rPr>
        <w:t>in regard to</w:t>
      </w:r>
      <w:r w:rsidRPr="003E00BE">
        <w:rPr>
          <w:rFonts w:ascii="Calibri" w:eastAsia="Times New Roman" w:hAnsi="Calibri" w:cs="Calibri"/>
          <w:color w:val="000000"/>
          <w:sz w:val="24"/>
          <w:szCs w:val="24"/>
          <w:lang w:eastAsia="en-GB"/>
        </w:rPr>
        <w:t xml:space="preserve"> the war, it is written by a </w:t>
      </w:r>
      <w:r w:rsidRPr="003E00BE">
        <w:rPr>
          <w:rFonts w:ascii="Calibri" w:eastAsia="Times New Roman" w:hAnsi="Calibri" w:cs="Calibri"/>
          <w:color w:val="000000"/>
          <w:sz w:val="24"/>
          <w:szCs w:val="24"/>
          <w:lang w:eastAsia="en-GB"/>
        </w:rPr>
        <w:lastRenderedPageBreak/>
        <w:t>person who believes that they are speaking in representation of soldiers everywhere. What convinces Sassoon towards this rebellion is the reality of war and the enormous waste of life, it is also evident that Sassoon is simply part of a much larger group who feel this way.</w:t>
      </w:r>
      <w:r w:rsidR="000B2001" w:rsidRPr="003E00BE">
        <w:rPr>
          <w:rStyle w:val="FootnoteReference"/>
          <w:rFonts w:ascii="Calibri" w:eastAsia="Times New Roman" w:hAnsi="Calibri" w:cs="Calibri"/>
          <w:color w:val="000000"/>
          <w:sz w:val="24"/>
          <w:szCs w:val="24"/>
          <w:lang w:eastAsia="en-GB"/>
        </w:rPr>
        <w:footnoteReference w:id="12"/>
      </w:r>
      <w:r w:rsidRPr="003E00BE">
        <w:rPr>
          <w:rFonts w:ascii="Calibri" w:eastAsia="Times New Roman" w:hAnsi="Calibri" w:cs="Calibri"/>
          <w:color w:val="000000"/>
          <w:sz w:val="24"/>
          <w:szCs w:val="24"/>
          <w:lang w:eastAsia="en-GB"/>
        </w:rPr>
        <w:t xml:space="preserve"> There is another common theme in the book that Sassoon does not directly approach, there are many indications that there is a difference in the treatment of soldiers who have joined the Army following public school education, to those who have joined the Army following a state school education or from the working classes</w:t>
      </w:r>
      <w:r w:rsidR="00664FF6" w:rsidRPr="003E00BE">
        <w:rPr>
          <w:rFonts w:ascii="Calibri" w:eastAsia="Times New Roman" w:hAnsi="Calibri" w:cs="Calibri"/>
          <w:color w:val="000000"/>
          <w:sz w:val="24"/>
          <w:szCs w:val="24"/>
          <w:lang w:eastAsia="en-GB"/>
        </w:rPr>
        <w:t>. T</w:t>
      </w:r>
      <w:r w:rsidRPr="003E00BE">
        <w:rPr>
          <w:rFonts w:ascii="Calibri" w:eastAsia="Times New Roman" w:hAnsi="Calibri" w:cs="Calibri"/>
          <w:color w:val="000000"/>
          <w:sz w:val="24"/>
          <w:szCs w:val="24"/>
          <w:lang w:eastAsia="en-GB"/>
        </w:rPr>
        <w:t xml:space="preserve">he state school educated soldiers simply became privates in the army or infantry with attitudes in working classes increasingly confident and independent and considered loyal, patriotic and </w:t>
      </w:r>
      <w:r w:rsidR="005228E3" w:rsidRPr="003E00BE">
        <w:rPr>
          <w:rFonts w:ascii="Calibri" w:eastAsia="Times New Roman" w:hAnsi="Calibri" w:cs="Calibri"/>
          <w:color w:val="000000"/>
          <w:sz w:val="24"/>
          <w:szCs w:val="24"/>
          <w:lang w:eastAsia="en-GB"/>
        </w:rPr>
        <w:t>deferential, with</w:t>
      </w:r>
      <w:r w:rsidRPr="003E00BE">
        <w:rPr>
          <w:rFonts w:ascii="Calibri" w:eastAsia="Times New Roman" w:hAnsi="Calibri" w:cs="Calibri"/>
          <w:color w:val="000000"/>
          <w:sz w:val="24"/>
          <w:szCs w:val="24"/>
          <w:lang w:eastAsia="en-GB"/>
        </w:rPr>
        <w:t xml:space="preserve"> some associated through Sir Baden Powell’s Scout movement, or boys brigade, through which youngsters created the ideal foot soldiers. </w:t>
      </w:r>
      <w:r w:rsidR="005228E3" w:rsidRPr="003E00BE">
        <w:rPr>
          <w:rFonts w:ascii="Calibri" w:eastAsia="Times New Roman" w:hAnsi="Calibri" w:cs="Calibri"/>
          <w:color w:val="000000"/>
          <w:sz w:val="24"/>
          <w:szCs w:val="24"/>
          <w:lang w:eastAsia="en-GB"/>
        </w:rPr>
        <w:t>However, public</w:t>
      </w:r>
      <w:r w:rsidRPr="003E00BE">
        <w:rPr>
          <w:rFonts w:ascii="Calibri" w:eastAsia="Times New Roman" w:hAnsi="Calibri" w:cs="Calibri"/>
          <w:color w:val="000000"/>
          <w:sz w:val="24"/>
          <w:szCs w:val="24"/>
          <w:lang w:eastAsia="en-GB"/>
        </w:rPr>
        <w:t xml:space="preserve">-school educated soldiers joined as Officers, with </w:t>
      </w:r>
      <w:r w:rsidR="005228E3" w:rsidRPr="003E00BE">
        <w:rPr>
          <w:rFonts w:ascii="Calibri" w:eastAsia="Times New Roman" w:hAnsi="Calibri" w:cs="Calibri"/>
          <w:color w:val="000000"/>
          <w:sz w:val="24"/>
          <w:szCs w:val="24"/>
          <w:lang w:eastAsia="en-GB"/>
        </w:rPr>
        <w:t>public schools</w:t>
      </w:r>
      <w:r w:rsidRPr="003E00BE">
        <w:rPr>
          <w:rFonts w:ascii="Calibri" w:eastAsia="Times New Roman" w:hAnsi="Calibri" w:cs="Calibri"/>
          <w:color w:val="000000"/>
          <w:sz w:val="24"/>
          <w:szCs w:val="24"/>
          <w:lang w:eastAsia="en-GB"/>
        </w:rPr>
        <w:t xml:space="preserve"> thought of as producing a confident officer class that was ideal for war time through an ethos dominated by thoughts of honour, duty, sacrifice, loyalty and King and Country.</w:t>
      </w:r>
    </w:p>
    <w:p w14:paraId="0A0C14AD" w14:textId="15B4E270" w:rsidR="000B2001" w:rsidRPr="003E00BE" w:rsidRDefault="009565BA" w:rsidP="00527C71">
      <w:pPr>
        <w:spacing w:line="360" w:lineRule="auto"/>
        <w:jc w:val="both"/>
        <w:rPr>
          <w:rFonts w:ascii="Calibri" w:eastAsia="Times New Roman" w:hAnsi="Calibri" w:cs="Calibri"/>
          <w:color w:val="000000"/>
          <w:sz w:val="24"/>
          <w:szCs w:val="24"/>
          <w:lang w:eastAsia="en-GB"/>
        </w:rPr>
      </w:pPr>
      <w:r w:rsidRPr="003E00BE">
        <w:rPr>
          <w:rFonts w:ascii="Calibri" w:eastAsia="Times New Roman" w:hAnsi="Calibri" w:cs="Calibri"/>
          <w:sz w:val="24"/>
          <w:szCs w:val="24"/>
          <w:lang w:eastAsia="en-GB"/>
        </w:rPr>
        <w:br/>
      </w:r>
      <w:r w:rsidRPr="003E00BE">
        <w:rPr>
          <w:rFonts w:ascii="Calibri" w:eastAsia="Times New Roman" w:hAnsi="Calibri" w:cs="Calibri"/>
          <w:color w:val="000000"/>
          <w:sz w:val="24"/>
          <w:szCs w:val="24"/>
          <w:lang w:eastAsia="en-GB"/>
        </w:rPr>
        <w:t xml:space="preserve">In conclusion while Sassoon writes in a novelistic fashion and utilises artistic licence, this could undermine the reliability of the source as it is possible to question whether this has occurred in other areas of the book. Nonetheless, it is written by an actual Officer in the British army on the front line of The Great War and this makes it a reliable and trusted source. </w:t>
      </w:r>
      <w:r w:rsidRPr="003E00BE">
        <w:rPr>
          <w:rFonts w:ascii="Calibri" w:eastAsia="Times New Roman" w:hAnsi="Calibri" w:cs="Calibri"/>
          <w:i/>
          <w:iCs/>
          <w:color w:val="000000"/>
          <w:sz w:val="24"/>
          <w:szCs w:val="24"/>
          <w:lang w:eastAsia="en-GB"/>
        </w:rPr>
        <w:t xml:space="preserve">Memoirs of an Infantry Officer </w:t>
      </w:r>
      <w:r w:rsidRPr="003E00BE">
        <w:rPr>
          <w:rFonts w:ascii="Calibri" w:eastAsia="Times New Roman" w:hAnsi="Calibri" w:cs="Calibri"/>
          <w:color w:val="000000"/>
          <w:sz w:val="24"/>
          <w:szCs w:val="24"/>
          <w:lang w:eastAsia="en-GB"/>
        </w:rPr>
        <w:t xml:space="preserve">does offer a personal and fascinating into the life of an Officer during the Great War. It provides the reader with an understanding of the moral questions that </w:t>
      </w:r>
      <w:r w:rsidR="00664FF6" w:rsidRPr="003E00BE">
        <w:rPr>
          <w:rFonts w:ascii="Calibri" w:eastAsia="Times New Roman" w:hAnsi="Calibri" w:cs="Calibri"/>
          <w:color w:val="000000"/>
          <w:sz w:val="24"/>
          <w:szCs w:val="24"/>
          <w:lang w:eastAsia="en-GB"/>
        </w:rPr>
        <w:t>front-line</w:t>
      </w:r>
      <w:r w:rsidRPr="003E00BE">
        <w:rPr>
          <w:rFonts w:ascii="Calibri" w:eastAsia="Times New Roman" w:hAnsi="Calibri" w:cs="Calibri"/>
          <w:color w:val="000000"/>
          <w:sz w:val="24"/>
          <w:szCs w:val="24"/>
          <w:lang w:eastAsia="en-GB"/>
        </w:rPr>
        <w:t xml:space="preserve"> soldiers </w:t>
      </w:r>
      <w:r w:rsidR="00664FF6" w:rsidRPr="003E00BE">
        <w:rPr>
          <w:rFonts w:ascii="Calibri" w:eastAsia="Times New Roman" w:hAnsi="Calibri" w:cs="Calibri"/>
          <w:color w:val="000000"/>
          <w:sz w:val="24"/>
          <w:szCs w:val="24"/>
          <w:lang w:eastAsia="en-GB"/>
        </w:rPr>
        <w:t>must</w:t>
      </w:r>
      <w:r w:rsidRPr="003E00BE">
        <w:rPr>
          <w:rFonts w:ascii="Calibri" w:eastAsia="Times New Roman" w:hAnsi="Calibri" w:cs="Calibri"/>
          <w:color w:val="000000"/>
          <w:sz w:val="24"/>
          <w:szCs w:val="24"/>
          <w:lang w:eastAsia="en-GB"/>
        </w:rPr>
        <w:t xml:space="preserve"> contend with, having to, under order kill others and end human life</w:t>
      </w:r>
      <w:r w:rsidR="00664FF6" w:rsidRPr="003E00BE">
        <w:rPr>
          <w:rFonts w:ascii="Calibri" w:eastAsia="Times New Roman" w:hAnsi="Calibri" w:cs="Calibri"/>
          <w:color w:val="000000"/>
          <w:sz w:val="24"/>
          <w:szCs w:val="24"/>
          <w:lang w:eastAsia="en-GB"/>
        </w:rPr>
        <w:t>. However,</w:t>
      </w:r>
      <w:r w:rsidRPr="003E00BE">
        <w:rPr>
          <w:rFonts w:ascii="Calibri" w:eastAsia="Times New Roman" w:hAnsi="Calibri" w:cs="Calibri"/>
          <w:color w:val="000000"/>
          <w:sz w:val="24"/>
          <w:szCs w:val="24"/>
          <w:lang w:eastAsia="en-GB"/>
        </w:rPr>
        <w:t xml:space="preserve"> living with the reality that if this course of action isn’t taken then they themselves will be killed. In short if a factually correct captivating, enthralling and personal account of what it was actually like to survive through The Great War is sought then this is the book that should be read.</w:t>
      </w:r>
    </w:p>
    <w:p w14:paraId="575FB0C3" w14:textId="77777777" w:rsidR="000B2001" w:rsidRPr="003E00BE" w:rsidRDefault="000B2001" w:rsidP="00527C71">
      <w:pPr>
        <w:spacing w:line="360" w:lineRule="auto"/>
        <w:rPr>
          <w:rFonts w:ascii="Calibri" w:eastAsia="Times New Roman" w:hAnsi="Calibri" w:cs="Calibri"/>
          <w:color w:val="000000"/>
          <w:sz w:val="24"/>
          <w:szCs w:val="24"/>
          <w:lang w:eastAsia="en-GB"/>
        </w:rPr>
      </w:pPr>
      <w:r w:rsidRPr="003E00BE">
        <w:rPr>
          <w:rFonts w:ascii="Calibri" w:eastAsia="Times New Roman" w:hAnsi="Calibri" w:cs="Calibri"/>
          <w:color w:val="000000"/>
          <w:sz w:val="24"/>
          <w:szCs w:val="24"/>
          <w:lang w:eastAsia="en-GB"/>
        </w:rPr>
        <w:br w:type="page"/>
      </w:r>
    </w:p>
    <w:p w14:paraId="03D8229F" w14:textId="1A2E5442" w:rsidR="00E042BE" w:rsidRPr="003E00BE" w:rsidRDefault="00BC7061" w:rsidP="00527C71">
      <w:pPr>
        <w:spacing w:line="360" w:lineRule="auto"/>
        <w:jc w:val="both"/>
        <w:rPr>
          <w:rFonts w:ascii="Calibri" w:hAnsi="Calibri" w:cs="Calibri"/>
          <w:b/>
          <w:bCs/>
          <w:sz w:val="24"/>
          <w:szCs w:val="24"/>
          <w:u w:val="single"/>
        </w:rPr>
      </w:pPr>
      <w:r w:rsidRPr="003E00BE">
        <w:rPr>
          <w:rFonts w:ascii="Calibri" w:hAnsi="Calibri" w:cs="Calibri"/>
          <w:b/>
          <w:bCs/>
          <w:sz w:val="24"/>
          <w:szCs w:val="24"/>
          <w:u w:val="single"/>
        </w:rPr>
        <w:lastRenderedPageBreak/>
        <w:t>Bibliography</w:t>
      </w:r>
    </w:p>
    <w:p w14:paraId="3E065AB1" w14:textId="6A876DE2" w:rsidR="00B7599D" w:rsidRPr="003E00BE" w:rsidRDefault="00B7599D" w:rsidP="00527C71">
      <w:pPr>
        <w:pStyle w:val="FootnoteText"/>
        <w:spacing w:line="360" w:lineRule="auto"/>
        <w:rPr>
          <w:rFonts w:ascii="Calibri" w:hAnsi="Calibri" w:cs="Calibri"/>
          <w:sz w:val="24"/>
          <w:szCs w:val="24"/>
        </w:rPr>
      </w:pPr>
      <w:r w:rsidRPr="003E00BE">
        <w:rPr>
          <w:rFonts w:ascii="Calibri" w:hAnsi="Calibri" w:cs="Calibri"/>
          <w:sz w:val="24"/>
          <w:szCs w:val="24"/>
        </w:rPr>
        <w:t xml:space="preserve">BBC, ‘Siegfried Sassoon: 1886 -1967’, </w:t>
      </w:r>
      <w:r w:rsidRPr="003E00BE">
        <w:rPr>
          <w:rFonts w:ascii="Calibri" w:hAnsi="Calibri" w:cs="Calibri"/>
          <w:i/>
          <w:iCs/>
          <w:sz w:val="24"/>
          <w:szCs w:val="24"/>
        </w:rPr>
        <w:t>bbc.co.uk</w:t>
      </w:r>
      <w:r w:rsidRPr="003E00BE">
        <w:rPr>
          <w:rFonts w:ascii="Calibri" w:hAnsi="Calibri" w:cs="Calibri"/>
          <w:sz w:val="24"/>
          <w:szCs w:val="24"/>
        </w:rPr>
        <w:t xml:space="preserve">. </w:t>
      </w:r>
      <w:hyperlink r:id="rId7" w:history="1">
        <w:r w:rsidRPr="003E00BE">
          <w:rPr>
            <w:rStyle w:val="Hyperlink"/>
            <w:rFonts w:ascii="Calibri" w:hAnsi="Calibri" w:cs="Calibri"/>
            <w:sz w:val="24"/>
            <w:szCs w:val="24"/>
          </w:rPr>
          <w:t>http://www.bbc.co.uk/history/historic_figures/sassoon_siegfried.shtml</w:t>
        </w:r>
      </w:hyperlink>
      <w:r w:rsidRPr="003E00BE">
        <w:rPr>
          <w:rFonts w:ascii="Calibri" w:hAnsi="Calibri" w:cs="Calibri"/>
          <w:sz w:val="24"/>
          <w:szCs w:val="24"/>
        </w:rPr>
        <w:t xml:space="preserve"> [Accessed 7 November 2019]</w:t>
      </w:r>
    </w:p>
    <w:p w14:paraId="6C1FE73D" w14:textId="77777777" w:rsidR="00B7599D" w:rsidRPr="003E00BE" w:rsidRDefault="00B7599D" w:rsidP="00527C71">
      <w:pPr>
        <w:pStyle w:val="FootnoteText"/>
        <w:spacing w:line="360" w:lineRule="auto"/>
        <w:rPr>
          <w:rFonts w:ascii="Calibri" w:hAnsi="Calibri" w:cs="Calibri"/>
          <w:sz w:val="24"/>
          <w:szCs w:val="24"/>
        </w:rPr>
      </w:pPr>
    </w:p>
    <w:p w14:paraId="14D20C99" w14:textId="688F73B5" w:rsidR="00B7599D" w:rsidRPr="003E00BE" w:rsidRDefault="00B7599D" w:rsidP="00527C71">
      <w:pPr>
        <w:pStyle w:val="FootnoteText"/>
        <w:spacing w:line="360" w:lineRule="auto"/>
        <w:rPr>
          <w:rFonts w:ascii="Calibri" w:hAnsi="Calibri" w:cs="Calibri"/>
          <w:sz w:val="24"/>
          <w:szCs w:val="24"/>
        </w:rPr>
      </w:pPr>
      <w:r w:rsidRPr="003E00BE">
        <w:rPr>
          <w:rFonts w:ascii="Calibri" w:hAnsi="Calibri" w:cs="Calibri"/>
          <w:sz w:val="24"/>
          <w:szCs w:val="24"/>
        </w:rPr>
        <w:t xml:space="preserve">Canning, Richard, ‘Siegfried Sassoon: The Journey from the Trenches, 1918-1967 by Jean Moorcroft Wilson’, </w:t>
      </w:r>
      <w:r w:rsidRPr="003E00BE">
        <w:rPr>
          <w:rFonts w:ascii="Calibri" w:hAnsi="Calibri" w:cs="Calibri"/>
          <w:i/>
          <w:iCs/>
          <w:sz w:val="24"/>
          <w:szCs w:val="24"/>
        </w:rPr>
        <w:t>The Independent</w:t>
      </w:r>
      <w:r w:rsidRPr="003E00BE">
        <w:rPr>
          <w:rFonts w:ascii="Calibri" w:hAnsi="Calibri" w:cs="Calibri"/>
          <w:sz w:val="24"/>
          <w:szCs w:val="24"/>
        </w:rPr>
        <w:t xml:space="preserve">, 4 August 2003, </w:t>
      </w:r>
      <w:hyperlink r:id="rId8" w:history="1">
        <w:r w:rsidRPr="003E00BE">
          <w:rPr>
            <w:rStyle w:val="Hyperlink"/>
            <w:rFonts w:ascii="Calibri" w:hAnsi="Calibri" w:cs="Calibri"/>
            <w:sz w:val="24"/>
            <w:szCs w:val="24"/>
          </w:rPr>
          <w:t>https://www.independent.co.uk/arts-entertainment/books/reviews/siegfried-sassoon-the-journey-from-the-trenches-1918-1967-by-jean-moorcroft-wilson-98988.html</w:t>
        </w:r>
      </w:hyperlink>
      <w:r w:rsidRPr="003E00BE">
        <w:rPr>
          <w:rFonts w:ascii="Calibri" w:hAnsi="Calibri" w:cs="Calibri"/>
          <w:sz w:val="24"/>
          <w:szCs w:val="24"/>
        </w:rPr>
        <w:t xml:space="preserve"> [Accessed 7 November 2019]</w:t>
      </w:r>
    </w:p>
    <w:p w14:paraId="2307636C" w14:textId="77777777" w:rsidR="00B7599D" w:rsidRPr="003E00BE" w:rsidRDefault="00B7599D" w:rsidP="00527C71">
      <w:pPr>
        <w:pStyle w:val="FootnoteText"/>
        <w:spacing w:line="360" w:lineRule="auto"/>
        <w:rPr>
          <w:rFonts w:ascii="Calibri" w:hAnsi="Calibri" w:cs="Calibri"/>
          <w:sz w:val="24"/>
          <w:szCs w:val="24"/>
        </w:rPr>
      </w:pPr>
    </w:p>
    <w:p w14:paraId="22AAC33C" w14:textId="453539E9" w:rsidR="00B7599D" w:rsidRPr="003E00BE" w:rsidRDefault="00B7599D" w:rsidP="00527C71">
      <w:pPr>
        <w:pStyle w:val="FootnoteText"/>
        <w:spacing w:line="360" w:lineRule="auto"/>
        <w:rPr>
          <w:rFonts w:ascii="Calibri" w:hAnsi="Calibri" w:cs="Calibri"/>
          <w:sz w:val="24"/>
          <w:szCs w:val="24"/>
        </w:rPr>
      </w:pPr>
      <w:r w:rsidRPr="003E00BE">
        <w:rPr>
          <w:rFonts w:ascii="Calibri" w:hAnsi="Calibri" w:cs="Calibri"/>
          <w:sz w:val="24"/>
          <w:szCs w:val="24"/>
        </w:rPr>
        <w:t xml:space="preserve">Robert Graves, </w:t>
      </w:r>
      <w:r w:rsidRPr="003E00BE">
        <w:rPr>
          <w:rFonts w:ascii="Calibri" w:hAnsi="Calibri" w:cs="Calibri"/>
          <w:i/>
          <w:iCs/>
          <w:sz w:val="24"/>
          <w:szCs w:val="24"/>
        </w:rPr>
        <w:t xml:space="preserve">Goodbye to All That </w:t>
      </w:r>
      <w:r w:rsidRPr="003E00BE">
        <w:rPr>
          <w:rFonts w:ascii="Calibri" w:hAnsi="Calibri" w:cs="Calibri"/>
          <w:sz w:val="24"/>
          <w:szCs w:val="24"/>
        </w:rPr>
        <w:t>(London, Penguin Classics, 1929).</w:t>
      </w:r>
    </w:p>
    <w:p w14:paraId="25FB8819" w14:textId="77777777" w:rsidR="00B7599D" w:rsidRPr="003E00BE" w:rsidRDefault="00B7599D" w:rsidP="00527C71">
      <w:pPr>
        <w:pStyle w:val="FootnoteText"/>
        <w:spacing w:line="360" w:lineRule="auto"/>
        <w:rPr>
          <w:rFonts w:ascii="Calibri" w:hAnsi="Calibri" w:cs="Calibri"/>
          <w:sz w:val="24"/>
          <w:szCs w:val="24"/>
        </w:rPr>
      </w:pPr>
    </w:p>
    <w:p w14:paraId="195A734F" w14:textId="0E286BF4" w:rsidR="00AF7F1E" w:rsidRPr="003E00BE" w:rsidRDefault="00B7599D" w:rsidP="00527C71">
      <w:pPr>
        <w:spacing w:line="360" w:lineRule="auto"/>
        <w:jc w:val="both"/>
        <w:rPr>
          <w:rFonts w:ascii="Calibri" w:hAnsi="Calibri" w:cs="Calibri"/>
          <w:sz w:val="24"/>
          <w:szCs w:val="24"/>
        </w:rPr>
      </w:pPr>
      <w:r w:rsidRPr="003E00BE">
        <w:rPr>
          <w:rFonts w:ascii="Calibri" w:hAnsi="Calibri" w:cs="Calibri"/>
          <w:sz w:val="24"/>
          <w:szCs w:val="24"/>
        </w:rPr>
        <w:t xml:space="preserve">Sassoon, Siegfried, </w:t>
      </w:r>
      <w:r w:rsidRPr="003E00BE">
        <w:rPr>
          <w:rFonts w:ascii="Calibri" w:hAnsi="Calibri" w:cs="Calibri"/>
          <w:i/>
          <w:iCs/>
          <w:sz w:val="24"/>
          <w:szCs w:val="24"/>
        </w:rPr>
        <w:t xml:space="preserve">Memoirs of an Infantry Officer </w:t>
      </w:r>
      <w:r w:rsidRPr="003E00BE">
        <w:rPr>
          <w:rFonts w:ascii="Calibri" w:hAnsi="Calibri" w:cs="Calibri"/>
          <w:sz w:val="24"/>
          <w:szCs w:val="24"/>
        </w:rPr>
        <w:t>(London, Faber and Faber Limited, 1985)</w:t>
      </w:r>
    </w:p>
    <w:p w14:paraId="3FC228F6" w14:textId="77777777" w:rsidR="00AF7F1E" w:rsidRPr="003E00BE" w:rsidRDefault="00AF7F1E" w:rsidP="00527C71">
      <w:pPr>
        <w:spacing w:line="360" w:lineRule="auto"/>
        <w:rPr>
          <w:rFonts w:ascii="Calibri" w:hAnsi="Calibri" w:cs="Calibri"/>
          <w:sz w:val="24"/>
          <w:szCs w:val="24"/>
        </w:rPr>
      </w:pPr>
      <w:r w:rsidRPr="003E00BE">
        <w:rPr>
          <w:rFonts w:ascii="Calibri" w:hAnsi="Calibri" w:cs="Calibri"/>
          <w:sz w:val="24"/>
          <w:szCs w:val="24"/>
        </w:rPr>
        <w:br w:type="page"/>
      </w:r>
    </w:p>
    <w:p w14:paraId="26AC6FDF" w14:textId="4FAC760D" w:rsidR="003E00BE" w:rsidRPr="003E00BE" w:rsidRDefault="003E00BE" w:rsidP="00527C71">
      <w:pPr>
        <w:spacing w:after="0" w:line="360" w:lineRule="auto"/>
        <w:jc w:val="both"/>
        <w:rPr>
          <w:rFonts w:ascii="Calibri" w:eastAsia="Times New Roman" w:hAnsi="Calibri" w:cs="Calibri"/>
          <w:b/>
          <w:bCs/>
          <w:color w:val="000000"/>
          <w:sz w:val="24"/>
          <w:szCs w:val="24"/>
          <w:u w:val="single"/>
          <w:lang w:eastAsia="en-GB"/>
        </w:rPr>
      </w:pPr>
      <w:r w:rsidRPr="003E00BE">
        <w:rPr>
          <w:rFonts w:ascii="Calibri" w:eastAsia="Times New Roman" w:hAnsi="Calibri" w:cs="Calibri"/>
          <w:b/>
          <w:bCs/>
          <w:color w:val="000000"/>
          <w:sz w:val="24"/>
          <w:szCs w:val="24"/>
          <w:u w:val="single"/>
          <w:lang w:eastAsia="en-GB"/>
        </w:rPr>
        <w:lastRenderedPageBreak/>
        <w:t xml:space="preserve">Document Report – British Propaganda Poster </w:t>
      </w:r>
      <w:r w:rsidRPr="003E00BE">
        <w:rPr>
          <w:rFonts w:ascii="Calibri" w:eastAsia="Times New Roman" w:hAnsi="Calibri" w:cs="Calibri"/>
          <w:b/>
          <w:bCs/>
          <w:i/>
          <w:iCs/>
          <w:color w:val="000000"/>
          <w:sz w:val="24"/>
          <w:szCs w:val="24"/>
          <w:u w:val="single"/>
          <w:lang w:eastAsia="en-GB"/>
        </w:rPr>
        <w:t xml:space="preserve">‘Daddy what did YOU do in the Great War?’ </w:t>
      </w:r>
      <w:r w:rsidRPr="003E00BE">
        <w:rPr>
          <w:rFonts w:ascii="Calibri" w:eastAsia="Times New Roman" w:hAnsi="Calibri" w:cs="Calibri"/>
          <w:b/>
          <w:bCs/>
          <w:color w:val="000000"/>
          <w:sz w:val="24"/>
          <w:szCs w:val="24"/>
          <w:u w:val="single"/>
          <w:lang w:eastAsia="en-GB"/>
        </w:rPr>
        <w:t>1915 (Word Count: 1028)</w:t>
      </w:r>
    </w:p>
    <w:p w14:paraId="5017D52B" w14:textId="77777777" w:rsidR="003E00BE" w:rsidRPr="003E00BE" w:rsidRDefault="003E00BE" w:rsidP="00527C71">
      <w:pPr>
        <w:spacing w:after="0" w:line="360" w:lineRule="auto"/>
        <w:jc w:val="both"/>
        <w:rPr>
          <w:rFonts w:ascii="Calibri" w:eastAsia="Times New Roman" w:hAnsi="Calibri" w:cs="Calibri"/>
          <w:color w:val="000000"/>
          <w:sz w:val="24"/>
          <w:szCs w:val="24"/>
          <w:lang w:eastAsia="en-GB"/>
        </w:rPr>
      </w:pPr>
    </w:p>
    <w:p w14:paraId="16AA3D7C" w14:textId="367AF8ED" w:rsidR="00AF7F1E" w:rsidRPr="003E00BE" w:rsidRDefault="00AF7F1E"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t xml:space="preserve">This document Report shall approach and discuss the 1915 British propaganda poster entitled </w:t>
      </w:r>
      <w:r w:rsidRPr="003E00BE">
        <w:rPr>
          <w:rFonts w:ascii="Calibri" w:eastAsia="Times New Roman" w:hAnsi="Calibri" w:cs="Calibri"/>
          <w:i/>
          <w:iCs/>
          <w:color w:val="000000"/>
          <w:sz w:val="24"/>
          <w:szCs w:val="24"/>
          <w:lang w:eastAsia="en-GB"/>
        </w:rPr>
        <w:t>Daddy, what did YOU do in the Great War?</w:t>
      </w:r>
      <w:r w:rsidRPr="003E00BE">
        <w:rPr>
          <w:rStyle w:val="FootnoteReference"/>
          <w:rFonts w:ascii="Calibri" w:eastAsia="Times New Roman" w:hAnsi="Calibri" w:cs="Calibri"/>
          <w:i/>
          <w:iCs/>
          <w:color w:val="000000"/>
          <w:sz w:val="24"/>
          <w:szCs w:val="24"/>
          <w:lang w:eastAsia="en-GB"/>
        </w:rPr>
        <w:footnoteReference w:id="13"/>
      </w:r>
      <w:r w:rsidRPr="003E00BE">
        <w:rPr>
          <w:rFonts w:ascii="Calibri" w:eastAsia="Times New Roman" w:hAnsi="Calibri" w:cs="Calibri"/>
          <w:i/>
          <w:iCs/>
          <w:color w:val="000000"/>
          <w:sz w:val="24"/>
          <w:szCs w:val="24"/>
          <w:lang w:eastAsia="en-GB"/>
        </w:rPr>
        <w:t xml:space="preserve"> </w:t>
      </w:r>
      <w:r w:rsidRPr="003E00BE">
        <w:rPr>
          <w:rFonts w:ascii="Calibri" w:eastAsia="Times New Roman" w:hAnsi="Calibri" w:cs="Calibri"/>
          <w:color w:val="000000"/>
          <w:sz w:val="24"/>
          <w:szCs w:val="24"/>
          <w:lang w:eastAsia="en-GB"/>
        </w:rPr>
        <w:t>The poster was created by admired London book illustrator and poster designer Savile Lumley and was then released in 1915 by the Parliamentary Recruiting Committee.</w:t>
      </w:r>
      <w:r w:rsidRPr="003E00BE">
        <w:rPr>
          <w:rStyle w:val="FootnoteReference"/>
          <w:rFonts w:ascii="Calibri" w:eastAsia="Times New Roman" w:hAnsi="Calibri" w:cs="Calibri"/>
          <w:color w:val="000000"/>
          <w:sz w:val="24"/>
          <w:szCs w:val="24"/>
          <w:lang w:eastAsia="en-GB"/>
        </w:rPr>
        <w:footnoteReference w:id="14"/>
      </w:r>
      <w:r w:rsidRPr="003E00BE">
        <w:rPr>
          <w:rFonts w:ascii="Calibri" w:eastAsia="Times New Roman" w:hAnsi="Calibri" w:cs="Calibri"/>
          <w:color w:val="000000"/>
          <w:sz w:val="24"/>
          <w:szCs w:val="24"/>
          <w:lang w:eastAsia="en-GB"/>
        </w:rPr>
        <w:t> </w:t>
      </w:r>
    </w:p>
    <w:p w14:paraId="1C0588E7" w14:textId="77777777" w:rsidR="00AF7F1E" w:rsidRPr="003E00BE" w:rsidRDefault="00AF7F1E" w:rsidP="00527C71">
      <w:pPr>
        <w:spacing w:after="0" w:line="360" w:lineRule="auto"/>
        <w:jc w:val="both"/>
        <w:rPr>
          <w:rFonts w:ascii="Calibri" w:eastAsia="Times New Roman" w:hAnsi="Calibri" w:cs="Calibri"/>
          <w:sz w:val="24"/>
          <w:szCs w:val="24"/>
          <w:lang w:eastAsia="en-GB"/>
        </w:rPr>
      </w:pPr>
    </w:p>
    <w:p w14:paraId="1B61CB01" w14:textId="77777777" w:rsidR="00AF7F1E" w:rsidRPr="003E00BE" w:rsidRDefault="00AF7F1E"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t>Lumley’s 1915 poster was one of the most famous posters during the Great War.</w:t>
      </w:r>
      <w:r w:rsidRPr="003E00BE">
        <w:rPr>
          <w:rStyle w:val="FootnoteReference"/>
          <w:rFonts w:ascii="Calibri" w:eastAsia="Times New Roman" w:hAnsi="Calibri" w:cs="Calibri"/>
          <w:color w:val="000000"/>
          <w:sz w:val="24"/>
          <w:szCs w:val="24"/>
          <w:lang w:eastAsia="en-GB"/>
        </w:rPr>
        <w:footnoteReference w:id="15"/>
      </w:r>
      <w:r w:rsidRPr="003E00BE">
        <w:rPr>
          <w:rFonts w:ascii="Calibri" w:eastAsia="Times New Roman" w:hAnsi="Calibri" w:cs="Calibri"/>
          <w:color w:val="000000"/>
          <w:sz w:val="24"/>
          <w:szCs w:val="24"/>
          <w:lang w:eastAsia="en-GB"/>
        </w:rPr>
        <w:t xml:space="preserve"> The poster is aimed at the male population who were of military age not participating in the war as numbers of admissions to the army had greatly decreased following the initial surge. The poster portrays a future situation with a father and his children looking and discussing the Great war retrospectively. The poster targets the viewer’s emotions and directly questions them, it forces the viewer to consider how their family will regard them following the war and whether they proudly served their country during the war, it targets the belief that British men will want to say that they did their part for their country. The poster is extremely clever by using the children to ask the question as every father wants their children to be proud of them and hold them in high regard. It attempts to induce a feeling of guilt from the viewer and suggests that they will not be able to look their children in the face if they hadn’t served their country during the war.</w:t>
      </w:r>
    </w:p>
    <w:p w14:paraId="11B5AAFA" w14:textId="77777777" w:rsidR="00AF7F1E" w:rsidRPr="003E00BE" w:rsidRDefault="00AF7F1E" w:rsidP="00527C71">
      <w:pPr>
        <w:spacing w:after="0" w:line="360" w:lineRule="auto"/>
        <w:jc w:val="both"/>
        <w:rPr>
          <w:rFonts w:ascii="Calibri" w:eastAsia="Times New Roman" w:hAnsi="Calibri" w:cs="Calibri"/>
          <w:sz w:val="24"/>
          <w:szCs w:val="24"/>
          <w:lang w:eastAsia="en-GB"/>
        </w:rPr>
      </w:pPr>
    </w:p>
    <w:p w14:paraId="016CE27C" w14:textId="77777777" w:rsidR="00AF7F1E" w:rsidRPr="003E00BE" w:rsidRDefault="00AF7F1E" w:rsidP="00527C71">
      <w:pPr>
        <w:spacing w:after="0" w:line="360" w:lineRule="auto"/>
        <w:jc w:val="both"/>
        <w:rPr>
          <w:rFonts w:ascii="Calibri" w:eastAsia="Times New Roman" w:hAnsi="Calibri" w:cs="Calibri"/>
          <w:color w:val="000000"/>
          <w:sz w:val="24"/>
          <w:szCs w:val="24"/>
          <w:lang w:eastAsia="en-GB"/>
        </w:rPr>
      </w:pPr>
      <w:r w:rsidRPr="003E00BE">
        <w:rPr>
          <w:rFonts w:ascii="Calibri" w:eastAsia="Times New Roman" w:hAnsi="Calibri" w:cs="Calibri"/>
          <w:color w:val="000000"/>
          <w:sz w:val="24"/>
          <w:szCs w:val="24"/>
          <w:lang w:eastAsia="en-GB"/>
        </w:rPr>
        <w:t xml:space="preserve">The symbolism of the poster utilises patriotism, it shows a young boy playing with traditional toy soldiers, these soldiers wear red coats, not the colour of the uniform that would be found being worn during the Great War, it is the outfit of the soldiers that normally guard the King or Queen of England, it glamorises the idea of joining the army. It is also clear that the young boy idolises his toy soldiers that they are persons of admiration and role models. The young girl is reading a book and it can be assumed by the question she is asking that it is the Great War she is reading about. The father looks way from his children with a sombre facial </w:t>
      </w:r>
      <w:r w:rsidRPr="003E00BE">
        <w:rPr>
          <w:rFonts w:ascii="Calibri" w:eastAsia="Times New Roman" w:hAnsi="Calibri" w:cs="Calibri"/>
          <w:color w:val="000000"/>
          <w:sz w:val="24"/>
          <w:szCs w:val="24"/>
          <w:lang w:eastAsia="en-GB"/>
        </w:rPr>
        <w:lastRenderedPageBreak/>
        <w:t>expression implying he is unable to maintain eye contact; this suggests that the father feels guilt and possibly shame that he is unable to proudly say he served his country during the war. The language used in the poster is of great importance, the bold and underlined ‘</w:t>
      </w:r>
      <w:r w:rsidRPr="003E00BE">
        <w:rPr>
          <w:rFonts w:ascii="Calibri" w:eastAsia="Times New Roman" w:hAnsi="Calibri" w:cs="Calibri"/>
          <w:i/>
          <w:iCs/>
          <w:color w:val="000000"/>
          <w:sz w:val="24"/>
          <w:szCs w:val="24"/>
          <w:lang w:eastAsia="en-GB"/>
        </w:rPr>
        <w:t xml:space="preserve">You’ </w:t>
      </w:r>
      <w:r w:rsidRPr="003E00BE">
        <w:rPr>
          <w:rFonts w:ascii="Calibri" w:eastAsia="Times New Roman" w:hAnsi="Calibri" w:cs="Calibri"/>
          <w:color w:val="000000"/>
          <w:sz w:val="24"/>
          <w:szCs w:val="24"/>
          <w:lang w:eastAsia="en-GB"/>
        </w:rPr>
        <w:t>gives the poster an individual feeling as though the poster was questioning the viewer directly. There is also the use of the term ‘Great War’ suggesting that Britain was victorious in the war, this provides another reason for the father to feel shame and guilt. The same term suggest that it was an immense war in which everybody took part, which isolates the father or viewer suggesting they will be isolated and singular if they do not join the army.</w:t>
      </w:r>
    </w:p>
    <w:p w14:paraId="49396239" w14:textId="77777777" w:rsidR="00AF7F1E" w:rsidRPr="003E00BE" w:rsidRDefault="00AF7F1E" w:rsidP="00527C71">
      <w:pPr>
        <w:spacing w:after="0" w:line="360" w:lineRule="auto"/>
        <w:jc w:val="both"/>
        <w:rPr>
          <w:rFonts w:ascii="Calibri" w:eastAsia="Times New Roman" w:hAnsi="Calibri" w:cs="Calibri"/>
          <w:sz w:val="24"/>
          <w:szCs w:val="24"/>
          <w:lang w:eastAsia="en-GB"/>
        </w:rPr>
      </w:pPr>
    </w:p>
    <w:p w14:paraId="397A00DF" w14:textId="77777777" w:rsidR="00AF7F1E" w:rsidRPr="003E00BE" w:rsidRDefault="00AF7F1E"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t>The symbolism in this poster also strongly encourages the breaking of patterns as usually associated with signing up to the army, these were energetic young strong-willed bachelors that normally signed up to the army, however this poster encourages family-men of certain age groups to enlist. The poster does however, seem to suggest that there are other ways to serve your country in the Great War with its choice of wording, the daughter does not ask “Daddy, did you fight in the great war?” but she was “What did you do in the Great War?” suggesting that he may be able to proudly reply as long as he has aided the war effort in some aspect.</w:t>
      </w:r>
    </w:p>
    <w:p w14:paraId="188039FD" w14:textId="77777777" w:rsidR="00AF7F1E" w:rsidRPr="003E00BE" w:rsidRDefault="00AF7F1E" w:rsidP="00527C71">
      <w:pPr>
        <w:spacing w:after="0" w:line="360" w:lineRule="auto"/>
        <w:jc w:val="both"/>
        <w:rPr>
          <w:rFonts w:ascii="Calibri" w:eastAsia="Times New Roman" w:hAnsi="Calibri" w:cs="Calibri"/>
          <w:sz w:val="24"/>
          <w:szCs w:val="24"/>
          <w:lang w:eastAsia="en-GB"/>
        </w:rPr>
      </w:pPr>
    </w:p>
    <w:p w14:paraId="0A3D639F" w14:textId="77777777" w:rsidR="00AF7F1E" w:rsidRPr="003E00BE" w:rsidRDefault="00AF7F1E"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t>The poster by Lumley, does however attempt to hide and disguise how ghastly and grim war the war was, in order to encourage men who had families and children to join. The Great War which was associated with death, killing and darkness is covered with the concept of a family man, elemental to the war, returning home to his family, which hides the truth that many soldiers did not return home.</w:t>
      </w:r>
    </w:p>
    <w:p w14:paraId="702393E4" w14:textId="77777777" w:rsidR="00AF7F1E" w:rsidRPr="003E00BE" w:rsidRDefault="00AF7F1E" w:rsidP="00527C71">
      <w:pPr>
        <w:spacing w:after="0" w:line="360" w:lineRule="auto"/>
        <w:jc w:val="both"/>
        <w:rPr>
          <w:rFonts w:ascii="Calibri" w:eastAsia="Times New Roman" w:hAnsi="Calibri" w:cs="Calibri"/>
          <w:sz w:val="24"/>
          <w:szCs w:val="24"/>
          <w:lang w:eastAsia="en-GB"/>
        </w:rPr>
      </w:pPr>
    </w:p>
    <w:p w14:paraId="1FED7676" w14:textId="77777777" w:rsidR="00AF7F1E" w:rsidRPr="003E00BE" w:rsidRDefault="00AF7F1E" w:rsidP="00527C71">
      <w:pPr>
        <w:spacing w:after="0" w:line="360" w:lineRule="auto"/>
        <w:jc w:val="both"/>
        <w:rPr>
          <w:rFonts w:ascii="Calibri" w:eastAsia="Times New Roman" w:hAnsi="Calibri" w:cs="Calibri"/>
          <w:sz w:val="24"/>
          <w:szCs w:val="24"/>
          <w:lang w:eastAsia="en-GB"/>
        </w:rPr>
      </w:pPr>
      <w:r w:rsidRPr="003E00BE">
        <w:rPr>
          <w:rFonts w:ascii="Calibri" w:eastAsia="Times New Roman" w:hAnsi="Calibri" w:cs="Calibri"/>
          <w:color w:val="000000"/>
          <w:sz w:val="24"/>
          <w:szCs w:val="24"/>
          <w:lang w:eastAsia="en-GB"/>
        </w:rPr>
        <w:t xml:space="preserve">When comparing the British propaganda of the Great War to the propaganda in Germany during the war, there is an incredibly stark contrast. While the </w:t>
      </w:r>
      <w:r w:rsidRPr="003E00BE">
        <w:rPr>
          <w:rFonts w:ascii="Calibri" w:eastAsia="Times New Roman" w:hAnsi="Calibri" w:cs="Calibri"/>
          <w:i/>
          <w:iCs/>
          <w:color w:val="000000"/>
          <w:sz w:val="24"/>
          <w:szCs w:val="24"/>
          <w:lang w:eastAsia="en-GB"/>
        </w:rPr>
        <w:t xml:space="preserve">Daddy, what did YOU do in the war? </w:t>
      </w:r>
      <w:r w:rsidRPr="003E00BE">
        <w:rPr>
          <w:rFonts w:ascii="Calibri" w:eastAsia="Times New Roman" w:hAnsi="Calibri" w:cs="Calibri"/>
          <w:color w:val="000000"/>
          <w:sz w:val="24"/>
          <w:szCs w:val="24"/>
          <w:lang w:eastAsia="en-GB"/>
        </w:rPr>
        <w:t>Along with many other British propaganda posters</w:t>
      </w:r>
      <w:r w:rsidRPr="003E00BE">
        <w:rPr>
          <w:rFonts w:ascii="Calibri" w:eastAsia="Times New Roman" w:hAnsi="Calibri" w:cs="Calibri"/>
          <w:i/>
          <w:iCs/>
          <w:color w:val="000000"/>
          <w:sz w:val="24"/>
          <w:szCs w:val="24"/>
          <w:lang w:eastAsia="en-GB"/>
        </w:rPr>
        <w:t xml:space="preserve"> </w:t>
      </w:r>
      <w:r w:rsidRPr="003E00BE">
        <w:rPr>
          <w:rFonts w:ascii="Calibri" w:eastAsia="Times New Roman" w:hAnsi="Calibri" w:cs="Calibri"/>
          <w:color w:val="000000"/>
          <w:sz w:val="24"/>
          <w:szCs w:val="24"/>
          <w:lang w:eastAsia="en-GB"/>
        </w:rPr>
        <w:t xml:space="preserve">depicts a strong family home life, filled with comfort and warmth. A great deal of German Great War propaganda, however, depicts imagery of soldiers and life on the front war. </w:t>
      </w:r>
      <w:r w:rsidRPr="003E00BE">
        <w:rPr>
          <w:rFonts w:ascii="Calibri" w:eastAsia="Times New Roman" w:hAnsi="Calibri" w:cs="Calibri"/>
          <w:i/>
          <w:iCs/>
          <w:color w:val="000000"/>
          <w:sz w:val="24"/>
          <w:szCs w:val="24"/>
          <w:lang w:eastAsia="en-GB"/>
        </w:rPr>
        <w:t>Kaiser U Volksdank fur Heer und Flotte</w:t>
      </w:r>
      <w:r w:rsidRPr="003E00BE">
        <w:rPr>
          <w:rFonts w:ascii="Calibri" w:eastAsia="Times New Roman" w:hAnsi="Calibri" w:cs="Calibri"/>
          <w:color w:val="000000"/>
          <w:sz w:val="24"/>
          <w:szCs w:val="24"/>
          <w:lang w:eastAsia="en-GB"/>
        </w:rPr>
        <w:t xml:space="preserve">, translated as Kaiser and Nations gratitude for the Army and Navy, depicts a dark and cold scene of trench life, there is snow on the ground, its dark the three soldiers show expressions of misery, it is doubtful that this imagery would have enticed any of the male German </w:t>
      </w:r>
      <w:r w:rsidRPr="003E00BE">
        <w:rPr>
          <w:rFonts w:ascii="Calibri" w:eastAsia="Times New Roman" w:hAnsi="Calibri" w:cs="Calibri"/>
          <w:color w:val="000000"/>
          <w:sz w:val="24"/>
          <w:szCs w:val="24"/>
          <w:lang w:eastAsia="en-GB"/>
        </w:rPr>
        <w:lastRenderedPageBreak/>
        <w:t>population to enlist in the Army.</w:t>
      </w:r>
      <w:r w:rsidRPr="003E00BE">
        <w:rPr>
          <w:rStyle w:val="FootnoteReference"/>
          <w:rFonts w:ascii="Calibri" w:eastAsia="Times New Roman" w:hAnsi="Calibri" w:cs="Calibri"/>
          <w:color w:val="000000"/>
          <w:sz w:val="24"/>
          <w:szCs w:val="24"/>
          <w:lang w:eastAsia="en-GB"/>
        </w:rPr>
        <w:footnoteReference w:id="16"/>
      </w:r>
      <w:r w:rsidRPr="003E00BE">
        <w:rPr>
          <w:rFonts w:ascii="Calibri" w:eastAsia="Times New Roman" w:hAnsi="Calibri" w:cs="Calibri"/>
          <w:color w:val="000000"/>
          <w:sz w:val="24"/>
          <w:szCs w:val="24"/>
          <w:lang w:eastAsia="en-GB"/>
        </w:rPr>
        <w:t xml:space="preserve"> Another German propaganda poster depicts a German soldier standing with a rifle in his hand with flames raging behind him and barbed wire, another depiction of trench life, across the poster are the words “Dein Vaterland ist in Gefahr” which translate to “Your fatherland is in Danger”, again a stark contrast to the propaganda posters of Britain, this poster must have only succeeded in causing panic amongst the population of Germany rather than an urge to enlist in the army.</w:t>
      </w:r>
      <w:r w:rsidRPr="003E00BE">
        <w:rPr>
          <w:rStyle w:val="FootnoteReference"/>
          <w:rFonts w:ascii="Calibri" w:eastAsia="Times New Roman" w:hAnsi="Calibri" w:cs="Calibri"/>
          <w:color w:val="000000"/>
          <w:sz w:val="24"/>
          <w:szCs w:val="24"/>
          <w:lang w:eastAsia="en-GB"/>
        </w:rPr>
        <w:footnoteReference w:id="17"/>
      </w:r>
      <w:r w:rsidRPr="003E00BE">
        <w:rPr>
          <w:rFonts w:ascii="Calibri" w:eastAsia="Times New Roman" w:hAnsi="Calibri" w:cs="Calibri"/>
          <w:color w:val="000000"/>
          <w:sz w:val="24"/>
          <w:szCs w:val="24"/>
          <w:lang w:eastAsia="en-GB"/>
        </w:rPr>
        <w:t> </w:t>
      </w:r>
    </w:p>
    <w:p w14:paraId="73E63E3E" w14:textId="77777777" w:rsidR="00AF7F1E" w:rsidRPr="003E00BE" w:rsidRDefault="00AF7F1E" w:rsidP="00527C71">
      <w:pPr>
        <w:spacing w:line="360" w:lineRule="auto"/>
        <w:jc w:val="both"/>
        <w:rPr>
          <w:rFonts w:ascii="Calibri" w:eastAsia="Times New Roman" w:hAnsi="Calibri" w:cs="Calibri"/>
          <w:color w:val="000000"/>
          <w:sz w:val="24"/>
          <w:szCs w:val="24"/>
          <w:lang w:eastAsia="en-GB"/>
        </w:rPr>
      </w:pPr>
      <w:r w:rsidRPr="003E00BE">
        <w:rPr>
          <w:rFonts w:ascii="Calibri" w:eastAsia="Times New Roman" w:hAnsi="Calibri" w:cs="Calibri"/>
          <w:sz w:val="24"/>
          <w:szCs w:val="24"/>
          <w:lang w:eastAsia="en-GB"/>
        </w:rPr>
        <w:br/>
      </w:r>
      <w:r w:rsidRPr="003E00BE">
        <w:rPr>
          <w:rFonts w:ascii="Calibri" w:eastAsia="Times New Roman" w:hAnsi="Calibri" w:cs="Calibri"/>
          <w:color w:val="000000"/>
          <w:sz w:val="24"/>
          <w:szCs w:val="24"/>
          <w:lang w:eastAsia="en-GB"/>
        </w:rPr>
        <w:t>In conclusion the British propaganda poster “</w:t>
      </w:r>
      <w:r w:rsidRPr="003E00BE">
        <w:rPr>
          <w:rFonts w:ascii="Calibri" w:eastAsia="Times New Roman" w:hAnsi="Calibri" w:cs="Calibri"/>
          <w:i/>
          <w:iCs/>
          <w:color w:val="000000"/>
          <w:sz w:val="24"/>
          <w:szCs w:val="24"/>
          <w:lang w:eastAsia="en-GB"/>
        </w:rPr>
        <w:t xml:space="preserve">Daddy, what did YOU do in the war?” </w:t>
      </w:r>
      <w:r w:rsidRPr="003E00BE">
        <w:rPr>
          <w:rFonts w:ascii="Calibri" w:eastAsia="Times New Roman" w:hAnsi="Calibri" w:cs="Calibri"/>
          <w:color w:val="000000"/>
          <w:sz w:val="24"/>
          <w:szCs w:val="24"/>
          <w:lang w:eastAsia="en-GB"/>
        </w:rPr>
        <w:t>was a clever and successful poster during the Great War. The poster played on the emotions of the male population of Britain especially the family-man with children it successfully attempts to guilt-trip the average family man into enlisting in the army suggesting that he will feel shame and that his children will not feel pride towards him if he does not serve his country.</w:t>
      </w:r>
    </w:p>
    <w:p w14:paraId="62EEC543" w14:textId="77777777" w:rsidR="00AF7F1E" w:rsidRPr="003E00BE" w:rsidRDefault="00AF7F1E" w:rsidP="00527C71">
      <w:pPr>
        <w:spacing w:line="360" w:lineRule="auto"/>
        <w:rPr>
          <w:rFonts w:ascii="Calibri" w:eastAsia="Times New Roman" w:hAnsi="Calibri" w:cs="Calibri"/>
          <w:color w:val="000000"/>
          <w:sz w:val="24"/>
          <w:szCs w:val="24"/>
          <w:lang w:eastAsia="en-GB"/>
        </w:rPr>
      </w:pPr>
      <w:r w:rsidRPr="003E00BE">
        <w:rPr>
          <w:rFonts w:ascii="Calibri" w:eastAsia="Times New Roman" w:hAnsi="Calibri" w:cs="Calibri"/>
          <w:color w:val="000000"/>
          <w:sz w:val="24"/>
          <w:szCs w:val="24"/>
          <w:lang w:eastAsia="en-GB"/>
        </w:rPr>
        <w:br w:type="page"/>
      </w:r>
    </w:p>
    <w:p w14:paraId="7D12752D" w14:textId="77777777" w:rsidR="00AF7F1E" w:rsidRPr="003E00BE" w:rsidRDefault="00AF7F1E" w:rsidP="00527C71">
      <w:pPr>
        <w:spacing w:line="360" w:lineRule="auto"/>
        <w:jc w:val="both"/>
        <w:rPr>
          <w:rFonts w:ascii="Calibri" w:hAnsi="Calibri" w:cs="Calibri"/>
          <w:b/>
          <w:bCs/>
          <w:sz w:val="24"/>
          <w:szCs w:val="24"/>
          <w:u w:val="single"/>
        </w:rPr>
      </w:pPr>
      <w:r w:rsidRPr="003E00BE">
        <w:rPr>
          <w:rFonts w:ascii="Calibri" w:hAnsi="Calibri" w:cs="Calibri"/>
          <w:b/>
          <w:bCs/>
          <w:sz w:val="24"/>
          <w:szCs w:val="24"/>
          <w:u w:val="single"/>
        </w:rPr>
        <w:lastRenderedPageBreak/>
        <w:t>Bibliography</w:t>
      </w:r>
    </w:p>
    <w:p w14:paraId="48263762" w14:textId="77777777" w:rsidR="00AF7F1E" w:rsidRPr="003E00BE" w:rsidRDefault="00AF7F1E" w:rsidP="00527C71">
      <w:pPr>
        <w:pStyle w:val="FootnoteText"/>
        <w:spacing w:line="360" w:lineRule="auto"/>
        <w:rPr>
          <w:rFonts w:ascii="Calibri" w:hAnsi="Calibri" w:cs="Calibri"/>
          <w:sz w:val="24"/>
          <w:szCs w:val="24"/>
        </w:rPr>
      </w:pPr>
      <w:r w:rsidRPr="003E00BE">
        <w:rPr>
          <w:rFonts w:ascii="Calibri" w:hAnsi="Calibri" w:cs="Calibri"/>
          <w:sz w:val="24"/>
          <w:szCs w:val="24"/>
        </w:rPr>
        <w:t xml:space="preserve">British Library, ‘Daddy, what did you do in the Great War?, a British recruitment poster’, </w:t>
      </w:r>
      <w:r w:rsidRPr="003E00BE">
        <w:rPr>
          <w:rFonts w:ascii="Calibri" w:hAnsi="Calibri" w:cs="Calibri"/>
          <w:i/>
          <w:iCs/>
          <w:sz w:val="24"/>
          <w:szCs w:val="24"/>
        </w:rPr>
        <w:t xml:space="preserve">bl.uk </w:t>
      </w:r>
      <w:hyperlink r:id="rId9" w:history="1">
        <w:r w:rsidRPr="003E00BE">
          <w:rPr>
            <w:rStyle w:val="Hyperlink"/>
            <w:rFonts w:ascii="Calibri" w:hAnsi="Calibri" w:cs="Calibri"/>
            <w:sz w:val="24"/>
            <w:szCs w:val="24"/>
          </w:rPr>
          <w:t>https://www.bl.uk/collection-items/daddy-what-did-you-do-in-great-war</w:t>
        </w:r>
      </w:hyperlink>
      <w:r w:rsidRPr="003E00BE">
        <w:rPr>
          <w:rFonts w:ascii="Calibri" w:hAnsi="Calibri" w:cs="Calibri"/>
          <w:sz w:val="24"/>
          <w:szCs w:val="24"/>
        </w:rPr>
        <w:t xml:space="preserve"> [Accessed 13 November 2019].</w:t>
      </w:r>
    </w:p>
    <w:p w14:paraId="7D278423" w14:textId="77777777" w:rsidR="00AF7F1E" w:rsidRPr="003E00BE" w:rsidRDefault="00AF7F1E" w:rsidP="00527C71">
      <w:pPr>
        <w:pStyle w:val="FootnoteText"/>
        <w:spacing w:line="360" w:lineRule="auto"/>
        <w:rPr>
          <w:rFonts w:ascii="Calibri" w:hAnsi="Calibri" w:cs="Calibri"/>
          <w:sz w:val="24"/>
          <w:szCs w:val="24"/>
        </w:rPr>
      </w:pPr>
    </w:p>
    <w:p w14:paraId="7005353D" w14:textId="77777777" w:rsidR="00AF7F1E" w:rsidRPr="003E00BE" w:rsidRDefault="00AF7F1E" w:rsidP="00527C71">
      <w:pPr>
        <w:pStyle w:val="FootnoteText"/>
        <w:spacing w:line="360" w:lineRule="auto"/>
        <w:rPr>
          <w:rFonts w:ascii="Calibri" w:hAnsi="Calibri" w:cs="Calibri"/>
          <w:sz w:val="24"/>
          <w:szCs w:val="24"/>
        </w:rPr>
      </w:pPr>
      <w:r w:rsidRPr="003E00BE">
        <w:rPr>
          <w:rFonts w:ascii="Calibri" w:hAnsi="Calibri" w:cs="Calibri"/>
          <w:sz w:val="24"/>
          <w:szCs w:val="24"/>
        </w:rPr>
        <w:t xml:space="preserve">British Library, ‘Propaganda as a weapon? Influencing international opinion’, </w:t>
      </w:r>
      <w:r w:rsidRPr="003E00BE">
        <w:rPr>
          <w:rFonts w:ascii="Calibri" w:hAnsi="Calibri" w:cs="Calibri"/>
          <w:i/>
          <w:iCs/>
          <w:sz w:val="24"/>
          <w:szCs w:val="24"/>
        </w:rPr>
        <w:t xml:space="preserve">bl.uk, </w:t>
      </w:r>
      <w:hyperlink r:id="rId10" w:history="1">
        <w:r w:rsidRPr="003E00BE">
          <w:rPr>
            <w:rStyle w:val="Hyperlink"/>
            <w:rFonts w:ascii="Calibri" w:hAnsi="Calibri" w:cs="Calibri"/>
            <w:sz w:val="24"/>
            <w:szCs w:val="24"/>
          </w:rPr>
          <w:t>https://www.bl.uk/world-war-one/articles/propaganda-as-a-weapon</w:t>
        </w:r>
      </w:hyperlink>
      <w:r w:rsidRPr="003E00BE">
        <w:rPr>
          <w:rFonts w:ascii="Calibri" w:hAnsi="Calibri" w:cs="Calibri"/>
          <w:sz w:val="24"/>
          <w:szCs w:val="24"/>
        </w:rPr>
        <w:t xml:space="preserve"> [Accessed 12 November 2019]</w:t>
      </w:r>
    </w:p>
    <w:p w14:paraId="12D84F30" w14:textId="77777777" w:rsidR="00AF7F1E" w:rsidRPr="003E00BE" w:rsidRDefault="00AF7F1E" w:rsidP="00527C71">
      <w:pPr>
        <w:pStyle w:val="FootnoteText"/>
        <w:spacing w:line="360" w:lineRule="auto"/>
        <w:rPr>
          <w:rFonts w:ascii="Calibri" w:hAnsi="Calibri" w:cs="Calibri"/>
          <w:sz w:val="24"/>
          <w:szCs w:val="24"/>
        </w:rPr>
      </w:pPr>
    </w:p>
    <w:p w14:paraId="0F6298D1" w14:textId="77777777" w:rsidR="00AF7F1E" w:rsidRPr="003E00BE" w:rsidRDefault="00AF7F1E" w:rsidP="00527C71">
      <w:pPr>
        <w:pStyle w:val="FootnoteText"/>
        <w:spacing w:line="360" w:lineRule="auto"/>
        <w:rPr>
          <w:rFonts w:ascii="Calibri" w:hAnsi="Calibri" w:cs="Calibri"/>
          <w:sz w:val="24"/>
          <w:szCs w:val="24"/>
        </w:rPr>
      </w:pPr>
      <w:r w:rsidRPr="003E00BE">
        <w:rPr>
          <w:rFonts w:ascii="Calibri" w:hAnsi="Calibri" w:cs="Calibri"/>
          <w:sz w:val="24"/>
          <w:szCs w:val="24"/>
        </w:rPr>
        <w:t xml:space="preserve">Chandler, Dave and Ian Beckett, </w:t>
      </w:r>
      <w:r w:rsidRPr="003E00BE">
        <w:rPr>
          <w:rFonts w:ascii="Calibri" w:hAnsi="Calibri" w:cs="Calibri"/>
          <w:i/>
          <w:iCs/>
          <w:sz w:val="24"/>
          <w:szCs w:val="24"/>
        </w:rPr>
        <w:t xml:space="preserve">The Oxford History of The British Army </w:t>
      </w:r>
      <w:r w:rsidRPr="003E00BE">
        <w:rPr>
          <w:rFonts w:ascii="Calibri" w:hAnsi="Calibri" w:cs="Calibri"/>
          <w:sz w:val="24"/>
          <w:szCs w:val="24"/>
        </w:rPr>
        <w:t>(New York, Oxford University Press, 1994)</w:t>
      </w:r>
    </w:p>
    <w:p w14:paraId="548D3C20" w14:textId="77777777" w:rsidR="00AF7F1E" w:rsidRPr="003E00BE" w:rsidRDefault="00AF7F1E" w:rsidP="00527C71">
      <w:pPr>
        <w:pStyle w:val="FootnoteText"/>
        <w:spacing w:line="360" w:lineRule="auto"/>
        <w:rPr>
          <w:rFonts w:ascii="Calibri" w:hAnsi="Calibri" w:cs="Calibri"/>
          <w:sz w:val="24"/>
          <w:szCs w:val="24"/>
        </w:rPr>
      </w:pPr>
    </w:p>
    <w:p w14:paraId="49488C4A" w14:textId="77777777" w:rsidR="00AF7F1E" w:rsidRPr="003E00BE" w:rsidRDefault="00AF7F1E" w:rsidP="00527C71">
      <w:pPr>
        <w:spacing w:line="360" w:lineRule="auto"/>
        <w:jc w:val="both"/>
        <w:rPr>
          <w:rFonts w:ascii="Calibri" w:hAnsi="Calibri" w:cs="Calibri"/>
          <w:sz w:val="24"/>
          <w:szCs w:val="24"/>
        </w:rPr>
      </w:pPr>
      <w:r w:rsidRPr="003E00BE">
        <w:rPr>
          <w:rFonts w:ascii="Calibri" w:hAnsi="Calibri" w:cs="Calibri"/>
          <w:sz w:val="24"/>
          <w:szCs w:val="24"/>
        </w:rPr>
        <w:t xml:space="preserve">Library of Congress, ‘Dein Vaterland ist in Gefahr, melde dich!’, </w:t>
      </w:r>
      <w:r w:rsidRPr="003E00BE">
        <w:rPr>
          <w:rFonts w:ascii="Calibri" w:hAnsi="Calibri" w:cs="Calibri"/>
          <w:i/>
          <w:iCs/>
          <w:sz w:val="24"/>
          <w:szCs w:val="24"/>
        </w:rPr>
        <w:t xml:space="preserve">loc.gov </w:t>
      </w:r>
      <w:hyperlink r:id="rId11" w:history="1">
        <w:r w:rsidRPr="003E00BE">
          <w:rPr>
            <w:rStyle w:val="Hyperlink"/>
            <w:rFonts w:ascii="Calibri" w:hAnsi="Calibri" w:cs="Calibri"/>
            <w:sz w:val="24"/>
            <w:szCs w:val="24"/>
          </w:rPr>
          <w:t>http://www.loc.gov/pictures/item/2006680285/</w:t>
        </w:r>
      </w:hyperlink>
      <w:r w:rsidRPr="003E00BE">
        <w:rPr>
          <w:rFonts w:ascii="Calibri" w:hAnsi="Calibri" w:cs="Calibri"/>
          <w:sz w:val="24"/>
          <w:szCs w:val="24"/>
        </w:rPr>
        <w:t xml:space="preserve"> [Accessed 12 November 2019]</w:t>
      </w:r>
    </w:p>
    <w:p w14:paraId="7F3AC59A" w14:textId="77777777" w:rsidR="00AF7F1E" w:rsidRPr="003E00BE" w:rsidRDefault="00AF7F1E" w:rsidP="00527C71">
      <w:pPr>
        <w:spacing w:line="360" w:lineRule="auto"/>
        <w:jc w:val="both"/>
        <w:rPr>
          <w:rFonts w:ascii="Calibri" w:hAnsi="Calibri" w:cs="Calibri"/>
          <w:sz w:val="24"/>
          <w:szCs w:val="24"/>
        </w:rPr>
      </w:pPr>
      <w:r w:rsidRPr="003E00BE">
        <w:rPr>
          <w:rFonts w:ascii="Calibri" w:hAnsi="Calibri" w:cs="Calibri"/>
          <w:sz w:val="24"/>
          <w:szCs w:val="24"/>
        </w:rPr>
        <w:t xml:space="preserve">Messinger, Gary S., </w:t>
      </w:r>
      <w:r w:rsidRPr="003E00BE">
        <w:rPr>
          <w:rFonts w:ascii="Calibri" w:hAnsi="Calibri" w:cs="Calibri"/>
          <w:i/>
          <w:iCs/>
          <w:sz w:val="24"/>
          <w:szCs w:val="24"/>
        </w:rPr>
        <w:t xml:space="preserve">British Propaganda and The State in the First World War </w:t>
      </w:r>
      <w:r w:rsidRPr="003E00BE">
        <w:rPr>
          <w:rFonts w:ascii="Calibri" w:hAnsi="Calibri" w:cs="Calibri"/>
          <w:sz w:val="24"/>
          <w:szCs w:val="24"/>
        </w:rPr>
        <w:t>(Manchester, Manchester University Press, 1992)</w:t>
      </w:r>
    </w:p>
    <w:p w14:paraId="0CBB932B" w14:textId="77777777" w:rsidR="00AF7F1E" w:rsidRPr="003E00BE" w:rsidRDefault="00AF7F1E" w:rsidP="00527C71">
      <w:pPr>
        <w:spacing w:line="360" w:lineRule="auto"/>
        <w:jc w:val="both"/>
        <w:rPr>
          <w:rFonts w:ascii="Calibri" w:hAnsi="Calibri" w:cs="Calibri"/>
          <w:sz w:val="24"/>
          <w:szCs w:val="24"/>
        </w:rPr>
      </w:pPr>
      <w:r w:rsidRPr="003E00BE">
        <w:rPr>
          <w:rFonts w:ascii="Calibri" w:hAnsi="Calibri" w:cs="Calibri"/>
          <w:sz w:val="24"/>
          <w:szCs w:val="24"/>
        </w:rPr>
        <w:t xml:space="preserve">National Army Museum, ‘The Commonwealth and the First World War’, </w:t>
      </w:r>
      <w:r w:rsidRPr="003E00BE">
        <w:rPr>
          <w:rFonts w:ascii="Calibri" w:hAnsi="Calibri" w:cs="Calibri"/>
          <w:i/>
          <w:iCs/>
          <w:sz w:val="24"/>
          <w:szCs w:val="24"/>
        </w:rPr>
        <w:t xml:space="preserve">nam.ac.uk, </w:t>
      </w:r>
      <w:hyperlink r:id="rId12" w:history="1">
        <w:r w:rsidRPr="003E00BE">
          <w:rPr>
            <w:rStyle w:val="Hyperlink"/>
            <w:rFonts w:ascii="Calibri" w:hAnsi="Calibri" w:cs="Calibri"/>
            <w:sz w:val="24"/>
            <w:szCs w:val="24"/>
          </w:rPr>
          <w:t>https://www.nam.ac.uk/explore/commonwealth-and-first-world-war</w:t>
        </w:r>
      </w:hyperlink>
      <w:r w:rsidRPr="003E00BE">
        <w:rPr>
          <w:rFonts w:ascii="Calibri" w:hAnsi="Calibri" w:cs="Calibri"/>
          <w:sz w:val="24"/>
          <w:szCs w:val="24"/>
        </w:rPr>
        <w:t xml:space="preserve"> [Accessed 14 November 2019]</w:t>
      </w:r>
    </w:p>
    <w:p w14:paraId="13099398" w14:textId="77777777" w:rsidR="00AF7F1E" w:rsidRPr="003E00BE" w:rsidRDefault="00AF7F1E" w:rsidP="00527C71">
      <w:pPr>
        <w:spacing w:line="360" w:lineRule="auto"/>
        <w:jc w:val="both"/>
        <w:rPr>
          <w:rFonts w:ascii="Calibri" w:hAnsi="Calibri" w:cs="Calibri"/>
          <w:sz w:val="24"/>
          <w:szCs w:val="24"/>
        </w:rPr>
      </w:pPr>
      <w:r w:rsidRPr="003E00BE">
        <w:rPr>
          <w:rFonts w:ascii="Calibri" w:hAnsi="Calibri" w:cs="Calibri"/>
          <w:sz w:val="24"/>
          <w:szCs w:val="24"/>
        </w:rPr>
        <w:t xml:space="preserve">Sanders, Michael and Philip M. Taylor, </w:t>
      </w:r>
      <w:r w:rsidRPr="003E00BE">
        <w:rPr>
          <w:rFonts w:ascii="Calibri" w:hAnsi="Calibri" w:cs="Calibri"/>
          <w:i/>
          <w:iCs/>
          <w:sz w:val="24"/>
          <w:szCs w:val="24"/>
        </w:rPr>
        <w:t xml:space="preserve">British Propaganda during thee First World War: 1914-18 </w:t>
      </w:r>
      <w:r w:rsidRPr="003E00BE">
        <w:rPr>
          <w:rFonts w:ascii="Calibri" w:hAnsi="Calibri" w:cs="Calibri"/>
          <w:sz w:val="24"/>
          <w:szCs w:val="24"/>
        </w:rPr>
        <w:t>(London, Macmillan Press, 1982)</w:t>
      </w:r>
    </w:p>
    <w:p w14:paraId="716FDFD2" w14:textId="77777777" w:rsidR="00AF7F1E" w:rsidRPr="003E00BE" w:rsidRDefault="00AF7F1E" w:rsidP="00527C71">
      <w:pPr>
        <w:pStyle w:val="FootnoteText"/>
        <w:spacing w:line="360" w:lineRule="auto"/>
        <w:rPr>
          <w:rFonts w:ascii="Calibri" w:hAnsi="Calibri" w:cs="Calibri"/>
          <w:sz w:val="24"/>
          <w:szCs w:val="24"/>
        </w:rPr>
      </w:pPr>
      <w:r w:rsidRPr="003E00BE">
        <w:rPr>
          <w:rFonts w:ascii="Calibri" w:hAnsi="Calibri" w:cs="Calibri"/>
          <w:sz w:val="24"/>
          <w:szCs w:val="24"/>
        </w:rPr>
        <w:t xml:space="preserve">World Digital Library, ‘Daddy, What Did You Do in the Great War?’, wdl.org, </w:t>
      </w:r>
      <w:hyperlink r:id="rId13" w:history="1">
        <w:r w:rsidRPr="003E00BE">
          <w:rPr>
            <w:rStyle w:val="Hyperlink"/>
            <w:rFonts w:ascii="Calibri" w:hAnsi="Calibri" w:cs="Calibri"/>
            <w:sz w:val="24"/>
            <w:szCs w:val="24"/>
          </w:rPr>
          <w:t>https://www.wdl.org/en/item/4560/</w:t>
        </w:r>
      </w:hyperlink>
      <w:r w:rsidRPr="003E00BE">
        <w:rPr>
          <w:rFonts w:ascii="Calibri" w:hAnsi="Calibri" w:cs="Calibri"/>
          <w:sz w:val="24"/>
          <w:szCs w:val="24"/>
        </w:rPr>
        <w:t xml:space="preserve"> [Accessed 13 November 2019].</w:t>
      </w:r>
    </w:p>
    <w:p w14:paraId="24C3FF5D" w14:textId="77777777" w:rsidR="00B7599D" w:rsidRPr="003E00BE" w:rsidRDefault="00B7599D" w:rsidP="009565BA">
      <w:pPr>
        <w:jc w:val="both"/>
        <w:rPr>
          <w:rFonts w:ascii="Calibri" w:hAnsi="Calibri" w:cs="Calibri"/>
          <w:b/>
          <w:bCs/>
          <w:sz w:val="24"/>
          <w:szCs w:val="24"/>
          <w:u w:val="single"/>
        </w:rPr>
      </w:pPr>
    </w:p>
    <w:sectPr w:rsidR="00B7599D" w:rsidRPr="003E00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4480B2" w14:textId="77777777" w:rsidR="007B279A" w:rsidRDefault="007B279A" w:rsidP="000B2001">
      <w:pPr>
        <w:spacing w:after="0" w:line="240" w:lineRule="auto"/>
      </w:pPr>
      <w:r>
        <w:separator/>
      </w:r>
    </w:p>
  </w:endnote>
  <w:endnote w:type="continuationSeparator" w:id="0">
    <w:p w14:paraId="5C1E5ABE" w14:textId="77777777" w:rsidR="007B279A" w:rsidRDefault="007B279A" w:rsidP="000B2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30E09C" w14:textId="77777777" w:rsidR="007B279A" w:rsidRDefault="007B279A" w:rsidP="000B2001">
      <w:pPr>
        <w:spacing w:after="0" w:line="240" w:lineRule="auto"/>
      </w:pPr>
      <w:r>
        <w:separator/>
      </w:r>
    </w:p>
  </w:footnote>
  <w:footnote w:type="continuationSeparator" w:id="0">
    <w:p w14:paraId="75E88758" w14:textId="77777777" w:rsidR="007B279A" w:rsidRDefault="007B279A" w:rsidP="000B2001">
      <w:pPr>
        <w:spacing w:after="0" w:line="240" w:lineRule="auto"/>
      </w:pPr>
      <w:r>
        <w:continuationSeparator/>
      </w:r>
    </w:p>
  </w:footnote>
  <w:footnote w:id="1">
    <w:p w14:paraId="46970272" w14:textId="387F2383" w:rsidR="00974311" w:rsidRPr="00974311" w:rsidRDefault="00974311">
      <w:pPr>
        <w:pStyle w:val="FootnoteText"/>
      </w:pPr>
      <w:r>
        <w:rPr>
          <w:rStyle w:val="FootnoteReference"/>
        </w:rPr>
        <w:footnoteRef/>
      </w:r>
      <w:r>
        <w:t xml:space="preserve"> Siegfried Sassoon, </w:t>
      </w:r>
      <w:r>
        <w:rPr>
          <w:i/>
          <w:iCs/>
        </w:rPr>
        <w:t xml:space="preserve">Memoirs of an Infantry Officer </w:t>
      </w:r>
      <w:r>
        <w:t>(London, Faber and Faber Limited, 1985)</w:t>
      </w:r>
    </w:p>
  </w:footnote>
  <w:footnote w:id="2">
    <w:p w14:paraId="7A35E1A4" w14:textId="35045FE0" w:rsidR="000B2001" w:rsidRPr="006D32E9" w:rsidRDefault="000B2001">
      <w:pPr>
        <w:pStyle w:val="FootnoteText"/>
      </w:pPr>
      <w:r>
        <w:rPr>
          <w:rStyle w:val="FootnoteReference"/>
        </w:rPr>
        <w:footnoteRef/>
      </w:r>
      <w:r>
        <w:t xml:space="preserve"> </w:t>
      </w:r>
      <w:r w:rsidR="006D32E9">
        <w:t xml:space="preserve">Richard Canning, ‘Siegfried Sassoon: The Journey from the Trenches, 1918-1967 by Jean Moorcroft Wilson’, </w:t>
      </w:r>
      <w:r w:rsidR="006D32E9">
        <w:rPr>
          <w:i/>
          <w:iCs/>
        </w:rPr>
        <w:t>The Independent</w:t>
      </w:r>
      <w:r w:rsidR="006D32E9">
        <w:t>, 4 August 2003,</w:t>
      </w:r>
      <w:r w:rsidR="001D50D5">
        <w:t xml:space="preserve"> </w:t>
      </w:r>
      <w:hyperlink r:id="rId1" w:history="1">
        <w:r w:rsidR="001D50D5" w:rsidRPr="001371DE">
          <w:rPr>
            <w:rStyle w:val="Hyperlink"/>
          </w:rPr>
          <w:t>https://www.independent.co.uk/arts-entertainment/books/reviews/siegfried-sassoon-the-journey-from-the-trenches-1918-1967-by-jean-moorcroft-wilson-98988.html</w:t>
        </w:r>
      </w:hyperlink>
      <w:r w:rsidR="001D50D5">
        <w:t xml:space="preserve"> [Accessed 7 November 2019]</w:t>
      </w:r>
    </w:p>
  </w:footnote>
  <w:footnote w:id="3">
    <w:p w14:paraId="443EAB97" w14:textId="6B76ED8D" w:rsidR="000B2001" w:rsidRPr="001D50D5" w:rsidRDefault="000B2001">
      <w:pPr>
        <w:pStyle w:val="FootnoteText"/>
      </w:pPr>
      <w:r>
        <w:rPr>
          <w:rStyle w:val="FootnoteReference"/>
        </w:rPr>
        <w:footnoteRef/>
      </w:r>
      <w:r>
        <w:t xml:space="preserve"> </w:t>
      </w:r>
      <w:r w:rsidR="001D50D5">
        <w:t xml:space="preserve">BBC, ‘Siegfried Sassoon: 1886 -1967’, </w:t>
      </w:r>
      <w:r w:rsidR="001D50D5">
        <w:rPr>
          <w:i/>
          <w:iCs/>
        </w:rPr>
        <w:t>bbc.co.uk</w:t>
      </w:r>
      <w:r w:rsidR="001D50D5">
        <w:t xml:space="preserve">. </w:t>
      </w:r>
      <w:hyperlink r:id="rId2" w:history="1">
        <w:r w:rsidR="001D50D5">
          <w:rPr>
            <w:rStyle w:val="Hyperlink"/>
          </w:rPr>
          <w:t>http://www.bbc.co.uk/history/historic_figures/sassoon_siegfried.shtml</w:t>
        </w:r>
      </w:hyperlink>
      <w:r w:rsidR="001D50D5">
        <w:t xml:space="preserve"> [Accessed 7 November 2019]</w:t>
      </w:r>
    </w:p>
  </w:footnote>
  <w:footnote w:id="4">
    <w:p w14:paraId="3AF62ACE" w14:textId="10F4D9CC" w:rsidR="000B2001" w:rsidRDefault="000B2001">
      <w:pPr>
        <w:pStyle w:val="FootnoteText"/>
      </w:pPr>
      <w:r>
        <w:rPr>
          <w:rStyle w:val="FootnoteReference"/>
        </w:rPr>
        <w:footnoteRef/>
      </w:r>
      <w:r>
        <w:t xml:space="preserve"> </w:t>
      </w:r>
      <w:r w:rsidR="001D50D5">
        <w:t>Ibid.</w:t>
      </w:r>
    </w:p>
  </w:footnote>
  <w:footnote w:id="5">
    <w:p w14:paraId="608692B1" w14:textId="21C16879" w:rsidR="000B2001" w:rsidRDefault="000B2001">
      <w:pPr>
        <w:pStyle w:val="FootnoteText"/>
      </w:pPr>
      <w:r>
        <w:rPr>
          <w:rStyle w:val="FootnoteReference"/>
        </w:rPr>
        <w:footnoteRef/>
      </w:r>
      <w:r>
        <w:t xml:space="preserve"> </w:t>
      </w:r>
      <w:r w:rsidR="001D50D5">
        <w:t xml:space="preserve">Richard Canning, ‘Siegfried Sassoon: The Journey from the Trenches, 1918-1967 by Jean Moorcroft Wilson’, </w:t>
      </w:r>
      <w:r w:rsidR="001D50D5">
        <w:rPr>
          <w:i/>
          <w:iCs/>
        </w:rPr>
        <w:t>The Independent</w:t>
      </w:r>
      <w:r w:rsidR="001D50D5">
        <w:t xml:space="preserve">, 4 August 2003, </w:t>
      </w:r>
      <w:hyperlink r:id="rId3" w:history="1">
        <w:r w:rsidR="001D50D5" w:rsidRPr="001371DE">
          <w:rPr>
            <w:rStyle w:val="Hyperlink"/>
          </w:rPr>
          <w:t>https://www.independent.co.uk/arts-entertainment/books/reviews/siegfried-sassoon-the-journey-from-the-trenches-1918-1967-by-jean-moorcroft-wilson-98988.html</w:t>
        </w:r>
      </w:hyperlink>
      <w:r w:rsidR="001D50D5">
        <w:t xml:space="preserve"> [Accessed 7 November 2019]</w:t>
      </w:r>
    </w:p>
  </w:footnote>
  <w:footnote w:id="6">
    <w:p w14:paraId="695E2FFB" w14:textId="2B36E861" w:rsidR="000B2001" w:rsidRPr="00974311" w:rsidRDefault="000B2001">
      <w:pPr>
        <w:pStyle w:val="FootnoteText"/>
      </w:pPr>
      <w:r>
        <w:rPr>
          <w:rStyle w:val="FootnoteReference"/>
        </w:rPr>
        <w:footnoteRef/>
      </w:r>
      <w:r>
        <w:t xml:space="preserve"> </w:t>
      </w:r>
      <w:r w:rsidR="00974311">
        <w:t xml:space="preserve">Sassoon, </w:t>
      </w:r>
      <w:r w:rsidR="00974311">
        <w:rPr>
          <w:i/>
          <w:iCs/>
        </w:rPr>
        <w:t xml:space="preserve">Memoirs Infantry Officer, </w:t>
      </w:r>
      <w:r w:rsidR="00974311">
        <w:t>P. 8.</w:t>
      </w:r>
    </w:p>
  </w:footnote>
  <w:footnote w:id="7">
    <w:p w14:paraId="68A87C84" w14:textId="4D469611" w:rsidR="000B2001" w:rsidRDefault="000B2001">
      <w:pPr>
        <w:pStyle w:val="FootnoteText"/>
      </w:pPr>
      <w:r>
        <w:rPr>
          <w:rStyle w:val="FootnoteReference"/>
        </w:rPr>
        <w:footnoteRef/>
      </w:r>
      <w:r>
        <w:t xml:space="preserve"> </w:t>
      </w:r>
      <w:r w:rsidR="00974311">
        <w:t>Ibid, P. 8.</w:t>
      </w:r>
    </w:p>
  </w:footnote>
  <w:footnote w:id="8">
    <w:p w14:paraId="0768BFB1" w14:textId="7E7DA014" w:rsidR="00F77956" w:rsidRDefault="00F77956">
      <w:pPr>
        <w:pStyle w:val="FootnoteText"/>
      </w:pPr>
      <w:r>
        <w:rPr>
          <w:rStyle w:val="FootnoteReference"/>
        </w:rPr>
        <w:footnoteRef/>
      </w:r>
      <w:r>
        <w:t xml:space="preserve"> Ibid. P. 9.</w:t>
      </w:r>
    </w:p>
  </w:footnote>
  <w:footnote w:id="9">
    <w:p w14:paraId="00D64862" w14:textId="3ED777A1" w:rsidR="000B2001" w:rsidRDefault="000B2001">
      <w:pPr>
        <w:pStyle w:val="FootnoteText"/>
      </w:pPr>
      <w:r>
        <w:rPr>
          <w:rStyle w:val="FootnoteReference"/>
        </w:rPr>
        <w:footnoteRef/>
      </w:r>
      <w:r>
        <w:t xml:space="preserve"> </w:t>
      </w:r>
      <w:r w:rsidR="00974311">
        <w:t>Ibid. P. 13.</w:t>
      </w:r>
    </w:p>
  </w:footnote>
  <w:footnote w:id="10">
    <w:p w14:paraId="04C448B4" w14:textId="51904B9A" w:rsidR="00974311" w:rsidRPr="006D32E9" w:rsidRDefault="00974311">
      <w:pPr>
        <w:pStyle w:val="FootnoteText"/>
      </w:pPr>
      <w:r>
        <w:rPr>
          <w:rStyle w:val="FootnoteReference"/>
        </w:rPr>
        <w:footnoteRef/>
      </w:r>
      <w:r>
        <w:t xml:space="preserve"> </w:t>
      </w:r>
      <w:r w:rsidR="006D32E9">
        <w:t xml:space="preserve">Robert Graves, </w:t>
      </w:r>
      <w:r w:rsidR="006D32E9">
        <w:rPr>
          <w:i/>
          <w:iCs/>
        </w:rPr>
        <w:t xml:space="preserve">Goodbye to All That </w:t>
      </w:r>
      <w:r w:rsidR="006D32E9">
        <w:t>(London, Penguin Classics, 1929).</w:t>
      </w:r>
    </w:p>
  </w:footnote>
  <w:footnote w:id="11">
    <w:p w14:paraId="32451FC1" w14:textId="114D50CB" w:rsidR="00377F06" w:rsidRDefault="00377F06">
      <w:pPr>
        <w:pStyle w:val="FootnoteText"/>
      </w:pPr>
      <w:r>
        <w:rPr>
          <w:rStyle w:val="FootnoteReference"/>
        </w:rPr>
        <w:footnoteRef/>
      </w:r>
      <w:r>
        <w:t xml:space="preserve"> </w:t>
      </w:r>
      <w:r w:rsidR="006D32E9">
        <w:t xml:space="preserve">Sassoon, </w:t>
      </w:r>
      <w:r w:rsidR="006D32E9">
        <w:rPr>
          <w:i/>
          <w:iCs/>
        </w:rPr>
        <w:t xml:space="preserve">Memoirs Infantry Officer, </w:t>
      </w:r>
      <w:r w:rsidR="006D32E9">
        <w:t>P. 19.</w:t>
      </w:r>
    </w:p>
  </w:footnote>
  <w:footnote w:id="12">
    <w:p w14:paraId="16877F4D" w14:textId="1F418530" w:rsidR="000B2001" w:rsidRDefault="000B2001">
      <w:pPr>
        <w:pStyle w:val="FootnoteText"/>
      </w:pPr>
      <w:r>
        <w:rPr>
          <w:rStyle w:val="FootnoteReference"/>
        </w:rPr>
        <w:footnoteRef/>
      </w:r>
      <w:r>
        <w:t xml:space="preserve"> </w:t>
      </w:r>
      <w:r w:rsidR="006D32E9">
        <w:t>Ibid. P. 67.</w:t>
      </w:r>
    </w:p>
  </w:footnote>
  <w:footnote w:id="13">
    <w:p w14:paraId="6BEA5E91" w14:textId="77777777" w:rsidR="00AF7F1E" w:rsidRDefault="00AF7F1E" w:rsidP="00AF7F1E">
      <w:pPr>
        <w:pStyle w:val="FootnoteText"/>
      </w:pPr>
      <w:r>
        <w:rPr>
          <w:rStyle w:val="FootnoteReference"/>
        </w:rPr>
        <w:footnoteRef/>
      </w:r>
      <w:r>
        <w:t xml:space="preserve"> British Library, ‘Daddy, what did you do in the Great War?, a British recruitment poster’, </w:t>
      </w:r>
      <w:r>
        <w:rPr>
          <w:i/>
          <w:iCs/>
        </w:rPr>
        <w:t xml:space="preserve">bl.uk </w:t>
      </w:r>
      <w:hyperlink r:id="rId4" w:history="1">
        <w:r w:rsidRPr="001371DE">
          <w:rPr>
            <w:rStyle w:val="Hyperlink"/>
          </w:rPr>
          <w:t>https://www.bl.uk/collection-items/daddy-what-did-you-do-in-great-war</w:t>
        </w:r>
      </w:hyperlink>
      <w:r>
        <w:t xml:space="preserve"> [Accessed 13 November 2019].</w:t>
      </w:r>
    </w:p>
  </w:footnote>
  <w:footnote w:id="14">
    <w:p w14:paraId="193AD471" w14:textId="77777777" w:rsidR="00AF7F1E" w:rsidRDefault="00AF7F1E" w:rsidP="00AF7F1E">
      <w:pPr>
        <w:pStyle w:val="FootnoteText"/>
      </w:pPr>
      <w:r>
        <w:rPr>
          <w:rStyle w:val="FootnoteReference"/>
        </w:rPr>
        <w:footnoteRef/>
      </w:r>
      <w:r>
        <w:t xml:space="preserve"> Ibid</w:t>
      </w:r>
    </w:p>
  </w:footnote>
  <w:footnote w:id="15">
    <w:p w14:paraId="00F4BEF5" w14:textId="77777777" w:rsidR="00AF7F1E" w:rsidRDefault="00AF7F1E" w:rsidP="00AF7F1E">
      <w:pPr>
        <w:pStyle w:val="FootnoteText"/>
      </w:pPr>
      <w:r>
        <w:rPr>
          <w:rStyle w:val="FootnoteReference"/>
        </w:rPr>
        <w:footnoteRef/>
      </w:r>
      <w:r>
        <w:t xml:space="preserve"> World Digital Library, ‘Daddy, What Did You Do in the Great War?’, wdl.org, </w:t>
      </w:r>
      <w:hyperlink r:id="rId5" w:history="1">
        <w:r w:rsidRPr="001371DE">
          <w:rPr>
            <w:rStyle w:val="Hyperlink"/>
          </w:rPr>
          <w:t>https://www.wdl.org/en/item/4560/</w:t>
        </w:r>
      </w:hyperlink>
      <w:r>
        <w:t xml:space="preserve"> [Accessed 13 November 2019].</w:t>
      </w:r>
    </w:p>
  </w:footnote>
  <w:footnote w:id="16">
    <w:p w14:paraId="484E708E" w14:textId="77777777" w:rsidR="00AF7F1E" w:rsidRDefault="00AF7F1E" w:rsidP="00AF7F1E">
      <w:pPr>
        <w:pStyle w:val="FootnoteText"/>
      </w:pPr>
      <w:r>
        <w:rPr>
          <w:rStyle w:val="FootnoteReference"/>
        </w:rPr>
        <w:footnoteRef/>
      </w:r>
      <w:r>
        <w:t xml:space="preserve"> British Library, ‘Propaganda as a weapon? Influencing international opinion’, </w:t>
      </w:r>
      <w:r>
        <w:rPr>
          <w:i/>
          <w:iCs/>
        </w:rPr>
        <w:t xml:space="preserve">bl.uk, </w:t>
      </w:r>
      <w:hyperlink r:id="rId6" w:history="1">
        <w:r w:rsidRPr="001371DE">
          <w:rPr>
            <w:rStyle w:val="Hyperlink"/>
          </w:rPr>
          <w:t>https://www.bl.uk/world-war-one/articles/propaganda-as-a-weapon</w:t>
        </w:r>
      </w:hyperlink>
      <w:r>
        <w:t xml:space="preserve"> [Accessed 12 November 2019]</w:t>
      </w:r>
    </w:p>
  </w:footnote>
  <w:footnote w:id="17">
    <w:p w14:paraId="0440D03B" w14:textId="77777777" w:rsidR="00AF7F1E" w:rsidRDefault="00AF7F1E" w:rsidP="00AF7F1E">
      <w:pPr>
        <w:pStyle w:val="FootnoteText"/>
      </w:pPr>
      <w:r>
        <w:rPr>
          <w:rStyle w:val="FootnoteReference"/>
        </w:rPr>
        <w:footnoteRef/>
      </w:r>
      <w:r>
        <w:t xml:space="preserve"> Library of Congress, ‘Dein Vaterland ist in Gefahr, melde dich!’, </w:t>
      </w:r>
      <w:r>
        <w:rPr>
          <w:i/>
          <w:iCs/>
        </w:rPr>
        <w:t xml:space="preserve">loc.gov </w:t>
      </w:r>
      <w:hyperlink r:id="rId7" w:history="1">
        <w:r w:rsidRPr="001371DE">
          <w:rPr>
            <w:rStyle w:val="Hyperlink"/>
          </w:rPr>
          <w:t>http://www.loc.gov/pictures/item/2006680285/</w:t>
        </w:r>
      </w:hyperlink>
      <w:r>
        <w:t xml:space="preserve"> [Accessed 12 November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5BA"/>
    <w:rsid w:val="000B2001"/>
    <w:rsid w:val="001D50D5"/>
    <w:rsid w:val="00240061"/>
    <w:rsid w:val="002D238B"/>
    <w:rsid w:val="00377F06"/>
    <w:rsid w:val="00393917"/>
    <w:rsid w:val="003A1EB8"/>
    <w:rsid w:val="003E00BE"/>
    <w:rsid w:val="005228E3"/>
    <w:rsid w:val="00527C71"/>
    <w:rsid w:val="00664FF6"/>
    <w:rsid w:val="006D32E9"/>
    <w:rsid w:val="006F3734"/>
    <w:rsid w:val="007B279A"/>
    <w:rsid w:val="007C1B94"/>
    <w:rsid w:val="009565BA"/>
    <w:rsid w:val="00974311"/>
    <w:rsid w:val="00AF7F1E"/>
    <w:rsid w:val="00B25A03"/>
    <w:rsid w:val="00B7599D"/>
    <w:rsid w:val="00B94AD6"/>
    <w:rsid w:val="00BC7061"/>
    <w:rsid w:val="00C65AE8"/>
    <w:rsid w:val="00CD23F7"/>
    <w:rsid w:val="00F77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D0748"/>
  <w15:chartTrackingRefBased/>
  <w15:docId w15:val="{6A4A2F8C-8FD9-4AAC-83DF-6CCEC0034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65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0B20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2001"/>
    <w:rPr>
      <w:sz w:val="20"/>
      <w:szCs w:val="20"/>
    </w:rPr>
  </w:style>
  <w:style w:type="character" w:styleId="FootnoteReference">
    <w:name w:val="footnote reference"/>
    <w:basedOn w:val="DefaultParagraphFont"/>
    <w:uiPriority w:val="99"/>
    <w:semiHidden/>
    <w:unhideWhenUsed/>
    <w:rsid w:val="000B2001"/>
    <w:rPr>
      <w:vertAlign w:val="superscript"/>
    </w:rPr>
  </w:style>
  <w:style w:type="character" w:styleId="Hyperlink">
    <w:name w:val="Hyperlink"/>
    <w:basedOn w:val="DefaultParagraphFont"/>
    <w:uiPriority w:val="99"/>
    <w:unhideWhenUsed/>
    <w:rsid w:val="001D50D5"/>
    <w:rPr>
      <w:color w:val="0000FF"/>
      <w:u w:val="single"/>
    </w:rPr>
  </w:style>
  <w:style w:type="character" w:styleId="UnresolvedMention">
    <w:name w:val="Unresolved Mention"/>
    <w:basedOn w:val="DefaultParagraphFont"/>
    <w:uiPriority w:val="99"/>
    <w:semiHidden/>
    <w:unhideWhenUsed/>
    <w:rsid w:val="001D50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729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arts-entertainment/books/reviews/siegfried-sassoon-the-journey-from-the-trenches-1918-1967-by-jean-moorcroft-wilson-98988.html" TargetMode="External"/><Relationship Id="rId13" Type="http://schemas.openxmlformats.org/officeDocument/2006/relationships/hyperlink" Target="https://www.wdl.org/en/item/4560/" TargetMode="External"/><Relationship Id="rId3" Type="http://schemas.openxmlformats.org/officeDocument/2006/relationships/settings" Target="settings.xml"/><Relationship Id="rId7" Type="http://schemas.openxmlformats.org/officeDocument/2006/relationships/hyperlink" Target="http://www.bbc.co.uk/history/historic_figures/sassoon_siegfried.shtml" TargetMode="External"/><Relationship Id="rId12" Type="http://schemas.openxmlformats.org/officeDocument/2006/relationships/hyperlink" Target="https://www.nam.ac.uk/explore/commonwealth-and-first-world-wa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loc.gov/pictures/item/200668028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l.uk/world-war-one/articles/propaganda-as-a-weapon" TargetMode="External"/><Relationship Id="rId4" Type="http://schemas.openxmlformats.org/officeDocument/2006/relationships/webSettings" Target="webSettings.xml"/><Relationship Id="rId9" Type="http://schemas.openxmlformats.org/officeDocument/2006/relationships/hyperlink" Target="https://www.bl.uk/collection-items/daddy-what-did-you-do-in-great-war"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independent.co.uk/arts-entertainment/books/reviews/siegfried-sassoon-the-journey-from-the-trenches-1918-1967-by-jean-moorcroft-wilson-98988.html" TargetMode="External"/><Relationship Id="rId7" Type="http://schemas.openxmlformats.org/officeDocument/2006/relationships/hyperlink" Target="http://www.loc.gov/pictures/item/2006680285/" TargetMode="External"/><Relationship Id="rId2" Type="http://schemas.openxmlformats.org/officeDocument/2006/relationships/hyperlink" Target="http://www.bbc.co.uk/history/historic_figures/sassoon_siegfried.shtml" TargetMode="External"/><Relationship Id="rId1" Type="http://schemas.openxmlformats.org/officeDocument/2006/relationships/hyperlink" Target="https://www.independent.co.uk/arts-entertainment/books/reviews/siegfried-sassoon-the-journey-from-the-trenches-1918-1967-by-jean-moorcroft-wilson-98988.html" TargetMode="External"/><Relationship Id="rId6" Type="http://schemas.openxmlformats.org/officeDocument/2006/relationships/hyperlink" Target="https://www.bl.uk/world-war-one/articles/propaganda-as-a-weapon" TargetMode="External"/><Relationship Id="rId5" Type="http://schemas.openxmlformats.org/officeDocument/2006/relationships/hyperlink" Target="https://www.wdl.org/en/item/4560/" TargetMode="External"/><Relationship Id="rId4" Type="http://schemas.openxmlformats.org/officeDocument/2006/relationships/hyperlink" Target="https://www.bl.uk/collection-items/daddy-what-did-you-do-in-great-w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9A447C2-6F4A-4C9B-8D8F-0F9F10CF0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2509</Words>
  <Characters>14304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6</cp:revision>
  <dcterms:created xsi:type="dcterms:W3CDTF">2019-11-20T13:30:00Z</dcterms:created>
  <dcterms:modified xsi:type="dcterms:W3CDTF">2019-11-22T14:13:00Z</dcterms:modified>
</cp:coreProperties>
</file>