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0F1E5B" w14:textId="77777777" w:rsidR="00284B2C" w:rsidRPr="00A05552" w:rsidRDefault="00284B2C" w:rsidP="00284B2C">
      <w:pPr>
        <w:spacing w:line="276" w:lineRule="auto"/>
        <w:jc w:val="left"/>
        <w:rPr>
          <w:rFonts w:ascii="Arial" w:hAnsi="Arial" w:cs="Arial"/>
        </w:rPr>
      </w:pPr>
      <w:bookmarkStart w:id="0" w:name="_Toc217247559"/>
    </w:p>
    <w:p w14:paraId="760C2D8C" w14:textId="77777777" w:rsidR="00284B2C" w:rsidRPr="00A05552" w:rsidRDefault="00284B2C" w:rsidP="00284B2C">
      <w:pPr>
        <w:spacing w:line="276" w:lineRule="auto"/>
        <w:jc w:val="left"/>
        <w:rPr>
          <w:rFonts w:ascii="Arial" w:hAnsi="Arial" w:cs="Arial"/>
        </w:rPr>
      </w:pPr>
    </w:p>
    <w:p w14:paraId="4C3C3F4F" w14:textId="77777777" w:rsidR="00284B2C" w:rsidRPr="00A05552" w:rsidRDefault="00284B2C" w:rsidP="00284B2C">
      <w:pPr>
        <w:rPr>
          <w:rFonts w:ascii="Arial" w:hAnsi="Arial" w:cs="Arial"/>
        </w:rPr>
      </w:pPr>
      <w:r w:rsidRPr="00A05552">
        <w:rPr>
          <w:rFonts w:ascii="Arial" w:hAnsi="Arial" w:cs="Arial"/>
          <w:noProof/>
          <w:lang w:val="en-US"/>
        </w:rPr>
        <w:drawing>
          <wp:anchor distT="0" distB="0" distL="114300" distR="114300" simplePos="0" relativeHeight="251659264" behindDoc="0" locked="0" layoutInCell="1" allowOverlap="1" wp14:anchorId="1F1D927B" wp14:editId="4C894DA7">
            <wp:simplePos x="0" y="0"/>
            <wp:positionH relativeFrom="column">
              <wp:posOffset>885825</wp:posOffset>
            </wp:positionH>
            <wp:positionV relativeFrom="page">
              <wp:posOffset>542925</wp:posOffset>
            </wp:positionV>
            <wp:extent cx="3838575" cy="1535430"/>
            <wp:effectExtent l="0" t="0" r="9525" b="7620"/>
            <wp:wrapNone/>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575" cy="1535430"/>
                    </a:xfrm>
                    <a:prstGeom prst="rect">
                      <a:avLst/>
                    </a:prstGeom>
                    <a:noFill/>
                  </pic:spPr>
                </pic:pic>
              </a:graphicData>
            </a:graphic>
          </wp:anchor>
        </w:drawing>
      </w:r>
    </w:p>
    <w:p w14:paraId="3E559663" w14:textId="77777777" w:rsidR="00284B2C" w:rsidRPr="00A05552" w:rsidRDefault="00284B2C" w:rsidP="00284B2C">
      <w:pPr>
        <w:rPr>
          <w:rFonts w:ascii="Arial" w:hAnsi="Arial" w:cs="Arial"/>
          <w:b/>
          <w:i/>
          <w:sz w:val="32"/>
          <w:szCs w:val="28"/>
        </w:rPr>
      </w:pPr>
    </w:p>
    <w:p w14:paraId="747721E3" w14:textId="760A1C8F" w:rsidR="00284B2C" w:rsidRPr="00A05552" w:rsidRDefault="00284B2C" w:rsidP="00284B2C">
      <w:pPr>
        <w:jc w:val="center"/>
        <w:rPr>
          <w:rFonts w:ascii="Arial" w:hAnsi="Arial" w:cs="Arial"/>
          <w:b/>
          <w:bCs/>
          <w:sz w:val="32"/>
        </w:rPr>
      </w:pPr>
      <w:r w:rsidRPr="00A05552">
        <w:rPr>
          <w:rFonts w:ascii="Arial" w:hAnsi="Arial" w:cs="Arial"/>
          <w:b/>
          <w:i/>
          <w:sz w:val="32"/>
        </w:rPr>
        <w:t>Financial Management</w:t>
      </w:r>
    </w:p>
    <w:p w14:paraId="195BFE13" w14:textId="77777777" w:rsidR="00284B2C" w:rsidRPr="00A05552" w:rsidRDefault="00284B2C" w:rsidP="00284B2C">
      <w:pPr>
        <w:rPr>
          <w:rFonts w:ascii="Arial" w:hAnsi="Arial" w:cs="Arial"/>
          <w:b/>
        </w:rPr>
      </w:pPr>
    </w:p>
    <w:p w14:paraId="792ED513" w14:textId="77777777" w:rsidR="00284B2C" w:rsidRPr="00A05552" w:rsidRDefault="00284B2C" w:rsidP="00284B2C">
      <w:pPr>
        <w:rPr>
          <w:rFonts w:ascii="Arial" w:hAnsi="Arial" w:cs="Arial"/>
          <w:b/>
        </w:rPr>
      </w:pPr>
      <w:r w:rsidRPr="00A05552">
        <w:rPr>
          <w:rFonts w:ascii="Arial" w:hAnsi="Arial" w:cs="Arial"/>
          <w:b/>
        </w:rPr>
        <w:t>Programme: Master of Business Administration</w:t>
      </w:r>
    </w:p>
    <w:p w14:paraId="14B12042" w14:textId="77777777" w:rsidR="00284B2C" w:rsidRPr="00A05552" w:rsidRDefault="00284B2C" w:rsidP="00284B2C">
      <w:pPr>
        <w:rPr>
          <w:rFonts w:ascii="Arial" w:hAnsi="Arial" w:cs="Arial"/>
          <w:b/>
        </w:rPr>
      </w:pPr>
      <w:r w:rsidRPr="00A05552">
        <w:rPr>
          <w:rFonts w:ascii="Arial" w:hAnsi="Arial" w:cs="Arial"/>
          <w:b/>
        </w:rPr>
        <w:t xml:space="preserve">Student Name: </w:t>
      </w:r>
      <w:proofErr w:type="spellStart"/>
      <w:r w:rsidRPr="00A05552">
        <w:rPr>
          <w:rFonts w:ascii="Arial" w:hAnsi="Arial" w:cs="Arial"/>
          <w:b/>
        </w:rPr>
        <w:t>Merajur</w:t>
      </w:r>
      <w:proofErr w:type="spellEnd"/>
      <w:r w:rsidRPr="00A05552">
        <w:rPr>
          <w:rFonts w:ascii="Arial" w:hAnsi="Arial" w:cs="Arial"/>
          <w:b/>
        </w:rPr>
        <w:t xml:space="preserve"> </w:t>
      </w:r>
      <w:proofErr w:type="spellStart"/>
      <w:r w:rsidRPr="00A05552">
        <w:rPr>
          <w:rFonts w:ascii="Arial" w:hAnsi="Arial" w:cs="Arial"/>
          <w:b/>
        </w:rPr>
        <w:t>Rahaman</w:t>
      </w:r>
      <w:proofErr w:type="spellEnd"/>
      <w:r w:rsidRPr="00A05552">
        <w:rPr>
          <w:rFonts w:ascii="Arial" w:hAnsi="Arial" w:cs="Arial"/>
          <w:b/>
        </w:rPr>
        <w:t xml:space="preserve"> Wahid</w:t>
      </w:r>
    </w:p>
    <w:p w14:paraId="6A2F3C3F" w14:textId="77777777" w:rsidR="00284B2C" w:rsidRPr="00A05552" w:rsidRDefault="00284B2C" w:rsidP="00284B2C">
      <w:pPr>
        <w:rPr>
          <w:rFonts w:ascii="Arial" w:hAnsi="Arial" w:cs="Arial"/>
          <w:b/>
        </w:rPr>
      </w:pPr>
      <w:r w:rsidRPr="00A05552">
        <w:rPr>
          <w:rFonts w:ascii="Arial" w:hAnsi="Arial" w:cs="Arial"/>
          <w:b/>
        </w:rPr>
        <w:t>Student ID: 2505508</w:t>
      </w:r>
    </w:p>
    <w:p w14:paraId="31272689" w14:textId="77777777" w:rsidR="00284B2C" w:rsidRPr="00A05552" w:rsidRDefault="00284B2C" w:rsidP="00284B2C">
      <w:pPr>
        <w:rPr>
          <w:rFonts w:ascii="Arial" w:hAnsi="Arial" w:cs="Arial"/>
          <w:b/>
          <w:i/>
        </w:rPr>
      </w:pPr>
      <w:r w:rsidRPr="00A05552">
        <w:rPr>
          <w:rFonts w:ascii="Arial" w:hAnsi="Arial" w:cs="Arial"/>
          <w:b/>
        </w:rPr>
        <w:t xml:space="preserve">Module Name: </w:t>
      </w:r>
      <w:r w:rsidRPr="00A05552">
        <w:rPr>
          <w:rFonts w:ascii="Arial" w:hAnsi="Arial" w:cs="Arial"/>
          <w:b/>
          <w:i/>
        </w:rPr>
        <w:t>Marketing Management</w:t>
      </w:r>
    </w:p>
    <w:p w14:paraId="45FE33F4" w14:textId="19DFD167" w:rsidR="00284B2C" w:rsidRPr="00A05552" w:rsidRDefault="00284B2C" w:rsidP="00284B2C">
      <w:pPr>
        <w:rPr>
          <w:rFonts w:ascii="Arial" w:hAnsi="Arial" w:cs="Arial"/>
          <w:b/>
        </w:rPr>
      </w:pPr>
      <w:r w:rsidRPr="00A05552">
        <w:rPr>
          <w:rFonts w:ascii="Arial" w:hAnsi="Arial" w:cs="Arial"/>
          <w:b/>
        </w:rPr>
        <w:t xml:space="preserve">Module Code: LCMB7002 </w:t>
      </w:r>
    </w:p>
    <w:p w14:paraId="441BFDD8" w14:textId="3C6F61B6" w:rsidR="00284B2C" w:rsidRPr="00A05552" w:rsidRDefault="00284B2C" w:rsidP="00284B2C">
      <w:pPr>
        <w:rPr>
          <w:rFonts w:ascii="Arial" w:hAnsi="Arial" w:cs="Arial"/>
          <w:b/>
        </w:rPr>
      </w:pPr>
      <w:r w:rsidRPr="00A05552">
        <w:rPr>
          <w:rFonts w:ascii="Arial" w:hAnsi="Arial" w:cs="Arial"/>
          <w:b/>
        </w:rPr>
        <w:t xml:space="preserve">Lecturer Name: </w:t>
      </w:r>
      <w:proofErr w:type="spellStart"/>
      <w:r w:rsidR="0054235C" w:rsidRPr="00A05552">
        <w:rPr>
          <w:rFonts w:ascii="Arial" w:hAnsi="Arial" w:cs="Arial"/>
          <w:b/>
          <w:bCs/>
          <w:i/>
          <w:szCs w:val="20"/>
        </w:rPr>
        <w:t>Shengfeng</w:t>
      </w:r>
      <w:proofErr w:type="spellEnd"/>
      <w:r w:rsidR="0054235C" w:rsidRPr="00A05552">
        <w:rPr>
          <w:rFonts w:ascii="Arial" w:hAnsi="Arial" w:cs="Arial"/>
          <w:b/>
          <w:bCs/>
          <w:i/>
          <w:szCs w:val="20"/>
        </w:rPr>
        <w:t xml:space="preserve"> Mei</w:t>
      </w:r>
    </w:p>
    <w:p w14:paraId="00E61805" w14:textId="597603EB" w:rsidR="00284B2C" w:rsidRPr="00A05552" w:rsidRDefault="00284B2C" w:rsidP="00284B2C">
      <w:pPr>
        <w:rPr>
          <w:rFonts w:ascii="Arial" w:hAnsi="Arial" w:cs="Arial"/>
          <w:b/>
        </w:rPr>
      </w:pPr>
      <w:r w:rsidRPr="00A05552">
        <w:rPr>
          <w:rFonts w:ascii="Arial" w:hAnsi="Arial" w:cs="Arial"/>
          <w:b/>
        </w:rPr>
        <w:t>Word Count:</w:t>
      </w:r>
      <w:r w:rsidR="00C01280" w:rsidRPr="00A05552">
        <w:rPr>
          <w:rFonts w:ascii="Arial" w:hAnsi="Arial" w:cs="Arial"/>
          <w:b/>
        </w:rPr>
        <w:t xml:space="preserve"> 5350</w:t>
      </w:r>
    </w:p>
    <w:p w14:paraId="16343569" w14:textId="77777777" w:rsidR="00284B2C" w:rsidRPr="00A05552" w:rsidRDefault="00284B2C" w:rsidP="00284B2C">
      <w:pPr>
        <w:rPr>
          <w:rFonts w:ascii="Arial" w:hAnsi="Arial" w:cs="Arial"/>
          <w:b/>
        </w:rPr>
      </w:pPr>
    </w:p>
    <w:p w14:paraId="66AD3EFB" w14:textId="77777777" w:rsidR="00EF1834" w:rsidRPr="00A05552" w:rsidRDefault="00EF1834">
      <w:pPr>
        <w:spacing w:line="259" w:lineRule="auto"/>
        <w:jc w:val="left"/>
        <w:rPr>
          <w:rFonts w:ascii="Arial" w:hAnsi="Arial" w:cs="Arial"/>
          <w:b/>
        </w:rPr>
      </w:pPr>
    </w:p>
    <w:p w14:paraId="6E153E0D" w14:textId="77777777" w:rsidR="00C01280" w:rsidRPr="00A05552" w:rsidRDefault="00C01280">
      <w:pPr>
        <w:spacing w:line="259" w:lineRule="auto"/>
        <w:jc w:val="left"/>
        <w:rPr>
          <w:rFonts w:ascii="Arial" w:hAnsi="Arial" w:cs="Arial"/>
          <w:b/>
        </w:rPr>
      </w:pPr>
    </w:p>
    <w:p w14:paraId="3FFA5C01" w14:textId="77777777" w:rsidR="00C01280" w:rsidRPr="00A05552" w:rsidRDefault="00C01280">
      <w:pPr>
        <w:spacing w:line="259" w:lineRule="auto"/>
        <w:jc w:val="left"/>
        <w:rPr>
          <w:rFonts w:ascii="Arial" w:hAnsi="Arial" w:cs="Arial"/>
          <w:b/>
        </w:rPr>
      </w:pPr>
    </w:p>
    <w:p w14:paraId="28E86EA3" w14:textId="77777777" w:rsidR="00EF1834" w:rsidRPr="00A05552" w:rsidRDefault="00EF1834">
      <w:pPr>
        <w:spacing w:line="259" w:lineRule="auto"/>
        <w:jc w:val="left"/>
        <w:rPr>
          <w:rFonts w:ascii="Arial" w:hAnsi="Arial" w:cs="Arial"/>
          <w:b/>
        </w:rPr>
      </w:pPr>
    </w:p>
    <w:p w14:paraId="62D56D92" w14:textId="77777777" w:rsidR="00EF1834" w:rsidRDefault="00EF1834">
      <w:pPr>
        <w:spacing w:line="259" w:lineRule="auto"/>
        <w:jc w:val="left"/>
        <w:rPr>
          <w:rFonts w:ascii="Arial" w:hAnsi="Arial" w:cs="Arial"/>
          <w:b/>
        </w:rPr>
      </w:pPr>
    </w:p>
    <w:p w14:paraId="5479CEA7" w14:textId="77777777" w:rsidR="00A05552" w:rsidRDefault="00A05552">
      <w:pPr>
        <w:spacing w:line="259" w:lineRule="auto"/>
        <w:jc w:val="left"/>
        <w:rPr>
          <w:rFonts w:ascii="Arial" w:hAnsi="Arial" w:cs="Arial"/>
          <w:b/>
        </w:rPr>
      </w:pPr>
    </w:p>
    <w:p w14:paraId="5FF9B77B" w14:textId="77777777" w:rsidR="00A05552" w:rsidRPr="00A05552" w:rsidRDefault="00A05552">
      <w:pPr>
        <w:spacing w:line="259" w:lineRule="auto"/>
        <w:jc w:val="left"/>
        <w:rPr>
          <w:rFonts w:ascii="Arial" w:hAnsi="Arial" w:cs="Arial"/>
          <w:b/>
        </w:rPr>
      </w:pPr>
    </w:p>
    <w:p w14:paraId="79815134" w14:textId="77777777" w:rsidR="00EF1834" w:rsidRPr="00A05552" w:rsidRDefault="00EF1834">
      <w:pPr>
        <w:spacing w:line="259" w:lineRule="auto"/>
        <w:jc w:val="left"/>
        <w:rPr>
          <w:rFonts w:ascii="Arial" w:hAnsi="Arial" w:cs="Arial"/>
          <w:b/>
        </w:rPr>
      </w:pPr>
    </w:p>
    <w:p w14:paraId="1531BCB2" w14:textId="04469571" w:rsidR="002E60CC" w:rsidRPr="00A05552" w:rsidRDefault="00EF1834" w:rsidP="00C01280">
      <w:pPr>
        <w:spacing w:line="259" w:lineRule="auto"/>
        <w:jc w:val="center"/>
        <w:rPr>
          <w:rFonts w:ascii="Arial" w:hAnsi="Arial" w:cs="Arial"/>
        </w:rPr>
      </w:pPr>
      <w:r w:rsidRPr="00A05552">
        <w:rPr>
          <w:rFonts w:ascii="Arial" w:hAnsi="Arial" w:cs="Arial"/>
          <w:b/>
        </w:rPr>
        <w:t>Date of submission:</w:t>
      </w:r>
      <w:r w:rsidR="00427895" w:rsidRPr="00A05552">
        <w:rPr>
          <w:rFonts w:ascii="Arial" w:hAnsi="Arial" w:cs="Arial"/>
          <w:b/>
        </w:rPr>
        <w:t xml:space="preserve"> </w:t>
      </w:r>
      <w:r w:rsidR="00C01280" w:rsidRPr="00A05552">
        <w:rPr>
          <w:rFonts w:ascii="Arial" w:hAnsi="Arial" w:cs="Arial"/>
        </w:rPr>
        <w:t xml:space="preserve"> 22nd December 2025</w:t>
      </w:r>
    </w:p>
    <w:p w14:paraId="6038C66A" w14:textId="130E4C85" w:rsidR="00EF1834" w:rsidRPr="00A05552" w:rsidRDefault="00EF1834">
      <w:pPr>
        <w:spacing w:line="259" w:lineRule="auto"/>
        <w:jc w:val="left"/>
        <w:rPr>
          <w:rFonts w:ascii="Arial" w:hAnsi="Arial" w:cs="Arial"/>
        </w:rPr>
      </w:pPr>
    </w:p>
    <w:p w14:paraId="39D70594" w14:textId="5A39B7A5" w:rsidR="00A77CB4" w:rsidRPr="00A05552" w:rsidRDefault="00A77CB4" w:rsidP="00EF1834">
      <w:pPr>
        <w:jc w:val="center"/>
        <w:rPr>
          <w:rFonts w:ascii="Arial" w:hAnsi="Arial" w:cs="Arial"/>
          <w:b/>
          <w:sz w:val="36"/>
        </w:rPr>
      </w:pPr>
      <w:r w:rsidRPr="00A05552">
        <w:rPr>
          <w:rFonts w:ascii="Arial" w:hAnsi="Arial" w:cs="Arial"/>
          <w:b/>
          <w:sz w:val="36"/>
        </w:rPr>
        <w:lastRenderedPageBreak/>
        <w:t>Executive summary</w:t>
      </w:r>
      <w:bookmarkEnd w:id="0"/>
    </w:p>
    <w:p w14:paraId="00E44938" w14:textId="2D49DA1A" w:rsidR="00A77CB4" w:rsidRPr="00A05552" w:rsidRDefault="00A77CB4" w:rsidP="00A77CB4">
      <w:pPr>
        <w:rPr>
          <w:rFonts w:ascii="Arial" w:hAnsi="Arial" w:cs="Arial"/>
        </w:rPr>
      </w:pPr>
      <w:r w:rsidRPr="00A05552">
        <w:rPr>
          <w:rFonts w:ascii="Arial" w:hAnsi="Arial" w:cs="Arial"/>
        </w:rPr>
        <w:t>This report is an analysis of the financial and strategic recovery opportu</w:t>
      </w:r>
      <w:r w:rsidR="00063C75" w:rsidRPr="00A05552">
        <w:rPr>
          <w:rFonts w:ascii="Arial" w:hAnsi="Arial" w:cs="Arial"/>
        </w:rPr>
        <w:t xml:space="preserve">nities of General Electronics for the </w:t>
      </w:r>
      <w:r w:rsidRPr="00A05552">
        <w:rPr>
          <w:rFonts w:ascii="Arial" w:hAnsi="Arial" w:cs="Arial"/>
        </w:rPr>
        <w:t>five years (2020 to 2024). The financial health analysis reveals that there is a marked decline in profitability, and operating and net losses are expected in 2023 and 2024. There is a weak liquidity since the current assets have decreased more rapidly than the current liabilities leaving decreased working capital room. The efficiency ratios indicate that there is an expansion of its receivable days and a lengthy cash conversion cycle, which is an indicator of cash flow tensions. There is an increase in gearing as equity was eroded because of accumulated losses and negative interest coverage. The Altman Z-Score fell into the grey range, which suggests that it has a high risk of financial distress.</w:t>
      </w:r>
    </w:p>
    <w:p w14:paraId="48958820" w14:textId="5B7B1582" w:rsidR="00A77CB4" w:rsidRPr="00A05552" w:rsidRDefault="00A77CB4" w:rsidP="00A77CB4">
      <w:pPr>
        <w:rPr>
          <w:rFonts w:ascii="Arial" w:hAnsi="Arial" w:cs="Arial"/>
        </w:rPr>
      </w:pPr>
      <w:r w:rsidRPr="00A05552">
        <w:rPr>
          <w:rFonts w:ascii="Arial" w:hAnsi="Arial" w:cs="Arial"/>
        </w:rPr>
        <w:t>Working capital analysis indicates that a reduction in cash cycle should be done by tightening the credit control, making specific inventory cuts and extending the payable terms and conditions. Some of the strategic restructuring alternatives that have been evaluated are the sale of assets, debt financing, injection of equity and possible merger of the firm to recover its solvency and flexibility in operation. Capital budgeting analysis compared three investment projects under a £60m constraint using Payback, ARR, NPV, PI and IRR. Project C generated the highest value-generation profile, and Projects A and B had a marginal or negative returns.</w:t>
      </w:r>
    </w:p>
    <w:p w14:paraId="2A04C8BB" w14:textId="3A6B487F" w:rsidR="00A77CB4" w:rsidRPr="00A05552" w:rsidRDefault="00A77CB4" w:rsidP="00A77CB4">
      <w:pPr>
        <w:rPr>
          <w:rFonts w:ascii="Arial" w:hAnsi="Arial" w:cs="Arial"/>
        </w:rPr>
      </w:pPr>
      <w:r w:rsidRPr="00A05552">
        <w:rPr>
          <w:rFonts w:ascii="Arial" w:hAnsi="Arial" w:cs="Arial"/>
        </w:rPr>
        <w:t>The report concludes that liquidity reinforcement, restructuring and disciplined capital allocation which is cantered on Project C is paramount to turning around the waning financial condition of the company and returning the shareholders’ value.</w:t>
      </w:r>
    </w:p>
    <w:p w14:paraId="165AB04A" w14:textId="77777777" w:rsidR="00A77CB4" w:rsidRPr="00A05552" w:rsidRDefault="00A77CB4">
      <w:pPr>
        <w:spacing w:line="259" w:lineRule="auto"/>
        <w:jc w:val="left"/>
        <w:rPr>
          <w:rFonts w:ascii="Arial" w:eastAsiaTheme="majorEastAsia" w:hAnsi="Arial" w:cs="Arial"/>
          <w:b/>
          <w:sz w:val="32"/>
          <w:szCs w:val="24"/>
        </w:rPr>
      </w:pPr>
      <w:r w:rsidRPr="00A05552">
        <w:rPr>
          <w:rFonts w:ascii="Arial" w:hAnsi="Arial" w:cs="Arial"/>
        </w:rPr>
        <w:br w:type="page"/>
      </w:r>
    </w:p>
    <w:sdt>
      <w:sdtPr>
        <w:rPr>
          <w:rFonts w:ascii="Arial" w:eastAsiaTheme="minorHAnsi" w:hAnsi="Arial"/>
          <w:b/>
          <w:color w:val="auto"/>
          <w:sz w:val="24"/>
          <w:szCs w:val="22"/>
          <w:lang w:val="en-GB"/>
        </w:rPr>
        <w:id w:val="291332388"/>
        <w:docPartObj>
          <w:docPartGallery w:val="Table of Contents"/>
          <w:docPartUnique/>
        </w:docPartObj>
      </w:sdtPr>
      <w:sdtEndPr>
        <w:rPr>
          <w:bCs/>
          <w:noProof/>
        </w:rPr>
      </w:sdtEndPr>
      <w:sdtContent>
        <w:p w14:paraId="2DB89EE6" w14:textId="2C12EB23" w:rsidR="00EF1834" w:rsidRPr="00A05552" w:rsidRDefault="00EF1834" w:rsidP="00EF1834">
          <w:pPr>
            <w:pStyle w:val="TOCHeading"/>
            <w:jc w:val="center"/>
            <w:rPr>
              <w:rFonts w:ascii="Arial" w:hAnsi="Arial"/>
              <w:b/>
            </w:rPr>
          </w:pPr>
          <w:r w:rsidRPr="00A05552">
            <w:rPr>
              <w:rFonts w:ascii="Arial" w:hAnsi="Arial"/>
              <w:b/>
            </w:rPr>
            <w:t>Table of Contents</w:t>
          </w:r>
        </w:p>
        <w:p w14:paraId="0DEFE555" w14:textId="29869E7D" w:rsidR="00EF1834" w:rsidRPr="00A05552" w:rsidRDefault="00EF1834">
          <w:pPr>
            <w:pStyle w:val="TOC1"/>
            <w:tabs>
              <w:tab w:val="right" w:leader="dot" w:pos="9350"/>
            </w:tabs>
            <w:rPr>
              <w:rFonts w:ascii="Arial" w:eastAsiaTheme="minorEastAsia" w:hAnsi="Arial" w:cs="Arial"/>
              <w:noProof/>
              <w:sz w:val="22"/>
              <w:lang w:eastAsia="en-GB"/>
            </w:rPr>
          </w:pPr>
          <w:r w:rsidRPr="00A05552">
            <w:rPr>
              <w:rFonts w:ascii="Arial" w:hAnsi="Arial" w:cs="Arial"/>
            </w:rPr>
            <w:fldChar w:fldCharType="begin"/>
          </w:r>
          <w:r w:rsidRPr="00A05552">
            <w:rPr>
              <w:rFonts w:ascii="Arial" w:hAnsi="Arial" w:cs="Arial"/>
            </w:rPr>
            <w:instrText xml:space="preserve"> TOC \o "1-3" \h \z \u </w:instrText>
          </w:r>
          <w:r w:rsidRPr="00A05552">
            <w:rPr>
              <w:rFonts w:ascii="Arial" w:hAnsi="Arial" w:cs="Arial"/>
            </w:rPr>
            <w:fldChar w:fldCharType="separate"/>
          </w:r>
          <w:hyperlink w:anchor="_Toc217247559" w:history="1">
            <w:r w:rsidRPr="00A05552">
              <w:rPr>
                <w:rStyle w:val="Hyperlink"/>
                <w:rFonts w:ascii="Arial" w:hAnsi="Arial" w:cs="Arial"/>
                <w:noProof/>
              </w:rPr>
              <w:t>Executive summary</w:t>
            </w:r>
            <w:r w:rsidRPr="00A05552">
              <w:rPr>
                <w:rFonts w:ascii="Arial" w:hAnsi="Arial" w:cs="Arial"/>
                <w:noProof/>
                <w:webHidden/>
              </w:rPr>
              <w:tab/>
            </w:r>
            <w:r w:rsidRPr="00A05552">
              <w:rPr>
                <w:rFonts w:ascii="Arial" w:hAnsi="Arial" w:cs="Arial"/>
                <w:noProof/>
                <w:webHidden/>
              </w:rPr>
              <w:fldChar w:fldCharType="begin"/>
            </w:r>
            <w:r w:rsidRPr="00A05552">
              <w:rPr>
                <w:rFonts w:ascii="Arial" w:hAnsi="Arial" w:cs="Arial"/>
                <w:noProof/>
                <w:webHidden/>
              </w:rPr>
              <w:instrText xml:space="preserve"> PAGEREF _Toc217247559 \h </w:instrText>
            </w:r>
            <w:r w:rsidRPr="00A05552">
              <w:rPr>
                <w:rFonts w:ascii="Arial" w:hAnsi="Arial" w:cs="Arial"/>
                <w:noProof/>
                <w:webHidden/>
              </w:rPr>
            </w:r>
            <w:r w:rsidRPr="00A05552">
              <w:rPr>
                <w:rFonts w:ascii="Arial" w:hAnsi="Arial" w:cs="Arial"/>
                <w:noProof/>
                <w:webHidden/>
              </w:rPr>
              <w:fldChar w:fldCharType="separate"/>
            </w:r>
            <w:r w:rsidR="00EE664C">
              <w:rPr>
                <w:rFonts w:ascii="Arial" w:hAnsi="Arial" w:cs="Arial"/>
                <w:noProof/>
                <w:webHidden/>
              </w:rPr>
              <w:t>1</w:t>
            </w:r>
            <w:r w:rsidRPr="00A05552">
              <w:rPr>
                <w:rFonts w:ascii="Arial" w:hAnsi="Arial" w:cs="Arial"/>
                <w:noProof/>
                <w:webHidden/>
              </w:rPr>
              <w:fldChar w:fldCharType="end"/>
            </w:r>
          </w:hyperlink>
        </w:p>
        <w:p w14:paraId="473DB8BB" w14:textId="6AFD7492" w:rsidR="00EF1834" w:rsidRPr="00A05552" w:rsidRDefault="00747714">
          <w:pPr>
            <w:pStyle w:val="TOC1"/>
            <w:tabs>
              <w:tab w:val="right" w:leader="dot" w:pos="9350"/>
            </w:tabs>
            <w:rPr>
              <w:rFonts w:ascii="Arial" w:eastAsiaTheme="minorEastAsia" w:hAnsi="Arial" w:cs="Arial"/>
              <w:noProof/>
              <w:sz w:val="22"/>
              <w:lang w:eastAsia="en-GB"/>
            </w:rPr>
          </w:pPr>
          <w:hyperlink w:anchor="_Toc217247560" w:history="1">
            <w:r w:rsidR="00EF1834" w:rsidRPr="00A05552">
              <w:rPr>
                <w:rStyle w:val="Hyperlink"/>
                <w:rFonts w:ascii="Arial" w:hAnsi="Arial" w:cs="Arial"/>
                <w:noProof/>
              </w:rPr>
              <w:t>1. Introduction</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_Toc217247560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5</w:t>
            </w:r>
            <w:r w:rsidR="00EF1834" w:rsidRPr="00A05552">
              <w:rPr>
                <w:rFonts w:ascii="Arial" w:hAnsi="Arial" w:cs="Arial"/>
                <w:noProof/>
                <w:webHidden/>
              </w:rPr>
              <w:fldChar w:fldCharType="end"/>
            </w:r>
          </w:hyperlink>
        </w:p>
        <w:p w14:paraId="25E4C962" w14:textId="7D7A7156" w:rsidR="00EF1834" w:rsidRPr="00A05552" w:rsidRDefault="00747714">
          <w:pPr>
            <w:pStyle w:val="TOC2"/>
            <w:tabs>
              <w:tab w:val="right" w:leader="dot" w:pos="9350"/>
            </w:tabs>
            <w:rPr>
              <w:rFonts w:ascii="Arial" w:eastAsiaTheme="minorEastAsia" w:hAnsi="Arial" w:cs="Arial"/>
              <w:noProof/>
              <w:sz w:val="22"/>
              <w:lang w:eastAsia="en-GB"/>
            </w:rPr>
          </w:pPr>
          <w:hyperlink w:anchor="_Toc217247561" w:history="1">
            <w:r w:rsidR="00EF1834" w:rsidRPr="00A05552">
              <w:rPr>
                <w:rStyle w:val="Hyperlink"/>
                <w:rFonts w:ascii="Arial" w:hAnsi="Arial" w:cs="Arial"/>
                <w:noProof/>
              </w:rPr>
              <w:t>1.1 Background of General Electronics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_Toc217247561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5</w:t>
            </w:r>
            <w:r w:rsidR="00EF1834" w:rsidRPr="00A05552">
              <w:rPr>
                <w:rFonts w:ascii="Arial" w:hAnsi="Arial" w:cs="Arial"/>
                <w:noProof/>
                <w:webHidden/>
              </w:rPr>
              <w:fldChar w:fldCharType="end"/>
            </w:r>
          </w:hyperlink>
        </w:p>
        <w:p w14:paraId="550E7A36" w14:textId="6FE08DC9" w:rsidR="00EF1834" w:rsidRPr="00A05552" w:rsidRDefault="00747714">
          <w:pPr>
            <w:pStyle w:val="TOC2"/>
            <w:tabs>
              <w:tab w:val="right" w:leader="dot" w:pos="9350"/>
            </w:tabs>
            <w:rPr>
              <w:rFonts w:ascii="Arial" w:eastAsiaTheme="minorEastAsia" w:hAnsi="Arial" w:cs="Arial"/>
              <w:noProof/>
              <w:sz w:val="22"/>
              <w:lang w:eastAsia="en-GB"/>
            </w:rPr>
          </w:pPr>
          <w:hyperlink w:anchor="_Toc217247562" w:history="1">
            <w:r w:rsidR="00EF1834" w:rsidRPr="00A05552">
              <w:rPr>
                <w:rStyle w:val="Hyperlink"/>
                <w:rFonts w:ascii="Arial" w:hAnsi="Arial" w:cs="Arial"/>
                <w:noProof/>
              </w:rPr>
              <w:t>1.2 Purpose of the report</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_Toc217247562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5</w:t>
            </w:r>
            <w:r w:rsidR="00EF1834" w:rsidRPr="00A05552">
              <w:rPr>
                <w:rFonts w:ascii="Arial" w:hAnsi="Arial" w:cs="Arial"/>
                <w:noProof/>
                <w:webHidden/>
              </w:rPr>
              <w:fldChar w:fldCharType="end"/>
            </w:r>
          </w:hyperlink>
        </w:p>
        <w:p w14:paraId="277339A4" w14:textId="446D0D4F" w:rsidR="00EF1834" w:rsidRPr="00A05552" w:rsidRDefault="00747714">
          <w:pPr>
            <w:pStyle w:val="TOC2"/>
            <w:tabs>
              <w:tab w:val="right" w:leader="dot" w:pos="9350"/>
            </w:tabs>
            <w:rPr>
              <w:rFonts w:ascii="Arial" w:eastAsiaTheme="minorEastAsia" w:hAnsi="Arial" w:cs="Arial"/>
              <w:noProof/>
              <w:sz w:val="22"/>
              <w:lang w:eastAsia="en-GB"/>
            </w:rPr>
          </w:pPr>
          <w:hyperlink w:anchor="_Toc217247563" w:history="1">
            <w:r w:rsidR="00EF1834" w:rsidRPr="00A05552">
              <w:rPr>
                <w:rStyle w:val="Hyperlink"/>
                <w:rFonts w:ascii="Arial" w:hAnsi="Arial" w:cs="Arial"/>
                <w:noProof/>
              </w:rPr>
              <w:t>1.3 Source of data and analysis mode.</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_Toc217247563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5</w:t>
            </w:r>
            <w:r w:rsidR="00EF1834" w:rsidRPr="00A05552">
              <w:rPr>
                <w:rFonts w:ascii="Arial" w:hAnsi="Arial" w:cs="Arial"/>
                <w:noProof/>
                <w:webHidden/>
              </w:rPr>
              <w:fldChar w:fldCharType="end"/>
            </w:r>
          </w:hyperlink>
        </w:p>
        <w:p w14:paraId="0A77221F" w14:textId="57E863D1" w:rsidR="00EF1834" w:rsidRPr="00A05552" w:rsidRDefault="00747714">
          <w:pPr>
            <w:pStyle w:val="TOC1"/>
            <w:tabs>
              <w:tab w:val="right" w:leader="dot" w:pos="9350"/>
            </w:tabs>
            <w:rPr>
              <w:rFonts w:ascii="Arial" w:eastAsiaTheme="minorEastAsia" w:hAnsi="Arial" w:cs="Arial"/>
              <w:noProof/>
              <w:sz w:val="22"/>
              <w:lang w:eastAsia="en-GB"/>
            </w:rPr>
          </w:pPr>
          <w:hyperlink w:anchor="_Toc217247564" w:history="1">
            <w:r w:rsidR="00EF1834" w:rsidRPr="00A05552">
              <w:rPr>
                <w:rStyle w:val="Hyperlink"/>
                <w:rFonts w:ascii="Arial" w:hAnsi="Arial" w:cs="Arial"/>
                <w:noProof/>
              </w:rPr>
              <w:t>2. Financial Health Check</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_Toc217247564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6</w:t>
            </w:r>
            <w:r w:rsidR="00EF1834" w:rsidRPr="00A05552">
              <w:rPr>
                <w:rFonts w:ascii="Arial" w:hAnsi="Arial" w:cs="Arial"/>
                <w:noProof/>
                <w:webHidden/>
              </w:rPr>
              <w:fldChar w:fldCharType="end"/>
            </w:r>
          </w:hyperlink>
        </w:p>
        <w:p w14:paraId="1764B510" w14:textId="525264A3" w:rsidR="00EF1834" w:rsidRPr="00A05552" w:rsidRDefault="00747714">
          <w:pPr>
            <w:pStyle w:val="TOC2"/>
            <w:tabs>
              <w:tab w:val="right" w:leader="dot" w:pos="9350"/>
            </w:tabs>
            <w:rPr>
              <w:rFonts w:ascii="Arial" w:eastAsiaTheme="minorEastAsia" w:hAnsi="Arial" w:cs="Arial"/>
              <w:noProof/>
              <w:sz w:val="22"/>
              <w:lang w:eastAsia="en-GB"/>
            </w:rPr>
          </w:pPr>
          <w:hyperlink w:anchor="_Toc217247565" w:history="1">
            <w:r w:rsidR="00EF1834" w:rsidRPr="00A05552">
              <w:rPr>
                <w:rStyle w:val="Hyperlink"/>
                <w:rFonts w:ascii="Arial" w:hAnsi="Arial" w:cs="Arial"/>
                <w:noProof/>
              </w:rPr>
              <w:t>2.1 Financial statement overview</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_Toc217247565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6</w:t>
            </w:r>
            <w:r w:rsidR="00EF1834" w:rsidRPr="00A05552">
              <w:rPr>
                <w:rFonts w:ascii="Arial" w:hAnsi="Arial" w:cs="Arial"/>
                <w:noProof/>
                <w:webHidden/>
              </w:rPr>
              <w:fldChar w:fldCharType="end"/>
            </w:r>
          </w:hyperlink>
        </w:p>
        <w:p w14:paraId="0D82EA54" w14:textId="42C17271" w:rsidR="00EF1834" w:rsidRPr="00A05552" w:rsidRDefault="00747714">
          <w:pPr>
            <w:pStyle w:val="TOC2"/>
            <w:tabs>
              <w:tab w:val="right" w:leader="dot" w:pos="9350"/>
            </w:tabs>
            <w:rPr>
              <w:rFonts w:ascii="Arial" w:eastAsiaTheme="minorEastAsia" w:hAnsi="Arial" w:cs="Arial"/>
              <w:noProof/>
              <w:sz w:val="22"/>
              <w:lang w:eastAsia="en-GB"/>
            </w:rPr>
          </w:pPr>
          <w:hyperlink w:anchor="_Toc217247566" w:history="1">
            <w:r w:rsidR="00EF1834" w:rsidRPr="00A05552">
              <w:rPr>
                <w:rStyle w:val="Hyperlink"/>
                <w:rFonts w:ascii="Arial" w:hAnsi="Arial" w:cs="Arial"/>
                <w:noProof/>
              </w:rPr>
              <w:t>2.2 Ratio analysis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_Toc217247566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6</w:t>
            </w:r>
            <w:r w:rsidR="00EF1834" w:rsidRPr="00A05552">
              <w:rPr>
                <w:rFonts w:ascii="Arial" w:hAnsi="Arial" w:cs="Arial"/>
                <w:noProof/>
                <w:webHidden/>
              </w:rPr>
              <w:fldChar w:fldCharType="end"/>
            </w:r>
          </w:hyperlink>
        </w:p>
        <w:p w14:paraId="72643EE0" w14:textId="359E45D3" w:rsidR="00EF1834" w:rsidRPr="00A05552" w:rsidRDefault="00747714">
          <w:pPr>
            <w:pStyle w:val="TOC3"/>
            <w:tabs>
              <w:tab w:val="right" w:leader="dot" w:pos="9350"/>
            </w:tabs>
            <w:rPr>
              <w:rFonts w:ascii="Arial" w:eastAsiaTheme="minorEastAsia" w:hAnsi="Arial" w:cs="Arial"/>
              <w:noProof/>
              <w:sz w:val="22"/>
              <w:lang w:eastAsia="en-GB"/>
            </w:rPr>
          </w:pPr>
          <w:hyperlink w:anchor="_Toc217247567" w:history="1">
            <w:r w:rsidR="00EF1834" w:rsidRPr="00A05552">
              <w:rPr>
                <w:rStyle w:val="Hyperlink"/>
                <w:rFonts w:ascii="Arial" w:hAnsi="Arial" w:cs="Arial"/>
                <w:noProof/>
              </w:rPr>
              <w:t>2.2.1 Profitability ratios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_Toc217247567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6</w:t>
            </w:r>
            <w:r w:rsidR="00EF1834" w:rsidRPr="00A05552">
              <w:rPr>
                <w:rFonts w:ascii="Arial" w:hAnsi="Arial" w:cs="Arial"/>
                <w:noProof/>
                <w:webHidden/>
              </w:rPr>
              <w:fldChar w:fldCharType="end"/>
            </w:r>
          </w:hyperlink>
        </w:p>
        <w:p w14:paraId="0ACD1795" w14:textId="771C58C6" w:rsidR="00EF1834" w:rsidRPr="00A05552" w:rsidRDefault="00747714">
          <w:pPr>
            <w:pStyle w:val="TOC3"/>
            <w:tabs>
              <w:tab w:val="right" w:leader="dot" w:pos="9350"/>
            </w:tabs>
            <w:rPr>
              <w:rFonts w:ascii="Arial" w:eastAsiaTheme="minorEastAsia" w:hAnsi="Arial" w:cs="Arial"/>
              <w:noProof/>
              <w:sz w:val="22"/>
              <w:lang w:eastAsia="en-GB"/>
            </w:rPr>
          </w:pPr>
          <w:hyperlink w:anchor="_Toc217247568" w:history="1">
            <w:r w:rsidR="00EF1834" w:rsidRPr="00A05552">
              <w:rPr>
                <w:rStyle w:val="Hyperlink"/>
                <w:rFonts w:ascii="Arial" w:hAnsi="Arial" w:cs="Arial"/>
                <w:noProof/>
              </w:rPr>
              <w:t>2.2.2 Liquidity ratios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_Toc217247568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8</w:t>
            </w:r>
            <w:r w:rsidR="00EF1834" w:rsidRPr="00A05552">
              <w:rPr>
                <w:rFonts w:ascii="Arial" w:hAnsi="Arial" w:cs="Arial"/>
                <w:noProof/>
                <w:webHidden/>
              </w:rPr>
              <w:fldChar w:fldCharType="end"/>
            </w:r>
          </w:hyperlink>
        </w:p>
        <w:p w14:paraId="790E5A82" w14:textId="07E08514" w:rsidR="00EF1834" w:rsidRPr="00A05552" w:rsidRDefault="00747714">
          <w:pPr>
            <w:pStyle w:val="TOC3"/>
            <w:tabs>
              <w:tab w:val="right" w:leader="dot" w:pos="9350"/>
            </w:tabs>
            <w:rPr>
              <w:rFonts w:ascii="Arial" w:eastAsiaTheme="minorEastAsia" w:hAnsi="Arial" w:cs="Arial"/>
              <w:noProof/>
              <w:sz w:val="22"/>
              <w:lang w:eastAsia="en-GB"/>
            </w:rPr>
          </w:pPr>
          <w:hyperlink w:anchor="_Toc217247569" w:history="1">
            <w:r w:rsidR="00EF1834" w:rsidRPr="00A05552">
              <w:rPr>
                <w:rStyle w:val="Hyperlink"/>
                <w:rFonts w:ascii="Arial" w:hAnsi="Arial" w:cs="Arial"/>
                <w:noProof/>
              </w:rPr>
              <w:t>2.2.3 Efficiency ratios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_Toc217247569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9</w:t>
            </w:r>
            <w:r w:rsidR="00EF1834" w:rsidRPr="00A05552">
              <w:rPr>
                <w:rFonts w:ascii="Arial" w:hAnsi="Arial" w:cs="Arial"/>
                <w:noProof/>
                <w:webHidden/>
              </w:rPr>
              <w:fldChar w:fldCharType="end"/>
            </w:r>
          </w:hyperlink>
        </w:p>
        <w:p w14:paraId="36B333F3" w14:textId="2679B6AA" w:rsidR="00EF1834" w:rsidRPr="00A05552" w:rsidRDefault="00747714">
          <w:pPr>
            <w:pStyle w:val="TOC3"/>
            <w:tabs>
              <w:tab w:val="right" w:leader="dot" w:pos="9350"/>
            </w:tabs>
            <w:rPr>
              <w:rFonts w:ascii="Arial" w:eastAsiaTheme="minorEastAsia" w:hAnsi="Arial" w:cs="Arial"/>
              <w:noProof/>
              <w:sz w:val="22"/>
              <w:lang w:eastAsia="en-GB"/>
            </w:rPr>
          </w:pPr>
          <w:hyperlink w:anchor="_Toc217247570" w:history="1">
            <w:r w:rsidR="00EF1834" w:rsidRPr="00A05552">
              <w:rPr>
                <w:rStyle w:val="Hyperlink"/>
                <w:rFonts w:ascii="Arial" w:hAnsi="Arial" w:cs="Arial"/>
                <w:noProof/>
              </w:rPr>
              <w:t>2.2.4 Gearing and leverage ratios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_Toc217247570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10</w:t>
            </w:r>
            <w:r w:rsidR="00EF1834" w:rsidRPr="00A05552">
              <w:rPr>
                <w:rFonts w:ascii="Arial" w:hAnsi="Arial" w:cs="Arial"/>
                <w:noProof/>
                <w:webHidden/>
              </w:rPr>
              <w:fldChar w:fldCharType="end"/>
            </w:r>
          </w:hyperlink>
        </w:p>
        <w:p w14:paraId="13DCBB89" w14:textId="3B5D758B" w:rsidR="00EF1834" w:rsidRPr="00A05552" w:rsidRDefault="00747714">
          <w:pPr>
            <w:pStyle w:val="TOC3"/>
            <w:tabs>
              <w:tab w:val="right" w:leader="dot" w:pos="9350"/>
            </w:tabs>
            <w:rPr>
              <w:rFonts w:ascii="Arial" w:eastAsiaTheme="minorEastAsia" w:hAnsi="Arial" w:cs="Arial"/>
              <w:noProof/>
              <w:sz w:val="22"/>
              <w:lang w:eastAsia="en-GB"/>
            </w:rPr>
          </w:pPr>
          <w:hyperlink w:anchor="_Toc217247571" w:history="1">
            <w:r w:rsidR="00EF1834" w:rsidRPr="00A05552">
              <w:rPr>
                <w:rStyle w:val="Hyperlink"/>
                <w:rFonts w:ascii="Arial" w:hAnsi="Arial" w:cs="Arial"/>
                <w:noProof/>
              </w:rPr>
              <w:t>2.2.5 Investment ratios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_Toc217247571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11</w:t>
            </w:r>
            <w:r w:rsidR="00EF1834" w:rsidRPr="00A05552">
              <w:rPr>
                <w:rFonts w:ascii="Arial" w:hAnsi="Arial" w:cs="Arial"/>
                <w:noProof/>
                <w:webHidden/>
              </w:rPr>
              <w:fldChar w:fldCharType="end"/>
            </w:r>
          </w:hyperlink>
        </w:p>
        <w:p w14:paraId="16132A79" w14:textId="0B58EA67" w:rsidR="00EF1834" w:rsidRPr="00A05552" w:rsidRDefault="00747714">
          <w:pPr>
            <w:pStyle w:val="TOC3"/>
            <w:tabs>
              <w:tab w:val="right" w:leader="dot" w:pos="9350"/>
            </w:tabs>
            <w:rPr>
              <w:rFonts w:ascii="Arial" w:eastAsiaTheme="minorEastAsia" w:hAnsi="Arial" w:cs="Arial"/>
              <w:noProof/>
              <w:sz w:val="22"/>
              <w:lang w:eastAsia="en-GB"/>
            </w:rPr>
          </w:pPr>
          <w:hyperlink w:anchor="_Toc217247572" w:history="1">
            <w:r w:rsidR="00EF1834" w:rsidRPr="00A05552">
              <w:rPr>
                <w:rStyle w:val="Hyperlink"/>
                <w:rFonts w:ascii="Arial" w:hAnsi="Arial" w:cs="Arial"/>
                <w:noProof/>
              </w:rPr>
              <w:t>2.2.6 Cash flow ratios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_Toc217247572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11</w:t>
            </w:r>
            <w:r w:rsidR="00EF1834" w:rsidRPr="00A05552">
              <w:rPr>
                <w:rFonts w:ascii="Arial" w:hAnsi="Arial" w:cs="Arial"/>
                <w:noProof/>
                <w:webHidden/>
              </w:rPr>
              <w:fldChar w:fldCharType="end"/>
            </w:r>
          </w:hyperlink>
        </w:p>
        <w:p w14:paraId="7851242B" w14:textId="0A01D5A9" w:rsidR="00EF1834" w:rsidRPr="00A05552" w:rsidRDefault="00747714">
          <w:pPr>
            <w:pStyle w:val="TOC2"/>
            <w:tabs>
              <w:tab w:val="right" w:leader="dot" w:pos="9350"/>
            </w:tabs>
            <w:rPr>
              <w:rFonts w:ascii="Arial" w:eastAsiaTheme="minorEastAsia" w:hAnsi="Arial" w:cs="Arial"/>
              <w:noProof/>
              <w:sz w:val="22"/>
              <w:lang w:eastAsia="en-GB"/>
            </w:rPr>
          </w:pPr>
          <w:hyperlink w:anchor="_Toc217247573" w:history="1">
            <w:r w:rsidR="00EF1834" w:rsidRPr="00A05552">
              <w:rPr>
                <w:rStyle w:val="Hyperlink"/>
                <w:rFonts w:ascii="Arial" w:hAnsi="Arial" w:cs="Arial"/>
                <w:noProof/>
              </w:rPr>
              <w:t>2.3 Trend evaluation and interpretation</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_Toc217247573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12</w:t>
            </w:r>
            <w:r w:rsidR="00EF1834" w:rsidRPr="00A05552">
              <w:rPr>
                <w:rFonts w:ascii="Arial" w:hAnsi="Arial" w:cs="Arial"/>
                <w:noProof/>
                <w:webHidden/>
              </w:rPr>
              <w:fldChar w:fldCharType="end"/>
            </w:r>
          </w:hyperlink>
        </w:p>
        <w:p w14:paraId="5BE57902" w14:textId="38444AFC" w:rsidR="00EF1834" w:rsidRPr="00A05552" w:rsidRDefault="00747714">
          <w:pPr>
            <w:pStyle w:val="TOC2"/>
            <w:tabs>
              <w:tab w:val="right" w:leader="dot" w:pos="9350"/>
            </w:tabs>
            <w:rPr>
              <w:rFonts w:ascii="Arial" w:eastAsiaTheme="minorEastAsia" w:hAnsi="Arial" w:cs="Arial"/>
              <w:noProof/>
              <w:sz w:val="22"/>
              <w:lang w:eastAsia="en-GB"/>
            </w:rPr>
          </w:pPr>
          <w:hyperlink w:anchor="_Toc217247574" w:history="1">
            <w:r w:rsidR="00EF1834" w:rsidRPr="00A05552">
              <w:rPr>
                <w:rStyle w:val="Hyperlink"/>
                <w:rFonts w:ascii="Arial" w:hAnsi="Arial" w:cs="Arial"/>
                <w:noProof/>
              </w:rPr>
              <w:t>2.4 Corporate failure prediction</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_Toc217247574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13</w:t>
            </w:r>
            <w:r w:rsidR="00EF1834" w:rsidRPr="00A05552">
              <w:rPr>
                <w:rFonts w:ascii="Arial" w:hAnsi="Arial" w:cs="Arial"/>
                <w:noProof/>
                <w:webHidden/>
              </w:rPr>
              <w:fldChar w:fldCharType="end"/>
            </w:r>
          </w:hyperlink>
        </w:p>
        <w:p w14:paraId="0D603771" w14:textId="46C2D107" w:rsidR="00EF1834" w:rsidRPr="00A05552" w:rsidRDefault="00747714">
          <w:pPr>
            <w:pStyle w:val="TOC1"/>
            <w:tabs>
              <w:tab w:val="right" w:leader="dot" w:pos="9350"/>
            </w:tabs>
            <w:rPr>
              <w:rFonts w:ascii="Arial" w:eastAsiaTheme="minorEastAsia" w:hAnsi="Arial" w:cs="Arial"/>
              <w:noProof/>
              <w:sz w:val="22"/>
              <w:lang w:eastAsia="en-GB"/>
            </w:rPr>
          </w:pPr>
          <w:hyperlink w:anchor="_Toc217247575" w:history="1">
            <w:r w:rsidR="00EF1834" w:rsidRPr="00A05552">
              <w:rPr>
                <w:rStyle w:val="Hyperlink"/>
                <w:rFonts w:ascii="Arial" w:hAnsi="Arial" w:cs="Arial"/>
                <w:noProof/>
              </w:rPr>
              <w:t>3. Working Capital Management Analysis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_Toc217247575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14</w:t>
            </w:r>
            <w:r w:rsidR="00EF1834" w:rsidRPr="00A05552">
              <w:rPr>
                <w:rFonts w:ascii="Arial" w:hAnsi="Arial" w:cs="Arial"/>
                <w:noProof/>
                <w:webHidden/>
              </w:rPr>
              <w:fldChar w:fldCharType="end"/>
            </w:r>
          </w:hyperlink>
        </w:p>
        <w:p w14:paraId="3F3BAB3D" w14:textId="5A4C4F36" w:rsidR="00EF1834" w:rsidRPr="00A05552" w:rsidRDefault="00747714">
          <w:pPr>
            <w:pStyle w:val="TOC2"/>
            <w:tabs>
              <w:tab w:val="right" w:leader="dot" w:pos="9350"/>
            </w:tabs>
            <w:rPr>
              <w:rFonts w:ascii="Arial" w:eastAsiaTheme="minorEastAsia" w:hAnsi="Arial" w:cs="Arial"/>
              <w:noProof/>
              <w:sz w:val="22"/>
              <w:lang w:eastAsia="en-GB"/>
            </w:rPr>
          </w:pPr>
          <w:hyperlink w:anchor="_Toc217247576" w:history="1">
            <w:r w:rsidR="00EF1834" w:rsidRPr="00A05552">
              <w:rPr>
                <w:rStyle w:val="Hyperlink"/>
                <w:rFonts w:ascii="Arial" w:hAnsi="Arial" w:cs="Arial"/>
                <w:noProof/>
              </w:rPr>
              <w:t>3.1 Working capital position</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_Toc217247576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14</w:t>
            </w:r>
            <w:r w:rsidR="00EF1834" w:rsidRPr="00A05552">
              <w:rPr>
                <w:rFonts w:ascii="Arial" w:hAnsi="Arial" w:cs="Arial"/>
                <w:noProof/>
                <w:webHidden/>
              </w:rPr>
              <w:fldChar w:fldCharType="end"/>
            </w:r>
          </w:hyperlink>
        </w:p>
        <w:p w14:paraId="6F251E0C" w14:textId="0A8417A1" w:rsidR="00EF1834" w:rsidRPr="00A05552" w:rsidRDefault="00747714">
          <w:pPr>
            <w:pStyle w:val="TOC2"/>
            <w:tabs>
              <w:tab w:val="right" w:leader="dot" w:pos="9350"/>
            </w:tabs>
            <w:rPr>
              <w:rFonts w:ascii="Arial" w:eastAsiaTheme="minorEastAsia" w:hAnsi="Arial" w:cs="Arial"/>
              <w:noProof/>
              <w:sz w:val="22"/>
              <w:lang w:eastAsia="en-GB"/>
            </w:rPr>
          </w:pPr>
          <w:hyperlink w:anchor="_Toc217247577" w:history="1">
            <w:r w:rsidR="00EF1834" w:rsidRPr="00A05552">
              <w:rPr>
                <w:rStyle w:val="Hyperlink"/>
                <w:rFonts w:ascii="Arial" w:hAnsi="Arial" w:cs="Arial"/>
                <w:noProof/>
              </w:rPr>
              <w:t>3.2 Cash operating cycle analysis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_Toc217247577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15</w:t>
            </w:r>
            <w:r w:rsidR="00EF1834" w:rsidRPr="00A05552">
              <w:rPr>
                <w:rFonts w:ascii="Arial" w:hAnsi="Arial" w:cs="Arial"/>
                <w:noProof/>
                <w:webHidden/>
              </w:rPr>
              <w:fldChar w:fldCharType="end"/>
            </w:r>
          </w:hyperlink>
        </w:p>
        <w:p w14:paraId="7DFE98DC" w14:textId="4901B258" w:rsidR="00EF1834" w:rsidRPr="00A05552" w:rsidRDefault="00747714">
          <w:pPr>
            <w:pStyle w:val="TOC2"/>
            <w:tabs>
              <w:tab w:val="right" w:leader="dot" w:pos="9350"/>
            </w:tabs>
            <w:rPr>
              <w:rFonts w:ascii="Arial" w:eastAsiaTheme="minorEastAsia" w:hAnsi="Arial" w:cs="Arial"/>
              <w:noProof/>
              <w:sz w:val="22"/>
              <w:lang w:eastAsia="en-GB"/>
            </w:rPr>
          </w:pPr>
          <w:hyperlink w:anchor="_Toc217247578" w:history="1">
            <w:r w:rsidR="00EF1834" w:rsidRPr="00A05552">
              <w:rPr>
                <w:rStyle w:val="Hyperlink"/>
                <w:rFonts w:ascii="Arial" w:hAnsi="Arial" w:cs="Arial"/>
                <w:noProof/>
              </w:rPr>
              <w:t>3.3 Strategies for liquidity improvement</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_Toc217247578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16</w:t>
            </w:r>
            <w:r w:rsidR="00EF1834" w:rsidRPr="00A05552">
              <w:rPr>
                <w:rFonts w:ascii="Arial" w:hAnsi="Arial" w:cs="Arial"/>
                <w:noProof/>
                <w:webHidden/>
              </w:rPr>
              <w:fldChar w:fldCharType="end"/>
            </w:r>
          </w:hyperlink>
        </w:p>
        <w:p w14:paraId="2B3B1C58" w14:textId="7EF30336" w:rsidR="00EF1834" w:rsidRPr="00A05552" w:rsidRDefault="00747714">
          <w:pPr>
            <w:pStyle w:val="TOC2"/>
            <w:tabs>
              <w:tab w:val="right" w:leader="dot" w:pos="9350"/>
            </w:tabs>
            <w:rPr>
              <w:rFonts w:ascii="Arial" w:eastAsiaTheme="minorEastAsia" w:hAnsi="Arial" w:cs="Arial"/>
              <w:noProof/>
              <w:sz w:val="22"/>
              <w:lang w:eastAsia="en-GB"/>
            </w:rPr>
          </w:pPr>
          <w:hyperlink w:anchor="_Toc217247579" w:history="1">
            <w:r w:rsidR="00EF1834" w:rsidRPr="00A05552">
              <w:rPr>
                <w:rStyle w:val="Hyperlink"/>
                <w:rFonts w:ascii="Arial" w:hAnsi="Arial" w:cs="Arial"/>
                <w:noProof/>
              </w:rPr>
              <w:t>3.4 Financing options comparison</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_Toc217247579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17</w:t>
            </w:r>
            <w:r w:rsidR="00EF1834" w:rsidRPr="00A05552">
              <w:rPr>
                <w:rFonts w:ascii="Arial" w:hAnsi="Arial" w:cs="Arial"/>
                <w:noProof/>
                <w:webHidden/>
              </w:rPr>
              <w:fldChar w:fldCharType="end"/>
            </w:r>
          </w:hyperlink>
        </w:p>
        <w:p w14:paraId="15BB2F84" w14:textId="72414A9F" w:rsidR="00EF1834" w:rsidRPr="00A05552" w:rsidRDefault="00747714">
          <w:pPr>
            <w:pStyle w:val="TOC1"/>
            <w:tabs>
              <w:tab w:val="right" w:leader="dot" w:pos="9350"/>
            </w:tabs>
            <w:rPr>
              <w:rFonts w:ascii="Arial" w:eastAsiaTheme="minorEastAsia" w:hAnsi="Arial" w:cs="Arial"/>
              <w:noProof/>
              <w:sz w:val="22"/>
              <w:lang w:eastAsia="en-GB"/>
            </w:rPr>
          </w:pPr>
          <w:hyperlink w:anchor="_Toc217247580" w:history="1">
            <w:r w:rsidR="00EF1834" w:rsidRPr="00A05552">
              <w:rPr>
                <w:rStyle w:val="Hyperlink"/>
                <w:rFonts w:ascii="Arial" w:hAnsi="Arial" w:cs="Arial"/>
                <w:noProof/>
              </w:rPr>
              <w:t>4. Strategic Financial Restructuring Plan</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_Toc217247580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18</w:t>
            </w:r>
            <w:r w:rsidR="00EF1834" w:rsidRPr="00A05552">
              <w:rPr>
                <w:rFonts w:ascii="Arial" w:hAnsi="Arial" w:cs="Arial"/>
                <w:noProof/>
                <w:webHidden/>
              </w:rPr>
              <w:fldChar w:fldCharType="end"/>
            </w:r>
          </w:hyperlink>
        </w:p>
        <w:p w14:paraId="491AA2BC" w14:textId="034BF045" w:rsidR="00EF1834" w:rsidRPr="00A05552" w:rsidRDefault="00747714">
          <w:pPr>
            <w:pStyle w:val="TOC2"/>
            <w:tabs>
              <w:tab w:val="right" w:leader="dot" w:pos="9350"/>
            </w:tabs>
            <w:rPr>
              <w:rFonts w:ascii="Arial" w:eastAsiaTheme="minorEastAsia" w:hAnsi="Arial" w:cs="Arial"/>
              <w:noProof/>
              <w:sz w:val="22"/>
              <w:lang w:eastAsia="en-GB"/>
            </w:rPr>
          </w:pPr>
          <w:hyperlink w:anchor="_Toc217247581" w:history="1">
            <w:r w:rsidR="00EF1834" w:rsidRPr="00A05552">
              <w:rPr>
                <w:rStyle w:val="Hyperlink"/>
                <w:rFonts w:ascii="Arial" w:hAnsi="Arial" w:cs="Arial"/>
                <w:noProof/>
              </w:rPr>
              <w:t>4.1 Rationale for restructuring</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_Toc217247581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18</w:t>
            </w:r>
            <w:r w:rsidR="00EF1834" w:rsidRPr="00A05552">
              <w:rPr>
                <w:rFonts w:ascii="Arial" w:hAnsi="Arial" w:cs="Arial"/>
                <w:noProof/>
                <w:webHidden/>
              </w:rPr>
              <w:fldChar w:fldCharType="end"/>
            </w:r>
          </w:hyperlink>
        </w:p>
        <w:p w14:paraId="1DE1E096" w14:textId="36DB0F55" w:rsidR="00EF1834" w:rsidRPr="00A05552" w:rsidRDefault="00747714">
          <w:pPr>
            <w:pStyle w:val="TOC2"/>
            <w:tabs>
              <w:tab w:val="right" w:leader="dot" w:pos="9350"/>
            </w:tabs>
            <w:rPr>
              <w:rFonts w:ascii="Arial" w:eastAsiaTheme="minorEastAsia" w:hAnsi="Arial" w:cs="Arial"/>
              <w:noProof/>
              <w:sz w:val="22"/>
              <w:lang w:eastAsia="en-GB"/>
            </w:rPr>
          </w:pPr>
          <w:hyperlink w:anchor="_Toc217247582" w:history="1">
            <w:r w:rsidR="00EF1834" w:rsidRPr="00A05552">
              <w:rPr>
                <w:rStyle w:val="Hyperlink"/>
                <w:rFonts w:ascii="Arial" w:hAnsi="Arial" w:cs="Arial"/>
                <w:noProof/>
              </w:rPr>
              <w:t>4.2 Recommended restructuring options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_Toc217247582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18</w:t>
            </w:r>
            <w:r w:rsidR="00EF1834" w:rsidRPr="00A05552">
              <w:rPr>
                <w:rFonts w:ascii="Arial" w:hAnsi="Arial" w:cs="Arial"/>
                <w:noProof/>
                <w:webHidden/>
              </w:rPr>
              <w:fldChar w:fldCharType="end"/>
            </w:r>
          </w:hyperlink>
        </w:p>
        <w:p w14:paraId="7D71AF9B" w14:textId="0993F90B" w:rsidR="00EF1834" w:rsidRPr="00A05552" w:rsidRDefault="00747714">
          <w:pPr>
            <w:pStyle w:val="TOC2"/>
            <w:tabs>
              <w:tab w:val="right" w:leader="dot" w:pos="9350"/>
            </w:tabs>
            <w:rPr>
              <w:rFonts w:ascii="Arial" w:eastAsiaTheme="minorEastAsia" w:hAnsi="Arial" w:cs="Arial"/>
              <w:noProof/>
              <w:sz w:val="22"/>
              <w:lang w:eastAsia="en-GB"/>
            </w:rPr>
          </w:pPr>
          <w:hyperlink w:anchor="_Toc217247583" w:history="1">
            <w:r w:rsidR="00EF1834" w:rsidRPr="00A05552">
              <w:rPr>
                <w:rStyle w:val="Hyperlink"/>
                <w:rFonts w:ascii="Arial" w:hAnsi="Arial" w:cs="Arial"/>
                <w:noProof/>
              </w:rPr>
              <w:t>4.3 Financial impact evaluation</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_Toc217247583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19</w:t>
            </w:r>
            <w:r w:rsidR="00EF1834" w:rsidRPr="00A05552">
              <w:rPr>
                <w:rFonts w:ascii="Arial" w:hAnsi="Arial" w:cs="Arial"/>
                <w:noProof/>
                <w:webHidden/>
              </w:rPr>
              <w:fldChar w:fldCharType="end"/>
            </w:r>
          </w:hyperlink>
        </w:p>
        <w:p w14:paraId="0D6ADAB4" w14:textId="70639733" w:rsidR="00EF1834" w:rsidRPr="00A05552" w:rsidRDefault="00747714">
          <w:pPr>
            <w:pStyle w:val="TOC2"/>
            <w:tabs>
              <w:tab w:val="right" w:leader="dot" w:pos="9350"/>
            </w:tabs>
            <w:rPr>
              <w:rFonts w:ascii="Arial" w:eastAsiaTheme="minorEastAsia" w:hAnsi="Arial" w:cs="Arial"/>
              <w:noProof/>
              <w:sz w:val="22"/>
              <w:lang w:eastAsia="en-GB"/>
            </w:rPr>
          </w:pPr>
          <w:hyperlink w:anchor="_Toc217247584" w:history="1">
            <w:r w:rsidR="00EF1834" w:rsidRPr="00A05552">
              <w:rPr>
                <w:rStyle w:val="Hyperlink"/>
                <w:rFonts w:ascii="Arial" w:hAnsi="Arial" w:cs="Arial"/>
                <w:noProof/>
              </w:rPr>
              <w:t>4.4 International and ethical considerations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_Toc217247584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20</w:t>
            </w:r>
            <w:r w:rsidR="00EF1834" w:rsidRPr="00A05552">
              <w:rPr>
                <w:rFonts w:ascii="Arial" w:hAnsi="Arial" w:cs="Arial"/>
                <w:noProof/>
                <w:webHidden/>
              </w:rPr>
              <w:fldChar w:fldCharType="end"/>
            </w:r>
          </w:hyperlink>
        </w:p>
        <w:p w14:paraId="5754D593" w14:textId="3F78583A" w:rsidR="00EF1834" w:rsidRPr="00A05552" w:rsidRDefault="00747714">
          <w:pPr>
            <w:pStyle w:val="TOC1"/>
            <w:tabs>
              <w:tab w:val="right" w:leader="dot" w:pos="9350"/>
            </w:tabs>
            <w:rPr>
              <w:rFonts w:ascii="Arial" w:eastAsiaTheme="minorEastAsia" w:hAnsi="Arial" w:cs="Arial"/>
              <w:noProof/>
              <w:sz w:val="22"/>
              <w:lang w:eastAsia="en-GB"/>
            </w:rPr>
          </w:pPr>
          <w:hyperlink w:anchor="_Toc217247585" w:history="1">
            <w:r w:rsidR="00EF1834" w:rsidRPr="00A05552">
              <w:rPr>
                <w:rStyle w:val="Hyperlink"/>
                <w:rFonts w:ascii="Arial" w:hAnsi="Arial" w:cs="Arial"/>
                <w:noProof/>
              </w:rPr>
              <w:t>5. Investment Appraisal and Capital Budgeting</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_Toc217247585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20</w:t>
            </w:r>
            <w:r w:rsidR="00EF1834" w:rsidRPr="00A05552">
              <w:rPr>
                <w:rFonts w:ascii="Arial" w:hAnsi="Arial" w:cs="Arial"/>
                <w:noProof/>
                <w:webHidden/>
              </w:rPr>
              <w:fldChar w:fldCharType="end"/>
            </w:r>
          </w:hyperlink>
        </w:p>
        <w:p w14:paraId="6C924C5B" w14:textId="356180C4" w:rsidR="00EF1834" w:rsidRPr="00A05552" w:rsidRDefault="00747714">
          <w:pPr>
            <w:pStyle w:val="TOC2"/>
            <w:tabs>
              <w:tab w:val="right" w:leader="dot" w:pos="9350"/>
            </w:tabs>
            <w:rPr>
              <w:rFonts w:ascii="Arial" w:eastAsiaTheme="minorEastAsia" w:hAnsi="Arial" w:cs="Arial"/>
              <w:noProof/>
              <w:sz w:val="22"/>
              <w:lang w:eastAsia="en-GB"/>
            </w:rPr>
          </w:pPr>
          <w:hyperlink w:anchor="_Toc217247586" w:history="1">
            <w:r w:rsidR="00EF1834" w:rsidRPr="00A05552">
              <w:rPr>
                <w:rStyle w:val="Hyperlink"/>
                <w:rFonts w:ascii="Arial" w:hAnsi="Arial" w:cs="Arial"/>
                <w:noProof/>
              </w:rPr>
              <w:t>5.1 Investment appraisal overview</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_Toc217247586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20</w:t>
            </w:r>
            <w:r w:rsidR="00EF1834" w:rsidRPr="00A05552">
              <w:rPr>
                <w:rFonts w:ascii="Arial" w:hAnsi="Arial" w:cs="Arial"/>
                <w:noProof/>
                <w:webHidden/>
              </w:rPr>
              <w:fldChar w:fldCharType="end"/>
            </w:r>
          </w:hyperlink>
        </w:p>
        <w:p w14:paraId="438824BD" w14:textId="14269924" w:rsidR="00EF1834" w:rsidRPr="00A05552" w:rsidRDefault="00747714">
          <w:pPr>
            <w:pStyle w:val="TOC2"/>
            <w:tabs>
              <w:tab w:val="right" w:leader="dot" w:pos="9350"/>
            </w:tabs>
            <w:rPr>
              <w:rFonts w:ascii="Arial" w:eastAsiaTheme="minorEastAsia" w:hAnsi="Arial" w:cs="Arial"/>
              <w:noProof/>
              <w:sz w:val="22"/>
              <w:lang w:eastAsia="en-GB"/>
            </w:rPr>
          </w:pPr>
          <w:hyperlink w:anchor="_Toc217247587" w:history="1">
            <w:r w:rsidR="00EF1834" w:rsidRPr="00A05552">
              <w:rPr>
                <w:rStyle w:val="Hyperlink"/>
                <w:rFonts w:ascii="Arial" w:hAnsi="Arial" w:cs="Arial"/>
                <w:noProof/>
              </w:rPr>
              <w:t>5.2 Project evaluation calculations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_Toc217247587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21</w:t>
            </w:r>
            <w:r w:rsidR="00EF1834" w:rsidRPr="00A05552">
              <w:rPr>
                <w:rFonts w:ascii="Arial" w:hAnsi="Arial" w:cs="Arial"/>
                <w:noProof/>
                <w:webHidden/>
              </w:rPr>
              <w:fldChar w:fldCharType="end"/>
            </w:r>
          </w:hyperlink>
        </w:p>
        <w:p w14:paraId="58F62CDE" w14:textId="772ECCDE" w:rsidR="00EF1834" w:rsidRPr="00A05552" w:rsidRDefault="00747714">
          <w:pPr>
            <w:pStyle w:val="TOC2"/>
            <w:tabs>
              <w:tab w:val="right" w:leader="dot" w:pos="9350"/>
            </w:tabs>
            <w:rPr>
              <w:rFonts w:ascii="Arial" w:eastAsiaTheme="minorEastAsia" w:hAnsi="Arial" w:cs="Arial"/>
              <w:noProof/>
              <w:sz w:val="22"/>
              <w:lang w:eastAsia="en-GB"/>
            </w:rPr>
          </w:pPr>
          <w:hyperlink w:anchor="_Toc217247588" w:history="1">
            <w:r w:rsidR="00EF1834" w:rsidRPr="00A05552">
              <w:rPr>
                <w:rStyle w:val="Hyperlink"/>
                <w:rFonts w:ascii="Arial" w:hAnsi="Arial" w:cs="Arial"/>
                <w:noProof/>
              </w:rPr>
              <w:t>5.3 Capital rationing decision</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_Toc217247588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22</w:t>
            </w:r>
            <w:r w:rsidR="00EF1834" w:rsidRPr="00A05552">
              <w:rPr>
                <w:rFonts w:ascii="Arial" w:hAnsi="Arial" w:cs="Arial"/>
                <w:noProof/>
                <w:webHidden/>
              </w:rPr>
              <w:fldChar w:fldCharType="end"/>
            </w:r>
          </w:hyperlink>
        </w:p>
        <w:p w14:paraId="7724220D" w14:textId="14B51D1A" w:rsidR="00EF1834" w:rsidRPr="00A05552" w:rsidRDefault="00747714">
          <w:pPr>
            <w:pStyle w:val="TOC2"/>
            <w:tabs>
              <w:tab w:val="right" w:leader="dot" w:pos="9350"/>
            </w:tabs>
            <w:rPr>
              <w:rFonts w:ascii="Arial" w:eastAsiaTheme="minorEastAsia" w:hAnsi="Arial" w:cs="Arial"/>
              <w:noProof/>
              <w:sz w:val="22"/>
              <w:lang w:eastAsia="en-GB"/>
            </w:rPr>
          </w:pPr>
          <w:hyperlink w:anchor="_Toc217247589" w:history="1">
            <w:r w:rsidR="00EF1834" w:rsidRPr="00A05552">
              <w:rPr>
                <w:rStyle w:val="Hyperlink"/>
                <w:rFonts w:ascii="Arial" w:hAnsi="Arial" w:cs="Arial"/>
                <w:noProof/>
              </w:rPr>
              <w:t>5.4 Final investment recommendation</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_Toc217247589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23</w:t>
            </w:r>
            <w:r w:rsidR="00EF1834" w:rsidRPr="00A05552">
              <w:rPr>
                <w:rFonts w:ascii="Arial" w:hAnsi="Arial" w:cs="Arial"/>
                <w:noProof/>
                <w:webHidden/>
              </w:rPr>
              <w:fldChar w:fldCharType="end"/>
            </w:r>
          </w:hyperlink>
        </w:p>
        <w:p w14:paraId="403B5205" w14:textId="75445AEC" w:rsidR="00EF1834" w:rsidRPr="00A05552" w:rsidRDefault="00747714">
          <w:pPr>
            <w:pStyle w:val="TOC1"/>
            <w:tabs>
              <w:tab w:val="right" w:leader="dot" w:pos="9350"/>
            </w:tabs>
            <w:rPr>
              <w:rFonts w:ascii="Arial" w:eastAsiaTheme="minorEastAsia" w:hAnsi="Arial" w:cs="Arial"/>
              <w:noProof/>
              <w:sz w:val="22"/>
              <w:lang w:eastAsia="en-GB"/>
            </w:rPr>
          </w:pPr>
          <w:hyperlink w:anchor="_Toc217247590" w:history="1">
            <w:r w:rsidR="00EF1834" w:rsidRPr="00A05552">
              <w:rPr>
                <w:rStyle w:val="Hyperlink"/>
                <w:rFonts w:ascii="Arial" w:hAnsi="Arial" w:cs="Arial"/>
                <w:noProof/>
              </w:rPr>
              <w:t>6. Conclusion</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_Toc217247590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24</w:t>
            </w:r>
            <w:r w:rsidR="00EF1834" w:rsidRPr="00A05552">
              <w:rPr>
                <w:rFonts w:ascii="Arial" w:hAnsi="Arial" w:cs="Arial"/>
                <w:noProof/>
                <w:webHidden/>
              </w:rPr>
              <w:fldChar w:fldCharType="end"/>
            </w:r>
          </w:hyperlink>
        </w:p>
        <w:p w14:paraId="3EC6690D" w14:textId="59E4DC6A" w:rsidR="00EF1834" w:rsidRPr="00A05552" w:rsidRDefault="00747714">
          <w:pPr>
            <w:pStyle w:val="TOC1"/>
            <w:tabs>
              <w:tab w:val="right" w:leader="dot" w:pos="9350"/>
            </w:tabs>
            <w:rPr>
              <w:rFonts w:ascii="Arial" w:eastAsiaTheme="minorEastAsia" w:hAnsi="Arial" w:cs="Arial"/>
              <w:noProof/>
              <w:sz w:val="22"/>
              <w:lang w:eastAsia="en-GB"/>
            </w:rPr>
          </w:pPr>
          <w:hyperlink w:anchor="_Toc217247591" w:history="1">
            <w:r w:rsidR="00EF1834" w:rsidRPr="00A05552">
              <w:rPr>
                <w:rStyle w:val="Hyperlink"/>
                <w:rFonts w:ascii="Arial" w:hAnsi="Arial" w:cs="Arial"/>
                <w:noProof/>
              </w:rPr>
              <w:t>References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_Toc217247591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25</w:t>
            </w:r>
            <w:r w:rsidR="00EF1834" w:rsidRPr="00A05552">
              <w:rPr>
                <w:rFonts w:ascii="Arial" w:hAnsi="Arial" w:cs="Arial"/>
                <w:noProof/>
                <w:webHidden/>
              </w:rPr>
              <w:fldChar w:fldCharType="end"/>
            </w:r>
          </w:hyperlink>
        </w:p>
        <w:p w14:paraId="5CB8EC64" w14:textId="02FD399B" w:rsidR="00EF1834" w:rsidRPr="00A05552" w:rsidRDefault="00747714">
          <w:pPr>
            <w:pStyle w:val="TOC1"/>
            <w:tabs>
              <w:tab w:val="right" w:leader="dot" w:pos="9350"/>
            </w:tabs>
            <w:rPr>
              <w:rFonts w:ascii="Arial" w:eastAsiaTheme="minorEastAsia" w:hAnsi="Arial" w:cs="Arial"/>
              <w:noProof/>
              <w:sz w:val="22"/>
              <w:lang w:eastAsia="en-GB"/>
            </w:rPr>
          </w:pPr>
          <w:hyperlink w:anchor="_Toc217247592" w:history="1">
            <w:r w:rsidR="00EF1834" w:rsidRPr="00A05552">
              <w:rPr>
                <w:rStyle w:val="Hyperlink"/>
                <w:rFonts w:ascii="Arial" w:hAnsi="Arial" w:cs="Arial"/>
                <w:noProof/>
              </w:rPr>
              <w:t>Appendix 1: Invest ratios necessary inputs</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_Toc217247592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28</w:t>
            </w:r>
            <w:r w:rsidR="00EF1834" w:rsidRPr="00A05552">
              <w:rPr>
                <w:rFonts w:ascii="Arial" w:hAnsi="Arial" w:cs="Arial"/>
                <w:noProof/>
                <w:webHidden/>
              </w:rPr>
              <w:fldChar w:fldCharType="end"/>
            </w:r>
          </w:hyperlink>
        </w:p>
        <w:p w14:paraId="3D519BE9" w14:textId="37E7C674" w:rsidR="00EF1834" w:rsidRPr="00A05552" w:rsidRDefault="00747714">
          <w:pPr>
            <w:pStyle w:val="TOC1"/>
            <w:tabs>
              <w:tab w:val="right" w:leader="dot" w:pos="9350"/>
            </w:tabs>
            <w:rPr>
              <w:rFonts w:ascii="Arial" w:eastAsiaTheme="minorEastAsia" w:hAnsi="Arial" w:cs="Arial"/>
              <w:noProof/>
              <w:sz w:val="22"/>
              <w:lang w:eastAsia="en-GB"/>
            </w:rPr>
          </w:pPr>
          <w:hyperlink w:anchor="_Toc217247593" w:history="1">
            <w:r w:rsidR="00EF1834" w:rsidRPr="00A05552">
              <w:rPr>
                <w:rStyle w:val="Hyperlink"/>
                <w:rFonts w:ascii="Arial" w:hAnsi="Arial" w:cs="Arial"/>
                <w:noProof/>
                <w:lang w:val="en"/>
              </w:rPr>
              <w:t>Appendix 2: Investment Appraisal Calculations (Projects A, B, C)</w:t>
            </w:r>
            <w:r w:rsidR="00EF1834" w:rsidRPr="00A05552">
              <w:rPr>
                <w:rFonts w:ascii="Arial" w:hAnsi="Arial" w:cs="Arial"/>
                <w:noProof/>
                <w:webHidden/>
              </w:rPr>
              <w:tab/>
            </w:r>
            <w:r w:rsidR="00EF1834" w:rsidRPr="00A05552">
              <w:rPr>
                <w:rFonts w:ascii="Arial" w:hAnsi="Arial" w:cs="Arial"/>
                <w:noProof/>
                <w:webHidden/>
              </w:rPr>
              <w:fldChar w:fldCharType="begin"/>
            </w:r>
            <w:r w:rsidR="00EF1834" w:rsidRPr="00A05552">
              <w:rPr>
                <w:rFonts w:ascii="Arial" w:hAnsi="Arial" w:cs="Arial"/>
                <w:noProof/>
                <w:webHidden/>
              </w:rPr>
              <w:instrText xml:space="preserve"> PAGEREF _Toc217247593 \h </w:instrText>
            </w:r>
            <w:r w:rsidR="00EF1834" w:rsidRPr="00A05552">
              <w:rPr>
                <w:rFonts w:ascii="Arial" w:hAnsi="Arial" w:cs="Arial"/>
                <w:noProof/>
                <w:webHidden/>
              </w:rPr>
            </w:r>
            <w:r w:rsidR="00EF1834" w:rsidRPr="00A05552">
              <w:rPr>
                <w:rFonts w:ascii="Arial" w:hAnsi="Arial" w:cs="Arial"/>
                <w:noProof/>
                <w:webHidden/>
              </w:rPr>
              <w:fldChar w:fldCharType="separate"/>
            </w:r>
            <w:r w:rsidR="00EE664C">
              <w:rPr>
                <w:rFonts w:ascii="Arial" w:hAnsi="Arial" w:cs="Arial"/>
                <w:noProof/>
                <w:webHidden/>
              </w:rPr>
              <w:t>28</w:t>
            </w:r>
            <w:r w:rsidR="00EF1834" w:rsidRPr="00A05552">
              <w:rPr>
                <w:rFonts w:ascii="Arial" w:hAnsi="Arial" w:cs="Arial"/>
                <w:noProof/>
                <w:webHidden/>
              </w:rPr>
              <w:fldChar w:fldCharType="end"/>
            </w:r>
          </w:hyperlink>
        </w:p>
        <w:p w14:paraId="1EB4B885" w14:textId="51B51C7E" w:rsidR="00EF1834" w:rsidRPr="00A05552" w:rsidRDefault="00EF1834">
          <w:pPr>
            <w:rPr>
              <w:rFonts w:ascii="Arial" w:hAnsi="Arial" w:cs="Arial"/>
            </w:rPr>
          </w:pPr>
          <w:r w:rsidRPr="00A05552">
            <w:rPr>
              <w:rFonts w:ascii="Arial" w:hAnsi="Arial" w:cs="Arial"/>
              <w:b/>
              <w:bCs/>
              <w:noProof/>
            </w:rPr>
            <w:fldChar w:fldCharType="end"/>
          </w:r>
        </w:p>
      </w:sdtContent>
    </w:sdt>
    <w:p w14:paraId="294D1FB5" w14:textId="3989A9C6" w:rsidR="00EF1834" w:rsidRPr="00A05552" w:rsidRDefault="00EF1834">
      <w:pPr>
        <w:spacing w:line="259" w:lineRule="auto"/>
        <w:jc w:val="left"/>
        <w:rPr>
          <w:rFonts w:ascii="Arial" w:eastAsiaTheme="majorEastAsia" w:hAnsi="Arial" w:cs="Arial"/>
          <w:b/>
          <w:sz w:val="32"/>
          <w:szCs w:val="24"/>
        </w:rPr>
      </w:pPr>
      <w:r w:rsidRPr="00A05552">
        <w:rPr>
          <w:rFonts w:ascii="Arial" w:hAnsi="Arial" w:cs="Arial"/>
        </w:rPr>
        <w:br w:type="page"/>
      </w:r>
    </w:p>
    <w:p w14:paraId="53930AE0" w14:textId="753264AC" w:rsidR="00B54831" w:rsidRPr="00A05552" w:rsidRDefault="006B6F45" w:rsidP="006B6F45">
      <w:pPr>
        <w:pStyle w:val="Heading1"/>
      </w:pPr>
      <w:bookmarkStart w:id="1" w:name="_Toc217247560"/>
      <w:r w:rsidRPr="00A05552">
        <w:lastRenderedPageBreak/>
        <w:t>1. Introduction</w:t>
      </w:r>
      <w:bookmarkEnd w:id="1"/>
    </w:p>
    <w:p w14:paraId="17B99118" w14:textId="7185EECF" w:rsidR="00F77262" w:rsidRPr="00A05552" w:rsidRDefault="006B6F45" w:rsidP="006B6F45">
      <w:pPr>
        <w:pStyle w:val="Heading2"/>
        <w:rPr>
          <w:rFonts w:cs="Arial"/>
        </w:rPr>
      </w:pPr>
      <w:bookmarkStart w:id="2" w:name="_Toc217247561"/>
      <w:r w:rsidRPr="00A05552">
        <w:rPr>
          <w:rFonts w:cs="Arial"/>
        </w:rPr>
        <w:t>1.1 Background of General Electronics</w:t>
      </w:r>
      <w:bookmarkEnd w:id="2"/>
    </w:p>
    <w:p w14:paraId="45000D5A" w14:textId="43B53361" w:rsidR="00F77262" w:rsidRPr="00A05552" w:rsidRDefault="00F77262" w:rsidP="00F77262">
      <w:pPr>
        <w:rPr>
          <w:rFonts w:ascii="Arial" w:hAnsi="Arial" w:cs="Arial"/>
          <w:bCs/>
        </w:rPr>
      </w:pPr>
      <w:r w:rsidRPr="00A05552">
        <w:rPr>
          <w:rFonts w:ascii="Arial" w:hAnsi="Arial" w:cs="Arial"/>
          <w:bCs/>
        </w:rPr>
        <w:t>General Electronics is a multinational electronics company that is diversified and deals with consumer appliances, industrial systems and digital technologies. In recent years, the company has been characterized by the decline of financial performance, which is characterized by the decline in revenues, compression of margins and rising leverage. The loss of the operations reported during the latest periods can be interpreted as structural challenges in the business model and working capital operations</w:t>
      </w:r>
      <w:r w:rsidR="001340E3" w:rsidRPr="00A05552">
        <w:rPr>
          <w:rFonts w:ascii="Arial" w:hAnsi="Arial" w:cs="Arial"/>
          <w:bCs/>
        </w:rPr>
        <w:t xml:space="preserve"> (General Electric Company, 2025)</w:t>
      </w:r>
      <w:r w:rsidRPr="00A05552">
        <w:rPr>
          <w:rFonts w:ascii="Arial" w:hAnsi="Arial" w:cs="Arial"/>
          <w:bCs/>
        </w:rPr>
        <w:t>. These changes have brought concerns to the stakeholders on the liquidity resilience, solvency risk and the ability to create future values.</w:t>
      </w:r>
    </w:p>
    <w:p w14:paraId="2E0D020C" w14:textId="77777777" w:rsidR="00F77262" w:rsidRPr="00A05552" w:rsidRDefault="00F77262" w:rsidP="00F77262">
      <w:pPr>
        <w:pStyle w:val="Heading2"/>
        <w:rPr>
          <w:rFonts w:cs="Arial"/>
        </w:rPr>
      </w:pPr>
      <w:bookmarkStart w:id="3" w:name="_Toc217247562"/>
      <w:r w:rsidRPr="00A05552">
        <w:rPr>
          <w:rFonts w:cs="Arial"/>
        </w:rPr>
        <w:t>1.2 Purpose of the rep</w:t>
      </w:r>
      <w:bookmarkStart w:id="4" w:name="_GoBack"/>
      <w:bookmarkEnd w:id="4"/>
      <w:r w:rsidRPr="00A05552">
        <w:rPr>
          <w:rFonts w:cs="Arial"/>
        </w:rPr>
        <w:t>ort</w:t>
      </w:r>
      <w:bookmarkEnd w:id="3"/>
    </w:p>
    <w:p w14:paraId="441463B8" w14:textId="77777777" w:rsidR="00F77262" w:rsidRPr="00A05552" w:rsidRDefault="00F77262" w:rsidP="00F77262">
      <w:pPr>
        <w:rPr>
          <w:rFonts w:ascii="Arial" w:hAnsi="Arial" w:cs="Arial"/>
          <w:bCs/>
        </w:rPr>
      </w:pPr>
      <w:r w:rsidRPr="00A05552">
        <w:rPr>
          <w:rFonts w:ascii="Arial" w:hAnsi="Arial" w:cs="Arial"/>
          <w:bCs/>
        </w:rPr>
        <w:t>This report analyses the financial situation of the company, examines the causes of poor performance and evaluates possible recovery measures. It offers a full health check of the financial health of the company including ratio analysis, trend interpretation and failure prediction measures. It follows up with working capital management and cash-cycle efficiency, followed by provision of restructuring options to protect solvency, and enhance operational flexibility. Lastly, the report evaluates investment projects subject to capital rationing to establish a value-increasing opportunity that fits in the financial limits of the company.</w:t>
      </w:r>
    </w:p>
    <w:p w14:paraId="5D42701F" w14:textId="77777777" w:rsidR="00F77262" w:rsidRPr="00A05552" w:rsidRDefault="00F77262" w:rsidP="00F77262">
      <w:pPr>
        <w:pStyle w:val="Heading2"/>
        <w:rPr>
          <w:rFonts w:cs="Arial"/>
        </w:rPr>
      </w:pPr>
      <w:bookmarkStart w:id="5" w:name="_Toc217247563"/>
      <w:r w:rsidRPr="00A05552">
        <w:rPr>
          <w:rFonts w:cs="Arial"/>
        </w:rPr>
        <w:t>1.3 Source of data and analysis mode.</w:t>
      </w:r>
      <w:bookmarkEnd w:id="5"/>
    </w:p>
    <w:p w14:paraId="026C3FDD" w14:textId="404D1B79" w:rsidR="00B54831" w:rsidRPr="00A05552" w:rsidRDefault="00F77262" w:rsidP="00F77262">
      <w:pPr>
        <w:rPr>
          <w:rFonts w:ascii="Arial" w:hAnsi="Arial" w:cs="Arial"/>
        </w:rPr>
      </w:pPr>
      <w:r w:rsidRPr="00A05552">
        <w:rPr>
          <w:rFonts w:ascii="Arial" w:hAnsi="Arial" w:cs="Arial"/>
          <w:bCs/>
        </w:rPr>
        <w:t>The analysis is based on financial statement information that was taken out of the annual financial statements that are attached in the year 2020-2024. The tools of analysis are profitability, liquidity, efficiency, gearing, investment and cash-flow ratios, Altman Z-Score calculation, working capital and cash conversion ratios, and discounted capital budget tools</w:t>
      </w:r>
      <w:r w:rsidR="001340E3" w:rsidRPr="00A05552">
        <w:rPr>
          <w:rFonts w:ascii="Arial" w:hAnsi="Arial" w:cs="Arial"/>
          <w:bCs/>
        </w:rPr>
        <w:t xml:space="preserve"> (GE Vernova, 2024; General Electric Company, 2020-2023)</w:t>
      </w:r>
      <w:r w:rsidRPr="00A05552">
        <w:rPr>
          <w:rFonts w:ascii="Arial" w:hAnsi="Arial" w:cs="Arial"/>
          <w:bCs/>
        </w:rPr>
        <w:t>. The method involves the use of both quantitative ratio calculations and qualitative interpretation to determine financial resilience and make evidence-based recommendations.</w:t>
      </w:r>
    </w:p>
    <w:p w14:paraId="03F29081" w14:textId="4ADB8C47" w:rsidR="00B54831" w:rsidRPr="00A05552" w:rsidRDefault="006B6F45" w:rsidP="006B6F45">
      <w:pPr>
        <w:pStyle w:val="Heading1"/>
      </w:pPr>
      <w:bookmarkStart w:id="6" w:name="_Toc217247564"/>
      <w:r w:rsidRPr="00A05552">
        <w:lastRenderedPageBreak/>
        <w:t>2. Financial Health Check</w:t>
      </w:r>
      <w:bookmarkEnd w:id="6"/>
    </w:p>
    <w:p w14:paraId="27D57C8F" w14:textId="7AAC0A49" w:rsidR="002C5CF4" w:rsidRPr="00A05552" w:rsidRDefault="002C5CF4" w:rsidP="006B6F45">
      <w:pPr>
        <w:pStyle w:val="Heading2"/>
        <w:rPr>
          <w:rFonts w:cs="Arial"/>
        </w:rPr>
      </w:pPr>
      <w:bookmarkStart w:id="7" w:name="_Toc217247565"/>
      <w:r w:rsidRPr="00A05552">
        <w:rPr>
          <w:rFonts w:cs="Arial"/>
        </w:rPr>
        <w:t>2.1 Financial statement overview</w:t>
      </w:r>
      <w:bookmarkEnd w:id="7"/>
      <w:r w:rsidRPr="00A05552">
        <w:rPr>
          <w:rFonts w:cs="Arial"/>
        </w:rPr>
        <w:t xml:space="preserve"> </w:t>
      </w:r>
    </w:p>
    <w:p w14:paraId="22F6D6CD" w14:textId="4D36CC03" w:rsidR="000123FE" w:rsidRPr="00A05552" w:rsidRDefault="000123FE" w:rsidP="000123FE">
      <w:pPr>
        <w:rPr>
          <w:rFonts w:ascii="Arial" w:hAnsi="Arial" w:cs="Arial"/>
          <w:bCs/>
        </w:rPr>
      </w:pPr>
      <w:r w:rsidRPr="00A05552">
        <w:rPr>
          <w:rFonts w:ascii="Arial" w:hAnsi="Arial" w:cs="Arial"/>
          <w:bCs/>
        </w:rPr>
        <w:t>General Electronics has shifted its small profitability into recurrent and severe losses in a span of five years 20202024. Revenue declined from about £615bn in 2020 to £395bn in 2024, with the sharpest fall between 2022 and 2023, while cost of sales fell more slowly, compressing margins and leading to operating losses in 2023 and 2024. Net income deteriorated from £38.6bn profit in 2020 to losses of £98.2bn and £24.0bn in 2023 and 2024 respectively</w:t>
      </w:r>
      <w:r w:rsidR="001340E3" w:rsidRPr="00A05552">
        <w:rPr>
          <w:rFonts w:ascii="Arial" w:hAnsi="Arial" w:cs="Arial"/>
          <w:bCs/>
        </w:rPr>
        <w:t xml:space="preserve"> (GE Vernova, 2024; General Electric Company, 2020-2023)</w:t>
      </w:r>
      <w:r w:rsidRPr="00A05552">
        <w:rPr>
          <w:rFonts w:ascii="Arial" w:hAnsi="Arial" w:cs="Arial"/>
          <w:bCs/>
        </w:rPr>
        <w:t xml:space="preserve">. </w:t>
      </w:r>
    </w:p>
    <w:p w14:paraId="729B339D" w14:textId="64075E70" w:rsidR="000123FE" w:rsidRPr="00A05552" w:rsidRDefault="000123FE" w:rsidP="000123FE">
      <w:pPr>
        <w:rPr>
          <w:rFonts w:ascii="Arial" w:hAnsi="Arial" w:cs="Arial"/>
          <w:bCs/>
        </w:rPr>
      </w:pPr>
      <w:r w:rsidRPr="00A05552">
        <w:rPr>
          <w:rFonts w:ascii="Arial" w:hAnsi="Arial" w:cs="Arial"/>
          <w:bCs/>
        </w:rPr>
        <w:t>The balance sheet shows total assets shrinking from approximately £510bn to £323bn as property, plant and equipment and inventories are run down, and shareholders’ equity falling from £313bn to £153bn because of accumulated losses. Simultaneously, total liabilities have been relatively flat, which has led to an increase in gearing</w:t>
      </w:r>
      <w:r w:rsidR="001340E3" w:rsidRPr="00A05552">
        <w:rPr>
          <w:rFonts w:ascii="Arial" w:hAnsi="Arial" w:cs="Arial"/>
          <w:bCs/>
        </w:rPr>
        <w:t xml:space="preserve"> (GE Vernova, 2024; General Electric Company, 2020-2023)</w:t>
      </w:r>
      <w:r w:rsidRPr="00A05552">
        <w:rPr>
          <w:rFonts w:ascii="Arial" w:hAnsi="Arial" w:cs="Arial"/>
          <w:bCs/>
        </w:rPr>
        <w:t xml:space="preserve">. </w:t>
      </w:r>
    </w:p>
    <w:p w14:paraId="6F58AFA3" w14:textId="6BFC3025" w:rsidR="002C5CF4" w:rsidRPr="00A05552" w:rsidRDefault="000123FE" w:rsidP="000123FE">
      <w:pPr>
        <w:rPr>
          <w:rFonts w:ascii="Arial" w:hAnsi="Arial" w:cs="Arial"/>
          <w:bCs/>
        </w:rPr>
      </w:pPr>
      <w:r w:rsidRPr="00A05552">
        <w:rPr>
          <w:rFonts w:ascii="Arial" w:hAnsi="Arial" w:cs="Arial"/>
          <w:bCs/>
        </w:rPr>
        <w:t>The statement of cash flows shows a positive, but substantially lower operating cash flow than it was in previous years and the fact that there are large variances in financing cash flows indicates that the company has been heavily dependent on short-term credit lines and buy back of shares over the years. In general, the company stands at a dilapidated yet cash-generating position</w:t>
      </w:r>
      <w:r w:rsidR="001340E3" w:rsidRPr="00A05552">
        <w:rPr>
          <w:rFonts w:ascii="Arial" w:hAnsi="Arial" w:cs="Arial"/>
          <w:bCs/>
        </w:rPr>
        <w:t xml:space="preserve"> (Maher, 2022)</w:t>
      </w:r>
      <w:r w:rsidRPr="00A05552">
        <w:rPr>
          <w:rFonts w:ascii="Arial" w:hAnsi="Arial" w:cs="Arial"/>
          <w:bCs/>
        </w:rPr>
        <w:t xml:space="preserve">. </w:t>
      </w:r>
      <w:r w:rsidR="006B6F45" w:rsidRPr="00A05552">
        <w:rPr>
          <w:rFonts w:ascii="Arial" w:hAnsi="Arial" w:cs="Arial"/>
          <w:bCs/>
        </w:rPr>
        <w:t xml:space="preserve"> </w:t>
      </w:r>
    </w:p>
    <w:p w14:paraId="3856F122" w14:textId="65D83777" w:rsidR="002C5CF4" w:rsidRPr="00A05552" w:rsidRDefault="002C5CF4" w:rsidP="006B6F45">
      <w:pPr>
        <w:pStyle w:val="Heading2"/>
        <w:rPr>
          <w:rFonts w:cs="Arial"/>
        </w:rPr>
      </w:pPr>
      <w:bookmarkStart w:id="8" w:name="_Toc217247566"/>
      <w:r w:rsidRPr="00A05552">
        <w:rPr>
          <w:rFonts w:cs="Arial"/>
        </w:rPr>
        <w:t>2.2 Ratio analysis</w:t>
      </w:r>
      <w:bookmarkEnd w:id="8"/>
      <w:r w:rsidRPr="00A05552">
        <w:rPr>
          <w:rFonts w:cs="Arial"/>
        </w:rPr>
        <w:t xml:space="preserve"> </w:t>
      </w:r>
    </w:p>
    <w:p w14:paraId="7A6D74FF" w14:textId="77777777" w:rsidR="002C5CF4" w:rsidRPr="00A05552" w:rsidRDefault="002C5CF4" w:rsidP="006B6F45">
      <w:pPr>
        <w:pStyle w:val="Heading3"/>
        <w:rPr>
          <w:rFonts w:cs="Arial"/>
        </w:rPr>
      </w:pPr>
      <w:bookmarkStart w:id="9" w:name="_Toc217247567"/>
      <w:r w:rsidRPr="00A05552">
        <w:rPr>
          <w:rFonts w:cs="Arial"/>
        </w:rPr>
        <w:t>2.2.1 Profitability ratios</w:t>
      </w:r>
      <w:bookmarkEnd w:id="9"/>
    </w:p>
    <w:p w14:paraId="542E5E0F" w14:textId="77777777" w:rsidR="002C5CF4" w:rsidRPr="00A05552" w:rsidRDefault="002C5CF4" w:rsidP="002C5CF4">
      <w:pPr>
        <w:rPr>
          <w:rFonts w:ascii="Arial" w:hAnsi="Arial" w:cs="Arial"/>
          <w:bCs/>
        </w:rPr>
      </w:pPr>
      <w:r w:rsidRPr="00A05552">
        <w:rPr>
          <w:rFonts w:ascii="Arial" w:hAnsi="Arial" w:cs="Arial"/>
          <w:b/>
          <w:bCs/>
        </w:rPr>
        <w:t>Table 1: Profitability ratios 2020–2024</w:t>
      </w:r>
    </w:p>
    <w:tbl>
      <w:tblPr>
        <w:tblStyle w:val="GridTable5Dark-Accent5"/>
        <w:tblW w:w="0" w:type="auto"/>
        <w:tblLook w:val="04A0" w:firstRow="1" w:lastRow="0" w:firstColumn="1" w:lastColumn="0" w:noHBand="0" w:noVBand="1"/>
      </w:tblPr>
      <w:tblGrid>
        <w:gridCol w:w="1731"/>
        <w:gridCol w:w="1521"/>
        <w:gridCol w:w="1521"/>
        <w:gridCol w:w="1521"/>
        <w:gridCol w:w="1528"/>
        <w:gridCol w:w="1528"/>
      </w:tblGrid>
      <w:tr w:rsidR="002C5CF4" w:rsidRPr="00A05552" w14:paraId="7C11860B" w14:textId="77777777" w:rsidTr="002C5C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DB565F"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Ratio</w:t>
            </w:r>
          </w:p>
        </w:tc>
        <w:tc>
          <w:tcPr>
            <w:tcW w:w="0" w:type="auto"/>
            <w:hideMark/>
          </w:tcPr>
          <w:p w14:paraId="268D23B9"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2020</w:t>
            </w:r>
          </w:p>
        </w:tc>
        <w:tc>
          <w:tcPr>
            <w:tcW w:w="0" w:type="auto"/>
            <w:hideMark/>
          </w:tcPr>
          <w:p w14:paraId="0FA0464E"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2021</w:t>
            </w:r>
          </w:p>
        </w:tc>
        <w:tc>
          <w:tcPr>
            <w:tcW w:w="0" w:type="auto"/>
            <w:hideMark/>
          </w:tcPr>
          <w:p w14:paraId="12B5C680"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2022</w:t>
            </w:r>
          </w:p>
        </w:tc>
        <w:tc>
          <w:tcPr>
            <w:tcW w:w="0" w:type="auto"/>
            <w:hideMark/>
          </w:tcPr>
          <w:p w14:paraId="628CDDC3"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2023</w:t>
            </w:r>
          </w:p>
        </w:tc>
        <w:tc>
          <w:tcPr>
            <w:tcW w:w="0" w:type="auto"/>
            <w:hideMark/>
          </w:tcPr>
          <w:p w14:paraId="512463B2"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2024</w:t>
            </w:r>
          </w:p>
        </w:tc>
      </w:tr>
      <w:tr w:rsidR="002C5CF4" w:rsidRPr="00A05552" w14:paraId="4A33A95E" w14:textId="77777777" w:rsidTr="002C5C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5040CB"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Gross profit margin (%)</w:t>
            </w:r>
          </w:p>
        </w:tc>
        <w:tc>
          <w:tcPr>
            <w:tcW w:w="0" w:type="auto"/>
            <w:hideMark/>
          </w:tcPr>
          <w:p w14:paraId="6CD27BB1"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176,256 / 614,680 = 28.7%</w:t>
            </w:r>
          </w:p>
        </w:tc>
        <w:tc>
          <w:tcPr>
            <w:tcW w:w="0" w:type="auto"/>
            <w:hideMark/>
          </w:tcPr>
          <w:p w14:paraId="61E02E3C"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173,016 / 601,602 = 28.8%</w:t>
            </w:r>
          </w:p>
        </w:tc>
        <w:tc>
          <w:tcPr>
            <w:tcW w:w="0" w:type="auto"/>
            <w:hideMark/>
          </w:tcPr>
          <w:p w14:paraId="705A943A"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152,292 / 542,751 = 28.1%</w:t>
            </w:r>
          </w:p>
        </w:tc>
        <w:tc>
          <w:tcPr>
            <w:tcW w:w="0" w:type="auto"/>
            <w:hideMark/>
          </w:tcPr>
          <w:p w14:paraId="5DF56C81"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97,560 / 420,457 = 23.2%</w:t>
            </w:r>
          </w:p>
        </w:tc>
        <w:tc>
          <w:tcPr>
            <w:tcW w:w="0" w:type="auto"/>
            <w:hideMark/>
          </w:tcPr>
          <w:p w14:paraId="2B507F62"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113,994 / 394,879 = 28.9%</w:t>
            </w:r>
          </w:p>
        </w:tc>
      </w:tr>
      <w:tr w:rsidR="002C5CF4" w:rsidRPr="00A05552" w14:paraId="31ADD008" w14:textId="77777777" w:rsidTr="002C5CF4">
        <w:tc>
          <w:tcPr>
            <w:cnfStyle w:val="001000000000" w:firstRow="0" w:lastRow="0" w:firstColumn="1" w:lastColumn="0" w:oddVBand="0" w:evenVBand="0" w:oddHBand="0" w:evenHBand="0" w:firstRowFirstColumn="0" w:firstRowLastColumn="0" w:lastRowFirstColumn="0" w:lastRowLastColumn="0"/>
            <w:tcW w:w="0" w:type="auto"/>
            <w:hideMark/>
          </w:tcPr>
          <w:p w14:paraId="3AF56207"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Operating profit margin (%)</w:t>
            </w:r>
          </w:p>
        </w:tc>
        <w:tc>
          <w:tcPr>
            <w:tcW w:w="0" w:type="auto"/>
            <w:hideMark/>
          </w:tcPr>
          <w:p w14:paraId="72BE6914"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37,267 / 614,680 = 6.1%</w:t>
            </w:r>
          </w:p>
        </w:tc>
        <w:tc>
          <w:tcPr>
            <w:tcW w:w="0" w:type="auto"/>
            <w:hideMark/>
          </w:tcPr>
          <w:p w14:paraId="0DD2097F"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23,253 / 601,602 = 3.9%</w:t>
            </w:r>
          </w:p>
        </w:tc>
        <w:tc>
          <w:tcPr>
            <w:tcW w:w="0" w:type="auto"/>
            <w:hideMark/>
          </w:tcPr>
          <w:p w14:paraId="4DC30FE6"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14,548 / 542,751 = 2.7%</w:t>
            </w:r>
          </w:p>
        </w:tc>
        <w:tc>
          <w:tcPr>
            <w:tcW w:w="0" w:type="auto"/>
            <w:hideMark/>
          </w:tcPr>
          <w:p w14:paraId="4F45BE53"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-85,301 / 420,457 = -20.3%</w:t>
            </w:r>
          </w:p>
        </w:tc>
        <w:tc>
          <w:tcPr>
            <w:tcW w:w="0" w:type="auto"/>
            <w:hideMark/>
          </w:tcPr>
          <w:p w14:paraId="41A352D7"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-15,297 / 394,879 = -3.9%</w:t>
            </w:r>
          </w:p>
        </w:tc>
      </w:tr>
      <w:tr w:rsidR="002C5CF4" w:rsidRPr="00A05552" w14:paraId="3D982E39" w14:textId="77777777" w:rsidTr="002C5C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129925"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lastRenderedPageBreak/>
              <w:t>Net profit margin (%)</w:t>
            </w:r>
          </w:p>
        </w:tc>
        <w:tc>
          <w:tcPr>
            <w:tcW w:w="0" w:type="auto"/>
            <w:hideMark/>
          </w:tcPr>
          <w:p w14:paraId="088A2345"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38,572 / 614,680 = 6.3%</w:t>
            </w:r>
          </w:p>
        </w:tc>
        <w:tc>
          <w:tcPr>
            <w:tcW w:w="0" w:type="auto"/>
            <w:hideMark/>
          </w:tcPr>
          <w:p w14:paraId="3677C73D"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5,301 / 601,602 = 0.9%</w:t>
            </w:r>
          </w:p>
        </w:tc>
        <w:tc>
          <w:tcPr>
            <w:tcW w:w="0" w:type="auto"/>
            <w:hideMark/>
          </w:tcPr>
          <w:p w14:paraId="2C233957"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407 / 542,751 = 0.1%</w:t>
            </w:r>
          </w:p>
        </w:tc>
        <w:tc>
          <w:tcPr>
            <w:tcW w:w="0" w:type="auto"/>
            <w:hideMark/>
          </w:tcPr>
          <w:p w14:paraId="5E5B91B3"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-98,238 / 420,457 = -23.4%</w:t>
            </w:r>
          </w:p>
        </w:tc>
        <w:tc>
          <w:tcPr>
            <w:tcW w:w="0" w:type="auto"/>
            <w:hideMark/>
          </w:tcPr>
          <w:p w14:paraId="79F16AB9"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-24,029 / 394,879 = -6.1%</w:t>
            </w:r>
          </w:p>
        </w:tc>
      </w:tr>
      <w:tr w:rsidR="002C5CF4" w:rsidRPr="00A05552" w14:paraId="479051DB" w14:textId="77777777" w:rsidTr="002C5CF4">
        <w:tc>
          <w:tcPr>
            <w:cnfStyle w:val="001000000000" w:firstRow="0" w:lastRow="0" w:firstColumn="1" w:lastColumn="0" w:oddVBand="0" w:evenVBand="0" w:oddHBand="0" w:evenHBand="0" w:firstRowFirstColumn="0" w:firstRowLastColumn="0" w:lastRowFirstColumn="0" w:lastRowLastColumn="0"/>
            <w:tcW w:w="0" w:type="auto"/>
            <w:hideMark/>
          </w:tcPr>
          <w:p w14:paraId="123213A8"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Return on assets (%)</w:t>
            </w:r>
          </w:p>
        </w:tc>
        <w:tc>
          <w:tcPr>
            <w:tcW w:w="0" w:type="auto"/>
            <w:hideMark/>
          </w:tcPr>
          <w:p w14:paraId="2628CA6E"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38,572 / 510,290 = 7.6%</w:t>
            </w:r>
          </w:p>
        </w:tc>
        <w:tc>
          <w:tcPr>
            <w:tcW w:w="0" w:type="auto"/>
            <w:hideMark/>
          </w:tcPr>
          <w:p w14:paraId="05EAB2DC"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5,301 / 510,348 = 1.0%</w:t>
            </w:r>
          </w:p>
        </w:tc>
        <w:tc>
          <w:tcPr>
            <w:tcW w:w="0" w:type="auto"/>
            <w:hideMark/>
          </w:tcPr>
          <w:p w14:paraId="17DC4DAF"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407 / 504,163 = 0.1%</w:t>
            </w:r>
          </w:p>
        </w:tc>
        <w:tc>
          <w:tcPr>
            <w:tcW w:w="0" w:type="auto"/>
            <w:hideMark/>
          </w:tcPr>
          <w:p w14:paraId="799CE90B"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-98,238 / 355,872 = -27.6%</w:t>
            </w:r>
          </w:p>
        </w:tc>
        <w:tc>
          <w:tcPr>
            <w:tcW w:w="0" w:type="auto"/>
            <w:hideMark/>
          </w:tcPr>
          <w:p w14:paraId="13A54D39"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-24,029 / 323,354 = -7.4%</w:t>
            </w:r>
          </w:p>
        </w:tc>
      </w:tr>
      <w:tr w:rsidR="002C5CF4" w:rsidRPr="00A05552" w14:paraId="3A18ADE3" w14:textId="77777777" w:rsidTr="002C5C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A129B6"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Return on equity (%)</w:t>
            </w:r>
          </w:p>
        </w:tc>
        <w:tc>
          <w:tcPr>
            <w:tcW w:w="0" w:type="auto"/>
            <w:hideMark/>
          </w:tcPr>
          <w:p w14:paraId="6FC9D4DA"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38,572 / 313,301 = 12.3%</w:t>
            </w:r>
          </w:p>
        </w:tc>
        <w:tc>
          <w:tcPr>
            <w:tcW w:w="0" w:type="auto"/>
            <w:hideMark/>
          </w:tcPr>
          <w:p w14:paraId="2CF78FB4"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5,301 / 275,949 = 1.9%</w:t>
            </w:r>
          </w:p>
        </w:tc>
        <w:tc>
          <w:tcPr>
            <w:tcW w:w="0" w:type="auto"/>
            <w:hideMark/>
          </w:tcPr>
          <w:p w14:paraId="3050C46F"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407 / 268,406 = 0.2%</w:t>
            </w:r>
          </w:p>
        </w:tc>
        <w:tc>
          <w:tcPr>
            <w:tcW w:w="0" w:type="auto"/>
            <w:hideMark/>
          </w:tcPr>
          <w:p w14:paraId="258C9A36"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-98,238 / 178,920 = -54.9%</w:t>
            </w:r>
          </w:p>
        </w:tc>
        <w:tc>
          <w:tcPr>
            <w:tcW w:w="0" w:type="auto"/>
            <w:hideMark/>
          </w:tcPr>
          <w:p w14:paraId="1E04D2D3"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-24,029 / 153,105 = -15.7%</w:t>
            </w:r>
          </w:p>
        </w:tc>
      </w:tr>
    </w:tbl>
    <w:p w14:paraId="22A8D303" w14:textId="265D9EE9" w:rsidR="006B6F45" w:rsidRPr="00A05552" w:rsidRDefault="006B6F45" w:rsidP="002C5CF4">
      <w:pPr>
        <w:rPr>
          <w:rFonts w:ascii="Arial" w:hAnsi="Arial" w:cs="Arial"/>
          <w:bCs/>
        </w:rPr>
      </w:pPr>
      <w:r w:rsidRPr="00A05552">
        <w:rPr>
          <w:rFonts w:ascii="Arial" w:hAnsi="Arial" w:cs="Arial"/>
          <w:bCs/>
        </w:rPr>
        <w:t xml:space="preserve">Source: </w:t>
      </w:r>
      <w:r w:rsidR="00504CE9" w:rsidRPr="00A05552">
        <w:rPr>
          <w:rFonts w:ascii="Arial" w:hAnsi="Arial" w:cs="Arial"/>
          <w:bCs/>
        </w:rPr>
        <w:t>(GE Vernova, 2024; General Electric Company, 2020-2023)</w:t>
      </w:r>
    </w:p>
    <w:p w14:paraId="616FD14E" w14:textId="6BF43A93" w:rsidR="000123FE" w:rsidRPr="00A05552" w:rsidRDefault="000123FE" w:rsidP="000123FE">
      <w:pPr>
        <w:rPr>
          <w:rFonts w:ascii="Arial" w:hAnsi="Arial" w:cs="Arial"/>
          <w:bCs/>
        </w:rPr>
      </w:pPr>
      <w:r w:rsidRPr="00A05552">
        <w:rPr>
          <w:rFonts w:ascii="Arial" w:hAnsi="Arial" w:cs="Arial"/>
          <w:bCs/>
        </w:rPr>
        <w:t>The gross margins remained constant at approximately 28-29 percent during the period between 2020 and 2022, which means that the core product cost structure was initially under control. This severe decline to 23.2 percent in 2023 is associated with the collapse in revenue and is likely to be discounting or unfavourable product mix or input cost pressure unable to be reflected to the customer</w:t>
      </w:r>
      <w:r w:rsidR="001340E3" w:rsidRPr="00A05552">
        <w:rPr>
          <w:rFonts w:ascii="Arial" w:hAnsi="Arial" w:cs="Arial"/>
          <w:bCs/>
        </w:rPr>
        <w:t xml:space="preserve"> (GE Vernova, 2024)</w:t>
      </w:r>
      <w:r w:rsidRPr="00A05552">
        <w:rPr>
          <w:rFonts w:ascii="Arial" w:hAnsi="Arial" w:cs="Arial"/>
          <w:bCs/>
        </w:rPr>
        <w:t>. The regaining of the gross margin in 2024 even with weak sales still suggests that there is success in cost of sales management or portfolio rationalisation but this has not gone to the profitability at operating level.</w:t>
      </w:r>
    </w:p>
    <w:p w14:paraId="19BD7FB9" w14:textId="54F5C079" w:rsidR="000123FE" w:rsidRPr="00A05552" w:rsidRDefault="000123FE" w:rsidP="000123FE">
      <w:pPr>
        <w:rPr>
          <w:rFonts w:ascii="Arial" w:hAnsi="Arial" w:cs="Arial"/>
          <w:bCs/>
        </w:rPr>
      </w:pPr>
      <w:r w:rsidRPr="00A05552">
        <w:rPr>
          <w:rFonts w:ascii="Arial" w:hAnsi="Arial" w:cs="Arial"/>
          <w:bCs/>
        </w:rPr>
        <w:t xml:space="preserve">The operating margins demonstrate the slow erosion of the margins between 6.1 percent in 2020 and 2.7 </w:t>
      </w:r>
      <w:r w:rsidR="007E7EC6" w:rsidRPr="00A05552">
        <w:rPr>
          <w:rFonts w:ascii="Arial" w:hAnsi="Arial" w:cs="Arial"/>
          <w:bCs/>
        </w:rPr>
        <w:t>percent</w:t>
      </w:r>
      <w:r w:rsidRPr="00A05552">
        <w:rPr>
          <w:rFonts w:ascii="Arial" w:hAnsi="Arial" w:cs="Arial"/>
          <w:bCs/>
        </w:rPr>
        <w:t xml:space="preserve"> in 2022 after which it becomes sharply negative in 2023 and stays negative in 2024</w:t>
      </w:r>
      <w:r w:rsidR="001340E3" w:rsidRPr="00A05552">
        <w:rPr>
          <w:rFonts w:ascii="Arial" w:hAnsi="Arial" w:cs="Arial"/>
          <w:bCs/>
        </w:rPr>
        <w:t xml:space="preserve"> (GE Vernova, 2024; General Electric Company, 2020-2023)</w:t>
      </w:r>
      <w:r w:rsidRPr="00A05552">
        <w:rPr>
          <w:rFonts w:ascii="Arial" w:hAnsi="Arial" w:cs="Arial"/>
          <w:bCs/>
        </w:rPr>
        <w:t>. This trend shows that operating costs were not responding swiftly to the decreasing revenue base, and that 2023 specifically reflected bulky restructuring expenses or impairment expenses in line with the high operating loss that was reported. Net margins also exhibit the same trend but are even worse, as in 2023 and 2024, the company registered a net loss of more than 23 percent and 6 percent of the sales respectively, wiping away shareholder value in the past two years</w:t>
      </w:r>
      <w:r w:rsidR="001340E3" w:rsidRPr="00A05552">
        <w:rPr>
          <w:rFonts w:ascii="Arial" w:hAnsi="Arial" w:cs="Arial"/>
          <w:bCs/>
        </w:rPr>
        <w:t xml:space="preserve"> (GE Vernova, 2024; General Electric Company, 2020-2023)</w:t>
      </w:r>
      <w:r w:rsidRPr="00A05552">
        <w:rPr>
          <w:rFonts w:ascii="Arial" w:hAnsi="Arial" w:cs="Arial"/>
          <w:bCs/>
        </w:rPr>
        <w:t>.</w:t>
      </w:r>
    </w:p>
    <w:p w14:paraId="44C46F17" w14:textId="764AA5C6" w:rsidR="002C5CF4" w:rsidRPr="00A05552" w:rsidRDefault="000123FE" w:rsidP="000123FE">
      <w:pPr>
        <w:rPr>
          <w:rFonts w:ascii="Arial" w:hAnsi="Arial" w:cs="Arial"/>
          <w:bCs/>
        </w:rPr>
      </w:pPr>
      <w:r w:rsidRPr="00A05552">
        <w:rPr>
          <w:rFonts w:ascii="Arial" w:hAnsi="Arial" w:cs="Arial"/>
          <w:bCs/>
        </w:rPr>
        <w:t xml:space="preserve">The deterioration in the margin is reflected in returns on assets and equity. ROA declines to a normal 7.6 </w:t>
      </w:r>
      <w:r w:rsidR="007E7EC6" w:rsidRPr="00A05552">
        <w:rPr>
          <w:rFonts w:ascii="Arial" w:hAnsi="Arial" w:cs="Arial"/>
          <w:bCs/>
        </w:rPr>
        <w:t>percent</w:t>
      </w:r>
      <w:r w:rsidRPr="00A05552">
        <w:rPr>
          <w:rFonts w:ascii="Arial" w:hAnsi="Arial" w:cs="Arial"/>
          <w:bCs/>
        </w:rPr>
        <w:t xml:space="preserve"> in 2020 to insignificant figures in 2022 and becomes negative in </w:t>
      </w:r>
      <w:r w:rsidRPr="00A05552">
        <w:rPr>
          <w:rFonts w:ascii="Arial" w:hAnsi="Arial" w:cs="Arial"/>
          <w:bCs/>
        </w:rPr>
        <w:lastRenderedPageBreak/>
        <w:t>2023-2024. ROE falls to negative levels as high as -55 percent in 2023 as the losses come to the detriment of equity. These ratios confirm that the company is no longer in the value-creating but in the value-destroying performance and that profitability revival is the focal turnover issue</w:t>
      </w:r>
      <w:r w:rsidR="001340E3" w:rsidRPr="00A05552">
        <w:rPr>
          <w:rFonts w:ascii="Arial" w:hAnsi="Arial" w:cs="Arial"/>
          <w:bCs/>
        </w:rPr>
        <w:t xml:space="preserve"> (GE Vernova, 2024; General Electric Company, 2020-2023)</w:t>
      </w:r>
      <w:r w:rsidRPr="00A05552">
        <w:rPr>
          <w:rFonts w:ascii="Arial" w:hAnsi="Arial" w:cs="Arial"/>
          <w:bCs/>
        </w:rPr>
        <w:t>.</w:t>
      </w:r>
    </w:p>
    <w:p w14:paraId="3EE6AC62" w14:textId="77777777" w:rsidR="002C5CF4" w:rsidRPr="00A05552" w:rsidRDefault="002C5CF4" w:rsidP="006B6F45">
      <w:pPr>
        <w:pStyle w:val="Heading3"/>
        <w:rPr>
          <w:rFonts w:cs="Arial"/>
        </w:rPr>
      </w:pPr>
      <w:bookmarkStart w:id="10" w:name="_Toc217247568"/>
      <w:r w:rsidRPr="00A05552">
        <w:rPr>
          <w:rFonts w:cs="Arial"/>
        </w:rPr>
        <w:t>2.2.2 Liquidity ratios</w:t>
      </w:r>
      <w:bookmarkEnd w:id="10"/>
    </w:p>
    <w:p w14:paraId="326FFC13" w14:textId="77777777" w:rsidR="002C5CF4" w:rsidRPr="00A05552" w:rsidRDefault="002C5CF4" w:rsidP="002C5CF4">
      <w:pPr>
        <w:rPr>
          <w:rFonts w:ascii="Arial" w:hAnsi="Arial" w:cs="Arial"/>
          <w:bCs/>
        </w:rPr>
      </w:pPr>
      <w:r w:rsidRPr="00A05552">
        <w:rPr>
          <w:rFonts w:ascii="Arial" w:hAnsi="Arial" w:cs="Arial"/>
          <w:b/>
          <w:bCs/>
        </w:rPr>
        <w:t>Table 2: Liquidity ratios 2020–2024</w:t>
      </w:r>
    </w:p>
    <w:tbl>
      <w:tblPr>
        <w:tblStyle w:val="GridTable5Dark-Accent5"/>
        <w:tblW w:w="0" w:type="auto"/>
        <w:tblLook w:val="04A0" w:firstRow="1" w:lastRow="0" w:firstColumn="1" w:lastColumn="0" w:noHBand="0" w:noVBand="1"/>
      </w:tblPr>
      <w:tblGrid>
        <w:gridCol w:w="1306"/>
        <w:gridCol w:w="1620"/>
        <w:gridCol w:w="1620"/>
        <w:gridCol w:w="1620"/>
        <w:gridCol w:w="1592"/>
        <w:gridCol w:w="1592"/>
      </w:tblGrid>
      <w:tr w:rsidR="002C5CF4" w:rsidRPr="00A05552" w14:paraId="3D198796" w14:textId="77777777" w:rsidTr="002C5C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2641E4"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Ratio</w:t>
            </w:r>
          </w:p>
        </w:tc>
        <w:tc>
          <w:tcPr>
            <w:tcW w:w="0" w:type="auto"/>
            <w:hideMark/>
          </w:tcPr>
          <w:p w14:paraId="0FBA8B44"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2020</w:t>
            </w:r>
          </w:p>
        </w:tc>
        <w:tc>
          <w:tcPr>
            <w:tcW w:w="0" w:type="auto"/>
            <w:hideMark/>
          </w:tcPr>
          <w:p w14:paraId="027D7577"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2021</w:t>
            </w:r>
          </w:p>
        </w:tc>
        <w:tc>
          <w:tcPr>
            <w:tcW w:w="0" w:type="auto"/>
            <w:hideMark/>
          </w:tcPr>
          <w:p w14:paraId="22100DD4"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2022</w:t>
            </w:r>
          </w:p>
        </w:tc>
        <w:tc>
          <w:tcPr>
            <w:tcW w:w="0" w:type="auto"/>
            <w:hideMark/>
          </w:tcPr>
          <w:p w14:paraId="5CEF4F50"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2023</w:t>
            </w:r>
          </w:p>
        </w:tc>
        <w:tc>
          <w:tcPr>
            <w:tcW w:w="0" w:type="auto"/>
            <w:hideMark/>
          </w:tcPr>
          <w:p w14:paraId="63C2A3FA"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2024</w:t>
            </w:r>
          </w:p>
        </w:tc>
      </w:tr>
      <w:tr w:rsidR="002C5CF4" w:rsidRPr="00A05552" w14:paraId="5855C859" w14:textId="77777777" w:rsidTr="002C5C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735033"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Current ratio (times)</w:t>
            </w:r>
          </w:p>
        </w:tc>
        <w:tc>
          <w:tcPr>
            <w:tcW w:w="0" w:type="auto"/>
            <w:hideMark/>
          </w:tcPr>
          <w:p w14:paraId="3DD86BAD"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326,843 / 179,510 = 1.82</w:t>
            </w:r>
          </w:p>
        </w:tc>
        <w:tc>
          <w:tcPr>
            <w:tcW w:w="0" w:type="auto"/>
            <w:hideMark/>
          </w:tcPr>
          <w:p w14:paraId="32A799B3"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337,146 / 216,787 = 1.56</w:t>
            </w:r>
          </w:p>
        </w:tc>
        <w:tc>
          <w:tcPr>
            <w:tcW w:w="0" w:type="auto"/>
            <w:hideMark/>
          </w:tcPr>
          <w:p w14:paraId="62C0374D"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338,040 / 216,473 = 1.56</w:t>
            </w:r>
          </w:p>
        </w:tc>
        <w:tc>
          <w:tcPr>
            <w:tcW w:w="0" w:type="auto"/>
            <w:hideMark/>
          </w:tcPr>
          <w:p w14:paraId="0316658F"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258,851 / 161,148 = 1.61</w:t>
            </w:r>
          </w:p>
        </w:tc>
        <w:tc>
          <w:tcPr>
            <w:tcW w:w="0" w:type="auto"/>
            <w:hideMark/>
          </w:tcPr>
          <w:p w14:paraId="0D42D799"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242,494 / 158,291 = 1.53</w:t>
            </w:r>
          </w:p>
        </w:tc>
      </w:tr>
      <w:tr w:rsidR="002C5CF4" w:rsidRPr="00A05552" w14:paraId="61E58155" w14:textId="77777777" w:rsidTr="002C5CF4">
        <w:tc>
          <w:tcPr>
            <w:cnfStyle w:val="001000000000" w:firstRow="0" w:lastRow="0" w:firstColumn="1" w:lastColumn="0" w:oddVBand="0" w:evenVBand="0" w:oddHBand="0" w:evenHBand="0" w:firstRowFirstColumn="0" w:firstRowLastColumn="0" w:lastRowFirstColumn="0" w:lastRowLastColumn="0"/>
            <w:tcW w:w="0" w:type="auto"/>
            <w:hideMark/>
          </w:tcPr>
          <w:p w14:paraId="6DF3DEE7"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Quick ratio (times)</w:t>
            </w:r>
          </w:p>
        </w:tc>
        <w:tc>
          <w:tcPr>
            <w:tcW w:w="0" w:type="auto"/>
            <w:hideMark/>
          </w:tcPr>
          <w:p w14:paraId="3FBB3A01"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(326,843 - 120,430) / 179,510 = 1.15</w:t>
            </w:r>
          </w:p>
        </w:tc>
        <w:tc>
          <w:tcPr>
            <w:tcW w:w="0" w:type="auto"/>
            <w:hideMark/>
          </w:tcPr>
          <w:p w14:paraId="0CAD1C65"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(337,146 - 134,469) / 216,787 = 0.93</w:t>
            </w:r>
          </w:p>
        </w:tc>
        <w:tc>
          <w:tcPr>
            <w:tcW w:w="0" w:type="auto"/>
            <w:hideMark/>
          </w:tcPr>
          <w:p w14:paraId="682714F9"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(338,040 - 140,181) / 216,473 = 0.91</w:t>
            </w:r>
          </w:p>
        </w:tc>
        <w:tc>
          <w:tcPr>
            <w:tcW w:w="0" w:type="auto"/>
            <w:hideMark/>
          </w:tcPr>
          <w:p w14:paraId="3E5C7CD5"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(258,851 - 88,273) / 161,148 = 1.06</w:t>
            </w:r>
          </w:p>
        </w:tc>
        <w:tc>
          <w:tcPr>
            <w:tcW w:w="0" w:type="auto"/>
            <w:hideMark/>
          </w:tcPr>
          <w:p w14:paraId="7D2DD230"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(242,494 - 79,355) / 158,291 = 1.03</w:t>
            </w:r>
          </w:p>
        </w:tc>
      </w:tr>
      <w:tr w:rsidR="002C5CF4" w:rsidRPr="00A05552" w14:paraId="0CA71B2D" w14:textId="77777777" w:rsidTr="002C5C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9F8A7F"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Working capital (£m)</w:t>
            </w:r>
          </w:p>
        </w:tc>
        <w:tc>
          <w:tcPr>
            <w:tcW w:w="0" w:type="auto"/>
            <w:hideMark/>
          </w:tcPr>
          <w:p w14:paraId="4F910433"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326,843 - 179,510 = 147,333</w:t>
            </w:r>
          </w:p>
        </w:tc>
        <w:tc>
          <w:tcPr>
            <w:tcW w:w="0" w:type="auto"/>
            <w:hideMark/>
          </w:tcPr>
          <w:p w14:paraId="095AFF1C"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337,146 - 216,787 = 120,359</w:t>
            </w:r>
          </w:p>
        </w:tc>
        <w:tc>
          <w:tcPr>
            <w:tcW w:w="0" w:type="auto"/>
            <w:hideMark/>
          </w:tcPr>
          <w:p w14:paraId="02F97BD7"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338,040 - 216,473 = 121,567</w:t>
            </w:r>
          </w:p>
        </w:tc>
        <w:tc>
          <w:tcPr>
            <w:tcW w:w="0" w:type="auto"/>
            <w:hideMark/>
          </w:tcPr>
          <w:p w14:paraId="38109018"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258,851 - 161,148 = 97,703</w:t>
            </w:r>
          </w:p>
        </w:tc>
        <w:tc>
          <w:tcPr>
            <w:tcW w:w="0" w:type="auto"/>
            <w:hideMark/>
          </w:tcPr>
          <w:p w14:paraId="6E74A9E8"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242,494 - 158,291 = 84,203</w:t>
            </w:r>
          </w:p>
        </w:tc>
      </w:tr>
    </w:tbl>
    <w:p w14:paraId="0B4B5C64" w14:textId="6B21C89C" w:rsidR="006B6F45" w:rsidRPr="00A05552" w:rsidRDefault="006B6F45" w:rsidP="002C5CF4">
      <w:pPr>
        <w:rPr>
          <w:rFonts w:ascii="Arial" w:hAnsi="Arial" w:cs="Arial"/>
          <w:bCs/>
        </w:rPr>
      </w:pPr>
      <w:r w:rsidRPr="00A05552">
        <w:rPr>
          <w:rFonts w:ascii="Arial" w:hAnsi="Arial" w:cs="Arial"/>
          <w:bCs/>
        </w:rPr>
        <w:t xml:space="preserve">Source: </w:t>
      </w:r>
      <w:r w:rsidR="00504CE9" w:rsidRPr="00A05552">
        <w:rPr>
          <w:rFonts w:ascii="Arial" w:hAnsi="Arial" w:cs="Arial"/>
          <w:bCs/>
        </w:rPr>
        <w:t>(GE Vernova, 2024; General Electric Company, 2020-2023)</w:t>
      </w:r>
    </w:p>
    <w:p w14:paraId="47AFAA1E" w14:textId="70E054E6" w:rsidR="002C5CF4" w:rsidRPr="00A05552" w:rsidRDefault="000123FE" w:rsidP="002C5CF4">
      <w:pPr>
        <w:rPr>
          <w:rFonts w:ascii="Arial" w:hAnsi="Arial" w:cs="Arial"/>
          <w:bCs/>
        </w:rPr>
      </w:pPr>
      <w:r w:rsidRPr="00A05552">
        <w:rPr>
          <w:rFonts w:ascii="Arial" w:hAnsi="Arial" w:cs="Arial"/>
          <w:bCs/>
        </w:rPr>
        <w:t>The current ratio has deteriorated over the years compared to 1.82 in 2020 with current assets being reduced at a rate higher than that of current liabilities and thus the current ratio is currently at 1.53. The quick ratios have dropped to less than one in 2021 and 2022, which means that short-term obligations momentarily surpassed liquid assets after the inventories are not considered. Despite the fact that the quick ratio has improved slightly above one since 2023, this can be explained by the fact that this improvement was partly as a result of decreased inventory and not high growth of cash or receivables. Working capital in absolute terms has contracted by roughly £63bn since 2020, signalling a tightening liquidity buffer. All these signs are pointing to the fact that the firm is not illiquid yet but it does not have much room to face additional shocks unless it starts to actively manage working capital</w:t>
      </w:r>
      <w:r w:rsidR="001340E3" w:rsidRPr="00A05552">
        <w:rPr>
          <w:rFonts w:ascii="Arial" w:hAnsi="Arial" w:cs="Arial"/>
          <w:bCs/>
        </w:rPr>
        <w:t xml:space="preserve"> (GE Vernova, 2024; General Electric Company, 2020-2023)</w:t>
      </w:r>
      <w:r w:rsidRPr="00A05552">
        <w:rPr>
          <w:rFonts w:ascii="Arial" w:hAnsi="Arial" w:cs="Arial"/>
          <w:bCs/>
        </w:rPr>
        <w:t>.</w:t>
      </w:r>
    </w:p>
    <w:p w14:paraId="391E144C" w14:textId="77777777" w:rsidR="002C5CF4" w:rsidRPr="00A05552" w:rsidRDefault="002C5CF4" w:rsidP="006B6F45">
      <w:pPr>
        <w:pStyle w:val="Heading3"/>
        <w:rPr>
          <w:rFonts w:cs="Arial"/>
        </w:rPr>
      </w:pPr>
      <w:bookmarkStart w:id="11" w:name="_Toc217247569"/>
      <w:r w:rsidRPr="00A05552">
        <w:rPr>
          <w:rFonts w:cs="Arial"/>
        </w:rPr>
        <w:lastRenderedPageBreak/>
        <w:t>2.2.3 Efficiency ratios</w:t>
      </w:r>
      <w:bookmarkEnd w:id="11"/>
    </w:p>
    <w:p w14:paraId="51FD7875" w14:textId="77777777" w:rsidR="002C5CF4" w:rsidRPr="00A05552" w:rsidRDefault="002C5CF4" w:rsidP="002C5CF4">
      <w:pPr>
        <w:rPr>
          <w:rFonts w:ascii="Arial" w:hAnsi="Arial" w:cs="Arial"/>
          <w:bCs/>
        </w:rPr>
      </w:pPr>
      <w:r w:rsidRPr="00A05552">
        <w:rPr>
          <w:rFonts w:ascii="Arial" w:hAnsi="Arial" w:cs="Arial"/>
          <w:b/>
          <w:bCs/>
        </w:rPr>
        <w:t>Table 3: Efficiency ratios 2020–2024</w:t>
      </w:r>
    </w:p>
    <w:tbl>
      <w:tblPr>
        <w:tblStyle w:val="GridTable5Dark-Accent5"/>
        <w:tblW w:w="0" w:type="auto"/>
        <w:tblLook w:val="04A0" w:firstRow="1" w:lastRow="0" w:firstColumn="1" w:lastColumn="0" w:noHBand="0" w:noVBand="1"/>
      </w:tblPr>
      <w:tblGrid>
        <w:gridCol w:w="1625"/>
        <w:gridCol w:w="1550"/>
        <w:gridCol w:w="1550"/>
        <w:gridCol w:w="1550"/>
        <w:gridCol w:w="1525"/>
        <w:gridCol w:w="1550"/>
      </w:tblGrid>
      <w:tr w:rsidR="002C5CF4" w:rsidRPr="00A05552" w14:paraId="630DB848" w14:textId="77777777" w:rsidTr="002C5C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02F9F9"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Ratio</w:t>
            </w:r>
          </w:p>
        </w:tc>
        <w:tc>
          <w:tcPr>
            <w:tcW w:w="0" w:type="auto"/>
            <w:hideMark/>
          </w:tcPr>
          <w:p w14:paraId="013C744B"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2020</w:t>
            </w:r>
          </w:p>
        </w:tc>
        <w:tc>
          <w:tcPr>
            <w:tcW w:w="0" w:type="auto"/>
            <w:hideMark/>
          </w:tcPr>
          <w:p w14:paraId="07460285"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2021</w:t>
            </w:r>
          </w:p>
        </w:tc>
        <w:tc>
          <w:tcPr>
            <w:tcW w:w="0" w:type="auto"/>
            <w:hideMark/>
          </w:tcPr>
          <w:p w14:paraId="23DB4E4F"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2022</w:t>
            </w:r>
          </w:p>
        </w:tc>
        <w:tc>
          <w:tcPr>
            <w:tcW w:w="0" w:type="auto"/>
            <w:hideMark/>
          </w:tcPr>
          <w:p w14:paraId="2F57EF33"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2023</w:t>
            </w:r>
          </w:p>
        </w:tc>
        <w:tc>
          <w:tcPr>
            <w:tcW w:w="0" w:type="auto"/>
            <w:hideMark/>
          </w:tcPr>
          <w:p w14:paraId="5B804617"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2024</w:t>
            </w:r>
          </w:p>
        </w:tc>
      </w:tr>
      <w:tr w:rsidR="002C5CF4" w:rsidRPr="00A05552" w14:paraId="5D5E4030" w14:textId="77777777" w:rsidTr="002C5C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639519"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Receivable days</w:t>
            </w:r>
          </w:p>
        </w:tc>
        <w:tc>
          <w:tcPr>
            <w:tcW w:w="0" w:type="auto"/>
            <w:hideMark/>
          </w:tcPr>
          <w:p w14:paraId="275BABFC"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129,433 / 614,680 × 365 = 76.9 days</w:t>
            </w:r>
          </w:p>
        </w:tc>
        <w:tc>
          <w:tcPr>
            <w:tcW w:w="0" w:type="auto"/>
            <w:hideMark/>
          </w:tcPr>
          <w:p w14:paraId="02E1BC77"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129,215 / 601,602 × 365 = 78.4 days</w:t>
            </w:r>
          </w:p>
        </w:tc>
        <w:tc>
          <w:tcPr>
            <w:tcW w:w="0" w:type="auto"/>
            <w:hideMark/>
          </w:tcPr>
          <w:p w14:paraId="2907D382"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112,346 / 542,751 × 365 = 75.6 days</w:t>
            </w:r>
          </w:p>
        </w:tc>
        <w:tc>
          <w:tcPr>
            <w:tcW w:w="0" w:type="auto"/>
            <w:hideMark/>
          </w:tcPr>
          <w:p w14:paraId="2C49F780"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112,596 / 420,457 × 365 = 97.7 days</w:t>
            </w:r>
          </w:p>
        </w:tc>
        <w:tc>
          <w:tcPr>
            <w:tcW w:w="0" w:type="auto"/>
            <w:hideMark/>
          </w:tcPr>
          <w:p w14:paraId="2CA8A8BE"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114,182 / 394,879 × 365 = 105.5 days</w:t>
            </w:r>
          </w:p>
        </w:tc>
      </w:tr>
      <w:tr w:rsidR="002C5CF4" w:rsidRPr="00A05552" w14:paraId="126B5BEA" w14:textId="77777777" w:rsidTr="002C5CF4">
        <w:tc>
          <w:tcPr>
            <w:cnfStyle w:val="001000000000" w:firstRow="0" w:lastRow="0" w:firstColumn="1" w:lastColumn="0" w:oddVBand="0" w:evenVBand="0" w:oddHBand="0" w:evenHBand="0" w:firstRowFirstColumn="0" w:firstRowLastColumn="0" w:lastRowFirstColumn="0" w:lastRowLastColumn="0"/>
            <w:tcW w:w="0" w:type="auto"/>
            <w:hideMark/>
          </w:tcPr>
          <w:p w14:paraId="03D15000"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Inventory days</w:t>
            </w:r>
          </w:p>
        </w:tc>
        <w:tc>
          <w:tcPr>
            <w:tcW w:w="0" w:type="auto"/>
            <w:hideMark/>
          </w:tcPr>
          <w:p w14:paraId="0FF6CC52"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120,430 / 438,424 × 365 = 100.3 days</w:t>
            </w:r>
          </w:p>
        </w:tc>
        <w:tc>
          <w:tcPr>
            <w:tcW w:w="0" w:type="auto"/>
            <w:hideMark/>
          </w:tcPr>
          <w:p w14:paraId="0A0921BC"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134,469 / 428,586 × 365 = 114.5 days</w:t>
            </w:r>
          </w:p>
        </w:tc>
        <w:tc>
          <w:tcPr>
            <w:tcW w:w="0" w:type="auto"/>
            <w:hideMark/>
          </w:tcPr>
          <w:p w14:paraId="1B5FE8C4"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140,181 / 390,459 × 365 = 131.0 days</w:t>
            </w:r>
          </w:p>
        </w:tc>
        <w:tc>
          <w:tcPr>
            <w:tcW w:w="0" w:type="auto"/>
            <w:hideMark/>
          </w:tcPr>
          <w:p w14:paraId="497154E9"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88,273 / 322,897 × 365 = 99.8 days</w:t>
            </w:r>
          </w:p>
        </w:tc>
        <w:tc>
          <w:tcPr>
            <w:tcW w:w="0" w:type="auto"/>
            <w:hideMark/>
          </w:tcPr>
          <w:p w14:paraId="1BD340D8"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79,355 / 280,885 × 365 = 103.1 days</w:t>
            </w:r>
          </w:p>
        </w:tc>
      </w:tr>
      <w:tr w:rsidR="002C5CF4" w:rsidRPr="00A05552" w14:paraId="352C6B2E" w14:textId="77777777" w:rsidTr="002C5C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B1D163"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Payable days</w:t>
            </w:r>
          </w:p>
        </w:tc>
        <w:tc>
          <w:tcPr>
            <w:tcW w:w="0" w:type="auto"/>
            <w:hideMark/>
          </w:tcPr>
          <w:p w14:paraId="2FBA9157"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83,229 / 438,424 × 365 = 69.3 days</w:t>
            </w:r>
          </w:p>
        </w:tc>
        <w:tc>
          <w:tcPr>
            <w:tcW w:w="0" w:type="auto"/>
            <w:hideMark/>
          </w:tcPr>
          <w:p w14:paraId="2366904C"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92,707 / 428,586 × 365 = 79.0 days</w:t>
            </w:r>
          </w:p>
        </w:tc>
        <w:tc>
          <w:tcPr>
            <w:tcW w:w="0" w:type="auto"/>
            <w:hideMark/>
          </w:tcPr>
          <w:p w14:paraId="30BA7759"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71,373 / 390,459 × 365 = 66.7 days</w:t>
            </w:r>
          </w:p>
        </w:tc>
        <w:tc>
          <w:tcPr>
            <w:tcW w:w="0" w:type="auto"/>
            <w:hideMark/>
          </w:tcPr>
          <w:p w14:paraId="7C814C99"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57,033 / 322,897 × 365 = 64.5 days</w:t>
            </w:r>
          </w:p>
        </w:tc>
        <w:tc>
          <w:tcPr>
            <w:tcW w:w="0" w:type="auto"/>
            <w:hideMark/>
          </w:tcPr>
          <w:p w14:paraId="07647D6D"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72,031 / 280,885 × 365 = 93.6 days</w:t>
            </w:r>
          </w:p>
        </w:tc>
      </w:tr>
      <w:tr w:rsidR="002C5CF4" w:rsidRPr="00A05552" w14:paraId="08A7410B" w14:textId="77777777" w:rsidTr="002C5CF4">
        <w:tc>
          <w:tcPr>
            <w:cnfStyle w:val="001000000000" w:firstRow="0" w:lastRow="0" w:firstColumn="1" w:lastColumn="0" w:oddVBand="0" w:evenVBand="0" w:oddHBand="0" w:evenHBand="0" w:firstRowFirstColumn="0" w:firstRowLastColumn="0" w:lastRowFirstColumn="0" w:lastRowLastColumn="0"/>
            <w:tcW w:w="0" w:type="auto"/>
            <w:hideMark/>
          </w:tcPr>
          <w:p w14:paraId="0418A07A"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Total asset turnover (times)</w:t>
            </w:r>
          </w:p>
        </w:tc>
        <w:tc>
          <w:tcPr>
            <w:tcW w:w="0" w:type="auto"/>
            <w:hideMark/>
          </w:tcPr>
          <w:p w14:paraId="3FD116DA"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614,680 / 510,290 = 1.20 times</w:t>
            </w:r>
          </w:p>
        </w:tc>
        <w:tc>
          <w:tcPr>
            <w:tcW w:w="0" w:type="auto"/>
            <w:hideMark/>
          </w:tcPr>
          <w:p w14:paraId="53667B51"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601,602 / 510,348 = 1.18 times</w:t>
            </w:r>
          </w:p>
        </w:tc>
        <w:tc>
          <w:tcPr>
            <w:tcW w:w="0" w:type="auto"/>
            <w:hideMark/>
          </w:tcPr>
          <w:p w14:paraId="1D95AF44"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542,751 / 504,163 = 1.08 times</w:t>
            </w:r>
          </w:p>
        </w:tc>
        <w:tc>
          <w:tcPr>
            <w:tcW w:w="0" w:type="auto"/>
            <w:hideMark/>
          </w:tcPr>
          <w:p w14:paraId="12717934"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420,457 / 355,872 = 1.18 times</w:t>
            </w:r>
          </w:p>
        </w:tc>
        <w:tc>
          <w:tcPr>
            <w:tcW w:w="0" w:type="auto"/>
            <w:hideMark/>
          </w:tcPr>
          <w:p w14:paraId="26438DE5"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394,879 / 323,354 = 1.22 times</w:t>
            </w:r>
          </w:p>
        </w:tc>
      </w:tr>
    </w:tbl>
    <w:p w14:paraId="7D8E1CD1" w14:textId="2B23B9AA" w:rsidR="006B6F45" w:rsidRPr="00A05552" w:rsidRDefault="006B6F45" w:rsidP="002C5CF4">
      <w:pPr>
        <w:rPr>
          <w:rFonts w:ascii="Arial" w:hAnsi="Arial" w:cs="Arial"/>
          <w:bCs/>
        </w:rPr>
      </w:pPr>
      <w:r w:rsidRPr="00A05552">
        <w:rPr>
          <w:rFonts w:ascii="Arial" w:hAnsi="Arial" w:cs="Arial"/>
          <w:bCs/>
        </w:rPr>
        <w:t>Source:</w:t>
      </w:r>
      <w:r w:rsidR="00504CE9" w:rsidRPr="00A05552">
        <w:rPr>
          <w:rFonts w:ascii="Arial" w:hAnsi="Arial" w:cs="Arial"/>
          <w:bCs/>
        </w:rPr>
        <w:t xml:space="preserve"> (GE Vernova, 2024; General Electric Company, 2020-2023)</w:t>
      </w:r>
    </w:p>
    <w:p w14:paraId="55DFC67F" w14:textId="00E67D0D" w:rsidR="000123FE" w:rsidRPr="00A05552" w:rsidRDefault="000123FE" w:rsidP="000123FE">
      <w:pPr>
        <w:rPr>
          <w:rFonts w:ascii="Arial" w:hAnsi="Arial" w:cs="Arial"/>
          <w:bCs/>
        </w:rPr>
      </w:pPr>
      <w:r w:rsidRPr="00A05552">
        <w:rPr>
          <w:rFonts w:ascii="Arial" w:hAnsi="Arial" w:cs="Arial"/>
          <w:bCs/>
        </w:rPr>
        <w:t>Receivable days were mostly stable at 76-78 days until 2022 when it declined drastically to more than 100 days where it is today. This increase in collection period within a backdrop of declining sales is a pointer of relaxed credit control or greater distress in customers, which increases credit risk, and strands cash. The increase in inventory days reached the highest point in 2022, which is an indication of slow moving inventory and possibly obsolescence; the decrease in 2022 is an indicator of inventory rationalisation and the top is still high, as at 100 days. The days payable were slightly higher in 2020 to 2021, before reducing, followed by a significant reduction in 2024 as the company seems to be extending the supplier payment terms with the aim of maintaining cash</w:t>
      </w:r>
      <w:r w:rsidR="001340E3" w:rsidRPr="00A05552">
        <w:rPr>
          <w:rFonts w:ascii="Arial" w:hAnsi="Arial" w:cs="Arial"/>
          <w:bCs/>
        </w:rPr>
        <w:t xml:space="preserve"> (GE Vernova, 2024; General Electric Company, 2020-2023)</w:t>
      </w:r>
      <w:r w:rsidRPr="00A05552">
        <w:rPr>
          <w:rFonts w:ascii="Arial" w:hAnsi="Arial" w:cs="Arial"/>
          <w:bCs/>
        </w:rPr>
        <w:t>.</w:t>
      </w:r>
    </w:p>
    <w:p w14:paraId="15FA2111" w14:textId="2C20601F" w:rsidR="002C5CF4" w:rsidRPr="00A05552" w:rsidRDefault="000123FE" w:rsidP="000123FE">
      <w:pPr>
        <w:rPr>
          <w:rFonts w:ascii="Arial" w:hAnsi="Arial" w:cs="Arial"/>
          <w:bCs/>
        </w:rPr>
      </w:pPr>
      <w:r w:rsidRPr="00A05552">
        <w:rPr>
          <w:rFonts w:ascii="Arial" w:hAnsi="Arial" w:cs="Arial"/>
          <w:bCs/>
        </w:rPr>
        <w:t xml:space="preserve">Total asset turnover has decreased to relatively stable rates of 1.12 times with only some slight improvement in 2024 due to the assets being written down or disposed at a higher pace than the decline of sales despite such working capital frictions. This is to say that it is not the collapse of the utilisation of assets, but any efficiency benefits is being dwarfed </w:t>
      </w:r>
      <w:r w:rsidRPr="00A05552">
        <w:rPr>
          <w:rFonts w:ascii="Arial" w:hAnsi="Arial" w:cs="Arial"/>
          <w:bCs/>
        </w:rPr>
        <w:lastRenderedPageBreak/>
        <w:t>by the extreme compression of the margin as mentioned above</w:t>
      </w:r>
      <w:r w:rsidR="001340E3" w:rsidRPr="00A05552">
        <w:rPr>
          <w:rFonts w:ascii="Arial" w:hAnsi="Arial" w:cs="Arial"/>
          <w:bCs/>
        </w:rPr>
        <w:t xml:space="preserve"> (General Electric Company, 2023)</w:t>
      </w:r>
      <w:r w:rsidRPr="00A05552">
        <w:rPr>
          <w:rFonts w:ascii="Arial" w:hAnsi="Arial" w:cs="Arial"/>
          <w:bCs/>
        </w:rPr>
        <w:t>.</w:t>
      </w:r>
    </w:p>
    <w:p w14:paraId="37D34FE9" w14:textId="77777777" w:rsidR="002C5CF4" w:rsidRPr="00A05552" w:rsidRDefault="002C5CF4" w:rsidP="006B6F45">
      <w:pPr>
        <w:pStyle w:val="Heading3"/>
        <w:rPr>
          <w:rFonts w:cs="Arial"/>
        </w:rPr>
      </w:pPr>
      <w:bookmarkStart w:id="12" w:name="_Toc217247570"/>
      <w:r w:rsidRPr="00A05552">
        <w:rPr>
          <w:rFonts w:cs="Arial"/>
        </w:rPr>
        <w:t>2.2.4 Gearing and leverage ratios</w:t>
      </w:r>
      <w:bookmarkEnd w:id="12"/>
    </w:p>
    <w:p w14:paraId="40AD631A" w14:textId="77777777" w:rsidR="002C5CF4" w:rsidRPr="00A05552" w:rsidRDefault="002C5CF4" w:rsidP="002C5CF4">
      <w:pPr>
        <w:rPr>
          <w:rFonts w:ascii="Arial" w:hAnsi="Arial" w:cs="Arial"/>
          <w:bCs/>
        </w:rPr>
      </w:pPr>
      <w:r w:rsidRPr="00A05552">
        <w:rPr>
          <w:rFonts w:ascii="Arial" w:hAnsi="Arial" w:cs="Arial"/>
          <w:b/>
          <w:bCs/>
        </w:rPr>
        <w:t>Table 4: Gearing ratios 2020–2024</w:t>
      </w:r>
    </w:p>
    <w:tbl>
      <w:tblPr>
        <w:tblStyle w:val="GridTable5Dark-Accent5"/>
        <w:tblW w:w="0" w:type="auto"/>
        <w:tblLook w:val="04A0" w:firstRow="1" w:lastRow="0" w:firstColumn="1" w:lastColumn="0" w:noHBand="0" w:noVBand="1"/>
      </w:tblPr>
      <w:tblGrid>
        <w:gridCol w:w="1681"/>
        <w:gridCol w:w="1533"/>
        <w:gridCol w:w="1534"/>
        <w:gridCol w:w="1534"/>
        <w:gridCol w:w="1534"/>
        <w:gridCol w:w="1534"/>
      </w:tblGrid>
      <w:tr w:rsidR="002C5CF4" w:rsidRPr="00A05552" w14:paraId="0968433D" w14:textId="77777777" w:rsidTr="002C5C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BFC4E5"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Ratio</w:t>
            </w:r>
          </w:p>
        </w:tc>
        <w:tc>
          <w:tcPr>
            <w:tcW w:w="0" w:type="auto"/>
            <w:hideMark/>
          </w:tcPr>
          <w:p w14:paraId="15F166FA"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2020</w:t>
            </w:r>
          </w:p>
        </w:tc>
        <w:tc>
          <w:tcPr>
            <w:tcW w:w="0" w:type="auto"/>
            <w:hideMark/>
          </w:tcPr>
          <w:p w14:paraId="690839DE"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2021</w:t>
            </w:r>
          </w:p>
        </w:tc>
        <w:tc>
          <w:tcPr>
            <w:tcW w:w="0" w:type="auto"/>
            <w:hideMark/>
          </w:tcPr>
          <w:p w14:paraId="7BA0EA90"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2022</w:t>
            </w:r>
          </w:p>
        </w:tc>
        <w:tc>
          <w:tcPr>
            <w:tcW w:w="0" w:type="auto"/>
            <w:hideMark/>
          </w:tcPr>
          <w:p w14:paraId="67538C3F"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2023</w:t>
            </w:r>
          </w:p>
        </w:tc>
        <w:tc>
          <w:tcPr>
            <w:tcW w:w="0" w:type="auto"/>
            <w:hideMark/>
          </w:tcPr>
          <w:p w14:paraId="0B38497F"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2024</w:t>
            </w:r>
          </w:p>
        </w:tc>
      </w:tr>
      <w:tr w:rsidR="002C5CF4" w:rsidRPr="00A05552" w14:paraId="02129199" w14:textId="77777777" w:rsidTr="002C5C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E8342D"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Debt-to-equity (times)</w:t>
            </w:r>
          </w:p>
        </w:tc>
        <w:tc>
          <w:tcPr>
            <w:tcW w:w="0" w:type="auto"/>
            <w:hideMark/>
          </w:tcPr>
          <w:p w14:paraId="0A26AB52"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196,989 / 313,301 = 0.63</w:t>
            </w:r>
          </w:p>
        </w:tc>
        <w:tc>
          <w:tcPr>
            <w:tcW w:w="0" w:type="auto"/>
            <w:hideMark/>
          </w:tcPr>
          <w:p w14:paraId="08871DC4"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234,399 / 275,949 = 0.85</w:t>
            </w:r>
          </w:p>
        </w:tc>
        <w:tc>
          <w:tcPr>
            <w:tcW w:w="0" w:type="auto"/>
            <w:hideMark/>
          </w:tcPr>
          <w:p w14:paraId="428DABCA"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235,757 / 268,406 = 0.88</w:t>
            </w:r>
          </w:p>
        </w:tc>
        <w:tc>
          <w:tcPr>
            <w:tcW w:w="0" w:type="auto"/>
            <w:hideMark/>
          </w:tcPr>
          <w:p w14:paraId="50043814"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176,952 / 178,920 = 0.99</w:t>
            </w:r>
          </w:p>
        </w:tc>
        <w:tc>
          <w:tcPr>
            <w:tcW w:w="0" w:type="auto"/>
            <w:hideMark/>
          </w:tcPr>
          <w:p w14:paraId="4CE82CFC"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170,249 / 153,105 = 1.11</w:t>
            </w:r>
          </w:p>
        </w:tc>
      </w:tr>
      <w:tr w:rsidR="002C5CF4" w:rsidRPr="00A05552" w14:paraId="43D055CE" w14:textId="77777777" w:rsidTr="002C5CF4">
        <w:tc>
          <w:tcPr>
            <w:cnfStyle w:val="001000000000" w:firstRow="0" w:lastRow="0" w:firstColumn="1" w:lastColumn="0" w:oddVBand="0" w:evenVBand="0" w:oddHBand="0" w:evenHBand="0" w:firstRowFirstColumn="0" w:firstRowLastColumn="0" w:lastRowFirstColumn="0" w:lastRowLastColumn="0"/>
            <w:tcW w:w="0" w:type="auto"/>
            <w:hideMark/>
          </w:tcPr>
          <w:p w14:paraId="1D684A17"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Interest coverage (times)</w:t>
            </w:r>
          </w:p>
        </w:tc>
        <w:tc>
          <w:tcPr>
            <w:tcW w:w="0" w:type="auto"/>
            <w:hideMark/>
          </w:tcPr>
          <w:p w14:paraId="44EF0DFA"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37,267 / 1,422 = 26.21</w:t>
            </w:r>
          </w:p>
        </w:tc>
        <w:tc>
          <w:tcPr>
            <w:tcW w:w="0" w:type="auto"/>
            <w:hideMark/>
          </w:tcPr>
          <w:p w14:paraId="21F81473"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23,253 / 566 = 41.08</w:t>
            </w:r>
          </w:p>
        </w:tc>
        <w:tc>
          <w:tcPr>
            <w:tcW w:w="0" w:type="auto"/>
            <w:hideMark/>
          </w:tcPr>
          <w:p w14:paraId="45355772"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14,548 / 2,200 = 6.61</w:t>
            </w:r>
          </w:p>
        </w:tc>
        <w:tc>
          <w:tcPr>
            <w:tcW w:w="0" w:type="auto"/>
            <w:hideMark/>
          </w:tcPr>
          <w:p w14:paraId="2A6877D3"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-85,301 / 4,332 = -19.69</w:t>
            </w:r>
          </w:p>
        </w:tc>
        <w:tc>
          <w:tcPr>
            <w:tcW w:w="0" w:type="auto"/>
            <w:hideMark/>
          </w:tcPr>
          <w:p w14:paraId="04C9911A"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-15,297 / 3,361 = -4.55</w:t>
            </w:r>
          </w:p>
        </w:tc>
      </w:tr>
    </w:tbl>
    <w:p w14:paraId="69427BFF" w14:textId="4D1B41AC" w:rsidR="006B6F45" w:rsidRPr="00A05552" w:rsidRDefault="006B6F45" w:rsidP="002C5CF4">
      <w:pPr>
        <w:rPr>
          <w:rFonts w:ascii="Arial" w:hAnsi="Arial" w:cs="Arial"/>
          <w:bCs/>
        </w:rPr>
      </w:pPr>
      <w:r w:rsidRPr="00A05552">
        <w:rPr>
          <w:rFonts w:ascii="Arial" w:hAnsi="Arial" w:cs="Arial"/>
          <w:bCs/>
        </w:rPr>
        <w:t>Source:</w:t>
      </w:r>
      <w:r w:rsidR="00504CE9" w:rsidRPr="00A05552">
        <w:rPr>
          <w:rFonts w:ascii="Arial" w:hAnsi="Arial" w:cs="Arial"/>
          <w:bCs/>
        </w:rPr>
        <w:t xml:space="preserve"> (GE Vernova, 2024; General Electric Company, 2020-2023)</w:t>
      </w:r>
    </w:p>
    <w:p w14:paraId="7DBD2886" w14:textId="3B60F7AA" w:rsidR="000123FE" w:rsidRPr="00A05552" w:rsidRDefault="000123FE" w:rsidP="000123FE">
      <w:pPr>
        <w:rPr>
          <w:rFonts w:ascii="Arial" w:hAnsi="Arial" w:cs="Arial"/>
          <w:bCs/>
        </w:rPr>
      </w:pPr>
      <w:r w:rsidRPr="00A05552">
        <w:rPr>
          <w:rFonts w:ascii="Arial" w:hAnsi="Arial" w:cs="Arial"/>
          <w:bCs/>
        </w:rPr>
        <w:t>The debt-to-equity has been steadily increasing since 0.63 to 1.11 times with the overall outcome of decreasing equity and comparatively fixed liabilities. The company has thus shifted away in the conservatively geared stance in 2020 to a more levered balance sheet, which lessens financial flexibility and exposure to breach of covenant in case losses continue</w:t>
      </w:r>
      <w:r w:rsidR="001340E3" w:rsidRPr="00A05552">
        <w:rPr>
          <w:rFonts w:ascii="Arial" w:hAnsi="Arial" w:cs="Arial"/>
          <w:bCs/>
        </w:rPr>
        <w:t xml:space="preserve"> (General Electric Company, 2020)</w:t>
      </w:r>
      <w:r w:rsidRPr="00A05552">
        <w:rPr>
          <w:rFonts w:ascii="Arial" w:hAnsi="Arial" w:cs="Arial"/>
          <w:bCs/>
        </w:rPr>
        <w:t>.</w:t>
      </w:r>
    </w:p>
    <w:p w14:paraId="4C956432" w14:textId="65AEF711" w:rsidR="002C5CF4" w:rsidRDefault="000123FE" w:rsidP="000123FE">
      <w:pPr>
        <w:rPr>
          <w:rFonts w:ascii="Arial" w:hAnsi="Arial" w:cs="Arial"/>
          <w:bCs/>
        </w:rPr>
      </w:pPr>
      <w:r w:rsidRPr="00A05552">
        <w:rPr>
          <w:rFonts w:ascii="Arial" w:hAnsi="Arial" w:cs="Arial"/>
          <w:bCs/>
        </w:rPr>
        <w:t>There was a very strong interest coverage prior to the crisis, which comfortably exceeded six times even in 2022</w:t>
      </w:r>
      <w:r w:rsidR="001340E3" w:rsidRPr="00A05552">
        <w:rPr>
          <w:rFonts w:ascii="Arial" w:hAnsi="Arial" w:cs="Arial"/>
          <w:bCs/>
        </w:rPr>
        <w:t xml:space="preserve"> (General Electric Company, 2022)</w:t>
      </w:r>
      <w:r w:rsidRPr="00A05552">
        <w:rPr>
          <w:rFonts w:ascii="Arial" w:hAnsi="Arial" w:cs="Arial"/>
          <w:bCs/>
        </w:rPr>
        <w:t>. Nevertheless, the operation loss conversion in 2023 and 2024 would trigger negative coverage, which implies that the earnings before interest and tax are not enough to cover the interest payable on the operation</w:t>
      </w:r>
      <w:r w:rsidR="001340E3" w:rsidRPr="00A05552">
        <w:rPr>
          <w:rFonts w:ascii="Arial" w:hAnsi="Arial" w:cs="Arial"/>
          <w:bCs/>
        </w:rPr>
        <w:t xml:space="preserve"> (General Electric Company, 2023)</w:t>
      </w:r>
      <w:r w:rsidRPr="00A05552">
        <w:rPr>
          <w:rFonts w:ascii="Arial" w:hAnsi="Arial" w:cs="Arial"/>
          <w:bCs/>
        </w:rPr>
        <w:t>. Although lenders might consider coverage of cash flows, these poor ratios are a good warning signal: unless the firm is able to increase profitability within the next few months or restructure its debt, it will breach debt agreements and incur higher refinancing charges.</w:t>
      </w:r>
    </w:p>
    <w:p w14:paraId="4F86E1A7" w14:textId="77777777" w:rsidR="00EE664C" w:rsidRDefault="00EE664C" w:rsidP="000123FE">
      <w:pPr>
        <w:rPr>
          <w:rFonts w:ascii="Arial" w:hAnsi="Arial" w:cs="Arial"/>
          <w:bCs/>
        </w:rPr>
      </w:pPr>
    </w:p>
    <w:p w14:paraId="048B9AD0" w14:textId="77777777" w:rsidR="00EE664C" w:rsidRDefault="00EE664C" w:rsidP="000123FE">
      <w:pPr>
        <w:rPr>
          <w:rFonts w:ascii="Arial" w:hAnsi="Arial" w:cs="Arial"/>
          <w:bCs/>
        </w:rPr>
      </w:pPr>
    </w:p>
    <w:p w14:paraId="735F97E9" w14:textId="77777777" w:rsidR="00EE664C" w:rsidRDefault="00EE664C" w:rsidP="000123FE">
      <w:pPr>
        <w:rPr>
          <w:rFonts w:ascii="Arial" w:hAnsi="Arial" w:cs="Arial"/>
          <w:bCs/>
        </w:rPr>
      </w:pPr>
    </w:p>
    <w:p w14:paraId="2E5A5496" w14:textId="77777777" w:rsidR="00EE664C" w:rsidRPr="00A05552" w:rsidRDefault="00EE664C" w:rsidP="000123FE">
      <w:pPr>
        <w:rPr>
          <w:rFonts w:ascii="Arial" w:hAnsi="Arial" w:cs="Arial"/>
          <w:bCs/>
        </w:rPr>
      </w:pPr>
    </w:p>
    <w:p w14:paraId="1A31B299" w14:textId="77777777" w:rsidR="002C5CF4" w:rsidRPr="00A05552" w:rsidRDefault="002C5CF4" w:rsidP="006B6F45">
      <w:pPr>
        <w:pStyle w:val="Heading3"/>
        <w:rPr>
          <w:rFonts w:cs="Arial"/>
        </w:rPr>
      </w:pPr>
      <w:bookmarkStart w:id="13" w:name="_Toc217247571"/>
      <w:r w:rsidRPr="00A05552">
        <w:rPr>
          <w:rFonts w:cs="Arial"/>
        </w:rPr>
        <w:lastRenderedPageBreak/>
        <w:t>2.2.5 Investment ratios</w:t>
      </w:r>
      <w:bookmarkEnd w:id="13"/>
    </w:p>
    <w:p w14:paraId="7F9D68A7" w14:textId="77777777" w:rsidR="002C5CF4" w:rsidRPr="00A05552" w:rsidRDefault="002C5CF4" w:rsidP="002C5CF4">
      <w:pPr>
        <w:rPr>
          <w:rFonts w:ascii="Arial" w:hAnsi="Arial" w:cs="Arial"/>
          <w:bCs/>
        </w:rPr>
      </w:pPr>
      <w:r w:rsidRPr="00A05552">
        <w:rPr>
          <w:rFonts w:ascii="Arial" w:hAnsi="Arial" w:cs="Arial"/>
          <w:b/>
          <w:bCs/>
        </w:rPr>
        <w:t>Table 5: Investment ratios 2020–2024</w:t>
      </w:r>
    </w:p>
    <w:tbl>
      <w:tblPr>
        <w:tblStyle w:val="GridTable5Dark-Accent5"/>
        <w:tblW w:w="0" w:type="auto"/>
        <w:tblLook w:val="04A0" w:firstRow="1" w:lastRow="0" w:firstColumn="1" w:lastColumn="0" w:noHBand="0" w:noVBand="1"/>
      </w:tblPr>
      <w:tblGrid>
        <w:gridCol w:w="1489"/>
        <w:gridCol w:w="1650"/>
        <w:gridCol w:w="1521"/>
        <w:gridCol w:w="1354"/>
        <w:gridCol w:w="1668"/>
        <w:gridCol w:w="1668"/>
      </w:tblGrid>
      <w:tr w:rsidR="00B94E97" w:rsidRPr="00A05552" w14:paraId="21B06899" w14:textId="77777777" w:rsidTr="00B94E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3B9D96" w14:textId="77777777" w:rsidR="00B94E97" w:rsidRPr="00A05552" w:rsidRDefault="00B94E97" w:rsidP="00B94E97">
            <w:pPr>
              <w:spacing w:after="160"/>
              <w:rPr>
                <w:rFonts w:ascii="Arial" w:hAnsi="Arial" w:cs="Arial"/>
                <w:sz w:val="20"/>
                <w:szCs w:val="20"/>
              </w:rPr>
            </w:pPr>
            <w:r w:rsidRPr="00A05552">
              <w:rPr>
                <w:rFonts w:ascii="Arial" w:hAnsi="Arial" w:cs="Arial"/>
                <w:sz w:val="20"/>
                <w:szCs w:val="20"/>
              </w:rPr>
              <w:t>Investment Ratio</w:t>
            </w:r>
          </w:p>
        </w:tc>
        <w:tc>
          <w:tcPr>
            <w:tcW w:w="0" w:type="auto"/>
            <w:hideMark/>
          </w:tcPr>
          <w:p w14:paraId="72193CBC" w14:textId="77777777" w:rsidR="00B94E97" w:rsidRPr="00A05552" w:rsidRDefault="00B94E97" w:rsidP="00B94E97">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2020</w:t>
            </w:r>
          </w:p>
        </w:tc>
        <w:tc>
          <w:tcPr>
            <w:tcW w:w="0" w:type="auto"/>
            <w:hideMark/>
          </w:tcPr>
          <w:p w14:paraId="4D3BEFCF" w14:textId="77777777" w:rsidR="00B94E97" w:rsidRPr="00A05552" w:rsidRDefault="00B94E97" w:rsidP="00B94E97">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2021</w:t>
            </w:r>
          </w:p>
        </w:tc>
        <w:tc>
          <w:tcPr>
            <w:tcW w:w="0" w:type="auto"/>
            <w:hideMark/>
          </w:tcPr>
          <w:p w14:paraId="0F6BA740" w14:textId="77777777" w:rsidR="00B94E97" w:rsidRPr="00A05552" w:rsidRDefault="00B94E97" w:rsidP="00B94E97">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2022</w:t>
            </w:r>
          </w:p>
        </w:tc>
        <w:tc>
          <w:tcPr>
            <w:tcW w:w="0" w:type="auto"/>
            <w:hideMark/>
          </w:tcPr>
          <w:p w14:paraId="2FFC0DEE" w14:textId="77777777" w:rsidR="00B94E97" w:rsidRPr="00A05552" w:rsidRDefault="00B94E97" w:rsidP="00B94E97">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2023</w:t>
            </w:r>
          </w:p>
        </w:tc>
        <w:tc>
          <w:tcPr>
            <w:tcW w:w="0" w:type="auto"/>
            <w:hideMark/>
          </w:tcPr>
          <w:p w14:paraId="73AF2878" w14:textId="77777777" w:rsidR="00B94E97" w:rsidRPr="00A05552" w:rsidRDefault="00B94E97" w:rsidP="00B94E97">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2024</w:t>
            </w:r>
          </w:p>
        </w:tc>
      </w:tr>
      <w:tr w:rsidR="00B94E97" w:rsidRPr="00A05552" w14:paraId="38DCBE0E" w14:textId="77777777" w:rsidTr="00B94E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A989BB" w14:textId="77777777" w:rsidR="00B94E97" w:rsidRPr="00A05552" w:rsidRDefault="00B94E97" w:rsidP="00B94E97">
            <w:pPr>
              <w:spacing w:after="160"/>
              <w:rPr>
                <w:rFonts w:ascii="Arial" w:hAnsi="Arial" w:cs="Arial"/>
                <w:sz w:val="20"/>
                <w:szCs w:val="20"/>
              </w:rPr>
            </w:pPr>
            <w:r w:rsidRPr="00A05552">
              <w:rPr>
                <w:rFonts w:ascii="Arial" w:hAnsi="Arial" w:cs="Arial"/>
                <w:sz w:val="20"/>
                <w:szCs w:val="20"/>
              </w:rPr>
              <w:t>Earnings per share (EPS £)</w:t>
            </w:r>
          </w:p>
        </w:tc>
        <w:tc>
          <w:tcPr>
            <w:tcW w:w="0" w:type="auto"/>
            <w:hideMark/>
          </w:tcPr>
          <w:p w14:paraId="0E157DBD"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38,572/13,893 = </w:t>
            </w:r>
            <w:r w:rsidRPr="00A05552">
              <w:rPr>
                <w:rFonts w:ascii="Arial" w:hAnsi="Arial" w:cs="Arial"/>
                <w:b/>
                <w:bCs/>
                <w:sz w:val="20"/>
                <w:szCs w:val="20"/>
              </w:rPr>
              <w:t>5.46</w:t>
            </w:r>
          </w:p>
        </w:tc>
        <w:tc>
          <w:tcPr>
            <w:tcW w:w="0" w:type="auto"/>
            <w:hideMark/>
          </w:tcPr>
          <w:p w14:paraId="698574FA"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5,301/13,465 = </w:t>
            </w:r>
            <w:r w:rsidRPr="00A05552">
              <w:rPr>
                <w:rFonts w:ascii="Arial" w:hAnsi="Arial" w:cs="Arial"/>
                <w:b/>
                <w:bCs/>
                <w:sz w:val="20"/>
                <w:szCs w:val="20"/>
              </w:rPr>
              <w:t>-6.00</w:t>
            </w:r>
          </w:p>
        </w:tc>
        <w:tc>
          <w:tcPr>
            <w:tcW w:w="0" w:type="auto"/>
            <w:hideMark/>
          </w:tcPr>
          <w:p w14:paraId="3FE5994D"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407/12,703 = </w:t>
            </w:r>
            <w:r w:rsidRPr="00A05552">
              <w:rPr>
                <w:rFonts w:ascii="Arial" w:hAnsi="Arial" w:cs="Arial"/>
                <w:b/>
                <w:bCs/>
                <w:sz w:val="20"/>
                <w:szCs w:val="20"/>
              </w:rPr>
              <w:t>0.97</w:t>
            </w:r>
          </w:p>
        </w:tc>
        <w:tc>
          <w:tcPr>
            <w:tcW w:w="0" w:type="auto"/>
            <w:hideMark/>
          </w:tcPr>
          <w:p w14:paraId="6636E9D3"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-98,238/12,855 = </w:t>
            </w:r>
            <w:r w:rsidRPr="00A05552">
              <w:rPr>
                <w:rFonts w:ascii="Arial" w:hAnsi="Arial" w:cs="Arial"/>
                <w:b/>
                <w:bCs/>
                <w:sz w:val="20"/>
                <w:szCs w:val="20"/>
              </w:rPr>
              <w:t>8.44</w:t>
            </w:r>
          </w:p>
        </w:tc>
        <w:tc>
          <w:tcPr>
            <w:tcW w:w="0" w:type="auto"/>
            <w:hideMark/>
          </w:tcPr>
          <w:p w14:paraId="63B52F19"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-24,029/12,959 = </w:t>
            </w:r>
            <w:r w:rsidRPr="00A05552">
              <w:rPr>
                <w:rFonts w:ascii="Arial" w:hAnsi="Arial" w:cs="Arial"/>
                <w:b/>
                <w:bCs/>
                <w:sz w:val="20"/>
                <w:szCs w:val="20"/>
              </w:rPr>
              <w:t>6.15</w:t>
            </w:r>
          </w:p>
        </w:tc>
      </w:tr>
      <w:tr w:rsidR="00B94E97" w:rsidRPr="00A05552" w14:paraId="53E99328" w14:textId="77777777" w:rsidTr="00B94E97">
        <w:tc>
          <w:tcPr>
            <w:cnfStyle w:val="001000000000" w:firstRow="0" w:lastRow="0" w:firstColumn="1" w:lastColumn="0" w:oddVBand="0" w:evenVBand="0" w:oddHBand="0" w:evenHBand="0" w:firstRowFirstColumn="0" w:firstRowLastColumn="0" w:lastRowFirstColumn="0" w:lastRowLastColumn="0"/>
            <w:tcW w:w="0" w:type="auto"/>
            <w:hideMark/>
          </w:tcPr>
          <w:p w14:paraId="0773EF1D" w14:textId="77777777" w:rsidR="00B94E97" w:rsidRPr="00A05552" w:rsidRDefault="00B94E97" w:rsidP="00B94E97">
            <w:pPr>
              <w:spacing w:after="160"/>
              <w:rPr>
                <w:rFonts w:ascii="Arial" w:hAnsi="Arial" w:cs="Arial"/>
                <w:sz w:val="20"/>
                <w:szCs w:val="20"/>
              </w:rPr>
            </w:pPr>
            <w:r w:rsidRPr="00A05552">
              <w:rPr>
                <w:rFonts w:ascii="Arial" w:hAnsi="Arial" w:cs="Arial"/>
                <w:sz w:val="20"/>
                <w:szCs w:val="20"/>
              </w:rPr>
              <w:t>P/E Ratio</w:t>
            </w:r>
          </w:p>
        </w:tc>
        <w:tc>
          <w:tcPr>
            <w:tcW w:w="0" w:type="auto"/>
            <w:hideMark/>
          </w:tcPr>
          <w:p w14:paraId="05A8DEB7"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53.72 ÷ 5.46 = </w:t>
            </w:r>
            <w:r w:rsidRPr="00A05552">
              <w:rPr>
                <w:rFonts w:ascii="Arial" w:hAnsi="Arial" w:cs="Arial"/>
                <w:b/>
                <w:bCs/>
                <w:sz w:val="20"/>
                <w:szCs w:val="20"/>
              </w:rPr>
              <w:t>9.83</w:t>
            </w:r>
          </w:p>
        </w:tc>
        <w:tc>
          <w:tcPr>
            <w:tcW w:w="0" w:type="auto"/>
            <w:hideMark/>
          </w:tcPr>
          <w:p w14:paraId="3A74C848"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58.79 ÷ -6.00 = </w:t>
            </w:r>
            <w:r w:rsidRPr="00A05552">
              <w:rPr>
                <w:rFonts w:ascii="Arial" w:hAnsi="Arial" w:cs="Arial"/>
                <w:b/>
                <w:bCs/>
                <w:sz w:val="20"/>
                <w:szCs w:val="20"/>
              </w:rPr>
              <w:t>n/a</w:t>
            </w:r>
          </w:p>
        </w:tc>
        <w:tc>
          <w:tcPr>
            <w:tcW w:w="0" w:type="auto"/>
            <w:hideMark/>
          </w:tcPr>
          <w:p w14:paraId="2D3435AB"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52.15 ÷ 0.97 = </w:t>
            </w:r>
            <w:r w:rsidRPr="00A05552">
              <w:rPr>
                <w:rFonts w:ascii="Arial" w:hAnsi="Arial" w:cs="Arial"/>
                <w:b/>
                <w:bCs/>
                <w:sz w:val="20"/>
                <w:szCs w:val="20"/>
              </w:rPr>
              <w:t>53.73</w:t>
            </w:r>
          </w:p>
        </w:tc>
        <w:tc>
          <w:tcPr>
            <w:tcW w:w="0" w:type="auto"/>
            <w:hideMark/>
          </w:tcPr>
          <w:p w14:paraId="46FBADD9"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101.81 ÷ 8.44 = </w:t>
            </w:r>
            <w:r w:rsidRPr="00A05552">
              <w:rPr>
                <w:rFonts w:ascii="Arial" w:hAnsi="Arial" w:cs="Arial"/>
                <w:b/>
                <w:bCs/>
                <w:sz w:val="20"/>
                <w:szCs w:val="20"/>
              </w:rPr>
              <w:t>12.06</w:t>
            </w:r>
          </w:p>
        </w:tc>
        <w:tc>
          <w:tcPr>
            <w:tcW w:w="0" w:type="auto"/>
            <w:hideMark/>
          </w:tcPr>
          <w:p w14:paraId="404937AC"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166.79 ÷ 6.15 = </w:t>
            </w:r>
            <w:r w:rsidRPr="00A05552">
              <w:rPr>
                <w:rFonts w:ascii="Arial" w:hAnsi="Arial" w:cs="Arial"/>
                <w:b/>
                <w:bCs/>
                <w:sz w:val="20"/>
                <w:szCs w:val="20"/>
              </w:rPr>
              <w:t>27.13</w:t>
            </w:r>
          </w:p>
        </w:tc>
      </w:tr>
      <w:tr w:rsidR="00B94E97" w:rsidRPr="00A05552" w14:paraId="2E68BB87" w14:textId="77777777" w:rsidTr="00B94E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BF3EEC" w14:textId="77777777" w:rsidR="00B94E97" w:rsidRPr="00A05552" w:rsidRDefault="00B94E97" w:rsidP="00B94E97">
            <w:pPr>
              <w:spacing w:after="160"/>
              <w:rPr>
                <w:rFonts w:ascii="Arial" w:hAnsi="Arial" w:cs="Arial"/>
                <w:sz w:val="20"/>
                <w:szCs w:val="20"/>
              </w:rPr>
            </w:pPr>
            <w:r w:rsidRPr="00A05552">
              <w:rPr>
                <w:rFonts w:ascii="Arial" w:hAnsi="Arial" w:cs="Arial"/>
                <w:sz w:val="20"/>
                <w:szCs w:val="20"/>
              </w:rPr>
              <w:t>Dividend yield (%)</w:t>
            </w:r>
          </w:p>
        </w:tc>
        <w:tc>
          <w:tcPr>
            <w:tcW w:w="0" w:type="auto"/>
            <w:hideMark/>
          </w:tcPr>
          <w:p w14:paraId="3DDDB1F6"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0.32 ÷ 53.72 = </w:t>
            </w:r>
            <w:r w:rsidRPr="00A05552">
              <w:rPr>
                <w:rFonts w:ascii="Arial" w:hAnsi="Arial" w:cs="Arial"/>
                <w:b/>
                <w:bCs/>
                <w:sz w:val="20"/>
                <w:szCs w:val="20"/>
              </w:rPr>
              <w:t>0.60%</w:t>
            </w:r>
          </w:p>
        </w:tc>
        <w:tc>
          <w:tcPr>
            <w:tcW w:w="0" w:type="auto"/>
            <w:hideMark/>
          </w:tcPr>
          <w:p w14:paraId="7D00F61E"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0.32 ÷ 58.79 = </w:t>
            </w:r>
            <w:r w:rsidRPr="00A05552">
              <w:rPr>
                <w:rFonts w:ascii="Arial" w:hAnsi="Arial" w:cs="Arial"/>
                <w:b/>
                <w:bCs/>
                <w:sz w:val="20"/>
                <w:szCs w:val="20"/>
              </w:rPr>
              <w:t>0.54%</w:t>
            </w:r>
          </w:p>
        </w:tc>
        <w:tc>
          <w:tcPr>
            <w:tcW w:w="0" w:type="auto"/>
            <w:hideMark/>
          </w:tcPr>
          <w:p w14:paraId="28EECF3E"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0.32 ÷ 52.15 = </w:t>
            </w:r>
            <w:r w:rsidRPr="00A05552">
              <w:rPr>
                <w:rFonts w:ascii="Arial" w:hAnsi="Arial" w:cs="Arial"/>
                <w:b/>
                <w:bCs/>
                <w:sz w:val="20"/>
                <w:szCs w:val="20"/>
              </w:rPr>
              <w:t>0.61%</w:t>
            </w:r>
          </w:p>
        </w:tc>
        <w:tc>
          <w:tcPr>
            <w:tcW w:w="0" w:type="auto"/>
            <w:hideMark/>
          </w:tcPr>
          <w:p w14:paraId="6C913831"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0.32 ÷ 101.81 = </w:t>
            </w:r>
            <w:r w:rsidRPr="00A05552">
              <w:rPr>
                <w:rFonts w:ascii="Arial" w:hAnsi="Arial" w:cs="Arial"/>
                <w:b/>
                <w:bCs/>
                <w:sz w:val="20"/>
                <w:szCs w:val="20"/>
              </w:rPr>
              <w:t>0.31%</w:t>
            </w:r>
          </w:p>
        </w:tc>
        <w:tc>
          <w:tcPr>
            <w:tcW w:w="0" w:type="auto"/>
            <w:hideMark/>
          </w:tcPr>
          <w:p w14:paraId="1A259242"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1.12 ÷ 166.79 = </w:t>
            </w:r>
            <w:r w:rsidRPr="00A05552">
              <w:rPr>
                <w:rFonts w:ascii="Arial" w:hAnsi="Arial" w:cs="Arial"/>
                <w:b/>
                <w:bCs/>
                <w:sz w:val="20"/>
                <w:szCs w:val="20"/>
              </w:rPr>
              <w:t>0.67%</w:t>
            </w:r>
          </w:p>
        </w:tc>
      </w:tr>
      <w:tr w:rsidR="00B94E97" w:rsidRPr="00A05552" w14:paraId="1AB84B32" w14:textId="77777777" w:rsidTr="00B94E97">
        <w:tc>
          <w:tcPr>
            <w:cnfStyle w:val="001000000000" w:firstRow="0" w:lastRow="0" w:firstColumn="1" w:lastColumn="0" w:oddVBand="0" w:evenVBand="0" w:oddHBand="0" w:evenHBand="0" w:firstRowFirstColumn="0" w:firstRowLastColumn="0" w:lastRowFirstColumn="0" w:lastRowLastColumn="0"/>
            <w:tcW w:w="0" w:type="auto"/>
            <w:hideMark/>
          </w:tcPr>
          <w:p w14:paraId="02EF03D0" w14:textId="77777777" w:rsidR="00B94E97" w:rsidRPr="00A05552" w:rsidRDefault="00B94E97" w:rsidP="00B94E97">
            <w:pPr>
              <w:spacing w:after="160"/>
              <w:rPr>
                <w:rFonts w:ascii="Arial" w:hAnsi="Arial" w:cs="Arial"/>
                <w:sz w:val="20"/>
                <w:szCs w:val="20"/>
              </w:rPr>
            </w:pPr>
            <w:r w:rsidRPr="00A05552">
              <w:rPr>
                <w:rFonts w:ascii="Arial" w:hAnsi="Arial" w:cs="Arial"/>
                <w:sz w:val="20"/>
                <w:szCs w:val="20"/>
              </w:rPr>
              <w:t>Return on equity (ROE %)</w:t>
            </w:r>
          </w:p>
        </w:tc>
        <w:tc>
          <w:tcPr>
            <w:tcW w:w="0" w:type="auto"/>
            <w:hideMark/>
          </w:tcPr>
          <w:p w14:paraId="2671E6E8"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38,572 ÷ 313,301 = </w:t>
            </w:r>
            <w:r w:rsidRPr="00A05552">
              <w:rPr>
                <w:rFonts w:ascii="Arial" w:hAnsi="Arial" w:cs="Arial"/>
                <w:b/>
                <w:bCs/>
                <w:sz w:val="20"/>
                <w:szCs w:val="20"/>
              </w:rPr>
              <w:t>12.3%</w:t>
            </w:r>
          </w:p>
        </w:tc>
        <w:tc>
          <w:tcPr>
            <w:tcW w:w="0" w:type="auto"/>
            <w:hideMark/>
          </w:tcPr>
          <w:p w14:paraId="7AB4096D"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5,301 ÷ 275,949 = </w:t>
            </w:r>
            <w:r w:rsidRPr="00A05552">
              <w:rPr>
                <w:rFonts w:ascii="Arial" w:hAnsi="Arial" w:cs="Arial"/>
                <w:b/>
                <w:bCs/>
                <w:sz w:val="20"/>
                <w:szCs w:val="20"/>
              </w:rPr>
              <w:t>1.9%</w:t>
            </w:r>
          </w:p>
        </w:tc>
        <w:tc>
          <w:tcPr>
            <w:tcW w:w="0" w:type="auto"/>
            <w:hideMark/>
          </w:tcPr>
          <w:p w14:paraId="67DAA5D0"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407 ÷ 268,406 = </w:t>
            </w:r>
            <w:r w:rsidRPr="00A05552">
              <w:rPr>
                <w:rFonts w:ascii="Arial" w:hAnsi="Arial" w:cs="Arial"/>
                <w:b/>
                <w:bCs/>
                <w:sz w:val="20"/>
                <w:szCs w:val="20"/>
              </w:rPr>
              <w:t>0.2%</w:t>
            </w:r>
          </w:p>
        </w:tc>
        <w:tc>
          <w:tcPr>
            <w:tcW w:w="0" w:type="auto"/>
            <w:hideMark/>
          </w:tcPr>
          <w:p w14:paraId="4A180948"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-98,238 ÷ 178,920 = </w:t>
            </w:r>
            <w:r w:rsidRPr="00A05552">
              <w:rPr>
                <w:rFonts w:ascii="Arial" w:hAnsi="Arial" w:cs="Arial"/>
                <w:b/>
                <w:bCs/>
                <w:sz w:val="20"/>
                <w:szCs w:val="20"/>
              </w:rPr>
              <w:t>-54.9%</w:t>
            </w:r>
          </w:p>
        </w:tc>
        <w:tc>
          <w:tcPr>
            <w:tcW w:w="0" w:type="auto"/>
            <w:hideMark/>
          </w:tcPr>
          <w:p w14:paraId="1728FE81"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 xml:space="preserve">-24,029 ÷ 153,105 = </w:t>
            </w:r>
            <w:r w:rsidRPr="00A05552">
              <w:rPr>
                <w:rFonts w:ascii="Arial" w:hAnsi="Arial" w:cs="Arial"/>
                <w:b/>
                <w:bCs/>
                <w:sz w:val="20"/>
                <w:szCs w:val="20"/>
              </w:rPr>
              <w:t>-15.7%</w:t>
            </w:r>
          </w:p>
        </w:tc>
      </w:tr>
    </w:tbl>
    <w:p w14:paraId="4F9E8FAE" w14:textId="462F5F0E" w:rsidR="00B94E97" w:rsidRPr="00A05552" w:rsidRDefault="006B6F45" w:rsidP="002C5CF4">
      <w:pPr>
        <w:rPr>
          <w:rFonts w:ascii="Arial" w:hAnsi="Arial" w:cs="Arial"/>
          <w:bCs/>
        </w:rPr>
      </w:pPr>
      <w:r w:rsidRPr="00A05552">
        <w:rPr>
          <w:rFonts w:ascii="Arial" w:hAnsi="Arial" w:cs="Arial"/>
          <w:bCs/>
        </w:rPr>
        <w:t>Source:</w:t>
      </w:r>
      <w:r w:rsidR="00504CE9" w:rsidRPr="00A05552">
        <w:rPr>
          <w:rFonts w:ascii="Arial" w:hAnsi="Arial" w:cs="Arial"/>
          <w:bCs/>
        </w:rPr>
        <w:t xml:space="preserve"> (GE Vernova, 2024; General Electric Company, 2020-2023)</w:t>
      </w:r>
    </w:p>
    <w:p w14:paraId="613B91B7" w14:textId="64480CF6" w:rsidR="002C5CF4" w:rsidRPr="00A05552" w:rsidRDefault="000123FE" w:rsidP="002C5CF4">
      <w:pPr>
        <w:rPr>
          <w:rFonts w:ascii="Arial" w:hAnsi="Arial" w:cs="Arial"/>
          <w:bCs/>
        </w:rPr>
      </w:pPr>
      <w:r w:rsidRPr="00A05552">
        <w:rPr>
          <w:rFonts w:ascii="Arial" w:hAnsi="Arial" w:cs="Arial"/>
          <w:bCs/>
        </w:rPr>
        <w:t>The investment ratios indicate a high achievement of the capacity of creating shareholder value in the period. The P/E ratio shows that the 2020 is fair compared to earnings, but the movement to a high of 53.7 in 2022 is an indication that the investors were expecting values not based on the profits because the EPS was almost zero. The ratios go back to more reasonable multiples in 2023 and 2024, but the still suggest optimism as compared to earnings volatility</w:t>
      </w:r>
      <w:r w:rsidR="001340E3" w:rsidRPr="00A05552">
        <w:rPr>
          <w:rFonts w:ascii="Arial" w:hAnsi="Arial" w:cs="Arial"/>
          <w:bCs/>
        </w:rPr>
        <w:t xml:space="preserve"> (GE Vernova, 2024; General Electric Company, 2020-2023)</w:t>
      </w:r>
      <w:r w:rsidRPr="00A05552">
        <w:rPr>
          <w:rFonts w:ascii="Arial" w:hAnsi="Arial" w:cs="Arial"/>
          <w:bCs/>
        </w:rPr>
        <w:t xml:space="preserve">. Dividend payments are on the conservative side of less than 1 </w:t>
      </w:r>
      <w:r w:rsidR="007E7EC6" w:rsidRPr="00A05552">
        <w:rPr>
          <w:rFonts w:ascii="Arial" w:hAnsi="Arial" w:cs="Arial"/>
          <w:bCs/>
        </w:rPr>
        <w:t>percent</w:t>
      </w:r>
      <w:r w:rsidRPr="00A05552">
        <w:rPr>
          <w:rFonts w:ascii="Arial" w:hAnsi="Arial" w:cs="Arial"/>
          <w:bCs/>
        </w:rPr>
        <w:t>, which shows the conservative policy of paying dividends and means, that the share price level continued to increase against dividen</w:t>
      </w:r>
      <w:r w:rsidR="008F32BA" w:rsidRPr="00A05552">
        <w:rPr>
          <w:rFonts w:ascii="Arial" w:hAnsi="Arial" w:cs="Arial"/>
          <w:bCs/>
        </w:rPr>
        <w:t>ds. The fall of ROE to 12.3 per</w:t>
      </w:r>
      <w:r w:rsidRPr="00A05552">
        <w:rPr>
          <w:rFonts w:ascii="Arial" w:hAnsi="Arial" w:cs="Arial"/>
          <w:bCs/>
        </w:rPr>
        <w:t>cent in 2020 to considerably negative actually in 2023-2024 proves the existence of capital erosion and massive losses</w:t>
      </w:r>
      <w:r w:rsidR="001340E3" w:rsidRPr="00A05552">
        <w:rPr>
          <w:rFonts w:ascii="Arial" w:hAnsi="Arial" w:cs="Arial"/>
          <w:bCs/>
        </w:rPr>
        <w:t xml:space="preserve"> (GE Vernova, 2024; General Electric Company, 2020-2023)</w:t>
      </w:r>
      <w:r w:rsidRPr="00A05552">
        <w:rPr>
          <w:rFonts w:ascii="Arial" w:hAnsi="Arial" w:cs="Arial"/>
          <w:bCs/>
        </w:rPr>
        <w:t>. All these measures show that the market expectations were higher than the worsening underlying of the firm, which increases downside valuation risk in case restructuring initiatives backfire.</w:t>
      </w:r>
    </w:p>
    <w:p w14:paraId="455215DD" w14:textId="77777777" w:rsidR="002C5CF4" w:rsidRPr="00A05552" w:rsidRDefault="002C5CF4" w:rsidP="006B6F45">
      <w:pPr>
        <w:pStyle w:val="Heading3"/>
        <w:rPr>
          <w:rFonts w:cs="Arial"/>
        </w:rPr>
      </w:pPr>
      <w:bookmarkStart w:id="14" w:name="_Toc217247572"/>
      <w:r w:rsidRPr="00A05552">
        <w:rPr>
          <w:rFonts w:cs="Arial"/>
        </w:rPr>
        <w:t>2.2.6 Cash flow ratios</w:t>
      </w:r>
      <w:bookmarkEnd w:id="14"/>
    </w:p>
    <w:p w14:paraId="791D86D7" w14:textId="77777777" w:rsidR="002C5CF4" w:rsidRPr="00A05552" w:rsidRDefault="002C5CF4" w:rsidP="002C5CF4">
      <w:pPr>
        <w:rPr>
          <w:rFonts w:ascii="Arial" w:hAnsi="Arial" w:cs="Arial"/>
          <w:bCs/>
        </w:rPr>
      </w:pPr>
      <w:r w:rsidRPr="00A05552">
        <w:rPr>
          <w:rFonts w:ascii="Arial" w:hAnsi="Arial" w:cs="Arial"/>
          <w:b/>
          <w:bCs/>
        </w:rPr>
        <w:t>Table 6: Cash flow ratios 2020–2024</w:t>
      </w:r>
    </w:p>
    <w:tbl>
      <w:tblPr>
        <w:tblStyle w:val="GridTable5Dark-Accent5"/>
        <w:tblW w:w="0" w:type="auto"/>
        <w:tblLook w:val="04A0" w:firstRow="1" w:lastRow="0" w:firstColumn="1" w:lastColumn="0" w:noHBand="0" w:noVBand="1"/>
      </w:tblPr>
      <w:tblGrid>
        <w:gridCol w:w="2145"/>
        <w:gridCol w:w="1441"/>
        <w:gridCol w:w="1441"/>
        <w:gridCol w:w="1441"/>
        <w:gridCol w:w="1441"/>
        <w:gridCol w:w="1441"/>
      </w:tblGrid>
      <w:tr w:rsidR="002C5CF4" w:rsidRPr="00A05552" w14:paraId="281B28FA" w14:textId="77777777" w:rsidTr="002C5C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CAD1D9"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lastRenderedPageBreak/>
              <w:t>Ratio</w:t>
            </w:r>
          </w:p>
        </w:tc>
        <w:tc>
          <w:tcPr>
            <w:tcW w:w="0" w:type="auto"/>
            <w:hideMark/>
          </w:tcPr>
          <w:p w14:paraId="0BE179D5"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2020</w:t>
            </w:r>
          </w:p>
        </w:tc>
        <w:tc>
          <w:tcPr>
            <w:tcW w:w="0" w:type="auto"/>
            <w:hideMark/>
          </w:tcPr>
          <w:p w14:paraId="640B8791"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2021</w:t>
            </w:r>
          </w:p>
        </w:tc>
        <w:tc>
          <w:tcPr>
            <w:tcW w:w="0" w:type="auto"/>
            <w:hideMark/>
          </w:tcPr>
          <w:p w14:paraId="295C9F71"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2022</w:t>
            </w:r>
          </w:p>
        </w:tc>
        <w:tc>
          <w:tcPr>
            <w:tcW w:w="0" w:type="auto"/>
            <w:hideMark/>
          </w:tcPr>
          <w:p w14:paraId="615D7CC1"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2023</w:t>
            </w:r>
          </w:p>
        </w:tc>
        <w:tc>
          <w:tcPr>
            <w:tcW w:w="0" w:type="auto"/>
            <w:hideMark/>
          </w:tcPr>
          <w:p w14:paraId="5A87D59F" w14:textId="77777777" w:rsidR="002C5CF4" w:rsidRPr="00A05552" w:rsidRDefault="002C5CF4" w:rsidP="002C5CF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2024</w:t>
            </w:r>
          </w:p>
        </w:tc>
      </w:tr>
      <w:tr w:rsidR="002C5CF4" w:rsidRPr="00A05552" w14:paraId="2A3D6ACA" w14:textId="77777777" w:rsidTr="002C5C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FFCE18"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Operating cash flow / current liabilities</w:t>
            </w:r>
          </w:p>
        </w:tc>
        <w:tc>
          <w:tcPr>
            <w:tcW w:w="0" w:type="auto"/>
            <w:hideMark/>
          </w:tcPr>
          <w:p w14:paraId="54924F4D"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73,392 / 179,510 = 0.41</w:t>
            </w:r>
          </w:p>
        </w:tc>
        <w:tc>
          <w:tcPr>
            <w:tcW w:w="0" w:type="auto"/>
            <w:hideMark/>
          </w:tcPr>
          <w:p w14:paraId="0BF91BFC"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40,283 / 216,787 = 0.19</w:t>
            </w:r>
          </w:p>
        </w:tc>
        <w:tc>
          <w:tcPr>
            <w:tcW w:w="0" w:type="auto"/>
            <w:hideMark/>
          </w:tcPr>
          <w:p w14:paraId="6EB3524F"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10,926 / 216,473 = 0.05</w:t>
            </w:r>
          </w:p>
        </w:tc>
        <w:tc>
          <w:tcPr>
            <w:tcW w:w="0" w:type="auto"/>
            <w:hideMark/>
          </w:tcPr>
          <w:p w14:paraId="706990A4"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25,190 / 161,148 = 0.16</w:t>
            </w:r>
          </w:p>
        </w:tc>
        <w:tc>
          <w:tcPr>
            <w:tcW w:w="0" w:type="auto"/>
            <w:hideMark/>
          </w:tcPr>
          <w:p w14:paraId="1CDECBCE" w14:textId="77777777" w:rsidR="002C5CF4" w:rsidRPr="00A05552" w:rsidRDefault="002C5CF4" w:rsidP="002C5CF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14,822 / 158,291 = 0.09</w:t>
            </w:r>
          </w:p>
        </w:tc>
      </w:tr>
      <w:tr w:rsidR="002C5CF4" w:rsidRPr="00A05552" w14:paraId="65E132D2" w14:textId="77777777" w:rsidTr="002C5CF4">
        <w:tc>
          <w:tcPr>
            <w:cnfStyle w:val="001000000000" w:firstRow="0" w:lastRow="0" w:firstColumn="1" w:lastColumn="0" w:oddVBand="0" w:evenVBand="0" w:oddHBand="0" w:evenHBand="0" w:firstRowFirstColumn="0" w:firstRowLastColumn="0" w:lastRowFirstColumn="0" w:lastRowLastColumn="0"/>
            <w:tcW w:w="0" w:type="auto"/>
            <w:hideMark/>
          </w:tcPr>
          <w:p w14:paraId="11368FC4" w14:textId="77777777" w:rsidR="002C5CF4" w:rsidRPr="00A05552" w:rsidRDefault="002C5CF4" w:rsidP="002C5CF4">
            <w:pPr>
              <w:spacing w:after="160"/>
              <w:rPr>
                <w:rFonts w:ascii="Arial" w:hAnsi="Arial" w:cs="Arial"/>
                <w:sz w:val="20"/>
                <w:szCs w:val="20"/>
              </w:rPr>
            </w:pPr>
            <w:r w:rsidRPr="00A05552">
              <w:rPr>
                <w:rFonts w:ascii="Arial" w:hAnsi="Arial" w:cs="Arial"/>
                <w:sz w:val="20"/>
                <w:szCs w:val="20"/>
              </w:rPr>
              <w:t>Operating cash flow / capex</w:t>
            </w:r>
          </w:p>
        </w:tc>
        <w:tc>
          <w:tcPr>
            <w:tcW w:w="0" w:type="auto"/>
            <w:hideMark/>
          </w:tcPr>
          <w:p w14:paraId="75361782"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73,392 / 23,234 = 3.16</w:t>
            </w:r>
          </w:p>
        </w:tc>
        <w:tc>
          <w:tcPr>
            <w:tcW w:w="0" w:type="auto"/>
            <w:hideMark/>
          </w:tcPr>
          <w:p w14:paraId="3730D71B"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40,283 / 17,041 = 2.36</w:t>
            </w:r>
          </w:p>
        </w:tc>
        <w:tc>
          <w:tcPr>
            <w:tcW w:w="0" w:type="auto"/>
            <w:hideMark/>
          </w:tcPr>
          <w:p w14:paraId="67B8EA77"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10,926 / 20,585 = 0.53</w:t>
            </w:r>
          </w:p>
        </w:tc>
        <w:tc>
          <w:tcPr>
            <w:tcW w:w="0" w:type="auto"/>
            <w:hideMark/>
          </w:tcPr>
          <w:p w14:paraId="3C07D842"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25,190 / 13,877 = 1.82</w:t>
            </w:r>
          </w:p>
        </w:tc>
        <w:tc>
          <w:tcPr>
            <w:tcW w:w="0" w:type="auto"/>
            <w:hideMark/>
          </w:tcPr>
          <w:p w14:paraId="14002D94" w14:textId="77777777" w:rsidR="002C5CF4" w:rsidRPr="00A05552" w:rsidRDefault="002C5CF4" w:rsidP="002C5CF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14,822 / 8,428 = 1.76</w:t>
            </w:r>
          </w:p>
        </w:tc>
      </w:tr>
    </w:tbl>
    <w:p w14:paraId="11D8B730" w14:textId="5592984B" w:rsidR="006B6F45" w:rsidRPr="00A05552" w:rsidRDefault="006B6F45" w:rsidP="002C5CF4">
      <w:pPr>
        <w:rPr>
          <w:rFonts w:ascii="Arial" w:hAnsi="Arial" w:cs="Arial"/>
          <w:bCs/>
        </w:rPr>
      </w:pPr>
      <w:r w:rsidRPr="00A05552">
        <w:rPr>
          <w:rFonts w:ascii="Arial" w:hAnsi="Arial" w:cs="Arial"/>
          <w:bCs/>
        </w:rPr>
        <w:t>Source:</w:t>
      </w:r>
      <w:r w:rsidR="00504CE9" w:rsidRPr="00A05552">
        <w:rPr>
          <w:rFonts w:ascii="Arial" w:hAnsi="Arial" w:cs="Arial"/>
          <w:bCs/>
        </w:rPr>
        <w:t xml:space="preserve"> (GE Vernova, 2024; General Electric Company, 2020-2023)</w:t>
      </w:r>
    </w:p>
    <w:p w14:paraId="2B419E5F" w14:textId="173C4297" w:rsidR="008F32BA" w:rsidRPr="00A05552" w:rsidRDefault="008F32BA" w:rsidP="008F32BA">
      <w:pPr>
        <w:rPr>
          <w:rFonts w:ascii="Arial" w:hAnsi="Arial" w:cs="Arial"/>
          <w:bCs/>
        </w:rPr>
      </w:pPr>
      <w:r w:rsidRPr="00A05552">
        <w:rPr>
          <w:rFonts w:ascii="Arial" w:hAnsi="Arial" w:cs="Arial"/>
          <w:bCs/>
        </w:rPr>
        <w:t>The year has also seen the ratio of operating cash flow to current liabilities decrease to 0.09 as compared to 0.41 indicating that the current level of operating cash generation is less than 10 percent of the short-term liabilities during the year. This is a serious worsening and reflects that even though current ratios are bearable, it is supported by the relatively illiquid working capital instead of the high cash conversion</w:t>
      </w:r>
      <w:r w:rsidR="001340E3" w:rsidRPr="00A05552">
        <w:rPr>
          <w:rFonts w:ascii="Arial" w:hAnsi="Arial" w:cs="Arial"/>
          <w:bCs/>
        </w:rPr>
        <w:t xml:space="preserve"> (GE Vernova, 2024; General Electric Company, 2020-2023)</w:t>
      </w:r>
      <w:r w:rsidRPr="00A05552">
        <w:rPr>
          <w:rFonts w:ascii="Arial" w:hAnsi="Arial" w:cs="Arial"/>
          <w:bCs/>
        </w:rPr>
        <w:t>.</w:t>
      </w:r>
    </w:p>
    <w:p w14:paraId="6BAACABC" w14:textId="03D91456" w:rsidR="002C5CF4" w:rsidRPr="00A05552" w:rsidRDefault="008F32BA" w:rsidP="008F32BA">
      <w:pPr>
        <w:rPr>
          <w:rFonts w:ascii="Arial" w:hAnsi="Arial" w:cs="Arial"/>
          <w:bCs/>
        </w:rPr>
      </w:pPr>
      <w:r w:rsidRPr="00A05552">
        <w:rPr>
          <w:rFonts w:ascii="Arial" w:hAnsi="Arial" w:cs="Arial"/>
          <w:bCs/>
        </w:rPr>
        <w:t>In 2020-21, the coverage of cash flow by capital expenditure stood at a comfortable level of more than two times, but fell to below one in 2022 and slightly improved in 2023-2024, as the company reduced investment. The present ratio of approximately 1.8 times suggests that now capex is widely matched with the internally dedicated funds at the expense of slowed down growth and renewal of productive resources</w:t>
      </w:r>
      <w:r w:rsidR="001340E3" w:rsidRPr="00A05552">
        <w:rPr>
          <w:rFonts w:ascii="Arial" w:hAnsi="Arial" w:cs="Arial"/>
          <w:bCs/>
        </w:rPr>
        <w:t xml:space="preserve"> (GE Vernova, 2024; General Electric Company, 2020-2023)</w:t>
      </w:r>
      <w:r w:rsidRPr="00A05552">
        <w:rPr>
          <w:rFonts w:ascii="Arial" w:hAnsi="Arial" w:cs="Arial"/>
          <w:bCs/>
        </w:rPr>
        <w:t>. Sustainable recovery will involve the process of re-constructing operating cash flow without over-deferring capital investments required.</w:t>
      </w:r>
    </w:p>
    <w:p w14:paraId="123083CA" w14:textId="7341CE27" w:rsidR="002C5CF4" w:rsidRPr="00A05552" w:rsidRDefault="002C5CF4" w:rsidP="006B6F45">
      <w:pPr>
        <w:pStyle w:val="Heading2"/>
        <w:rPr>
          <w:rFonts w:cs="Arial"/>
        </w:rPr>
      </w:pPr>
      <w:bookmarkStart w:id="15" w:name="_Toc217247573"/>
      <w:r w:rsidRPr="00A05552">
        <w:rPr>
          <w:rFonts w:cs="Arial"/>
        </w:rPr>
        <w:t>2.3 Trend evaluation and interpretation</w:t>
      </w:r>
      <w:bookmarkEnd w:id="15"/>
      <w:r w:rsidRPr="00A05552">
        <w:rPr>
          <w:rFonts w:cs="Arial"/>
        </w:rPr>
        <w:t xml:space="preserve"> </w:t>
      </w:r>
    </w:p>
    <w:p w14:paraId="16624D85" w14:textId="77170E06" w:rsidR="008F32BA" w:rsidRPr="00A05552" w:rsidRDefault="008F32BA" w:rsidP="008F32BA">
      <w:pPr>
        <w:rPr>
          <w:rFonts w:ascii="Arial" w:hAnsi="Arial" w:cs="Arial"/>
          <w:bCs/>
        </w:rPr>
      </w:pPr>
      <w:r w:rsidRPr="00A05552">
        <w:rPr>
          <w:rFonts w:ascii="Arial" w:hAnsi="Arial" w:cs="Arial"/>
          <w:bCs/>
        </w:rPr>
        <w:t>When combined, the ratios present the picture of a company which was once characterized by moderate profitability and reasonable leverage, but now is operating at a loss, experiencing liquidity crunch and increasing financial risk. The remaining strength that has been staved off is a still-reasonable gross margin in 2024, and fairly stable asset turnover, which are indicative that the underlying product portfolio is still commercially viable, and that assets are not grossly under-utilised</w:t>
      </w:r>
      <w:r w:rsidR="001340E3" w:rsidRPr="00A05552">
        <w:rPr>
          <w:rFonts w:ascii="Arial" w:hAnsi="Arial" w:cs="Arial"/>
          <w:bCs/>
        </w:rPr>
        <w:t xml:space="preserve"> (GE Vernova, 2024)</w:t>
      </w:r>
      <w:r w:rsidRPr="00A05552">
        <w:rPr>
          <w:rFonts w:ascii="Arial" w:hAnsi="Arial" w:cs="Arial"/>
          <w:bCs/>
        </w:rPr>
        <w:t>. The firm has also recorded good operating cash flow over the period, despite the drastic income statement losses and this is one of the main merits in any restructuring undertaking.</w:t>
      </w:r>
    </w:p>
    <w:p w14:paraId="091B8C9D" w14:textId="6584954D" w:rsidR="002C5CF4" w:rsidRPr="00A05552" w:rsidRDefault="008F32BA" w:rsidP="008F32BA">
      <w:pPr>
        <w:rPr>
          <w:rFonts w:ascii="Arial" w:hAnsi="Arial" w:cs="Arial"/>
          <w:bCs/>
        </w:rPr>
      </w:pPr>
      <w:r w:rsidRPr="00A05552">
        <w:rPr>
          <w:rFonts w:ascii="Arial" w:hAnsi="Arial" w:cs="Arial"/>
          <w:bCs/>
        </w:rPr>
        <w:lastRenderedPageBreak/>
        <w:t>Nonetheless, the risks are high. The measures of profitability reveal structural discontinuity after 2023 and negative operating and net margins, negative ROE with worsened EPS</w:t>
      </w:r>
      <w:r w:rsidR="001340E3" w:rsidRPr="00A05552">
        <w:rPr>
          <w:rFonts w:ascii="Arial" w:hAnsi="Arial" w:cs="Arial"/>
          <w:bCs/>
        </w:rPr>
        <w:t xml:space="preserve"> (Robert et al., 2023)</w:t>
      </w:r>
      <w:r w:rsidRPr="00A05552">
        <w:rPr>
          <w:rFonts w:ascii="Arial" w:hAnsi="Arial" w:cs="Arial"/>
          <w:bCs/>
        </w:rPr>
        <w:t>. Ratios of liquidity are decreasing, the period of receivable extends significantly, and ratios calculated based on cash flow show ineffective ability to bear short-term liabilities of operations only. The credit profile of the firm has been damaged with leverage escalating as the equity is being worn down and the interest coverage is operating at a negative level</w:t>
      </w:r>
      <w:r w:rsidR="001340E3" w:rsidRPr="00A05552">
        <w:rPr>
          <w:rFonts w:ascii="Arial" w:hAnsi="Arial" w:cs="Arial"/>
          <w:bCs/>
        </w:rPr>
        <w:t xml:space="preserve"> (Robert et al., 2023)</w:t>
      </w:r>
      <w:r w:rsidRPr="00A05552">
        <w:rPr>
          <w:rFonts w:ascii="Arial" w:hAnsi="Arial" w:cs="Arial"/>
          <w:bCs/>
        </w:rPr>
        <w:t>. The fact that there have been no dividends in the last few years highlights the strain on the free cash flow and the amount of profits available to distribute. The company is under threat of further erosion of shareholder value and even stressing covenant unless concerted efforts are made to restore margins, enhance working cash efficiency and rebalance the capital structure.</w:t>
      </w:r>
    </w:p>
    <w:p w14:paraId="0B9E5A8E" w14:textId="46E07A01" w:rsidR="00B54831" w:rsidRPr="00A05552" w:rsidRDefault="00B54831" w:rsidP="006B6F45">
      <w:pPr>
        <w:pStyle w:val="Heading2"/>
        <w:rPr>
          <w:rFonts w:cs="Arial"/>
        </w:rPr>
      </w:pPr>
      <w:bookmarkStart w:id="16" w:name="_Toc217247574"/>
      <w:r w:rsidRPr="00A05552">
        <w:rPr>
          <w:rFonts w:cs="Arial"/>
        </w:rPr>
        <w:t>2.4</w:t>
      </w:r>
      <w:r w:rsidR="006B6F45" w:rsidRPr="00A05552">
        <w:rPr>
          <w:rFonts w:cs="Arial"/>
        </w:rPr>
        <w:t xml:space="preserve"> Corporate failure prediction</w:t>
      </w:r>
      <w:bookmarkEnd w:id="16"/>
      <w:r w:rsidR="006B6F45" w:rsidRPr="00A05552">
        <w:rPr>
          <w:rFonts w:cs="Arial"/>
        </w:rPr>
        <w:t xml:space="preserve"> </w:t>
      </w:r>
    </w:p>
    <w:p w14:paraId="55049F76" w14:textId="22EAE8EC" w:rsidR="00B54831" w:rsidRPr="00A05552" w:rsidRDefault="006B6F45" w:rsidP="00B94E97">
      <w:pPr>
        <w:rPr>
          <w:rFonts w:ascii="Arial" w:hAnsi="Arial" w:cs="Arial"/>
          <w:b/>
        </w:rPr>
      </w:pPr>
      <w:r w:rsidRPr="00A05552">
        <w:rPr>
          <w:rFonts w:ascii="Arial" w:hAnsi="Arial" w:cs="Arial"/>
          <w:b/>
        </w:rPr>
        <w:t xml:space="preserve">Table: </w:t>
      </w:r>
      <w:r w:rsidR="00B54831" w:rsidRPr="00A05552">
        <w:rPr>
          <w:rFonts w:ascii="Arial" w:hAnsi="Arial" w:cs="Arial"/>
          <w:b/>
        </w:rPr>
        <w:t>Altman Z-Score computation</w:t>
      </w:r>
    </w:p>
    <w:tbl>
      <w:tblPr>
        <w:tblStyle w:val="GridTable5Dark-Accent5"/>
        <w:tblW w:w="9355" w:type="dxa"/>
        <w:tblLayout w:type="fixed"/>
        <w:tblLook w:val="04A0" w:firstRow="1" w:lastRow="0" w:firstColumn="1" w:lastColumn="0" w:noHBand="0" w:noVBand="1"/>
      </w:tblPr>
      <w:tblGrid>
        <w:gridCol w:w="715"/>
        <w:gridCol w:w="1517"/>
        <w:gridCol w:w="1726"/>
        <w:gridCol w:w="1658"/>
        <w:gridCol w:w="1726"/>
        <w:gridCol w:w="1293"/>
        <w:gridCol w:w="720"/>
      </w:tblGrid>
      <w:tr w:rsidR="00B94E97" w:rsidRPr="00A05552" w14:paraId="5F865A61" w14:textId="77777777" w:rsidTr="00B94E97">
        <w:trPr>
          <w:cnfStyle w:val="100000000000" w:firstRow="1" w:lastRow="0" w:firstColumn="0" w:lastColumn="0" w:oddVBand="0" w:evenVBand="0" w:oddHBand="0" w:evenHBand="0" w:firstRowFirstColumn="0" w:firstRowLastColumn="0" w:lastRowFirstColumn="0" w:lastRowLastColumn="0"/>
          <w:trHeight w:val="1755"/>
        </w:trPr>
        <w:tc>
          <w:tcPr>
            <w:cnfStyle w:val="001000000000" w:firstRow="0" w:lastRow="0" w:firstColumn="1" w:lastColumn="0" w:oddVBand="0" w:evenVBand="0" w:oddHBand="0" w:evenHBand="0" w:firstRowFirstColumn="0" w:firstRowLastColumn="0" w:lastRowFirstColumn="0" w:lastRowLastColumn="0"/>
            <w:tcW w:w="715" w:type="dxa"/>
            <w:hideMark/>
          </w:tcPr>
          <w:p w14:paraId="47A65E43" w14:textId="77777777" w:rsidR="00B94E97" w:rsidRPr="00A05552" w:rsidRDefault="00B94E97" w:rsidP="00B94E97">
            <w:pPr>
              <w:spacing w:after="160"/>
              <w:rPr>
                <w:rFonts w:ascii="Arial" w:hAnsi="Arial" w:cs="Arial"/>
                <w:sz w:val="20"/>
                <w:szCs w:val="20"/>
              </w:rPr>
            </w:pPr>
            <w:r w:rsidRPr="00A05552">
              <w:rPr>
                <w:rFonts w:ascii="Arial" w:hAnsi="Arial" w:cs="Arial"/>
                <w:sz w:val="20"/>
                <w:szCs w:val="20"/>
              </w:rPr>
              <w:t>Year</w:t>
            </w:r>
          </w:p>
        </w:tc>
        <w:tc>
          <w:tcPr>
            <w:tcW w:w="1517" w:type="dxa"/>
            <w:hideMark/>
          </w:tcPr>
          <w:p w14:paraId="547B042F" w14:textId="77777777" w:rsidR="00B94E97" w:rsidRPr="00A05552" w:rsidRDefault="00B94E97" w:rsidP="00B94E97">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(A) WC/TA×1.2</w:t>
            </w:r>
          </w:p>
        </w:tc>
        <w:tc>
          <w:tcPr>
            <w:tcW w:w="1726" w:type="dxa"/>
            <w:hideMark/>
          </w:tcPr>
          <w:p w14:paraId="0E5C62BB" w14:textId="77777777" w:rsidR="00B94E97" w:rsidRPr="00A05552" w:rsidRDefault="00B94E97" w:rsidP="00B94E97">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(B) RE/TA×1.4</w:t>
            </w:r>
          </w:p>
        </w:tc>
        <w:tc>
          <w:tcPr>
            <w:tcW w:w="1658" w:type="dxa"/>
            <w:hideMark/>
          </w:tcPr>
          <w:p w14:paraId="094469BE" w14:textId="77777777" w:rsidR="00B94E97" w:rsidRPr="00A05552" w:rsidRDefault="00B94E97" w:rsidP="00B94E97">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(C) EBIT/TA×3.3</w:t>
            </w:r>
          </w:p>
        </w:tc>
        <w:tc>
          <w:tcPr>
            <w:tcW w:w="1726" w:type="dxa"/>
            <w:hideMark/>
          </w:tcPr>
          <w:p w14:paraId="20994E48" w14:textId="77777777" w:rsidR="00B94E97" w:rsidRPr="00A05552" w:rsidRDefault="00B94E97" w:rsidP="00B94E97">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(D) MV Eq÷TL×0.6</w:t>
            </w:r>
          </w:p>
        </w:tc>
        <w:tc>
          <w:tcPr>
            <w:tcW w:w="1293" w:type="dxa"/>
            <w:hideMark/>
          </w:tcPr>
          <w:p w14:paraId="345CD2BC" w14:textId="77777777" w:rsidR="00B94E97" w:rsidRPr="00A05552" w:rsidRDefault="00B94E97" w:rsidP="00B94E97">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(E) Rev÷TA×1.0</w:t>
            </w:r>
          </w:p>
        </w:tc>
        <w:tc>
          <w:tcPr>
            <w:tcW w:w="720" w:type="dxa"/>
            <w:hideMark/>
          </w:tcPr>
          <w:p w14:paraId="680D4113" w14:textId="77777777" w:rsidR="00B94E97" w:rsidRPr="00A05552" w:rsidRDefault="00B94E97" w:rsidP="00B94E97">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Total Z-Score</w:t>
            </w:r>
          </w:p>
        </w:tc>
      </w:tr>
      <w:tr w:rsidR="00B94E97" w:rsidRPr="00A05552" w14:paraId="1360B236" w14:textId="77777777" w:rsidTr="00B94E97">
        <w:trPr>
          <w:cnfStyle w:val="000000100000" w:firstRow="0" w:lastRow="0" w:firstColumn="0" w:lastColumn="0" w:oddVBand="0" w:evenVBand="0" w:oddHBand="1" w:evenHBand="0" w:firstRowFirstColumn="0" w:firstRowLastColumn="0" w:lastRowFirstColumn="0" w:lastRowLastColumn="0"/>
          <w:trHeight w:val="800"/>
        </w:trPr>
        <w:tc>
          <w:tcPr>
            <w:cnfStyle w:val="001000000000" w:firstRow="0" w:lastRow="0" w:firstColumn="1" w:lastColumn="0" w:oddVBand="0" w:evenVBand="0" w:oddHBand="0" w:evenHBand="0" w:firstRowFirstColumn="0" w:firstRowLastColumn="0" w:lastRowFirstColumn="0" w:lastRowLastColumn="0"/>
            <w:tcW w:w="715" w:type="dxa"/>
            <w:hideMark/>
          </w:tcPr>
          <w:p w14:paraId="40462B55" w14:textId="77777777" w:rsidR="00B94E97" w:rsidRPr="00A05552" w:rsidRDefault="00B94E97" w:rsidP="00B94E97">
            <w:pPr>
              <w:spacing w:after="160"/>
              <w:rPr>
                <w:rFonts w:ascii="Arial" w:hAnsi="Arial" w:cs="Arial"/>
                <w:sz w:val="20"/>
                <w:szCs w:val="20"/>
              </w:rPr>
            </w:pPr>
            <w:r w:rsidRPr="00A05552">
              <w:rPr>
                <w:rFonts w:ascii="Arial" w:hAnsi="Arial" w:cs="Arial"/>
                <w:sz w:val="20"/>
                <w:szCs w:val="20"/>
              </w:rPr>
              <w:t>2020</w:t>
            </w:r>
          </w:p>
        </w:tc>
        <w:tc>
          <w:tcPr>
            <w:tcW w:w="1517" w:type="dxa"/>
            <w:hideMark/>
          </w:tcPr>
          <w:p w14:paraId="5EF92B87"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1.2(147,333/510,290)=</w:t>
            </w:r>
            <w:r w:rsidRPr="00A05552">
              <w:rPr>
                <w:rFonts w:ascii="Arial" w:hAnsi="Arial" w:cs="Arial"/>
                <w:b/>
                <w:bCs/>
                <w:sz w:val="20"/>
                <w:szCs w:val="20"/>
              </w:rPr>
              <w:t>0.35</w:t>
            </w:r>
          </w:p>
        </w:tc>
        <w:tc>
          <w:tcPr>
            <w:tcW w:w="1726" w:type="dxa"/>
            <w:hideMark/>
          </w:tcPr>
          <w:p w14:paraId="1807B71B"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1.4(324,990/510,290)=</w:t>
            </w:r>
            <w:r w:rsidRPr="00A05552">
              <w:rPr>
                <w:rFonts w:ascii="Arial" w:hAnsi="Arial" w:cs="Arial"/>
                <w:b/>
                <w:bCs/>
                <w:sz w:val="20"/>
                <w:szCs w:val="20"/>
              </w:rPr>
              <w:t>0.89</w:t>
            </w:r>
          </w:p>
        </w:tc>
        <w:tc>
          <w:tcPr>
            <w:tcW w:w="1658" w:type="dxa"/>
            <w:hideMark/>
          </w:tcPr>
          <w:p w14:paraId="7B085136"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3.3(37,267/510,290)=</w:t>
            </w:r>
            <w:r w:rsidRPr="00A05552">
              <w:rPr>
                <w:rFonts w:ascii="Arial" w:hAnsi="Arial" w:cs="Arial"/>
                <w:b/>
                <w:bCs/>
                <w:sz w:val="20"/>
                <w:szCs w:val="20"/>
              </w:rPr>
              <w:t>0.24</w:t>
            </w:r>
          </w:p>
        </w:tc>
        <w:tc>
          <w:tcPr>
            <w:tcW w:w="1726" w:type="dxa"/>
            <w:hideMark/>
          </w:tcPr>
          <w:p w14:paraId="09206C9F"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0.6(313,301/196,989)=</w:t>
            </w:r>
            <w:r w:rsidRPr="00A05552">
              <w:rPr>
                <w:rFonts w:ascii="Arial" w:hAnsi="Arial" w:cs="Arial"/>
                <w:b/>
                <w:bCs/>
                <w:sz w:val="20"/>
                <w:szCs w:val="20"/>
              </w:rPr>
              <w:t>0.95</w:t>
            </w:r>
          </w:p>
        </w:tc>
        <w:tc>
          <w:tcPr>
            <w:tcW w:w="1293" w:type="dxa"/>
            <w:hideMark/>
          </w:tcPr>
          <w:p w14:paraId="3BF3C7BC"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614,680/510,290=</w:t>
            </w:r>
            <w:r w:rsidRPr="00A05552">
              <w:rPr>
                <w:rFonts w:ascii="Arial" w:hAnsi="Arial" w:cs="Arial"/>
                <w:b/>
                <w:bCs/>
                <w:sz w:val="20"/>
                <w:szCs w:val="20"/>
              </w:rPr>
              <w:t>1.20</w:t>
            </w:r>
          </w:p>
        </w:tc>
        <w:tc>
          <w:tcPr>
            <w:tcW w:w="720" w:type="dxa"/>
            <w:hideMark/>
          </w:tcPr>
          <w:p w14:paraId="12424513"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b/>
                <w:bCs/>
                <w:sz w:val="20"/>
                <w:szCs w:val="20"/>
              </w:rPr>
              <w:t>3.63</w:t>
            </w:r>
          </w:p>
        </w:tc>
      </w:tr>
      <w:tr w:rsidR="00B94E97" w:rsidRPr="00A05552" w14:paraId="38C61048" w14:textId="77777777" w:rsidTr="00B94E97">
        <w:trPr>
          <w:trHeight w:val="786"/>
        </w:trPr>
        <w:tc>
          <w:tcPr>
            <w:cnfStyle w:val="001000000000" w:firstRow="0" w:lastRow="0" w:firstColumn="1" w:lastColumn="0" w:oddVBand="0" w:evenVBand="0" w:oddHBand="0" w:evenHBand="0" w:firstRowFirstColumn="0" w:firstRowLastColumn="0" w:lastRowFirstColumn="0" w:lastRowLastColumn="0"/>
            <w:tcW w:w="715" w:type="dxa"/>
            <w:hideMark/>
          </w:tcPr>
          <w:p w14:paraId="7FA17FF4" w14:textId="77777777" w:rsidR="00B94E97" w:rsidRPr="00A05552" w:rsidRDefault="00B94E97" w:rsidP="00B94E97">
            <w:pPr>
              <w:spacing w:after="160"/>
              <w:rPr>
                <w:rFonts w:ascii="Arial" w:hAnsi="Arial" w:cs="Arial"/>
                <w:sz w:val="20"/>
                <w:szCs w:val="20"/>
              </w:rPr>
            </w:pPr>
            <w:r w:rsidRPr="00A05552">
              <w:rPr>
                <w:rFonts w:ascii="Arial" w:hAnsi="Arial" w:cs="Arial"/>
                <w:sz w:val="20"/>
                <w:szCs w:val="20"/>
              </w:rPr>
              <w:t>2021</w:t>
            </w:r>
          </w:p>
        </w:tc>
        <w:tc>
          <w:tcPr>
            <w:tcW w:w="1517" w:type="dxa"/>
            <w:hideMark/>
          </w:tcPr>
          <w:p w14:paraId="71B6B8A3"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1.2(120,359/510,348)=</w:t>
            </w:r>
            <w:r w:rsidRPr="00A05552">
              <w:rPr>
                <w:rFonts w:ascii="Arial" w:hAnsi="Arial" w:cs="Arial"/>
                <w:b/>
                <w:bCs/>
                <w:sz w:val="20"/>
                <w:szCs w:val="20"/>
              </w:rPr>
              <w:t>0.28</w:t>
            </w:r>
          </w:p>
        </w:tc>
        <w:tc>
          <w:tcPr>
            <w:tcW w:w="1726" w:type="dxa"/>
            <w:hideMark/>
          </w:tcPr>
          <w:p w14:paraId="09D62EF1"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1.4(330,291/510,348)=</w:t>
            </w:r>
            <w:r w:rsidRPr="00A05552">
              <w:rPr>
                <w:rFonts w:ascii="Arial" w:hAnsi="Arial" w:cs="Arial"/>
                <w:b/>
                <w:bCs/>
                <w:sz w:val="20"/>
                <w:szCs w:val="20"/>
              </w:rPr>
              <w:t>0.91</w:t>
            </w:r>
          </w:p>
        </w:tc>
        <w:tc>
          <w:tcPr>
            <w:tcW w:w="1658" w:type="dxa"/>
            <w:hideMark/>
          </w:tcPr>
          <w:p w14:paraId="78D3926A"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3.3(23,253/510,348)=</w:t>
            </w:r>
            <w:r w:rsidRPr="00A05552">
              <w:rPr>
                <w:rFonts w:ascii="Arial" w:hAnsi="Arial" w:cs="Arial"/>
                <w:b/>
                <w:bCs/>
                <w:sz w:val="20"/>
                <w:szCs w:val="20"/>
              </w:rPr>
              <w:t>0.15</w:t>
            </w:r>
          </w:p>
        </w:tc>
        <w:tc>
          <w:tcPr>
            <w:tcW w:w="1726" w:type="dxa"/>
            <w:hideMark/>
          </w:tcPr>
          <w:p w14:paraId="67A4D58E"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0.6(275,949/234,399)=</w:t>
            </w:r>
            <w:r w:rsidRPr="00A05552">
              <w:rPr>
                <w:rFonts w:ascii="Arial" w:hAnsi="Arial" w:cs="Arial"/>
                <w:b/>
                <w:bCs/>
                <w:sz w:val="20"/>
                <w:szCs w:val="20"/>
              </w:rPr>
              <w:t>0.71</w:t>
            </w:r>
          </w:p>
        </w:tc>
        <w:tc>
          <w:tcPr>
            <w:tcW w:w="1293" w:type="dxa"/>
            <w:hideMark/>
          </w:tcPr>
          <w:p w14:paraId="39A19BE7"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601,602/510,348=</w:t>
            </w:r>
            <w:r w:rsidRPr="00A05552">
              <w:rPr>
                <w:rFonts w:ascii="Arial" w:hAnsi="Arial" w:cs="Arial"/>
                <w:b/>
                <w:bCs/>
                <w:sz w:val="20"/>
                <w:szCs w:val="20"/>
              </w:rPr>
              <w:t>1.18</w:t>
            </w:r>
          </w:p>
        </w:tc>
        <w:tc>
          <w:tcPr>
            <w:tcW w:w="720" w:type="dxa"/>
            <w:hideMark/>
          </w:tcPr>
          <w:p w14:paraId="07E6B54D"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b/>
                <w:bCs/>
                <w:sz w:val="20"/>
                <w:szCs w:val="20"/>
              </w:rPr>
              <w:t>3.23</w:t>
            </w:r>
          </w:p>
        </w:tc>
      </w:tr>
      <w:tr w:rsidR="00B94E97" w:rsidRPr="00A05552" w14:paraId="3A9976A2" w14:textId="77777777" w:rsidTr="00B94E97">
        <w:trPr>
          <w:cnfStyle w:val="000000100000" w:firstRow="0" w:lastRow="0" w:firstColumn="0" w:lastColumn="0" w:oddVBand="0" w:evenVBand="0" w:oddHBand="1" w:evenHBand="0" w:firstRowFirstColumn="0" w:firstRowLastColumn="0" w:lastRowFirstColumn="0" w:lastRowLastColumn="0"/>
          <w:trHeight w:val="786"/>
        </w:trPr>
        <w:tc>
          <w:tcPr>
            <w:cnfStyle w:val="001000000000" w:firstRow="0" w:lastRow="0" w:firstColumn="1" w:lastColumn="0" w:oddVBand="0" w:evenVBand="0" w:oddHBand="0" w:evenHBand="0" w:firstRowFirstColumn="0" w:firstRowLastColumn="0" w:lastRowFirstColumn="0" w:lastRowLastColumn="0"/>
            <w:tcW w:w="715" w:type="dxa"/>
            <w:hideMark/>
          </w:tcPr>
          <w:p w14:paraId="216B74AC" w14:textId="77777777" w:rsidR="00B94E97" w:rsidRPr="00A05552" w:rsidRDefault="00B94E97" w:rsidP="00B94E97">
            <w:pPr>
              <w:spacing w:after="160"/>
              <w:rPr>
                <w:rFonts w:ascii="Arial" w:hAnsi="Arial" w:cs="Arial"/>
                <w:sz w:val="20"/>
                <w:szCs w:val="20"/>
              </w:rPr>
            </w:pPr>
            <w:r w:rsidRPr="00A05552">
              <w:rPr>
                <w:rFonts w:ascii="Arial" w:hAnsi="Arial" w:cs="Arial"/>
                <w:sz w:val="20"/>
                <w:szCs w:val="20"/>
              </w:rPr>
              <w:t>2022</w:t>
            </w:r>
          </w:p>
        </w:tc>
        <w:tc>
          <w:tcPr>
            <w:tcW w:w="1517" w:type="dxa"/>
            <w:hideMark/>
          </w:tcPr>
          <w:p w14:paraId="3267AE25"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1.2(121,567/504,163)=</w:t>
            </w:r>
            <w:r w:rsidRPr="00A05552">
              <w:rPr>
                <w:rFonts w:ascii="Arial" w:hAnsi="Arial" w:cs="Arial"/>
                <w:b/>
                <w:bCs/>
                <w:sz w:val="20"/>
                <w:szCs w:val="20"/>
              </w:rPr>
              <w:t>0.29</w:t>
            </w:r>
          </w:p>
        </w:tc>
        <w:tc>
          <w:tcPr>
            <w:tcW w:w="1726" w:type="dxa"/>
            <w:hideMark/>
          </w:tcPr>
          <w:p w14:paraId="4E909C1B"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1.4(330,698/504,163)=</w:t>
            </w:r>
            <w:r w:rsidRPr="00A05552">
              <w:rPr>
                <w:rFonts w:ascii="Arial" w:hAnsi="Arial" w:cs="Arial"/>
                <w:b/>
                <w:bCs/>
                <w:sz w:val="20"/>
                <w:szCs w:val="20"/>
              </w:rPr>
              <w:t>0.92</w:t>
            </w:r>
          </w:p>
        </w:tc>
        <w:tc>
          <w:tcPr>
            <w:tcW w:w="1658" w:type="dxa"/>
            <w:hideMark/>
          </w:tcPr>
          <w:p w14:paraId="1CC18968"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3.3(14,548/504,163)=</w:t>
            </w:r>
            <w:r w:rsidRPr="00A05552">
              <w:rPr>
                <w:rFonts w:ascii="Arial" w:hAnsi="Arial" w:cs="Arial"/>
                <w:b/>
                <w:bCs/>
                <w:sz w:val="20"/>
                <w:szCs w:val="20"/>
              </w:rPr>
              <w:t>0.10</w:t>
            </w:r>
          </w:p>
        </w:tc>
        <w:tc>
          <w:tcPr>
            <w:tcW w:w="1726" w:type="dxa"/>
            <w:hideMark/>
          </w:tcPr>
          <w:p w14:paraId="47C12D34"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0.6(268,406/235,757)=</w:t>
            </w:r>
            <w:r w:rsidRPr="00A05552">
              <w:rPr>
                <w:rFonts w:ascii="Arial" w:hAnsi="Arial" w:cs="Arial"/>
                <w:b/>
                <w:bCs/>
                <w:sz w:val="20"/>
                <w:szCs w:val="20"/>
              </w:rPr>
              <w:t>0.68</w:t>
            </w:r>
          </w:p>
        </w:tc>
        <w:tc>
          <w:tcPr>
            <w:tcW w:w="1293" w:type="dxa"/>
            <w:hideMark/>
          </w:tcPr>
          <w:p w14:paraId="58EFF63C"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542,751/504,163=</w:t>
            </w:r>
            <w:r w:rsidRPr="00A05552">
              <w:rPr>
                <w:rFonts w:ascii="Arial" w:hAnsi="Arial" w:cs="Arial"/>
                <w:b/>
                <w:bCs/>
                <w:sz w:val="20"/>
                <w:szCs w:val="20"/>
              </w:rPr>
              <w:t>1.08</w:t>
            </w:r>
          </w:p>
        </w:tc>
        <w:tc>
          <w:tcPr>
            <w:tcW w:w="720" w:type="dxa"/>
            <w:hideMark/>
          </w:tcPr>
          <w:p w14:paraId="08C64D8B"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b/>
                <w:bCs/>
                <w:sz w:val="20"/>
                <w:szCs w:val="20"/>
              </w:rPr>
              <w:t>3.07</w:t>
            </w:r>
          </w:p>
        </w:tc>
      </w:tr>
      <w:tr w:rsidR="00B94E97" w:rsidRPr="00A05552" w14:paraId="28E418EC" w14:textId="77777777" w:rsidTr="00B94E97">
        <w:trPr>
          <w:trHeight w:val="1109"/>
        </w:trPr>
        <w:tc>
          <w:tcPr>
            <w:cnfStyle w:val="001000000000" w:firstRow="0" w:lastRow="0" w:firstColumn="1" w:lastColumn="0" w:oddVBand="0" w:evenVBand="0" w:oddHBand="0" w:evenHBand="0" w:firstRowFirstColumn="0" w:firstRowLastColumn="0" w:lastRowFirstColumn="0" w:lastRowLastColumn="0"/>
            <w:tcW w:w="715" w:type="dxa"/>
            <w:hideMark/>
          </w:tcPr>
          <w:p w14:paraId="2C68F3FA" w14:textId="77777777" w:rsidR="00B94E97" w:rsidRPr="00A05552" w:rsidRDefault="00B94E97" w:rsidP="00B94E97">
            <w:pPr>
              <w:spacing w:after="160"/>
              <w:rPr>
                <w:rFonts w:ascii="Arial" w:hAnsi="Arial" w:cs="Arial"/>
                <w:sz w:val="20"/>
                <w:szCs w:val="20"/>
              </w:rPr>
            </w:pPr>
            <w:r w:rsidRPr="00A05552">
              <w:rPr>
                <w:rFonts w:ascii="Arial" w:hAnsi="Arial" w:cs="Arial"/>
                <w:sz w:val="20"/>
                <w:szCs w:val="20"/>
              </w:rPr>
              <w:t>2023</w:t>
            </w:r>
          </w:p>
        </w:tc>
        <w:tc>
          <w:tcPr>
            <w:tcW w:w="1517" w:type="dxa"/>
            <w:hideMark/>
          </w:tcPr>
          <w:p w14:paraId="51649077"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1.2(97,703/355,872)=</w:t>
            </w:r>
            <w:r w:rsidRPr="00A05552">
              <w:rPr>
                <w:rFonts w:ascii="Arial" w:hAnsi="Arial" w:cs="Arial"/>
                <w:b/>
                <w:bCs/>
                <w:sz w:val="20"/>
                <w:szCs w:val="20"/>
              </w:rPr>
              <w:t>0.33</w:t>
            </w:r>
          </w:p>
        </w:tc>
        <w:tc>
          <w:tcPr>
            <w:tcW w:w="1726" w:type="dxa"/>
            <w:hideMark/>
          </w:tcPr>
          <w:p w14:paraId="1A070C7C"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1.4(232,460/355,872)=</w:t>
            </w:r>
            <w:r w:rsidRPr="00A05552">
              <w:rPr>
                <w:rFonts w:ascii="Arial" w:hAnsi="Arial" w:cs="Arial"/>
                <w:b/>
                <w:bCs/>
                <w:sz w:val="20"/>
                <w:szCs w:val="20"/>
              </w:rPr>
              <w:t>0.91</w:t>
            </w:r>
          </w:p>
        </w:tc>
        <w:tc>
          <w:tcPr>
            <w:tcW w:w="1658" w:type="dxa"/>
            <w:hideMark/>
          </w:tcPr>
          <w:p w14:paraId="1B76B010"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3.3(-85,301/355,872)=</w:t>
            </w:r>
            <w:r w:rsidRPr="00A05552">
              <w:rPr>
                <w:rFonts w:ascii="Arial" w:hAnsi="Arial" w:cs="Arial"/>
                <w:b/>
                <w:bCs/>
                <w:sz w:val="20"/>
                <w:szCs w:val="20"/>
              </w:rPr>
              <w:t>-0.79</w:t>
            </w:r>
          </w:p>
        </w:tc>
        <w:tc>
          <w:tcPr>
            <w:tcW w:w="1726" w:type="dxa"/>
            <w:hideMark/>
          </w:tcPr>
          <w:p w14:paraId="334D2670"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0.6(178,920/176,952)=</w:t>
            </w:r>
            <w:r w:rsidRPr="00A05552">
              <w:rPr>
                <w:rFonts w:ascii="Arial" w:hAnsi="Arial" w:cs="Arial"/>
                <w:b/>
                <w:bCs/>
                <w:sz w:val="20"/>
                <w:szCs w:val="20"/>
              </w:rPr>
              <w:t>0.61</w:t>
            </w:r>
          </w:p>
        </w:tc>
        <w:tc>
          <w:tcPr>
            <w:tcW w:w="1293" w:type="dxa"/>
            <w:hideMark/>
          </w:tcPr>
          <w:p w14:paraId="31C85B40"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420,457/355,872=</w:t>
            </w:r>
            <w:r w:rsidRPr="00A05552">
              <w:rPr>
                <w:rFonts w:ascii="Arial" w:hAnsi="Arial" w:cs="Arial"/>
                <w:b/>
                <w:bCs/>
                <w:sz w:val="20"/>
                <w:szCs w:val="20"/>
              </w:rPr>
              <w:t>1.18</w:t>
            </w:r>
          </w:p>
        </w:tc>
        <w:tc>
          <w:tcPr>
            <w:tcW w:w="720" w:type="dxa"/>
            <w:hideMark/>
          </w:tcPr>
          <w:p w14:paraId="6E616171" w14:textId="77777777" w:rsidR="00B94E97" w:rsidRPr="00A05552" w:rsidRDefault="00B94E97" w:rsidP="00B94E9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b/>
                <w:bCs/>
                <w:sz w:val="20"/>
                <w:szCs w:val="20"/>
              </w:rPr>
              <w:t>2.24</w:t>
            </w:r>
          </w:p>
        </w:tc>
      </w:tr>
      <w:tr w:rsidR="00B94E97" w:rsidRPr="00A05552" w14:paraId="29EA8663" w14:textId="77777777" w:rsidTr="00B94E97">
        <w:trPr>
          <w:cnfStyle w:val="000000100000" w:firstRow="0" w:lastRow="0" w:firstColumn="0" w:lastColumn="0" w:oddVBand="0" w:evenVBand="0" w:oddHBand="1" w:evenHBand="0" w:firstRowFirstColumn="0" w:firstRowLastColumn="0" w:lastRowFirstColumn="0" w:lastRowLastColumn="0"/>
          <w:trHeight w:val="1109"/>
        </w:trPr>
        <w:tc>
          <w:tcPr>
            <w:cnfStyle w:val="001000000000" w:firstRow="0" w:lastRow="0" w:firstColumn="1" w:lastColumn="0" w:oddVBand="0" w:evenVBand="0" w:oddHBand="0" w:evenHBand="0" w:firstRowFirstColumn="0" w:firstRowLastColumn="0" w:lastRowFirstColumn="0" w:lastRowLastColumn="0"/>
            <w:tcW w:w="715" w:type="dxa"/>
            <w:hideMark/>
          </w:tcPr>
          <w:p w14:paraId="519CECBA" w14:textId="77777777" w:rsidR="00B94E97" w:rsidRPr="00A05552" w:rsidRDefault="00B94E97" w:rsidP="00B94E97">
            <w:pPr>
              <w:spacing w:after="160"/>
              <w:rPr>
                <w:rFonts w:ascii="Arial" w:hAnsi="Arial" w:cs="Arial"/>
                <w:sz w:val="20"/>
                <w:szCs w:val="20"/>
              </w:rPr>
            </w:pPr>
            <w:r w:rsidRPr="00A05552">
              <w:rPr>
                <w:rFonts w:ascii="Arial" w:hAnsi="Arial" w:cs="Arial"/>
                <w:sz w:val="20"/>
                <w:szCs w:val="20"/>
              </w:rPr>
              <w:t>2024</w:t>
            </w:r>
          </w:p>
        </w:tc>
        <w:tc>
          <w:tcPr>
            <w:tcW w:w="1517" w:type="dxa"/>
            <w:hideMark/>
          </w:tcPr>
          <w:p w14:paraId="0C3270FE"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1.2(84,203/323,354)=</w:t>
            </w:r>
            <w:r w:rsidRPr="00A05552">
              <w:rPr>
                <w:rFonts w:ascii="Arial" w:hAnsi="Arial" w:cs="Arial"/>
                <w:b/>
                <w:bCs/>
                <w:sz w:val="20"/>
                <w:szCs w:val="20"/>
              </w:rPr>
              <w:t>0.31</w:t>
            </w:r>
          </w:p>
        </w:tc>
        <w:tc>
          <w:tcPr>
            <w:tcW w:w="1726" w:type="dxa"/>
            <w:hideMark/>
          </w:tcPr>
          <w:p w14:paraId="06257673"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1.4(208,431/323,354)=</w:t>
            </w:r>
            <w:r w:rsidRPr="00A05552">
              <w:rPr>
                <w:rFonts w:ascii="Arial" w:hAnsi="Arial" w:cs="Arial"/>
                <w:b/>
                <w:bCs/>
                <w:sz w:val="20"/>
                <w:szCs w:val="20"/>
              </w:rPr>
              <w:t>0.90</w:t>
            </w:r>
          </w:p>
        </w:tc>
        <w:tc>
          <w:tcPr>
            <w:tcW w:w="1658" w:type="dxa"/>
            <w:hideMark/>
          </w:tcPr>
          <w:p w14:paraId="663DD9C4"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3.3(-15,297/323,354)=</w:t>
            </w:r>
            <w:r w:rsidRPr="00A05552">
              <w:rPr>
                <w:rFonts w:ascii="Arial" w:hAnsi="Arial" w:cs="Arial"/>
                <w:b/>
                <w:bCs/>
                <w:sz w:val="20"/>
                <w:szCs w:val="20"/>
              </w:rPr>
              <w:t>-0.16</w:t>
            </w:r>
          </w:p>
        </w:tc>
        <w:tc>
          <w:tcPr>
            <w:tcW w:w="1726" w:type="dxa"/>
            <w:hideMark/>
          </w:tcPr>
          <w:p w14:paraId="6DD812AF"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0.6(153,105/170,249)=</w:t>
            </w:r>
            <w:r w:rsidRPr="00A05552">
              <w:rPr>
                <w:rFonts w:ascii="Arial" w:hAnsi="Arial" w:cs="Arial"/>
                <w:b/>
                <w:bCs/>
                <w:sz w:val="20"/>
                <w:szCs w:val="20"/>
              </w:rPr>
              <w:t>0.54</w:t>
            </w:r>
          </w:p>
        </w:tc>
        <w:tc>
          <w:tcPr>
            <w:tcW w:w="1293" w:type="dxa"/>
            <w:hideMark/>
          </w:tcPr>
          <w:p w14:paraId="1551C5A7"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sz w:val="20"/>
                <w:szCs w:val="20"/>
              </w:rPr>
              <w:t>394,879/323,354=</w:t>
            </w:r>
            <w:r w:rsidRPr="00A05552">
              <w:rPr>
                <w:rFonts w:ascii="Arial" w:hAnsi="Arial" w:cs="Arial"/>
                <w:b/>
                <w:bCs/>
                <w:sz w:val="20"/>
                <w:szCs w:val="20"/>
              </w:rPr>
              <w:t>1.22</w:t>
            </w:r>
          </w:p>
        </w:tc>
        <w:tc>
          <w:tcPr>
            <w:tcW w:w="720" w:type="dxa"/>
            <w:hideMark/>
          </w:tcPr>
          <w:p w14:paraId="7D1857BA" w14:textId="77777777" w:rsidR="00B94E97" w:rsidRPr="00A05552" w:rsidRDefault="00B94E97" w:rsidP="00B94E9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A05552">
              <w:rPr>
                <w:rFonts w:ascii="Arial" w:hAnsi="Arial" w:cs="Arial"/>
                <w:b/>
                <w:bCs/>
                <w:sz w:val="20"/>
                <w:szCs w:val="20"/>
              </w:rPr>
              <w:t>2.81</w:t>
            </w:r>
          </w:p>
        </w:tc>
      </w:tr>
    </w:tbl>
    <w:p w14:paraId="3514CC13" w14:textId="4B99A705" w:rsidR="00B94E97" w:rsidRPr="00A05552" w:rsidRDefault="006B6F45" w:rsidP="00B94E97">
      <w:pPr>
        <w:rPr>
          <w:rFonts w:ascii="Arial" w:hAnsi="Arial" w:cs="Arial"/>
        </w:rPr>
      </w:pPr>
      <w:r w:rsidRPr="00A05552">
        <w:rPr>
          <w:rFonts w:ascii="Arial" w:hAnsi="Arial" w:cs="Arial"/>
        </w:rPr>
        <w:t xml:space="preserve">Source: </w:t>
      </w:r>
      <w:r w:rsidR="00504CE9" w:rsidRPr="00A05552">
        <w:rPr>
          <w:rFonts w:ascii="Arial" w:hAnsi="Arial" w:cs="Arial"/>
          <w:bCs/>
        </w:rPr>
        <w:t>(GE Vernova, 2024; General Electric Company, 2020-2023)</w:t>
      </w:r>
    </w:p>
    <w:p w14:paraId="3C4BB526" w14:textId="760EFC24" w:rsidR="00B94E97" w:rsidRPr="00A05552" w:rsidRDefault="008F32BA" w:rsidP="00B94E97">
      <w:pPr>
        <w:rPr>
          <w:rFonts w:ascii="Arial" w:hAnsi="Arial" w:cs="Arial"/>
        </w:rPr>
      </w:pPr>
      <w:r w:rsidRPr="00A05552">
        <w:rPr>
          <w:rFonts w:ascii="Arial" w:hAnsi="Arial" w:cs="Arial"/>
        </w:rPr>
        <w:lastRenderedPageBreak/>
        <w:t>Z-Score is steadily decreasing between 2020 and 2023 and then moderately increases in 2024. Minimization of negative EBITs in 2023 and 2024 and the loss of equity to liabilities are the major factors that lead to deterioration. Working capital and asset turnover are not particularly strong; however, these advantages are not enough to balance the deteriorating profitability. The 2023 and 2024 scores are in the grey zone, which means a high risk of financial distress in two-year perspective unless performance will increase</w:t>
      </w:r>
      <w:r w:rsidR="001340E3" w:rsidRPr="00A05552">
        <w:rPr>
          <w:rFonts w:ascii="Arial" w:hAnsi="Arial" w:cs="Arial"/>
        </w:rPr>
        <w:t xml:space="preserve"> </w:t>
      </w:r>
      <w:r w:rsidR="001340E3" w:rsidRPr="00A05552">
        <w:rPr>
          <w:rFonts w:ascii="Arial" w:hAnsi="Arial" w:cs="Arial"/>
          <w:bCs/>
        </w:rPr>
        <w:t>(GE Vernova, 2024; General Electric Company, 2020-2023)</w:t>
      </w:r>
      <w:r w:rsidRPr="00A05552">
        <w:rPr>
          <w:rFonts w:ascii="Arial" w:hAnsi="Arial" w:cs="Arial"/>
        </w:rPr>
        <w:t>. The partial recovery in 2024 is due in large part to the reduction in liabilities and to an increase in the use of revenue-to-asset, but as long as EBIT is negative, the solvency risk will exist</w:t>
      </w:r>
      <w:r w:rsidR="001340E3" w:rsidRPr="00A05552">
        <w:rPr>
          <w:rFonts w:ascii="Arial" w:hAnsi="Arial" w:cs="Arial"/>
        </w:rPr>
        <w:t xml:space="preserve"> (</w:t>
      </w:r>
      <w:proofErr w:type="spellStart"/>
      <w:r w:rsidR="001340E3" w:rsidRPr="00A05552">
        <w:rPr>
          <w:rFonts w:ascii="Arial" w:hAnsi="Arial" w:cs="Arial"/>
        </w:rPr>
        <w:t>Patil</w:t>
      </w:r>
      <w:proofErr w:type="spellEnd"/>
      <w:r w:rsidR="001340E3" w:rsidRPr="00A05552">
        <w:rPr>
          <w:rFonts w:ascii="Arial" w:hAnsi="Arial" w:cs="Arial"/>
        </w:rPr>
        <w:t xml:space="preserve"> et al., 2024)</w:t>
      </w:r>
      <w:r w:rsidRPr="00A05552">
        <w:rPr>
          <w:rFonts w:ascii="Arial" w:hAnsi="Arial" w:cs="Arial"/>
        </w:rPr>
        <w:t>.</w:t>
      </w:r>
    </w:p>
    <w:p w14:paraId="75D4EEB8" w14:textId="4FC8AF38" w:rsidR="00B54831" w:rsidRPr="00A05552" w:rsidRDefault="00B54831" w:rsidP="006B6F45">
      <w:pPr>
        <w:pStyle w:val="Heading1"/>
      </w:pPr>
      <w:bookmarkStart w:id="17" w:name="_Toc217247575"/>
      <w:r w:rsidRPr="00A05552">
        <w:t>3. Working</w:t>
      </w:r>
      <w:r w:rsidR="006B6F45" w:rsidRPr="00A05552">
        <w:t xml:space="preserve"> Capital Management Analysi</w:t>
      </w:r>
      <w:r w:rsidR="008F32BA" w:rsidRPr="00A05552">
        <w:t>s</w:t>
      </w:r>
      <w:bookmarkEnd w:id="17"/>
    </w:p>
    <w:p w14:paraId="70455A24" w14:textId="2434BAC1" w:rsidR="004818B4" w:rsidRPr="00A05552" w:rsidRDefault="004818B4" w:rsidP="006B6F45">
      <w:pPr>
        <w:pStyle w:val="Heading2"/>
        <w:rPr>
          <w:rFonts w:cs="Arial"/>
        </w:rPr>
      </w:pPr>
      <w:bookmarkStart w:id="18" w:name="_Toc217247576"/>
      <w:r w:rsidRPr="00A05552">
        <w:rPr>
          <w:rFonts w:cs="Arial"/>
        </w:rPr>
        <w:t>3.1</w:t>
      </w:r>
      <w:r w:rsidR="006B6F45" w:rsidRPr="00A05552">
        <w:rPr>
          <w:rFonts w:cs="Arial"/>
        </w:rPr>
        <w:t xml:space="preserve"> Working capital position</w:t>
      </w:r>
      <w:bookmarkEnd w:id="18"/>
    </w:p>
    <w:p w14:paraId="23F9500A" w14:textId="398224C1" w:rsidR="008F32BA" w:rsidRPr="00A05552" w:rsidRDefault="008F32BA" w:rsidP="008F32BA">
      <w:pPr>
        <w:rPr>
          <w:rFonts w:ascii="Arial" w:hAnsi="Arial" w:cs="Arial"/>
          <w:bCs/>
        </w:rPr>
      </w:pPr>
      <w:r w:rsidRPr="00A05552">
        <w:rPr>
          <w:rFonts w:ascii="Arial" w:hAnsi="Arial" w:cs="Arial"/>
          <w:bCs/>
        </w:rPr>
        <w:t>The working capital position of the firm deteriorated during 2020</w:t>
      </w:r>
      <w:r w:rsidR="001340E3" w:rsidRPr="00A05552">
        <w:rPr>
          <w:rFonts w:ascii="Arial" w:hAnsi="Arial" w:cs="Arial"/>
          <w:bCs/>
        </w:rPr>
        <w:t>-</w:t>
      </w:r>
      <w:r w:rsidRPr="00A05552">
        <w:rPr>
          <w:rFonts w:ascii="Arial" w:hAnsi="Arial" w:cs="Arial"/>
          <w:bCs/>
        </w:rPr>
        <w:t>24. There was a substantial decrease in the current assets and this was primarily due to decreased inventories and cash balances. Current liabilities have also been more or less constant but the mix moved to higher extents of stretching payables</w:t>
      </w:r>
      <w:r w:rsidR="001340E3" w:rsidRPr="00A05552">
        <w:rPr>
          <w:rFonts w:ascii="Arial" w:hAnsi="Arial" w:cs="Arial"/>
          <w:bCs/>
        </w:rPr>
        <w:t xml:space="preserve"> (</w:t>
      </w:r>
      <w:proofErr w:type="spellStart"/>
      <w:r w:rsidR="001340E3" w:rsidRPr="00A05552">
        <w:rPr>
          <w:rFonts w:ascii="Arial" w:hAnsi="Arial" w:cs="Arial"/>
          <w:bCs/>
        </w:rPr>
        <w:t>Deeb</w:t>
      </w:r>
      <w:proofErr w:type="spellEnd"/>
      <w:r w:rsidR="001340E3" w:rsidRPr="00A05552">
        <w:rPr>
          <w:rFonts w:ascii="Arial" w:hAnsi="Arial" w:cs="Arial"/>
          <w:bCs/>
        </w:rPr>
        <w:t xml:space="preserve"> et al., 2024)</w:t>
      </w:r>
      <w:r w:rsidRPr="00A05552">
        <w:rPr>
          <w:rFonts w:ascii="Arial" w:hAnsi="Arial" w:cs="Arial"/>
          <w:bCs/>
        </w:rPr>
        <w:t>. The overall effect is the declining liquidity headroom and reduced operational flexibility.</w:t>
      </w:r>
    </w:p>
    <w:p w14:paraId="2E805E89" w14:textId="0BA2FE82" w:rsidR="008F32BA" w:rsidRPr="00A05552" w:rsidRDefault="008F32BA" w:rsidP="008F32BA">
      <w:pPr>
        <w:rPr>
          <w:rFonts w:ascii="Arial" w:hAnsi="Arial" w:cs="Arial"/>
          <w:bCs/>
        </w:rPr>
      </w:pPr>
      <w:r w:rsidRPr="00A05552">
        <w:rPr>
          <w:rFonts w:ascii="Arial" w:hAnsi="Arial" w:cs="Arial"/>
          <w:bCs/>
        </w:rPr>
        <w:t>This deterioration in the working capital shows that it depends more on external short-term funding and not on liquidity generated internally. This exposes an organization to risk since profitability and cash flow of operation are volatile</w:t>
      </w:r>
      <w:r w:rsidR="001340E3" w:rsidRPr="00A05552">
        <w:rPr>
          <w:rFonts w:ascii="Arial" w:hAnsi="Arial" w:cs="Arial"/>
          <w:bCs/>
        </w:rPr>
        <w:t xml:space="preserve"> (</w:t>
      </w:r>
      <w:proofErr w:type="spellStart"/>
      <w:r w:rsidR="001340E3" w:rsidRPr="00A05552">
        <w:rPr>
          <w:rFonts w:ascii="Arial" w:hAnsi="Arial" w:cs="Arial"/>
          <w:bCs/>
        </w:rPr>
        <w:t>Olanrewaju</w:t>
      </w:r>
      <w:proofErr w:type="spellEnd"/>
      <w:r w:rsidR="001340E3" w:rsidRPr="00A05552">
        <w:rPr>
          <w:rFonts w:ascii="Arial" w:hAnsi="Arial" w:cs="Arial"/>
          <w:bCs/>
        </w:rPr>
        <w:t xml:space="preserve"> et al., 2024)</w:t>
      </w:r>
      <w:r w:rsidRPr="00A05552">
        <w:rPr>
          <w:rFonts w:ascii="Arial" w:hAnsi="Arial" w:cs="Arial"/>
          <w:bCs/>
        </w:rPr>
        <w:t>. Further losses in current assets, with no corresponding losses in current liabilities, undermine the shock buffer.</w:t>
      </w:r>
    </w:p>
    <w:p w14:paraId="6C07F843" w14:textId="1C6340B5" w:rsidR="004818B4" w:rsidRPr="00A05552" w:rsidRDefault="008F32BA" w:rsidP="008F32BA">
      <w:pPr>
        <w:rPr>
          <w:rFonts w:ascii="Arial" w:hAnsi="Arial" w:cs="Arial"/>
          <w:bCs/>
        </w:rPr>
      </w:pPr>
      <w:r w:rsidRPr="00A05552">
        <w:rPr>
          <w:rFonts w:ascii="Arial" w:hAnsi="Arial" w:cs="Arial"/>
          <w:bCs/>
        </w:rPr>
        <w:t>This table below summarises the current asset and current liability base to be used in the preparation of the graph using Excel. The values are obtained as a direct result of the financial statements</w:t>
      </w:r>
      <w:r w:rsidR="004818B4" w:rsidRPr="00A05552">
        <w:rPr>
          <w:rFonts w:ascii="Arial" w:hAnsi="Arial" w:cs="Arial"/>
          <w:bCs/>
        </w:rPr>
        <w:t>.</w:t>
      </w:r>
    </w:p>
    <w:p w14:paraId="2EBC79E2" w14:textId="77777777" w:rsidR="00A77CB4" w:rsidRPr="00A05552" w:rsidRDefault="00A77CB4" w:rsidP="00A77CB4">
      <w:pPr>
        <w:keepNext/>
        <w:jc w:val="center"/>
        <w:rPr>
          <w:rFonts w:ascii="Arial" w:hAnsi="Arial" w:cs="Arial"/>
        </w:rPr>
      </w:pPr>
      <w:r w:rsidRPr="00A05552">
        <w:rPr>
          <w:rFonts w:ascii="Arial" w:hAnsi="Arial" w:cs="Arial"/>
          <w:noProof/>
          <w:lang w:val="en-US"/>
          <w14:ligatures w14:val="standardContextual"/>
        </w:rPr>
        <w:lastRenderedPageBreak/>
        <w:drawing>
          <wp:inline distT="0" distB="0" distL="0" distR="0" wp14:anchorId="53E96FBB" wp14:editId="1691CDFF">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3022AD7" w14:textId="078A357F" w:rsidR="008F32BA" w:rsidRPr="00A05552" w:rsidRDefault="00A77CB4" w:rsidP="00A77CB4">
      <w:pPr>
        <w:pStyle w:val="Caption"/>
        <w:jc w:val="center"/>
        <w:rPr>
          <w:rFonts w:ascii="Arial" w:hAnsi="Arial" w:cs="Arial"/>
          <w:bCs/>
        </w:rPr>
      </w:pPr>
      <w:r w:rsidRPr="00A05552">
        <w:rPr>
          <w:rFonts w:ascii="Arial" w:hAnsi="Arial" w:cs="Arial"/>
        </w:rPr>
        <w:t xml:space="preserve">Figure </w:t>
      </w:r>
      <w:r w:rsidRPr="00A05552">
        <w:rPr>
          <w:rFonts w:ascii="Arial" w:hAnsi="Arial" w:cs="Arial"/>
        </w:rPr>
        <w:fldChar w:fldCharType="begin"/>
      </w:r>
      <w:r w:rsidRPr="00A05552">
        <w:rPr>
          <w:rFonts w:ascii="Arial" w:hAnsi="Arial" w:cs="Arial"/>
        </w:rPr>
        <w:instrText xml:space="preserve"> SEQ Figure \* ARABIC </w:instrText>
      </w:r>
      <w:r w:rsidRPr="00A05552">
        <w:rPr>
          <w:rFonts w:ascii="Arial" w:hAnsi="Arial" w:cs="Arial"/>
        </w:rPr>
        <w:fldChar w:fldCharType="separate"/>
      </w:r>
      <w:r w:rsidR="00124C67" w:rsidRPr="00A05552">
        <w:rPr>
          <w:rFonts w:ascii="Arial" w:hAnsi="Arial" w:cs="Arial"/>
          <w:noProof/>
        </w:rPr>
        <w:t>1</w:t>
      </w:r>
      <w:r w:rsidRPr="00A05552">
        <w:rPr>
          <w:rFonts w:ascii="Arial" w:hAnsi="Arial" w:cs="Arial"/>
        </w:rPr>
        <w:fldChar w:fldCharType="end"/>
      </w:r>
      <w:r w:rsidRPr="00A05552">
        <w:rPr>
          <w:rFonts w:ascii="Arial" w:hAnsi="Arial" w:cs="Arial"/>
        </w:rPr>
        <w:t>: Current assets and liabilities (£m) Source:</w:t>
      </w:r>
      <w:r w:rsidR="00504CE9" w:rsidRPr="00A05552">
        <w:rPr>
          <w:rFonts w:ascii="Arial" w:hAnsi="Arial" w:cs="Arial"/>
        </w:rPr>
        <w:t xml:space="preserve"> </w:t>
      </w:r>
      <w:r w:rsidR="00504CE9" w:rsidRPr="00A05552">
        <w:rPr>
          <w:rFonts w:ascii="Arial" w:hAnsi="Arial" w:cs="Arial"/>
          <w:bCs/>
        </w:rPr>
        <w:t>(GE Vernova, 2024; General Electric Company, 2020-2023)</w:t>
      </w:r>
    </w:p>
    <w:p w14:paraId="7EE53BEB" w14:textId="13AD3553" w:rsidR="004818B4" w:rsidRPr="00A05552" w:rsidRDefault="008F32BA" w:rsidP="004818B4">
      <w:pPr>
        <w:rPr>
          <w:rFonts w:ascii="Arial" w:hAnsi="Arial" w:cs="Arial"/>
          <w:bCs/>
        </w:rPr>
      </w:pPr>
      <w:r w:rsidRPr="00A05552">
        <w:rPr>
          <w:rFonts w:ascii="Arial" w:hAnsi="Arial" w:cs="Arial"/>
          <w:bCs/>
        </w:rPr>
        <w:t>A downward trend emerges post-2022, with substantial deterioration in current assets and only modest reduction in current liabilities. The absolute fall in working capital between 2022 and 2024 demonstrates deteriorating liquidity resilience</w:t>
      </w:r>
      <w:r w:rsidR="001340E3" w:rsidRPr="00A05552">
        <w:rPr>
          <w:rFonts w:ascii="Arial" w:hAnsi="Arial" w:cs="Arial"/>
          <w:bCs/>
        </w:rPr>
        <w:t xml:space="preserve"> (GE Vernova, 2024; General Electric Company, 2020-2023)</w:t>
      </w:r>
      <w:r w:rsidRPr="00A05552">
        <w:rPr>
          <w:rFonts w:ascii="Arial" w:hAnsi="Arial" w:cs="Arial"/>
          <w:bCs/>
        </w:rPr>
        <w:t>. Management must address these pressures through working capital optimisation and selective liquidity-enhancing measures.</w:t>
      </w:r>
    </w:p>
    <w:p w14:paraId="3B38A5AD" w14:textId="59E5B686" w:rsidR="004818B4" w:rsidRPr="00A05552" w:rsidRDefault="004818B4" w:rsidP="006B6F45">
      <w:pPr>
        <w:pStyle w:val="Heading2"/>
        <w:rPr>
          <w:rFonts w:cs="Arial"/>
        </w:rPr>
      </w:pPr>
      <w:bookmarkStart w:id="19" w:name="_Toc217247577"/>
      <w:r w:rsidRPr="00A05552">
        <w:rPr>
          <w:rFonts w:cs="Arial"/>
        </w:rPr>
        <w:t xml:space="preserve">3.2 </w:t>
      </w:r>
      <w:r w:rsidR="006B6F45" w:rsidRPr="00A05552">
        <w:rPr>
          <w:rFonts w:cs="Arial"/>
        </w:rPr>
        <w:t>Cash operating cycle analysis</w:t>
      </w:r>
      <w:bookmarkEnd w:id="19"/>
    </w:p>
    <w:p w14:paraId="0738A8B4" w14:textId="7611A2C3" w:rsidR="004818B4" w:rsidRPr="00A05552" w:rsidRDefault="008F32BA" w:rsidP="004818B4">
      <w:pPr>
        <w:rPr>
          <w:rFonts w:ascii="Arial" w:hAnsi="Arial" w:cs="Arial"/>
          <w:bCs/>
        </w:rPr>
      </w:pPr>
      <w:r w:rsidRPr="00A05552">
        <w:rPr>
          <w:rFonts w:ascii="Arial" w:hAnsi="Arial" w:cs="Arial"/>
          <w:bCs/>
        </w:rPr>
        <w:t>The cash conversion cycle (CCC) measures how long cash remains tied up in operations. It combines receivable days, inventory days, and payable days. Shorter cycles improve liquidity</w:t>
      </w:r>
      <w:r w:rsidR="001340E3" w:rsidRPr="00A05552">
        <w:rPr>
          <w:rFonts w:ascii="Arial" w:hAnsi="Arial" w:cs="Arial"/>
          <w:bCs/>
        </w:rPr>
        <w:t xml:space="preserve"> (Loth, 2023)</w:t>
      </w:r>
      <w:r w:rsidRPr="00A05552">
        <w:rPr>
          <w:rFonts w:ascii="Arial" w:hAnsi="Arial" w:cs="Arial"/>
          <w:bCs/>
        </w:rPr>
        <w:t>.</w:t>
      </w:r>
    </w:p>
    <w:p w14:paraId="77E1D395" w14:textId="205F4EDC" w:rsidR="004818B4" w:rsidRPr="00A05552" w:rsidRDefault="006B6F45" w:rsidP="004818B4">
      <w:pPr>
        <w:rPr>
          <w:rFonts w:ascii="Arial" w:hAnsi="Arial" w:cs="Arial"/>
          <w:b/>
          <w:bCs/>
        </w:rPr>
      </w:pPr>
      <w:r w:rsidRPr="00A05552">
        <w:rPr>
          <w:rFonts w:ascii="Arial" w:hAnsi="Arial" w:cs="Arial"/>
          <w:b/>
          <w:bCs/>
        </w:rPr>
        <w:t>Table</w:t>
      </w:r>
      <w:r w:rsidR="004818B4" w:rsidRPr="00A05552">
        <w:rPr>
          <w:rFonts w:ascii="Arial" w:hAnsi="Arial" w:cs="Arial"/>
          <w:b/>
          <w:bCs/>
        </w:rPr>
        <w:t>: Cash operating cycle components – full calculation</w:t>
      </w:r>
    </w:p>
    <w:tbl>
      <w:tblPr>
        <w:tblStyle w:val="GridTable5Dark-Accent5"/>
        <w:tblW w:w="0" w:type="auto"/>
        <w:tblLook w:val="04A0" w:firstRow="1" w:lastRow="0" w:firstColumn="1" w:lastColumn="0" w:noHBand="0" w:noVBand="1"/>
      </w:tblPr>
      <w:tblGrid>
        <w:gridCol w:w="828"/>
        <w:gridCol w:w="1717"/>
        <w:gridCol w:w="1717"/>
        <w:gridCol w:w="1717"/>
        <w:gridCol w:w="1654"/>
        <w:gridCol w:w="1717"/>
      </w:tblGrid>
      <w:tr w:rsidR="004818B4" w:rsidRPr="00A05552" w14:paraId="17800E8E" w14:textId="77777777" w:rsidTr="004818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7EFDA8" w14:textId="77777777" w:rsidR="004818B4" w:rsidRPr="00A05552" w:rsidRDefault="004818B4" w:rsidP="004818B4">
            <w:pPr>
              <w:spacing w:after="160"/>
              <w:rPr>
                <w:rFonts w:ascii="Arial" w:hAnsi="Arial" w:cs="Arial"/>
                <w:sz w:val="20"/>
                <w:szCs w:val="20"/>
              </w:rPr>
            </w:pPr>
            <w:r w:rsidRPr="00A05552">
              <w:rPr>
                <w:rFonts w:ascii="Arial" w:hAnsi="Arial" w:cs="Arial"/>
                <w:sz w:val="20"/>
                <w:szCs w:val="20"/>
              </w:rPr>
              <w:t>Ratio (days)</w:t>
            </w:r>
          </w:p>
        </w:tc>
        <w:tc>
          <w:tcPr>
            <w:tcW w:w="0" w:type="auto"/>
            <w:hideMark/>
          </w:tcPr>
          <w:p w14:paraId="7BD5D9B0" w14:textId="77777777" w:rsidR="004818B4" w:rsidRPr="00A05552" w:rsidRDefault="004818B4" w:rsidP="004818B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2020</w:t>
            </w:r>
          </w:p>
        </w:tc>
        <w:tc>
          <w:tcPr>
            <w:tcW w:w="0" w:type="auto"/>
            <w:hideMark/>
          </w:tcPr>
          <w:p w14:paraId="560D35F7" w14:textId="77777777" w:rsidR="004818B4" w:rsidRPr="00A05552" w:rsidRDefault="004818B4" w:rsidP="004818B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2021</w:t>
            </w:r>
          </w:p>
        </w:tc>
        <w:tc>
          <w:tcPr>
            <w:tcW w:w="0" w:type="auto"/>
            <w:hideMark/>
          </w:tcPr>
          <w:p w14:paraId="53DC167A" w14:textId="77777777" w:rsidR="004818B4" w:rsidRPr="00A05552" w:rsidRDefault="004818B4" w:rsidP="004818B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2022</w:t>
            </w:r>
          </w:p>
        </w:tc>
        <w:tc>
          <w:tcPr>
            <w:tcW w:w="0" w:type="auto"/>
            <w:hideMark/>
          </w:tcPr>
          <w:p w14:paraId="3D5726AE" w14:textId="77777777" w:rsidR="004818B4" w:rsidRPr="00A05552" w:rsidRDefault="004818B4" w:rsidP="004818B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2023</w:t>
            </w:r>
          </w:p>
        </w:tc>
        <w:tc>
          <w:tcPr>
            <w:tcW w:w="0" w:type="auto"/>
            <w:hideMark/>
          </w:tcPr>
          <w:p w14:paraId="5373AB50" w14:textId="77777777" w:rsidR="004818B4" w:rsidRPr="00A05552" w:rsidRDefault="004818B4" w:rsidP="004818B4">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A05552">
              <w:rPr>
                <w:rFonts w:ascii="Arial" w:hAnsi="Arial" w:cs="Arial"/>
                <w:sz w:val="20"/>
                <w:szCs w:val="20"/>
              </w:rPr>
              <w:t>2024</w:t>
            </w:r>
          </w:p>
        </w:tc>
      </w:tr>
      <w:tr w:rsidR="004818B4" w:rsidRPr="00A05552" w14:paraId="34B5A6B5" w14:textId="77777777" w:rsidTr="004818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BB260B" w14:textId="77777777" w:rsidR="004818B4" w:rsidRPr="00A05552" w:rsidRDefault="004818B4" w:rsidP="004818B4">
            <w:pPr>
              <w:spacing w:after="160"/>
              <w:rPr>
                <w:rFonts w:ascii="Arial" w:hAnsi="Arial" w:cs="Arial"/>
                <w:sz w:val="20"/>
                <w:szCs w:val="20"/>
              </w:rPr>
            </w:pPr>
            <w:r w:rsidRPr="00A05552">
              <w:rPr>
                <w:rFonts w:ascii="Arial" w:hAnsi="Arial" w:cs="Arial"/>
                <w:sz w:val="20"/>
                <w:szCs w:val="20"/>
              </w:rPr>
              <w:t>Receivable days</w:t>
            </w:r>
          </w:p>
        </w:tc>
        <w:tc>
          <w:tcPr>
            <w:tcW w:w="0" w:type="auto"/>
            <w:hideMark/>
          </w:tcPr>
          <w:p w14:paraId="74AF4045" w14:textId="77777777" w:rsidR="004818B4" w:rsidRPr="00A05552" w:rsidRDefault="004818B4" w:rsidP="004818B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129,433÷614,680×365=</w:t>
            </w:r>
            <w:r w:rsidRPr="00A05552">
              <w:rPr>
                <w:rFonts w:ascii="Arial" w:hAnsi="Arial" w:cs="Arial"/>
                <w:b/>
                <w:bCs/>
                <w:sz w:val="20"/>
                <w:szCs w:val="20"/>
              </w:rPr>
              <w:t>76.9</w:t>
            </w:r>
          </w:p>
        </w:tc>
        <w:tc>
          <w:tcPr>
            <w:tcW w:w="0" w:type="auto"/>
            <w:hideMark/>
          </w:tcPr>
          <w:p w14:paraId="024193D3" w14:textId="77777777" w:rsidR="004818B4" w:rsidRPr="00A05552" w:rsidRDefault="004818B4" w:rsidP="004818B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129,215÷601,602×365=</w:t>
            </w:r>
            <w:r w:rsidRPr="00A05552">
              <w:rPr>
                <w:rFonts w:ascii="Arial" w:hAnsi="Arial" w:cs="Arial"/>
                <w:b/>
                <w:bCs/>
                <w:sz w:val="20"/>
                <w:szCs w:val="20"/>
              </w:rPr>
              <w:t>78.4</w:t>
            </w:r>
          </w:p>
        </w:tc>
        <w:tc>
          <w:tcPr>
            <w:tcW w:w="0" w:type="auto"/>
            <w:hideMark/>
          </w:tcPr>
          <w:p w14:paraId="28D0C9C4" w14:textId="77777777" w:rsidR="004818B4" w:rsidRPr="00A05552" w:rsidRDefault="004818B4" w:rsidP="004818B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112,346÷542,751×365=</w:t>
            </w:r>
            <w:r w:rsidRPr="00A05552">
              <w:rPr>
                <w:rFonts w:ascii="Arial" w:hAnsi="Arial" w:cs="Arial"/>
                <w:b/>
                <w:bCs/>
                <w:sz w:val="20"/>
                <w:szCs w:val="20"/>
              </w:rPr>
              <w:t>75.6</w:t>
            </w:r>
          </w:p>
        </w:tc>
        <w:tc>
          <w:tcPr>
            <w:tcW w:w="0" w:type="auto"/>
            <w:hideMark/>
          </w:tcPr>
          <w:p w14:paraId="6CD91BF3" w14:textId="77777777" w:rsidR="004818B4" w:rsidRPr="00A05552" w:rsidRDefault="004818B4" w:rsidP="004818B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112,596÷420,457×365=</w:t>
            </w:r>
            <w:r w:rsidRPr="00A05552">
              <w:rPr>
                <w:rFonts w:ascii="Arial" w:hAnsi="Arial" w:cs="Arial"/>
                <w:b/>
                <w:bCs/>
                <w:sz w:val="20"/>
                <w:szCs w:val="20"/>
              </w:rPr>
              <w:t>97.7</w:t>
            </w:r>
          </w:p>
        </w:tc>
        <w:tc>
          <w:tcPr>
            <w:tcW w:w="0" w:type="auto"/>
            <w:hideMark/>
          </w:tcPr>
          <w:p w14:paraId="60122F83" w14:textId="77777777" w:rsidR="004818B4" w:rsidRPr="00A05552" w:rsidRDefault="004818B4" w:rsidP="004818B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114,182÷394,879×365=</w:t>
            </w:r>
            <w:r w:rsidRPr="00A05552">
              <w:rPr>
                <w:rFonts w:ascii="Arial" w:hAnsi="Arial" w:cs="Arial"/>
                <w:b/>
                <w:bCs/>
                <w:sz w:val="20"/>
                <w:szCs w:val="20"/>
              </w:rPr>
              <w:t>105.5</w:t>
            </w:r>
          </w:p>
        </w:tc>
      </w:tr>
      <w:tr w:rsidR="004818B4" w:rsidRPr="00A05552" w14:paraId="76E8F346" w14:textId="77777777" w:rsidTr="004818B4">
        <w:tc>
          <w:tcPr>
            <w:cnfStyle w:val="001000000000" w:firstRow="0" w:lastRow="0" w:firstColumn="1" w:lastColumn="0" w:oddVBand="0" w:evenVBand="0" w:oddHBand="0" w:evenHBand="0" w:firstRowFirstColumn="0" w:firstRowLastColumn="0" w:lastRowFirstColumn="0" w:lastRowLastColumn="0"/>
            <w:tcW w:w="0" w:type="auto"/>
            <w:hideMark/>
          </w:tcPr>
          <w:p w14:paraId="37C939BB" w14:textId="77777777" w:rsidR="004818B4" w:rsidRPr="00A05552" w:rsidRDefault="004818B4" w:rsidP="004818B4">
            <w:pPr>
              <w:spacing w:after="160"/>
              <w:rPr>
                <w:rFonts w:ascii="Arial" w:hAnsi="Arial" w:cs="Arial"/>
                <w:sz w:val="20"/>
                <w:szCs w:val="20"/>
              </w:rPr>
            </w:pPr>
            <w:r w:rsidRPr="00A05552">
              <w:rPr>
                <w:rFonts w:ascii="Arial" w:hAnsi="Arial" w:cs="Arial"/>
                <w:sz w:val="20"/>
                <w:szCs w:val="20"/>
              </w:rPr>
              <w:lastRenderedPageBreak/>
              <w:t>Inventory days</w:t>
            </w:r>
          </w:p>
        </w:tc>
        <w:tc>
          <w:tcPr>
            <w:tcW w:w="0" w:type="auto"/>
            <w:hideMark/>
          </w:tcPr>
          <w:p w14:paraId="3DB89BD1" w14:textId="77777777" w:rsidR="004818B4" w:rsidRPr="00A05552" w:rsidRDefault="004818B4" w:rsidP="004818B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120,430÷438,424×365=</w:t>
            </w:r>
            <w:r w:rsidRPr="00A05552">
              <w:rPr>
                <w:rFonts w:ascii="Arial" w:hAnsi="Arial" w:cs="Arial"/>
                <w:b/>
                <w:bCs/>
                <w:sz w:val="20"/>
                <w:szCs w:val="20"/>
              </w:rPr>
              <w:t>100.3</w:t>
            </w:r>
          </w:p>
        </w:tc>
        <w:tc>
          <w:tcPr>
            <w:tcW w:w="0" w:type="auto"/>
            <w:hideMark/>
          </w:tcPr>
          <w:p w14:paraId="6E3E7571" w14:textId="77777777" w:rsidR="004818B4" w:rsidRPr="00A05552" w:rsidRDefault="004818B4" w:rsidP="004818B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134,469÷428,586×365=</w:t>
            </w:r>
            <w:r w:rsidRPr="00A05552">
              <w:rPr>
                <w:rFonts w:ascii="Arial" w:hAnsi="Arial" w:cs="Arial"/>
                <w:b/>
                <w:bCs/>
                <w:sz w:val="20"/>
                <w:szCs w:val="20"/>
              </w:rPr>
              <w:t>114.5</w:t>
            </w:r>
          </w:p>
        </w:tc>
        <w:tc>
          <w:tcPr>
            <w:tcW w:w="0" w:type="auto"/>
            <w:hideMark/>
          </w:tcPr>
          <w:p w14:paraId="6D2C6C0E" w14:textId="77777777" w:rsidR="004818B4" w:rsidRPr="00A05552" w:rsidRDefault="004818B4" w:rsidP="004818B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140,181÷390,459×365=</w:t>
            </w:r>
            <w:r w:rsidRPr="00A05552">
              <w:rPr>
                <w:rFonts w:ascii="Arial" w:hAnsi="Arial" w:cs="Arial"/>
                <w:b/>
                <w:bCs/>
                <w:sz w:val="20"/>
                <w:szCs w:val="20"/>
              </w:rPr>
              <w:t>131.0</w:t>
            </w:r>
          </w:p>
        </w:tc>
        <w:tc>
          <w:tcPr>
            <w:tcW w:w="0" w:type="auto"/>
            <w:hideMark/>
          </w:tcPr>
          <w:p w14:paraId="5C3A469A" w14:textId="77777777" w:rsidR="004818B4" w:rsidRPr="00A05552" w:rsidRDefault="004818B4" w:rsidP="004818B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88,273÷322,897×365=</w:t>
            </w:r>
            <w:r w:rsidRPr="00A05552">
              <w:rPr>
                <w:rFonts w:ascii="Arial" w:hAnsi="Arial" w:cs="Arial"/>
                <w:b/>
                <w:bCs/>
                <w:sz w:val="20"/>
                <w:szCs w:val="20"/>
              </w:rPr>
              <w:t>99.8</w:t>
            </w:r>
          </w:p>
        </w:tc>
        <w:tc>
          <w:tcPr>
            <w:tcW w:w="0" w:type="auto"/>
            <w:hideMark/>
          </w:tcPr>
          <w:p w14:paraId="42B362FA" w14:textId="77777777" w:rsidR="004818B4" w:rsidRPr="00A05552" w:rsidRDefault="004818B4" w:rsidP="004818B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79,355÷280,885×365=</w:t>
            </w:r>
            <w:r w:rsidRPr="00A05552">
              <w:rPr>
                <w:rFonts w:ascii="Arial" w:hAnsi="Arial" w:cs="Arial"/>
                <w:b/>
                <w:bCs/>
                <w:sz w:val="20"/>
                <w:szCs w:val="20"/>
              </w:rPr>
              <w:t>103.1</w:t>
            </w:r>
          </w:p>
        </w:tc>
      </w:tr>
      <w:tr w:rsidR="004818B4" w:rsidRPr="00A05552" w14:paraId="4FACEF5F" w14:textId="77777777" w:rsidTr="004818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C9B831" w14:textId="77777777" w:rsidR="004818B4" w:rsidRPr="00A05552" w:rsidRDefault="004818B4" w:rsidP="004818B4">
            <w:pPr>
              <w:spacing w:after="160"/>
              <w:rPr>
                <w:rFonts w:ascii="Arial" w:hAnsi="Arial" w:cs="Arial"/>
                <w:sz w:val="20"/>
                <w:szCs w:val="20"/>
              </w:rPr>
            </w:pPr>
            <w:r w:rsidRPr="00A05552">
              <w:rPr>
                <w:rFonts w:ascii="Arial" w:hAnsi="Arial" w:cs="Arial"/>
                <w:sz w:val="20"/>
                <w:szCs w:val="20"/>
              </w:rPr>
              <w:t>Payable days</w:t>
            </w:r>
          </w:p>
        </w:tc>
        <w:tc>
          <w:tcPr>
            <w:tcW w:w="0" w:type="auto"/>
            <w:hideMark/>
          </w:tcPr>
          <w:p w14:paraId="12AC2212" w14:textId="77777777" w:rsidR="004818B4" w:rsidRPr="00A05552" w:rsidRDefault="004818B4" w:rsidP="004818B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83,229÷438,424×365=</w:t>
            </w:r>
            <w:r w:rsidRPr="00A05552">
              <w:rPr>
                <w:rFonts w:ascii="Arial" w:hAnsi="Arial" w:cs="Arial"/>
                <w:b/>
                <w:bCs/>
                <w:sz w:val="20"/>
                <w:szCs w:val="20"/>
              </w:rPr>
              <w:t>69.3</w:t>
            </w:r>
          </w:p>
        </w:tc>
        <w:tc>
          <w:tcPr>
            <w:tcW w:w="0" w:type="auto"/>
            <w:hideMark/>
          </w:tcPr>
          <w:p w14:paraId="70A3C016" w14:textId="77777777" w:rsidR="004818B4" w:rsidRPr="00A05552" w:rsidRDefault="004818B4" w:rsidP="004818B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92,707÷428,586×365=</w:t>
            </w:r>
            <w:r w:rsidRPr="00A05552">
              <w:rPr>
                <w:rFonts w:ascii="Arial" w:hAnsi="Arial" w:cs="Arial"/>
                <w:b/>
                <w:bCs/>
                <w:sz w:val="20"/>
                <w:szCs w:val="20"/>
              </w:rPr>
              <w:t>79.0</w:t>
            </w:r>
          </w:p>
        </w:tc>
        <w:tc>
          <w:tcPr>
            <w:tcW w:w="0" w:type="auto"/>
            <w:hideMark/>
          </w:tcPr>
          <w:p w14:paraId="550D0AFF" w14:textId="77777777" w:rsidR="004818B4" w:rsidRPr="00A05552" w:rsidRDefault="004818B4" w:rsidP="004818B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71,373÷390,459×365=</w:t>
            </w:r>
            <w:r w:rsidRPr="00A05552">
              <w:rPr>
                <w:rFonts w:ascii="Arial" w:hAnsi="Arial" w:cs="Arial"/>
                <w:b/>
                <w:bCs/>
                <w:sz w:val="20"/>
                <w:szCs w:val="20"/>
              </w:rPr>
              <w:t>66.7</w:t>
            </w:r>
          </w:p>
        </w:tc>
        <w:tc>
          <w:tcPr>
            <w:tcW w:w="0" w:type="auto"/>
            <w:hideMark/>
          </w:tcPr>
          <w:p w14:paraId="706BADFA" w14:textId="77777777" w:rsidR="004818B4" w:rsidRPr="00A05552" w:rsidRDefault="004818B4" w:rsidP="004818B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57,033÷322,897×365=</w:t>
            </w:r>
            <w:r w:rsidRPr="00A05552">
              <w:rPr>
                <w:rFonts w:ascii="Arial" w:hAnsi="Arial" w:cs="Arial"/>
                <w:b/>
                <w:bCs/>
                <w:sz w:val="20"/>
                <w:szCs w:val="20"/>
              </w:rPr>
              <w:t>64.5</w:t>
            </w:r>
          </w:p>
        </w:tc>
        <w:tc>
          <w:tcPr>
            <w:tcW w:w="0" w:type="auto"/>
            <w:hideMark/>
          </w:tcPr>
          <w:p w14:paraId="6DFE4BC0" w14:textId="77777777" w:rsidR="004818B4" w:rsidRPr="00A05552" w:rsidRDefault="004818B4" w:rsidP="004818B4">
            <w:pPr>
              <w:spacing w:after="160"/>
              <w:cnfStyle w:val="000000100000" w:firstRow="0" w:lastRow="0" w:firstColumn="0" w:lastColumn="0" w:oddVBand="0" w:evenVBand="0" w:oddHBand="1"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72,031÷280,885×365=</w:t>
            </w:r>
            <w:r w:rsidRPr="00A05552">
              <w:rPr>
                <w:rFonts w:ascii="Arial" w:hAnsi="Arial" w:cs="Arial"/>
                <w:b/>
                <w:bCs/>
                <w:sz w:val="20"/>
                <w:szCs w:val="20"/>
              </w:rPr>
              <w:t>93.6</w:t>
            </w:r>
          </w:p>
        </w:tc>
      </w:tr>
      <w:tr w:rsidR="004818B4" w:rsidRPr="00A05552" w14:paraId="5F1B17B8" w14:textId="77777777" w:rsidTr="004818B4">
        <w:tc>
          <w:tcPr>
            <w:cnfStyle w:val="001000000000" w:firstRow="0" w:lastRow="0" w:firstColumn="1" w:lastColumn="0" w:oddVBand="0" w:evenVBand="0" w:oddHBand="0" w:evenHBand="0" w:firstRowFirstColumn="0" w:firstRowLastColumn="0" w:lastRowFirstColumn="0" w:lastRowLastColumn="0"/>
            <w:tcW w:w="0" w:type="auto"/>
            <w:hideMark/>
          </w:tcPr>
          <w:p w14:paraId="3867FBA2" w14:textId="77777777" w:rsidR="004818B4" w:rsidRPr="00A05552" w:rsidRDefault="004818B4" w:rsidP="004818B4">
            <w:pPr>
              <w:spacing w:after="160"/>
              <w:rPr>
                <w:rFonts w:ascii="Arial" w:hAnsi="Arial" w:cs="Arial"/>
                <w:sz w:val="20"/>
                <w:szCs w:val="20"/>
              </w:rPr>
            </w:pPr>
            <w:r w:rsidRPr="00A05552">
              <w:rPr>
                <w:rFonts w:ascii="Arial" w:hAnsi="Arial" w:cs="Arial"/>
                <w:sz w:val="20"/>
                <w:szCs w:val="20"/>
              </w:rPr>
              <w:t>Cash conversion cycle</w:t>
            </w:r>
          </w:p>
        </w:tc>
        <w:tc>
          <w:tcPr>
            <w:tcW w:w="0" w:type="auto"/>
            <w:hideMark/>
          </w:tcPr>
          <w:p w14:paraId="082D53D1" w14:textId="77777777" w:rsidR="004818B4" w:rsidRPr="00A05552" w:rsidRDefault="004818B4" w:rsidP="004818B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76.9+100.3−69.3=</w:t>
            </w:r>
            <w:r w:rsidRPr="00A05552">
              <w:rPr>
                <w:rFonts w:ascii="Arial" w:hAnsi="Arial" w:cs="Arial"/>
                <w:b/>
                <w:bCs/>
                <w:sz w:val="20"/>
                <w:szCs w:val="20"/>
              </w:rPr>
              <w:t>107.9</w:t>
            </w:r>
          </w:p>
        </w:tc>
        <w:tc>
          <w:tcPr>
            <w:tcW w:w="0" w:type="auto"/>
            <w:hideMark/>
          </w:tcPr>
          <w:p w14:paraId="4DF523DC" w14:textId="77777777" w:rsidR="004818B4" w:rsidRPr="00A05552" w:rsidRDefault="004818B4" w:rsidP="004818B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78.4+114.5−79.0=</w:t>
            </w:r>
            <w:r w:rsidRPr="00A05552">
              <w:rPr>
                <w:rFonts w:ascii="Arial" w:hAnsi="Arial" w:cs="Arial"/>
                <w:b/>
                <w:bCs/>
                <w:sz w:val="20"/>
                <w:szCs w:val="20"/>
              </w:rPr>
              <w:t>113.9</w:t>
            </w:r>
          </w:p>
        </w:tc>
        <w:tc>
          <w:tcPr>
            <w:tcW w:w="0" w:type="auto"/>
            <w:hideMark/>
          </w:tcPr>
          <w:p w14:paraId="506D8BD5" w14:textId="77777777" w:rsidR="004818B4" w:rsidRPr="00A05552" w:rsidRDefault="004818B4" w:rsidP="004818B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75.6+131.0−66.7=</w:t>
            </w:r>
            <w:r w:rsidRPr="00A05552">
              <w:rPr>
                <w:rFonts w:ascii="Arial" w:hAnsi="Arial" w:cs="Arial"/>
                <w:b/>
                <w:bCs/>
                <w:sz w:val="20"/>
                <w:szCs w:val="20"/>
              </w:rPr>
              <w:t>139.9</w:t>
            </w:r>
          </w:p>
        </w:tc>
        <w:tc>
          <w:tcPr>
            <w:tcW w:w="0" w:type="auto"/>
            <w:hideMark/>
          </w:tcPr>
          <w:p w14:paraId="159A4D36" w14:textId="77777777" w:rsidR="004818B4" w:rsidRPr="00A05552" w:rsidRDefault="004818B4" w:rsidP="004818B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97.7+99.8−64.5=</w:t>
            </w:r>
            <w:r w:rsidRPr="00A05552">
              <w:rPr>
                <w:rFonts w:ascii="Arial" w:hAnsi="Arial" w:cs="Arial"/>
                <w:b/>
                <w:bCs/>
                <w:sz w:val="20"/>
                <w:szCs w:val="20"/>
              </w:rPr>
              <w:t>133.0</w:t>
            </w:r>
          </w:p>
        </w:tc>
        <w:tc>
          <w:tcPr>
            <w:tcW w:w="0" w:type="auto"/>
            <w:hideMark/>
          </w:tcPr>
          <w:p w14:paraId="5B90DA7F" w14:textId="77777777" w:rsidR="004818B4" w:rsidRPr="00A05552" w:rsidRDefault="004818B4" w:rsidP="004818B4">
            <w:pPr>
              <w:spacing w:after="160"/>
              <w:cnfStyle w:val="000000000000" w:firstRow="0" w:lastRow="0" w:firstColumn="0" w:lastColumn="0" w:oddVBand="0" w:evenVBand="0" w:oddHBand="0" w:evenHBand="0" w:firstRowFirstColumn="0" w:firstRowLastColumn="0" w:lastRowFirstColumn="0" w:lastRowLastColumn="0"/>
              <w:rPr>
                <w:rFonts w:ascii="Arial" w:hAnsi="Arial" w:cs="Arial"/>
                <w:bCs/>
                <w:sz w:val="20"/>
                <w:szCs w:val="20"/>
              </w:rPr>
            </w:pPr>
            <w:r w:rsidRPr="00A05552">
              <w:rPr>
                <w:rFonts w:ascii="Arial" w:hAnsi="Arial" w:cs="Arial"/>
                <w:bCs/>
                <w:sz w:val="20"/>
                <w:szCs w:val="20"/>
              </w:rPr>
              <w:t>105.5+103.1−93.6=</w:t>
            </w:r>
            <w:r w:rsidRPr="00A05552">
              <w:rPr>
                <w:rFonts w:ascii="Arial" w:hAnsi="Arial" w:cs="Arial"/>
                <w:b/>
                <w:bCs/>
                <w:sz w:val="20"/>
                <w:szCs w:val="20"/>
              </w:rPr>
              <w:t>115.0</w:t>
            </w:r>
          </w:p>
        </w:tc>
      </w:tr>
    </w:tbl>
    <w:p w14:paraId="2FABE450" w14:textId="57F3D176" w:rsidR="00504CE9" w:rsidRPr="00A05552" w:rsidRDefault="006B6F45" w:rsidP="004818B4">
      <w:pPr>
        <w:rPr>
          <w:rFonts w:ascii="Arial" w:hAnsi="Arial" w:cs="Arial"/>
          <w:bCs/>
        </w:rPr>
      </w:pPr>
      <w:r w:rsidRPr="00A05552">
        <w:rPr>
          <w:rFonts w:ascii="Arial" w:hAnsi="Arial" w:cs="Arial"/>
          <w:bCs/>
        </w:rPr>
        <w:t>Source</w:t>
      </w:r>
      <w:r w:rsidR="008F32BA" w:rsidRPr="00A05552">
        <w:rPr>
          <w:rFonts w:ascii="Arial" w:hAnsi="Arial" w:cs="Arial"/>
          <w:bCs/>
        </w:rPr>
        <w:t>:</w:t>
      </w:r>
      <w:r w:rsidR="00504CE9" w:rsidRPr="00A05552">
        <w:rPr>
          <w:rFonts w:ascii="Arial" w:hAnsi="Arial" w:cs="Arial"/>
          <w:bCs/>
        </w:rPr>
        <w:t xml:space="preserve"> (GE Vernova, 2024; General Electric Company, 2020-2023)</w:t>
      </w:r>
    </w:p>
    <w:p w14:paraId="6223443F" w14:textId="2ADA4D5A" w:rsidR="004818B4" w:rsidRPr="00A05552" w:rsidRDefault="008F32BA" w:rsidP="004818B4">
      <w:pPr>
        <w:rPr>
          <w:rFonts w:ascii="Arial" w:hAnsi="Arial" w:cs="Arial"/>
          <w:bCs/>
        </w:rPr>
      </w:pPr>
      <w:r w:rsidRPr="00A05552">
        <w:rPr>
          <w:rFonts w:ascii="Arial" w:hAnsi="Arial" w:cs="Arial"/>
          <w:bCs/>
        </w:rPr>
        <w:t>The rate of CCC increase is steep in the years 2020-2022 where the maximum level is around 140 days. That implies that there are large changes in inventory holding time and poor credit collection performance. The declining trend beginning in 2023</w:t>
      </w:r>
      <w:r w:rsidR="00A77CB4" w:rsidRPr="00A05552">
        <w:rPr>
          <w:rFonts w:ascii="Arial" w:hAnsi="Arial" w:cs="Arial"/>
          <w:bCs/>
        </w:rPr>
        <w:t>-</w:t>
      </w:r>
      <w:r w:rsidRPr="00A05552">
        <w:rPr>
          <w:rFonts w:ascii="Arial" w:hAnsi="Arial" w:cs="Arial"/>
          <w:bCs/>
        </w:rPr>
        <w:t>2024 is largely due to the rise in payable days and the decrease of inventories, but not the enhancement of the receivable performances. The biggest issue is worsening of the receivable collection in 2023</w:t>
      </w:r>
      <w:r w:rsidR="00A77CB4" w:rsidRPr="00A05552">
        <w:rPr>
          <w:rFonts w:ascii="Arial" w:hAnsi="Arial" w:cs="Arial"/>
          <w:bCs/>
        </w:rPr>
        <w:t>-</w:t>
      </w:r>
      <w:r w:rsidRPr="00A05552">
        <w:rPr>
          <w:rFonts w:ascii="Arial" w:hAnsi="Arial" w:cs="Arial"/>
          <w:bCs/>
        </w:rPr>
        <w:t>2024</w:t>
      </w:r>
      <w:r w:rsidR="001340E3" w:rsidRPr="00A05552">
        <w:rPr>
          <w:rFonts w:ascii="Arial" w:hAnsi="Arial" w:cs="Arial"/>
          <w:bCs/>
        </w:rPr>
        <w:t xml:space="preserve"> (GE Vernova, 2024; General Electric Company, 2020-2023)</w:t>
      </w:r>
      <w:r w:rsidRPr="00A05552">
        <w:rPr>
          <w:rFonts w:ascii="Arial" w:hAnsi="Arial" w:cs="Arial"/>
          <w:bCs/>
        </w:rPr>
        <w:t>. The longer days are a threat to liquidity because of the larger amount of cash tied up in working capital. Payables offer relief on a short-term basis and increase the supplier risk. The CCC stands at more than 110 days in 2024, which means that the liquidity level is still limited and the working capital operations are inefficient</w:t>
      </w:r>
      <w:r w:rsidR="001340E3" w:rsidRPr="00A05552">
        <w:rPr>
          <w:rFonts w:ascii="Arial" w:hAnsi="Arial" w:cs="Arial"/>
          <w:bCs/>
        </w:rPr>
        <w:t xml:space="preserve"> (GE Vernova, 2024; General Electric Company, 2020-2023)</w:t>
      </w:r>
      <w:r w:rsidRPr="00A05552">
        <w:rPr>
          <w:rFonts w:ascii="Arial" w:hAnsi="Arial" w:cs="Arial"/>
          <w:bCs/>
        </w:rPr>
        <w:t>. The long cycle mandates a change in the direction of a disciplined credit management, lean inventory, and sustainable payables.</w:t>
      </w:r>
    </w:p>
    <w:p w14:paraId="7DFE1CC5" w14:textId="07DF8835" w:rsidR="004818B4" w:rsidRPr="00A05552" w:rsidRDefault="004818B4" w:rsidP="006B6F45">
      <w:pPr>
        <w:pStyle w:val="Heading2"/>
        <w:rPr>
          <w:rFonts w:cs="Arial"/>
        </w:rPr>
      </w:pPr>
      <w:bookmarkStart w:id="20" w:name="_Toc217247578"/>
      <w:r w:rsidRPr="00A05552">
        <w:rPr>
          <w:rFonts w:cs="Arial"/>
        </w:rPr>
        <w:t>3.3 Strateg</w:t>
      </w:r>
      <w:r w:rsidR="006B6F45" w:rsidRPr="00A05552">
        <w:rPr>
          <w:rFonts w:cs="Arial"/>
        </w:rPr>
        <w:t>ies for liquidity improvement</w:t>
      </w:r>
      <w:bookmarkEnd w:id="20"/>
    </w:p>
    <w:p w14:paraId="4164B41F" w14:textId="48B8CD9F" w:rsidR="008F32BA" w:rsidRPr="00A05552" w:rsidRDefault="008F32BA" w:rsidP="008F32BA">
      <w:pPr>
        <w:rPr>
          <w:rFonts w:ascii="Arial" w:hAnsi="Arial" w:cs="Arial"/>
          <w:bCs/>
        </w:rPr>
      </w:pPr>
      <w:r w:rsidRPr="00A05552">
        <w:rPr>
          <w:rFonts w:ascii="Arial" w:hAnsi="Arial" w:cs="Arial"/>
          <w:bCs/>
        </w:rPr>
        <w:t>Better liquidity is pegged on faster cash flow generation within an organization. The obsolete and slow moving inventory should be reduced. This demands better demand forecast and product lifecycle planning. Reduction in inventory base will lower holding costs and release cash</w:t>
      </w:r>
      <w:r w:rsidR="001340E3" w:rsidRPr="00A05552">
        <w:rPr>
          <w:rFonts w:ascii="Arial" w:hAnsi="Arial" w:cs="Arial"/>
          <w:bCs/>
        </w:rPr>
        <w:t xml:space="preserve"> (</w:t>
      </w:r>
      <w:proofErr w:type="spellStart"/>
      <w:r w:rsidR="001340E3" w:rsidRPr="00A05552">
        <w:rPr>
          <w:rFonts w:ascii="Arial" w:hAnsi="Arial" w:cs="Arial"/>
          <w:bCs/>
        </w:rPr>
        <w:t>Boisjoly</w:t>
      </w:r>
      <w:proofErr w:type="spellEnd"/>
      <w:r w:rsidR="001340E3" w:rsidRPr="00A05552">
        <w:rPr>
          <w:rFonts w:ascii="Arial" w:hAnsi="Arial" w:cs="Arial"/>
          <w:bCs/>
        </w:rPr>
        <w:t xml:space="preserve"> et al., 2020)</w:t>
      </w:r>
      <w:r w:rsidRPr="00A05552">
        <w:rPr>
          <w:rFonts w:ascii="Arial" w:hAnsi="Arial" w:cs="Arial"/>
          <w:bCs/>
        </w:rPr>
        <w:t>.</w:t>
      </w:r>
    </w:p>
    <w:p w14:paraId="4F5ED0BE" w14:textId="77777777" w:rsidR="008F32BA" w:rsidRPr="00A05552" w:rsidRDefault="008F32BA" w:rsidP="008F32BA">
      <w:pPr>
        <w:rPr>
          <w:rFonts w:ascii="Arial" w:hAnsi="Arial" w:cs="Arial"/>
          <w:bCs/>
        </w:rPr>
      </w:pPr>
      <w:r w:rsidRPr="00A05552">
        <w:rPr>
          <w:rFonts w:ascii="Arial" w:hAnsi="Arial" w:cs="Arial"/>
          <w:bCs/>
        </w:rPr>
        <w:t xml:space="preserve">Receivables tightening involves re-examination of the credit terms. There should be stricter customer credit checks. Individual incentive to pay promptly and fines to pay late </w:t>
      </w:r>
      <w:r w:rsidRPr="00A05552">
        <w:rPr>
          <w:rFonts w:ascii="Arial" w:hAnsi="Arial" w:cs="Arial"/>
          <w:bCs/>
        </w:rPr>
        <w:lastRenderedPageBreak/>
        <w:t>can change behaviour. An intensive programme of high risk overdue accounts minimises write offs and enhances predictability of cash flow.</w:t>
      </w:r>
    </w:p>
    <w:p w14:paraId="037AEDCE" w14:textId="43001993" w:rsidR="008F32BA" w:rsidRPr="00A05552" w:rsidRDefault="008F32BA" w:rsidP="008F32BA">
      <w:pPr>
        <w:rPr>
          <w:rFonts w:ascii="Arial" w:hAnsi="Arial" w:cs="Arial"/>
          <w:bCs/>
        </w:rPr>
      </w:pPr>
      <w:r w:rsidRPr="00A05552">
        <w:rPr>
          <w:rFonts w:ascii="Arial" w:hAnsi="Arial" w:cs="Arial"/>
          <w:bCs/>
        </w:rPr>
        <w:t>The payables management need to seek negotiated extensions and not unilateral delays. The longer the supplier terms, the better the liquidity but may lead to deterioration of supplier relationships in case it is not communicated</w:t>
      </w:r>
      <w:r w:rsidR="001340E3" w:rsidRPr="00A05552">
        <w:rPr>
          <w:rFonts w:ascii="Arial" w:hAnsi="Arial" w:cs="Arial"/>
          <w:bCs/>
        </w:rPr>
        <w:t xml:space="preserve"> (Xing, 2025)</w:t>
      </w:r>
      <w:r w:rsidRPr="00A05552">
        <w:rPr>
          <w:rFonts w:ascii="Arial" w:hAnsi="Arial" w:cs="Arial"/>
          <w:bCs/>
        </w:rPr>
        <w:t>. The strategic suppliers can also accept structured payment plans in case they are associated with long-term contracts.</w:t>
      </w:r>
    </w:p>
    <w:p w14:paraId="1E01B714" w14:textId="3D793471" w:rsidR="008F32BA" w:rsidRPr="00A05552" w:rsidRDefault="008F32BA" w:rsidP="008F32BA">
      <w:pPr>
        <w:rPr>
          <w:rFonts w:ascii="Arial" w:hAnsi="Arial" w:cs="Arial"/>
          <w:bCs/>
        </w:rPr>
      </w:pPr>
      <w:r w:rsidRPr="00A05552">
        <w:rPr>
          <w:rFonts w:ascii="Arial" w:hAnsi="Arial" w:cs="Arial"/>
          <w:bCs/>
        </w:rPr>
        <w:t>Capital allocation should be disciplined in order to strengthen operating cash flow. Unnecessary expenses are to be put on hold. The projects should be based on cash payback as opposed to long-dated payback. Selling of non-core business can give room to breathe</w:t>
      </w:r>
      <w:r w:rsidR="001340E3" w:rsidRPr="00A05552">
        <w:rPr>
          <w:rFonts w:ascii="Arial" w:hAnsi="Arial" w:cs="Arial"/>
          <w:bCs/>
        </w:rPr>
        <w:t xml:space="preserve"> (</w:t>
      </w:r>
      <w:proofErr w:type="spellStart"/>
      <w:r w:rsidR="001340E3" w:rsidRPr="00A05552">
        <w:rPr>
          <w:rFonts w:ascii="Arial" w:hAnsi="Arial" w:cs="Arial"/>
          <w:bCs/>
        </w:rPr>
        <w:t>Bhalla</w:t>
      </w:r>
      <w:proofErr w:type="spellEnd"/>
      <w:r w:rsidR="001340E3" w:rsidRPr="00A05552">
        <w:rPr>
          <w:rFonts w:ascii="Arial" w:hAnsi="Arial" w:cs="Arial"/>
          <w:bCs/>
        </w:rPr>
        <w:t>, 2020)</w:t>
      </w:r>
      <w:r w:rsidRPr="00A05552">
        <w:rPr>
          <w:rFonts w:ascii="Arial" w:hAnsi="Arial" w:cs="Arial"/>
          <w:bCs/>
        </w:rPr>
        <w:t>.</w:t>
      </w:r>
    </w:p>
    <w:p w14:paraId="395BDDB7" w14:textId="44BEEAF0" w:rsidR="004818B4" w:rsidRPr="00A05552" w:rsidRDefault="008F32BA" w:rsidP="008F32BA">
      <w:pPr>
        <w:rPr>
          <w:rFonts w:ascii="Arial" w:hAnsi="Arial" w:cs="Arial"/>
          <w:bCs/>
        </w:rPr>
      </w:pPr>
      <w:r w:rsidRPr="00A05552">
        <w:rPr>
          <w:rFonts w:ascii="Arial" w:hAnsi="Arial" w:cs="Arial"/>
          <w:bCs/>
        </w:rPr>
        <w:t>Inventory rationalisation together with the tightening of the receivables and the shortening the payables negotiation can reduce the CCC by reducing the distance between the working capital inflows and outflows. These measures safeguard the liquidity without urgent use of new financing</w:t>
      </w:r>
      <w:r w:rsidR="001340E3" w:rsidRPr="00A05552">
        <w:rPr>
          <w:rFonts w:ascii="Arial" w:hAnsi="Arial" w:cs="Arial"/>
          <w:bCs/>
        </w:rPr>
        <w:t xml:space="preserve"> (Zheng et al., 2024)</w:t>
      </w:r>
      <w:r w:rsidRPr="00A05552">
        <w:rPr>
          <w:rFonts w:ascii="Arial" w:hAnsi="Arial" w:cs="Arial"/>
          <w:bCs/>
        </w:rPr>
        <w:t>.</w:t>
      </w:r>
    </w:p>
    <w:p w14:paraId="145599BD" w14:textId="453B00C3" w:rsidR="004818B4" w:rsidRPr="00A05552" w:rsidRDefault="004818B4" w:rsidP="006B6F45">
      <w:pPr>
        <w:pStyle w:val="Heading2"/>
        <w:rPr>
          <w:rFonts w:cs="Arial"/>
        </w:rPr>
      </w:pPr>
      <w:bookmarkStart w:id="21" w:name="_Toc217247579"/>
      <w:r w:rsidRPr="00A05552">
        <w:rPr>
          <w:rFonts w:cs="Arial"/>
        </w:rPr>
        <w:t>3.4 Financing options comparison</w:t>
      </w:r>
      <w:bookmarkEnd w:id="21"/>
      <w:r w:rsidRPr="00A05552">
        <w:rPr>
          <w:rFonts w:cs="Arial"/>
        </w:rPr>
        <w:t xml:space="preserve"> </w:t>
      </w:r>
    </w:p>
    <w:p w14:paraId="44BE716E" w14:textId="02254F9F" w:rsidR="008F32BA" w:rsidRPr="00A05552" w:rsidRDefault="008F32BA" w:rsidP="008F32BA">
      <w:pPr>
        <w:rPr>
          <w:rFonts w:ascii="Arial" w:hAnsi="Arial" w:cs="Arial"/>
          <w:bCs/>
        </w:rPr>
      </w:pPr>
      <w:r w:rsidRPr="00A05552">
        <w:rPr>
          <w:rFonts w:ascii="Arial" w:hAnsi="Arial" w:cs="Arial"/>
          <w:bCs/>
        </w:rPr>
        <w:t>Quick liquidity can be obtained using short-term financing. These are credit lines and commercial paper. The positive side is flexibility and speed of access and reduced cost of transactions. Examples of risks are pressure on refinancing and exposure to credit rating depreciation. Interest rates can escalate within a short time</w:t>
      </w:r>
      <w:r w:rsidR="001340E3" w:rsidRPr="00A05552">
        <w:rPr>
          <w:rFonts w:ascii="Arial" w:hAnsi="Arial" w:cs="Arial"/>
          <w:bCs/>
        </w:rPr>
        <w:t xml:space="preserve"> (Wise, 2020)</w:t>
      </w:r>
      <w:r w:rsidRPr="00A05552">
        <w:rPr>
          <w:rFonts w:ascii="Arial" w:hAnsi="Arial" w:cs="Arial"/>
          <w:bCs/>
        </w:rPr>
        <w:t>.</w:t>
      </w:r>
    </w:p>
    <w:p w14:paraId="59126D24" w14:textId="4055C9CE" w:rsidR="008F32BA" w:rsidRPr="00A05552" w:rsidRDefault="008F32BA" w:rsidP="008F32BA">
      <w:pPr>
        <w:rPr>
          <w:rFonts w:ascii="Arial" w:hAnsi="Arial" w:cs="Arial"/>
          <w:bCs/>
        </w:rPr>
      </w:pPr>
      <w:r w:rsidRPr="00A05552">
        <w:rPr>
          <w:rFonts w:ascii="Arial" w:hAnsi="Arial" w:cs="Arial"/>
          <w:bCs/>
        </w:rPr>
        <w:t>Stabilization of liquidity and restructuring can be assisted with long-term financing. Bond issuance and term loans extend the maturities and decrease the rollover risks. Costs may be higher</w:t>
      </w:r>
      <w:r w:rsidR="001340E3" w:rsidRPr="00A05552">
        <w:rPr>
          <w:rFonts w:ascii="Arial" w:hAnsi="Arial" w:cs="Arial"/>
          <w:bCs/>
        </w:rPr>
        <w:t xml:space="preserve"> (Robert et al., 2023)</w:t>
      </w:r>
      <w:r w:rsidRPr="00A05552">
        <w:rPr>
          <w:rFonts w:ascii="Arial" w:hAnsi="Arial" w:cs="Arial"/>
          <w:bCs/>
        </w:rPr>
        <w:t>. Banks require covenant and increased scrutiny. The issuance of equity enhances solvency through augmentation of capital, however it dilutes shareholdings.</w:t>
      </w:r>
    </w:p>
    <w:p w14:paraId="3BBDB817" w14:textId="1B7B889C" w:rsidR="004818B4" w:rsidRPr="00A05552" w:rsidRDefault="008F32BA" w:rsidP="008F32BA">
      <w:pPr>
        <w:rPr>
          <w:rFonts w:ascii="Arial" w:hAnsi="Arial" w:cs="Arial"/>
          <w:bCs/>
        </w:rPr>
      </w:pPr>
      <w:r w:rsidRPr="00A05552">
        <w:rPr>
          <w:rFonts w:ascii="Arial" w:hAnsi="Arial" w:cs="Arial"/>
          <w:bCs/>
        </w:rPr>
        <w:t>Working capital gaps are suited to short-term financing. The long-term financing is more up to date with the restructuring schedule and the investments based on assets. An equal mix minimizes the risk of liquidity</w:t>
      </w:r>
      <w:r w:rsidR="001340E3" w:rsidRPr="00A05552">
        <w:rPr>
          <w:rFonts w:ascii="Arial" w:hAnsi="Arial" w:cs="Arial"/>
          <w:bCs/>
        </w:rPr>
        <w:t xml:space="preserve"> (</w:t>
      </w:r>
      <w:proofErr w:type="spellStart"/>
      <w:r w:rsidR="001340E3" w:rsidRPr="00A05552">
        <w:rPr>
          <w:rFonts w:ascii="Arial" w:hAnsi="Arial" w:cs="Arial"/>
          <w:bCs/>
        </w:rPr>
        <w:t>Bapat</w:t>
      </w:r>
      <w:proofErr w:type="spellEnd"/>
      <w:r w:rsidR="001340E3" w:rsidRPr="00A05552">
        <w:rPr>
          <w:rFonts w:ascii="Arial" w:hAnsi="Arial" w:cs="Arial"/>
          <w:bCs/>
        </w:rPr>
        <w:t>, 2020)</w:t>
      </w:r>
      <w:r w:rsidRPr="00A05552">
        <w:rPr>
          <w:rFonts w:ascii="Arial" w:hAnsi="Arial" w:cs="Arial"/>
          <w:bCs/>
        </w:rPr>
        <w:t xml:space="preserve">. The restructuring should be done </w:t>
      </w:r>
      <w:r w:rsidRPr="00A05552">
        <w:rPr>
          <w:rFonts w:ascii="Arial" w:hAnsi="Arial" w:cs="Arial"/>
          <w:bCs/>
        </w:rPr>
        <w:lastRenderedPageBreak/>
        <w:t>strategically in such a way that it does not have to depend on short-term basis but rather slowly repair the capital base.</w:t>
      </w:r>
    </w:p>
    <w:p w14:paraId="35589486" w14:textId="79A80F40" w:rsidR="00B54831" w:rsidRPr="00A05552" w:rsidRDefault="00B54831" w:rsidP="006B6F45">
      <w:pPr>
        <w:pStyle w:val="Heading1"/>
      </w:pPr>
      <w:bookmarkStart w:id="22" w:name="_Toc217247580"/>
      <w:r w:rsidRPr="00A05552">
        <w:t>4. Strategic</w:t>
      </w:r>
      <w:r w:rsidR="006B6F45" w:rsidRPr="00A05552">
        <w:t xml:space="preserve"> Financial Restructuring Plan</w:t>
      </w:r>
      <w:bookmarkEnd w:id="22"/>
    </w:p>
    <w:p w14:paraId="03CFBE53" w14:textId="331F118E" w:rsidR="00735F9B" w:rsidRPr="00A05552" w:rsidRDefault="00735F9B" w:rsidP="006B6F45">
      <w:pPr>
        <w:pStyle w:val="Heading2"/>
        <w:rPr>
          <w:rFonts w:cs="Arial"/>
        </w:rPr>
      </w:pPr>
      <w:bookmarkStart w:id="23" w:name="_Toc217247581"/>
      <w:r w:rsidRPr="00A05552">
        <w:rPr>
          <w:rFonts w:cs="Arial"/>
        </w:rPr>
        <w:t>4.1 Rationale for restructuring</w:t>
      </w:r>
      <w:bookmarkEnd w:id="23"/>
      <w:r w:rsidRPr="00A05552">
        <w:rPr>
          <w:rFonts w:cs="Arial"/>
        </w:rPr>
        <w:t xml:space="preserve"> </w:t>
      </w:r>
    </w:p>
    <w:p w14:paraId="4D175FF4" w14:textId="074D0A1D" w:rsidR="00735F9B" w:rsidRPr="00A05552" w:rsidRDefault="008F32BA" w:rsidP="00735F9B">
      <w:pPr>
        <w:rPr>
          <w:rFonts w:ascii="Arial" w:hAnsi="Arial" w:cs="Arial"/>
          <w:bCs/>
        </w:rPr>
      </w:pPr>
      <w:r w:rsidRPr="00A05552">
        <w:rPr>
          <w:rFonts w:ascii="Arial" w:hAnsi="Arial" w:cs="Arial"/>
          <w:bCs/>
        </w:rPr>
        <w:t>General Electronics is in evident signs of financial distress. The revenues have been decreasing at a steep rate and the company registered operating and net losses in the two years. Liquidity pressure is manifested in the declining working capital and increasing receivable days</w:t>
      </w:r>
      <w:r w:rsidR="001340E3" w:rsidRPr="00A05552">
        <w:rPr>
          <w:rFonts w:ascii="Arial" w:hAnsi="Arial" w:cs="Arial"/>
          <w:bCs/>
        </w:rPr>
        <w:t xml:space="preserve"> (Goyal et al., 2021)</w:t>
      </w:r>
      <w:r w:rsidRPr="00A05552">
        <w:rPr>
          <w:rFonts w:ascii="Arial" w:hAnsi="Arial" w:cs="Arial"/>
          <w:bCs/>
        </w:rPr>
        <w:t>. The gearing value also became progressively higher and the interest coverage became negative, which indicated that it could no longer cover debt by using the earnings. The above has undermined creditworthiness and reduced reinvestment ability, and the Z-score has fallen into the grey zone, meaning higher risk of default. It will thus need restructuring to stabilize liquidity and solvency, enhance the ability to make profits, and rebuild stakeholder trust</w:t>
      </w:r>
      <w:r w:rsidR="001340E3" w:rsidRPr="00A05552">
        <w:rPr>
          <w:rFonts w:ascii="Arial" w:hAnsi="Arial" w:cs="Arial"/>
          <w:bCs/>
        </w:rPr>
        <w:t xml:space="preserve"> (</w:t>
      </w:r>
      <w:proofErr w:type="spellStart"/>
      <w:r w:rsidR="001340E3" w:rsidRPr="00A05552">
        <w:rPr>
          <w:rFonts w:ascii="Arial" w:hAnsi="Arial" w:cs="Arial"/>
          <w:bCs/>
        </w:rPr>
        <w:t>Emami</w:t>
      </w:r>
      <w:proofErr w:type="spellEnd"/>
      <w:r w:rsidR="001340E3" w:rsidRPr="00A05552">
        <w:rPr>
          <w:rFonts w:ascii="Arial" w:hAnsi="Arial" w:cs="Arial"/>
          <w:bCs/>
        </w:rPr>
        <w:t xml:space="preserve"> </w:t>
      </w:r>
      <w:proofErr w:type="spellStart"/>
      <w:r w:rsidR="001340E3" w:rsidRPr="00A05552">
        <w:rPr>
          <w:rFonts w:ascii="Arial" w:hAnsi="Arial" w:cs="Arial"/>
          <w:bCs/>
        </w:rPr>
        <w:t>Langroodi</w:t>
      </w:r>
      <w:proofErr w:type="spellEnd"/>
      <w:r w:rsidR="001340E3" w:rsidRPr="00A05552">
        <w:rPr>
          <w:rFonts w:ascii="Arial" w:hAnsi="Arial" w:cs="Arial"/>
          <w:bCs/>
        </w:rPr>
        <w:t>, 2021)</w:t>
      </w:r>
      <w:r w:rsidRPr="00A05552">
        <w:rPr>
          <w:rFonts w:ascii="Arial" w:hAnsi="Arial" w:cs="Arial"/>
          <w:bCs/>
        </w:rPr>
        <w:t>.</w:t>
      </w:r>
    </w:p>
    <w:p w14:paraId="14C8F8B9" w14:textId="29D6A0AE" w:rsidR="00735F9B" w:rsidRPr="00A05552" w:rsidRDefault="00735F9B" w:rsidP="006B6F45">
      <w:pPr>
        <w:pStyle w:val="Heading2"/>
        <w:rPr>
          <w:rFonts w:cs="Arial"/>
        </w:rPr>
      </w:pPr>
      <w:bookmarkStart w:id="24" w:name="_Toc217247582"/>
      <w:r w:rsidRPr="00A05552">
        <w:rPr>
          <w:rFonts w:cs="Arial"/>
        </w:rPr>
        <w:t>4.2 Reco</w:t>
      </w:r>
      <w:r w:rsidR="006B6F45" w:rsidRPr="00A05552">
        <w:rPr>
          <w:rFonts w:cs="Arial"/>
        </w:rPr>
        <w:t>mmended restructuring options</w:t>
      </w:r>
      <w:bookmarkEnd w:id="24"/>
    </w:p>
    <w:p w14:paraId="12C9F8E4" w14:textId="427E9E9A" w:rsidR="008F32BA" w:rsidRPr="00A05552" w:rsidRDefault="008F32BA" w:rsidP="008F32BA">
      <w:pPr>
        <w:rPr>
          <w:rFonts w:ascii="Arial" w:hAnsi="Arial" w:cs="Arial"/>
          <w:bCs/>
        </w:rPr>
      </w:pPr>
      <w:r w:rsidRPr="00A05552">
        <w:rPr>
          <w:rFonts w:ascii="Arial" w:hAnsi="Arial" w:cs="Arial"/>
          <w:bCs/>
        </w:rPr>
        <w:t xml:space="preserve">Disposing of assets can give an instant liquidity and minimize capacity. A disposal of non-core PPE at 15 </w:t>
      </w:r>
      <w:r w:rsidR="007E7EC6" w:rsidRPr="00A05552">
        <w:rPr>
          <w:rFonts w:ascii="Arial" w:hAnsi="Arial" w:cs="Arial"/>
          <w:bCs/>
        </w:rPr>
        <w:t>percent</w:t>
      </w:r>
      <w:r w:rsidRPr="00A05552">
        <w:rPr>
          <w:rFonts w:ascii="Arial" w:hAnsi="Arial" w:cs="Arial"/>
          <w:bCs/>
        </w:rPr>
        <w:t xml:space="preserve"> of the 2024 PPE balance of £34,207m yields approximately £5,131m. The proceeds of sale can be spent to settle short-term borrowings and enhance interest coverage and the Z-score interest cover and leverage elements. It should be selected carefully to prevent the damage to productive ability in future</w:t>
      </w:r>
      <w:r w:rsidR="001340E3" w:rsidRPr="00A05552">
        <w:rPr>
          <w:rFonts w:ascii="Arial" w:hAnsi="Arial" w:cs="Arial"/>
          <w:bCs/>
        </w:rPr>
        <w:t xml:space="preserve"> (GE Vernova, 2024; General Electric Company, 2020-2023)</w:t>
      </w:r>
      <w:r w:rsidRPr="00A05552">
        <w:rPr>
          <w:rFonts w:ascii="Arial" w:hAnsi="Arial" w:cs="Arial"/>
          <w:bCs/>
        </w:rPr>
        <w:t>.</w:t>
      </w:r>
    </w:p>
    <w:p w14:paraId="695DF5A1" w14:textId="44756DFF" w:rsidR="008F32BA" w:rsidRPr="00A05552" w:rsidRDefault="008F32BA" w:rsidP="008F32BA">
      <w:pPr>
        <w:rPr>
          <w:rFonts w:ascii="Arial" w:hAnsi="Arial" w:cs="Arial"/>
          <w:bCs/>
        </w:rPr>
      </w:pPr>
      <w:r w:rsidRPr="00A05552">
        <w:rPr>
          <w:rFonts w:ascii="Arial" w:hAnsi="Arial" w:cs="Arial"/>
          <w:bCs/>
        </w:rPr>
        <w:t>Solvency can be restored through an injection of equity. A rights issue of £10,000m increases equity from £153,105m to £163,105m, improving the 2024 debt–equity ratio from 1.11 to 1.04. Equity raise increases liquidity and headroom, but there is a dilution risk which should be addressed by effective turnaround communication</w:t>
      </w:r>
      <w:r w:rsidR="001340E3" w:rsidRPr="00A05552">
        <w:rPr>
          <w:rFonts w:ascii="Arial" w:hAnsi="Arial" w:cs="Arial"/>
          <w:bCs/>
        </w:rPr>
        <w:t xml:space="preserve"> (GE Vernova, 2024; General Electric Company, 2020-2023)</w:t>
      </w:r>
      <w:r w:rsidRPr="00A05552">
        <w:rPr>
          <w:rFonts w:ascii="Arial" w:hAnsi="Arial" w:cs="Arial"/>
          <w:bCs/>
        </w:rPr>
        <w:t>.</w:t>
      </w:r>
    </w:p>
    <w:p w14:paraId="54A5012C" w14:textId="55411C5B" w:rsidR="008F32BA" w:rsidRPr="00A05552" w:rsidRDefault="008F32BA" w:rsidP="008F32BA">
      <w:pPr>
        <w:rPr>
          <w:rFonts w:ascii="Arial" w:hAnsi="Arial" w:cs="Arial"/>
          <w:bCs/>
        </w:rPr>
      </w:pPr>
      <w:r w:rsidRPr="00A05552">
        <w:rPr>
          <w:rFonts w:ascii="Arial" w:hAnsi="Arial" w:cs="Arial"/>
          <w:bCs/>
        </w:rPr>
        <w:t>The refinancing of debt should re-arrange the current liabilities into more extended terms. Refinancing £20,000m of short-term credit into term facilities lowers rollover risk and interest burden. Better maturity match minimizes cash strains and enhances Z-score variables that are associated with leverage and earnings</w:t>
      </w:r>
      <w:r w:rsidR="001340E3" w:rsidRPr="00A05552">
        <w:rPr>
          <w:rFonts w:ascii="Arial" w:hAnsi="Arial" w:cs="Arial"/>
          <w:bCs/>
        </w:rPr>
        <w:t xml:space="preserve"> (Heron and </w:t>
      </w:r>
      <w:proofErr w:type="spellStart"/>
      <w:r w:rsidR="001340E3" w:rsidRPr="00A05552">
        <w:rPr>
          <w:rFonts w:ascii="Arial" w:hAnsi="Arial" w:cs="Arial"/>
          <w:bCs/>
        </w:rPr>
        <w:t>Markelevich</w:t>
      </w:r>
      <w:proofErr w:type="spellEnd"/>
      <w:r w:rsidR="001340E3" w:rsidRPr="00A05552">
        <w:rPr>
          <w:rFonts w:ascii="Arial" w:hAnsi="Arial" w:cs="Arial"/>
          <w:bCs/>
        </w:rPr>
        <w:t>, 2023)</w:t>
      </w:r>
      <w:r w:rsidRPr="00A05552">
        <w:rPr>
          <w:rFonts w:ascii="Arial" w:hAnsi="Arial" w:cs="Arial"/>
          <w:bCs/>
        </w:rPr>
        <w:t>.</w:t>
      </w:r>
    </w:p>
    <w:p w14:paraId="592ACD19" w14:textId="17869EEE" w:rsidR="008F32BA" w:rsidRPr="00A05552" w:rsidRDefault="008F32BA" w:rsidP="008F32BA">
      <w:pPr>
        <w:rPr>
          <w:rFonts w:ascii="Arial" w:hAnsi="Arial" w:cs="Arial"/>
          <w:bCs/>
        </w:rPr>
      </w:pPr>
      <w:r w:rsidRPr="00A05552">
        <w:rPr>
          <w:rFonts w:ascii="Arial" w:hAnsi="Arial" w:cs="Arial"/>
          <w:bCs/>
        </w:rPr>
        <w:lastRenderedPageBreak/>
        <w:t>A merger route provides a source of complementary capabilities and economies of scale. As</w:t>
      </w:r>
      <w:r w:rsidR="00B5531C" w:rsidRPr="00A05552">
        <w:rPr>
          <w:rFonts w:ascii="Arial" w:hAnsi="Arial" w:cs="Arial"/>
          <w:bCs/>
        </w:rPr>
        <w:t>suming synergies equal to 3 per</w:t>
      </w:r>
      <w:r w:rsidRPr="00A05552">
        <w:rPr>
          <w:rFonts w:ascii="Arial" w:hAnsi="Arial" w:cs="Arial"/>
          <w:bCs/>
        </w:rPr>
        <w:t>cent of 2024 revenue, potential earnings uplift equals £11,846m, supporting a return to positive EBIT and ROE. Risk of integration execution should be looked into, and the choice of partners should be minimal with regard to conflict of culture and operation</w:t>
      </w:r>
      <w:r w:rsidR="001340E3" w:rsidRPr="00A05552">
        <w:rPr>
          <w:rFonts w:ascii="Arial" w:hAnsi="Arial" w:cs="Arial"/>
          <w:bCs/>
        </w:rPr>
        <w:t xml:space="preserve"> (</w:t>
      </w:r>
      <w:proofErr w:type="spellStart"/>
      <w:r w:rsidR="001340E3" w:rsidRPr="00A05552">
        <w:rPr>
          <w:rFonts w:ascii="Arial" w:hAnsi="Arial" w:cs="Arial"/>
          <w:bCs/>
        </w:rPr>
        <w:t>Hristov</w:t>
      </w:r>
      <w:proofErr w:type="spellEnd"/>
      <w:r w:rsidR="001340E3" w:rsidRPr="00A05552">
        <w:rPr>
          <w:rFonts w:ascii="Arial" w:hAnsi="Arial" w:cs="Arial"/>
          <w:bCs/>
        </w:rPr>
        <w:t>, 2024)</w:t>
      </w:r>
      <w:r w:rsidRPr="00A05552">
        <w:rPr>
          <w:rFonts w:ascii="Arial" w:hAnsi="Arial" w:cs="Arial"/>
          <w:bCs/>
        </w:rPr>
        <w:t>.</w:t>
      </w:r>
    </w:p>
    <w:p w14:paraId="7AC210A0" w14:textId="5A0B294C" w:rsidR="00735F9B" w:rsidRPr="00A05552" w:rsidRDefault="008F32BA" w:rsidP="008F32BA">
      <w:pPr>
        <w:rPr>
          <w:rFonts w:ascii="Arial" w:hAnsi="Arial" w:cs="Arial"/>
          <w:bCs/>
        </w:rPr>
      </w:pPr>
      <w:r w:rsidRPr="00A05552">
        <w:rPr>
          <w:rFonts w:ascii="Arial" w:hAnsi="Arial" w:cs="Arial"/>
          <w:bCs/>
        </w:rPr>
        <w:t>Sequencing is very important: divestiture and refinancing enhance short-term liquidity whereas equity reinforcement and merger execution enhance solvency and competitiveness in the long run.</w:t>
      </w:r>
    </w:p>
    <w:p w14:paraId="0204C756" w14:textId="03053D54" w:rsidR="00735F9B" w:rsidRPr="00A05552" w:rsidRDefault="00735F9B" w:rsidP="006B6F45">
      <w:pPr>
        <w:pStyle w:val="Heading2"/>
        <w:rPr>
          <w:rFonts w:cs="Arial"/>
        </w:rPr>
      </w:pPr>
      <w:bookmarkStart w:id="25" w:name="_Toc217247583"/>
      <w:r w:rsidRPr="00A05552">
        <w:rPr>
          <w:rFonts w:cs="Arial"/>
        </w:rPr>
        <w:t>4.3 Financial impact evaluation</w:t>
      </w:r>
      <w:bookmarkEnd w:id="25"/>
      <w:r w:rsidRPr="00A05552">
        <w:rPr>
          <w:rFonts w:cs="Arial"/>
        </w:rPr>
        <w:t xml:space="preserve"> </w:t>
      </w:r>
    </w:p>
    <w:p w14:paraId="140CAAA3" w14:textId="74CB85BC" w:rsidR="008F32BA" w:rsidRPr="00A05552" w:rsidRDefault="008F32BA" w:rsidP="008F32BA">
      <w:pPr>
        <w:rPr>
          <w:rFonts w:ascii="Arial" w:hAnsi="Arial" w:cs="Arial"/>
          <w:bCs/>
        </w:rPr>
      </w:pPr>
      <w:r w:rsidRPr="00A05552">
        <w:rPr>
          <w:rFonts w:ascii="Arial" w:hAnsi="Arial" w:cs="Arial"/>
          <w:bCs/>
        </w:rPr>
        <w:t>Restructuring enhances shareholder value as it imparts back the solvency and increases the future profit-making capacity. Issuance of equity will first dilute but diminish distress and enhance the value of recovery options</w:t>
      </w:r>
      <w:r w:rsidR="001340E3" w:rsidRPr="00A05552">
        <w:rPr>
          <w:rFonts w:ascii="Arial" w:hAnsi="Arial" w:cs="Arial"/>
          <w:bCs/>
        </w:rPr>
        <w:t xml:space="preserve"> (</w:t>
      </w:r>
      <w:proofErr w:type="spellStart"/>
      <w:r w:rsidR="001340E3" w:rsidRPr="00A05552">
        <w:rPr>
          <w:rFonts w:ascii="Arial" w:hAnsi="Arial" w:cs="Arial"/>
          <w:bCs/>
        </w:rPr>
        <w:t>Emami</w:t>
      </w:r>
      <w:proofErr w:type="spellEnd"/>
      <w:r w:rsidR="001340E3" w:rsidRPr="00A05552">
        <w:rPr>
          <w:rFonts w:ascii="Arial" w:hAnsi="Arial" w:cs="Arial"/>
          <w:bCs/>
        </w:rPr>
        <w:t xml:space="preserve"> </w:t>
      </w:r>
      <w:proofErr w:type="spellStart"/>
      <w:r w:rsidR="001340E3" w:rsidRPr="00A05552">
        <w:rPr>
          <w:rFonts w:ascii="Arial" w:hAnsi="Arial" w:cs="Arial"/>
          <w:bCs/>
        </w:rPr>
        <w:t>Langroodi</w:t>
      </w:r>
      <w:proofErr w:type="spellEnd"/>
      <w:r w:rsidR="001340E3" w:rsidRPr="00A05552">
        <w:rPr>
          <w:rFonts w:ascii="Arial" w:hAnsi="Arial" w:cs="Arial"/>
          <w:bCs/>
        </w:rPr>
        <w:t>, 2021)</w:t>
      </w:r>
      <w:r w:rsidRPr="00A05552">
        <w:rPr>
          <w:rFonts w:ascii="Arial" w:hAnsi="Arial" w:cs="Arial"/>
          <w:bCs/>
        </w:rPr>
        <w:t>.</w:t>
      </w:r>
    </w:p>
    <w:p w14:paraId="52A5C113" w14:textId="524A6D73" w:rsidR="00735F9B" w:rsidRPr="00A05552" w:rsidRDefault="008F32BA" w:rsidP="008F32BA">
      <w:pPr>
        <w:rPr>
          <w:rFonts w:ascii="Arial" w:hAnsi="Arial" w:cs="Arial"/>
          <w:bCs/>
        </w:rPr>
      </w:pPr>
      <w:r w:rsidRPr="00A05552">
        <w:rPr>
          <w:rFonts w:ascii="Arial" w:hAnsi="Arial" w:cs="Arial"/>
          <w:bCs/>
        </w:rPr>
        <w:t>The debt structure is enhanced because refinancing and divestiture process lower the short-term leverage. Reduced interest expense and low gearing make financial flexibility. The trend in gearing depicts increasing leverage pressure</w:t>
      </w:r>
      <w:r w:rsidR="001340E3" w:rsidRPr="00A05552">
        <w:rPr>
          <w:rFonts w:ascii="Arial" w:hAnsi="Arial" w:cs="Arial"/>
          <w:bCs/>
        </w:rPr>
        <w:t xml:space="preserve"> (</w:t>
      </w:r>
      <w:proofErr w:type="spellStart"/>
      <w:r w:rsidR="001340E3" w:rsidRPr="00A05552">
        <w:rPr>
          <w:rFonts w:ascii="Arial" w:hAnsi="Arial" w:cs="Arial"/>
          <w:bCs/>
        </w:rPr>
        <w:t>Bhalla</w:t>
      </w:r>
      <w:proofErr w:type="spellEnd"/>
      <w:r w:rsidR="001340E3" w:rsidRPr="00A05552">
        <w:rPr>
          <w:rFonts w:ascii="Arial" w:hAnsi="Arial" w:cs="Arial"/>
          <w:bCs/>
        </w:rPr>
        <w:t>, 2020)</w:t>
      </w:r>
      <w:r w:rsidRPr="00A05552">
        <w:rPr>
          <w:rFonts w:ascii="Arial" w:hAnsi="Arial" w:cs="Arial"/>
          <w:bCs/>
        </w:rPr>
        <w:t>.</w:t>
      </w:r>
    </w:p>
    <w:p w14:paraId="4313EF93" w14:textId="77777777" w:rsidR="00B5531C" w:rsidRPr="00A05552" w:rsidRDefault="00B5531C" w:rsidP="00B5531C">
      <w:pPr>
        <w:keepNext/>
        <w:jc w:val="center"/>
        <w:rPr>
          <w:rFonts w:ascii="Arial" w:hAnsi="Arial" w:cs="Arial"/>
        </w:rPr>
      </w:pPr>
      <w:r w:rsidRPr="00A05552">
        <w:rPr>
          <w:rFonts w:ascii="Arial" w:hAnsi="Arial" w:cs="Arial"/>
          <w:noProof/>
          <w:lang w:val="en-US"/>
          <w14:ligatures w14:val="standardContextual"/>
        </w:rPr>
        <w:drawing>
          <wp:inline distT="0" distB="0" distL="0" distR="0" wp14:anchorId="2E016ED7" wp14:editId="1C7A0187">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B162D60" w14:textId="7553BA56" w:rsidR="00B5531C" w:rsidRPr="00A05552" w:rsidRDefault="00B5531C" w:rsidP="00B5531C">
      <w:pPr>
        <w:pStyle w:val="Caption"/>
        <w:jc w:val="center"/>
        <w:rPr>
          <w:rFonts w:ascii="Arial" w:hAnsi="Arial" w:cs="Arial"/>
          <w:bCs/>
        </w:rPr>
      </w:pPr>
      <w:r w:rsidRPr="00A05552">
        <w:rPr>
          <w:rFonts w:ascii="Arial" w:hAnsi="Arial" w:cs="Arial"/>
        </w:rPr>
        <w:t xml:space="preserve">Figure </w:t>
      </w:r>
      <w:r w:rsidRPr="00A05552">
        <w:rPr>
          <w:rFonts w:ascii="Arial" w:hAnsi="Arial" w:cs="Arial"/>
        </w:rPr>
        <w:fldChar w:fldCharType="begin"/>
      </w:r>
      <w:r w:rsidRPr="00A05552">
        <w:rPr>
          <w:rFonts w:ascii="Arial" w:hAnsi="Arial" w:cs="Arial"/>
        </w:rPr>
        <w:instrText xml:space="preserve"> SEQ Figure \* ARABIC </w:instrText>
      </w:r>
      <w:r w:rsidRPr="00A05552">
        <w:rPr>
          <w:rFonts w:ascii="Arial" w:hAnsi="Arial" w:cs="Arial"/>
        </w:rPr>
        <w:fldChar w:fldCharType="separate"/>
      </w:r>
      <w:r w:rsidR="00124C67" w:rsidRPr="00A05552">
        <w:rPr>
          <w:rFonts w:ascii="Arial" w:hAnsi="Arial" w:cs="Arial"/>
          <w:noProof/>
        </w:rPr>
        <w:t>2</w:t>
      </w:r>
      <w:r w:rsidRPr="00A05552">
        <w:rPr>
          <w:rFonts w:ascii="Arial" w:hAnsi="Arial" w:cs="Arial"/>
        </w:rPr>
        <w:fldChar w:fldCharType="end"/>
      </w:r>
      <w:r w:rsidRPr="00A05552">
        <w:rPr>
          <w:rFonts w:ascii="Arial" w:hAnsi="Arial" w:cs="Arial"/>
        </w:rPr>
        <w:t>: gearing trend Source:</w:t>
      </w:r>
      <w:r w:rsidR="00504CE9" w:rsidRPr="00A05552">
        <w:rPr>
          <w:rFonts w:ascii="Arial" w:hAnsi="Arial" w:cs="Arial"/>
        </w:rPr>
        <w:t xml:space="preserve"> </w:t>
      </w:r>
      <w:r w:rsidR="00504CE9" w:rsidRPr="00A05552">
        <w:rPr>
          <w:rFonts w:ascii="Arial" w:hAnsi="Arial" w:cs="Arial"/>
          <w:bCs/>
        </w:rPr>
        <w:t>(GE Vernova, 2024; General Electric Company, 2020-2023)</w:t>
      </w:r>
    </w:p>
    <w:p w14:paraId="39F4315A" w14:textId="77777777" w:rsidR="00B5531C" w:rsidRPr="00A05552" w:rsidRDefault="00B5531C" w:rsidP="00B5531C">
      <w:pPr>
        <w:keepNext/>
        <w:jc w:val="center"/>
        <w:rPr>
          <w:rFonts w:ascii="Arial" w:hAnsi="Arial" w:cs="Arial"/>
        </w:rPr>
      </w:pPr>
      <w:r w:rsidRPr="00A05552">
        <w:rPr>
          <w:rFonts w:ascii="Arial" w:hAnsi="Arial" w:cs="Arial"/>
          <w:noProof/>
          <w:lang w:val="en-US"/>
          <w14:ligatures w14:val="standardContextual"/>
        </w:rPr>
        <w:lastRenderedPageBreak/>
        <w:drawing>
          <wp:inline distT="0" distB="0" distL="0" distR="0" wp14:anchorId="6B60A731" wp14:editId="0443CB8B">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E8A99AA" w14:textId="07A64879" w:rsidR="00B5531C" w:rsidRPr="00A05552" w:rsidRDefault="00B5531C" w:rsidP="00B5531C">
      <w:pPr>
        <w:pStyle w:val="Caption"/>
        <w:jc w:val="center"/>
        <w:rPr>
          <w:rFonts w:ascii="Arial" w:hAnsi="Arial" w:cs="Arial"/>
          <w:bCs/>
        </w:rPr>
      </w:pPr>
      <w:r w:rsidRPr="00A05552">
        <w:rPr>
          <w:rFonts w:ascii="Arial" w:hAnsi="Arial" w:cs="Arial"/>
        </w:rPr>
        <w:t xml:space="preserve">Figure </w:t>
      </w:r>
      <w:r w:rsidRPr="00A05552">
        <w:rPr>
          <w:rFonts w:ascii="Arial" w:hAnsi="Arial" w:cs="Arial"/>
        </w:rPr>
        <w:fldChar w:fldCharType="begin"/>
      </w:r>
      <w:r w:rsidRPr="00A05552">
        <w:rPr>
          <w:rFonts w:ascii="Arial" w:hAnsi="Arial" w:cs="Arial"/>
        </w:rPr>
        <w:instrText xml:space="preserve"> SEQ Figure \* ARABIC </w:instrText>
      </w:r>
      <w:r w:rsidRPr="00A05552">
        <w:rPr>
          <w:rFonts w:ascii="Arial" w:hAnsi="Arial" w:cs="Arial"/>
        </w:rPr>
        <w:fldChar w:fldCharType="separate"/>
      </w:r>
      <w:r w:rsidR="00124C67" w:rsidRPr="00A05552">
        <w:rPr>
          <w:rFonts w:ascii="Arial" w:hAnsi="Arial" w:cs="Arial"/>
          <w:noProof/>
        </w:rPr>
        <w:t>3</w:t>
      </w:r>
      <w:r w:rsidRPr="00A05552">
        <w:rPr>
          <w:rFonts w:ascii="Arial" w:hAnsi="Arial" w:cs="Arial"/>
        </w:rPr>
        <w:fldChar w:fldCharType="end"/>
      </w:r>
      <w:r w:rsidRPr="00A05552">
        <w:rPr>
          <w:rFonts w:ascii="Arial" w:hAnsi="Arial" w:cs="Arial"/>
        </w:rPr>
        <w:t>: gearing trend (D/E) Source:</w:t>
      </w:r>
      <w:r w:rsidR="00504CE9" w:rsidRPr="00A05552">
        <w:rPr>
          <w:rFonts w:ascii="Arial" w:hAnsi="Arial" w:cs="Arial"/>
        </w:rPr>
        <w:t xml:space="preserve"> </w:t>
      </w:r>
      <w:r w:rsidR="00504CE9" w:rsidRPr="00A05552">
        <w:rPr>
          <w:rFonts w:ascii="Arial" w:hAnsi="Arial" w:cs="Arial"/>
          <w:bCs/>
        </w:rPr>
        <w:t>(GE Vernova, 2024; General Electric Company, 2020-2023)</w:t>
      </w:r>
    </w:p>
    <w:p w14:paraId="59A5EDCA" w14:textId="3417CC66" w:rsidR="00735F9B" w:rsidRPr="00A05552" w:rsidRDefault="008F32BA" w:rsidP="00735F9B">
      <w:pPr>
        <w:rPr>
          <w:rFonts w:ascii="Arial" w:hAnsi="Arial" w:cs="Arial"/>
          <w:bCs/>
        </w:rPr>
      </w:pPr>
      <w:r w:rsidRPr="00A05552">
        <w:rPr>
          <w:rFonts w:ascii="Arial" w:hAnsi="Arial" w:cs="Arial"/>
          <w:bCs/>
        </w:rPr>
        <w:t>Flexibility of operations is enhanced as there is less pressure to refinance and selective rationalisation of capacity. With the liquidity, better control of working capital and discretionary reinvestment is made possible</w:t>
      </w:r>
      <w:r w:rsidR="001340E3" w:rsidRPr="00A05552">
        <w:rPr>
          <w:rFonts w:ascii="Arial" w:hAnsi="Arial" w:cs="Arial"/>
          <w:bCs/>
        </w:rPr>
        <w:t xml:space="preserve"> </w:t>
      </w:r>
      <w:r w:rsidR="00341438" w:rsidRPr="00A05552">
        <w:rPr>
          <w:rFonts w:ascii="Arial" w:hAnsi="Arial" w:cs="Arial"/>
          <w:bCs/>
        </w:rPr>
        <w:t>(</w:t>
      </w:r>
      <w:proofErr w:type="spellStart"/>
      <w:r w:rsidR="00341438" w:rsidRPr="00A05552">
        <w:rPr>
          <w:rFonts w:ascii="Arial" w:hAnsi="Arial" w:cs="Arial"/>
          <w:bCs/>
        </w:rPr>
        <w:t>Deeb</w:t>
      </w:r>
      <w:proofErr w:type="spellEnd"/>
      <w:r w:rsidR="00341438" w:rsidRPr="00A05552">
        <w:rPr>
          <w:rFonts w:ascii="Arial" w:hAnsi="Arial" w:cs="Arial"/>
          <w:bCs/>
        </w:rPr>
        <w:t xml:space="preserve"> et al., 2024)</w:t>
      </w:r>
      <w:r w:rsidRPr="00A05552">
        <w:rPr>
          <w:rFonts w:ascii="Arial" w:hAnsi="Arial" w:cs="Arial"/>
          <w:bCs/>
        </w:rPr>
        <w:t>.</w:t>
      </w:r>
    </w:p>
    <w:p w14:paraId="4DA050CC" w14:textId="23EB0A10" w:rsidR="00735F9B" w:rsidRPr="00A05552" w:rsidRDefault="00735F9B" w:rsidP="006B6F45">
      <w:pPr>
        <w:pStyle w:val="Heading2"/>
        <w:rPr>
          <w:rFonts w:cs="Arial"/>
        </w:rPr>
      </w:pPr>
      <w:bookmarkStart w:id="26" w:name="_Toc217247584"/>
      <w:r w:rsidRPr="00A05552">
        <w:rPr>
          <w:rFonts w:cs="Arial"/>
        </w:rPr>
        <w:t>4.4 International and ethical considerations</w:t>
      </w:r>
      <w:bookmarkEnd w:id="26"/>
      <w:r w:rsidRPr="00A05552">
        <w:rPr>
          <w:rFonts w:cs="Arial"/>
        </w:rPr>
        <w:t xml:space="preserve"> </w:t>
      </w:r>
    </w:p>
    <w:p w14:paraId="51A144D9" w14:textId="72CA0085" w:rsidR="004818B4" w:rsidRPr="00A05552" w:rsidRDefault="008F32BA" w:rsidP="004818B4">
      <w:pPr>
        <w:rPr>
          <w:rFonts w:ascii="Arial" w:hAnsi="Arial" w:cs="Arial"/>
          <w:bCs/>
        </w:rPr>
      </w:pPr>
      <w:r w:rsidRPr="00A05552">
        <w:rPr>
          <w:rFonts w:ascii="Arial" w:hAnsi="Arial" w:cs="Arial"/>
          <w:bCs/>
        </w:rPr>
        <w:t>Hedging should aim at reducing currency exposure in terms of matching assets with liabilities. The tax implications of divestitures and cross border mergers have to be planned in order to prevent the unintended liabilities. Inflation will demand strict cost management and renegotiation of supply contracts</w:t>
      </w:r>
      <w:r w:rsidR="00341438" w:rsidRPr="00A05552">
        <w:rPr>
          <w:rFonts w:ascii="Arial" w:hAnsi="Arial" w:cs="Arial"/>
          <w:bCs/>
        </w:rPr>
        <w:t xml:space="preserve"> (Zheng et al., 2024)</w:t>
      </w:r>
      <w:r w:rsidRPr="00A05552">
        <w:rPr>
          <w:rFonts w:ascii="Arial" w:hAnsi="Arial" w:cs="Arial"/>
          <w:bCs/>
        </w:rPr>
        <w:t xml:space="preserve">. The ethical restructuring requires a just treatment of the employees and suppliers and requires open communication to safeguard reputation and social responsibility. </w:t>
      </w:r>
    </w:p>
    <w:p w14:paraId="04AA15C1" w14:textId="737D73F2" w:rsidR="00F75588" w:rsidRPr="00A05552" w:rsidRDefault="00F75588" w:rsidP="006B6F45">
      <w:pPr>
        <w:pStyle w:val="Heading1"/>
      </w:pPr>
      <w:bookmarkStart w:id="27" w:name="_Toc217247585"/>
      <w:r w:rsidRPr="00A05552">
        <w:t>5. Investment Appraisal and Capital Budgeting</w:t>
      </w:r>
      <w:bookmarkEnd w:id="27"/>
      <w:r w:rsidRPr="00A05552">
        <w:t xml:space="preserve"> </w:t>
      </w:r>
    </w:p>
    <w:p w14:paraId="0C11398D" w14:textId="77777777" w:rsidR="00F75588" w:rsidRPr="00A05552" w:rsidRDefault="00F75588" w:rsidP="006B6F45">
      <w:pPr>
        <w:pStyle w:val="Heading2"/>
        <w:rPr>
          <w:rFonts w:cs="Arial"/>
        </w:rPr>
      </w:pPr>
      <w:bookmarkStart w:id="28" w:name="_Toc217247586"/>
      <w:r w:rsidRPr="00A05552">
        <w:rPr>
          <w:rFonts w:cs="Arial"/>
        </w:rPr>
        <w:t>5.1 Investment appraisal overview</w:t>
      </w:r>
      <w:bookmarkEnd w:id="28"/>
    </w:p>
    <w:p w14:paraId="31DDDCB6" w14:textId="5E78F78F" w:rsidR="00F75588" w:rsidRPr="00A05552" w:rsidRDefault="00A77CB4" w:rsidP="00F75588">
      <w:pPr>
        <w:rPr>
          <w:rFonts w:ascii="Arial" w:hAnsi="Arial" w:cs="Arial"/>
          <w:bCs/>
        </w:rPr>
      </w:pPr>
      <w:r w:rsidRPr="00A05552">
        <w:rPr>
          <w:rFonts w:ascii="Arial" w:hAnsi="Arial" w:cs="Arial"/>
          <w:bCs/>
        </w:rPr>
        <w:t>General Electronics is already in dire financial distress and it should focus more on capital expenditure that enhances the liquidity position and solvency. The investment appraisal methods generate a systematic platform of choosing the projects that yield value, recoup investments in a short period and bolster financial stability</w:t>
      </w:r>
      <w:r w:rsidR="00341438" w:rsidRPr="00A05552">
        <w:rPr>
          <w:rFonts w:ascii="Arial" w:hAnsi="Arial" w:cs="Arial"/>
          <w:bCs/>
        </w:rPr>
        <w:t xml:space="preserve"> (</w:t>
      </w:r>
      <w:proofErr w:type="spellStart"/>
      <w:r w:rsidR="00341438" w:rsidRPr="00A05552">
        <w:rPr>
          <w:rFonts w:ascii="Arial" w:hAnsi="Arial" w:cs="Arial"/>
          <w:bCs/>
        </w:rPr>
        <w:t>Olanrewaju</w:t>
      </w:r>
      <w:proofErr w:type="spellEnd"/>
      <w:r w:rsidR="00341438" w:rsidRPr="00A05552">
        <w:rPr>
          <w:rFonts w:ascii="Arial" w:hAnsi="Arial" w:cs="Arial"/>
          <w:bCs/>
        </w:rPr>
        <w:t xml:space="preserve"> et al., 2024)</w:t>
      </w:r>
      <w:r w:rsidRPr="00A05552">
        <w:rPr>
          <w:rFonts w:ascii="Arial" w:hAnsi="Arial" w:cs="Arial"/>
          <w:bCs/>
        </w:rPr>
        <w:t xml:space="preserve">. This analysis uses discounted and non-discounted standards on three mutually exclusive </w:t>
      </w:r>
      <w:r w:rsidRPr="00A05552">
        <w:rPr>
          <w:rFonts w:ascii="Arial" w:hAnsi="Arial" w:cs="Arial"/>
          <w:bCs/>
        </w:rPr>
        <w:lastRenderedPageBreak/>
        <w:t>projects that have varying cash flow patterns. Payback Period and ARR reflect liquidity recovery and accounting profitability whereas NPV, PI and IRR reflect time value of money and are used to measure the economic returns</w:t>
      </w:r>
      <w:r w:rsidR="00341438" w:rsidRPr="00A05552">
        <w:rPr>
          <w:rFonts w:ascii="Arial" w:hAnsi="Arial" w:cs="Arial"/>
          <w:bCs/>
        </w:rPr>
        <w:t xml:space="preserve"> (</w:t>
      </w:r>
      <w:proofErr w:type="spellStart"/>
      <w:r w:rsidR="00341438" w:rsidRPr="00A05552">
        <w:rPr>
          <w:rFonts w:ascii="Arial" w:hAnsi="Arial" w:cs="Arial"/>
          <w:bCs/>
        </w:rPr>
        <w:t>Bhalla</w:t>
      </w:r>
      <w:proofErr w:type="spellEnd"/>
      <w:r w:rsidR="00341438" w:rsidRPr="00A05552">
        <w:rPr>
          <w:rFonts w:ascii="Arial" w:hAnsi="Arial" w:cs="Arial"/>
          <w:bCs/>
        </w:rPr>
        <w:t>, 2020)</w:t>
      </w:r>
      <w:r w:rsidRPr="00A05552">
        <w:rPr>
          <w:rFonts w:ascii="Arial" w:hAnsi="Arial" w:cs="Arial"/>
          <w:bCs/>
        </w:rPr>
        <w:t xml:space="preserve">. The rate of discount of 10 </w:t>
      </w:r>
      <w:r w:rsidR="007E7EC6" w:rsidRPr="00A05552">
        <w:rPr>
          <w:rFonts w:ascii="Arial" w:hAnsi="Arial" w:cs="Arial"/>
          <w:bCs/>
        </w:rPr>
        <w:t>percent</w:t>
      </w:r>
      <w:r w:rsidRPr="00A05552">
        <w:rPr>
          <w:rFonts w:ascii="Arial" w:hAnsi="Arial" w:cs="Arial"/>
          <w:bCs/>
        </w:rPr>
        <w:t xml:space="preserve"> is used to represent the weighted average cost of capital of the company and the depreciation will be in the form of a straight line over a five year period to a 0 value. The degrading of the gearing and negative interest coverage contribute to the necessity of identifying the projects that contribute to the strong cash flows within the firm. Capital rationing also limits the choice to one project, and thus efficiency of making value becomes the major focus of the recommendation</w:t>
      </w:r>
      <w:r w:rsidR="00341438" w:rsidRPr="00A05552">
        <w:rPr>
          <w:rFonts w:ascii="Arial" w:hAnsi="Arial" w:cs="Arial"/>
          <w:bCs/>
        </w:rPr>
        <w:t xml:space="preserve"> (Goyal et al., 2021)</w:t>
      </w:r>
      <w:r w:rsidRPr="00A05552">
        <w:rPr>
          <w:rFonts w:ascii="Arial" w:hAnsi="Arial" w:cs="Arial"/>
          <w:bCs/>
        </w:rPr>
        <w:t>.</w:t>
      </w:r>
    </w:p>
    <w:p w14:paraId="2769037E" w14:textId="77777777" w:rsidR="00F75588" w:rsidRPr="00A05552" w:rsidRDefault="00F75588" w:rsidP="006B6F45">
      <w:pPr>
        <w:pStyle w:val="Heading2"/>
        <w:rPr>
          <w:rFonts w:cs="Arial"/>
        </w:rPr>
      </w:pPr>
      <w:bookmarkStart w:id="29" w:name="_Toc217247587"/>
      <w:r w:rsidRPr="00A05552">
        <w:rPr>
          <w:rFonts w:cs="Arial"/>
        </w:rPr>
        <w:t>5.2 Project evaluation calculations</w:t>
      </w:r>
      <w:bookmarkEnd w:id="29"/>
    </w:p>
    <w:p w14:paraId="02B7B64B" w14:textId="65F4BBB7" w:rsidR="00F75588" w:rsidRPr="00A05552" w:rsidRDefault="00A77CB4" w:rsidP="00F75588">
      <w:pPr>
        <w:rPr>
          <w:rFonts w:ascii="Arial" w:hAnsi="Arial" w:cs="Arial"/>
          <w:bCs/>
        </w:rPr>
      </w:pPr>
      <w:r w:rsidRPr="00A05552">
        <w:rPr>
          <w:rFonts w:ascii="Arial" w:hAnsi="Arial" w:cs="Arial"/>
          <w:bCs/>
        </w:rPr>
        <w:t>The table below illustrates the results of the appraisal of each method. The detailed working is shown in the Appendix 2.</w:t>
      </w:r>
    </w:p>
    <w:p w14:paraId="5CD91397" w14:textId="54C3A8E5" w:rsidR="00F75588" w:rsidRPr="00A05552" w:rsidRDefault="006B6F45" w:rsidP="00F75588">
      <w:pPr>
        <w:rPr>
          <w:rFonts w:ascii="Arial" w:hAnsi="Arial" w:cs="Arial"/>
          <w:b/>
          <w:bCs/>
        </w:rPr>
      </w:pPr>
      <w:r w:rsidRPr="00A05552">
        <w:rPr>
          <w:rFonts w:ascii="Arial" w:hAnsi="Arial" w:cs="Arial"/>
          <w:b/>
          <w:bCs/>
        </w:rPr>
        <w:t xml:space="preserve">Table: </w:t>
      </w:r>
      <w:r w:rsidR="00F75588" w:rsidRPr="00A05552">
        <w:rPr>
          <w:rFonts w:ascii="Arial" w:hAnsi="Arial" w:cs="Arial"/>
          <w:b/>
          <w:bCs/>
        </w:rPr>
        <w:t>Summary of project outcomes (A, B, C)</w:t>
      </w:r>
    </w:p>
    <w:tbl>
      <w:tblPr>
        <w:tblStyle w:val="GridTable5Dark-Accent5"/>
        <w:tblW w:w="8898" w:type="dxa"/>
        <w:jc w:val="center"/>
        <w:tblLook w:val="04A0" w:firstRow="1" w:lastRow="0" w:firstColumn="1" w:lastColumn="0" w:noHBand="0" w:noVBand="1"/>
      </w:tblPr>
      <w:tblGrid>
        <w:gridCol w:w="4584"/>
        <w:gridCol w:w="1438"/>
        <w:gridCol w:w="1438"/>
        <w:gridCol w:w="1438"/>
      </w:tblGrid>
      <w:tr w:rsidR="00F75588" w:rsidRPr="00A05552" w14:paraId="0A579D72" w14:textId="77777777" w:rsidTr="00504CE9">
        <w:trPr>
          <w:cnfStyle w:val="100000000000" w:firstRow="1" w:lastRow="0" w:firstColumn="0" w:lastColumn="0" w:oddVBand="0" w:evenVBand="0" w:oddHBand="0" w:evenHBand="0" w:firstRowFirstColumn="0" w:firstRowLastColumn="0" w:lastRowFirstColumn="0" w:lastRowLastColumn="0"/>
          <w:trHeight w:val="65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ED1787A" w14:textId="77777777" w:rsidR="00F75588" w:rsidRPr="00A05552" w:rsidRDefault="00F75588" w:rsidP="00504CE9">
            <w:pPr>
              <w:spacing w:after="160"/>
              <w:jc w:val="center"/>
              <w:rPr>
                <w:rFonts w:ascii="Arial" w:hAnsi="Arial" w:cs="Arial"/>
              </w:rPr>
            </w:pPr>
            <w:r w:rsidRPr="00A05552">
              <w:rPr>
                <w:rFonts w:ascii="Arial" w:hAnsi="Arial" w:cs="Arial"/>
              </w:rPr>
              <w:t>Metric</w:t>
            </w:r>
          </w:p>
        </w:tc>
        <w:tc>
          <w:tcPr>
            <w:tcW w:w="0" w:type="auto"/>
            <w:hideMark/>
          </w:tcPr>
          <w:p w14:paraId="1507AB07" w14:textId="77777777" w:rsidR="00F75588" w:rsidRPr="00A05552" w:rsidRDefault="00F75588" w:rsidP="00504CE9">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05552">
              <w:rPr>
                <w:rFonts w:ascii="Arial" w:hAnsi="Arial" w:cs="Arial"/>
              </w:rPr>
              <w:t>A</w:t>
            </w:r>
          </w:p>
        </w:tc>
        <w:tc>
          <w:tcPr>
            <w:tcW w:w="0" w:type="auto"/>
            <w:hideMark/>
          </w:tcPr>
          <w:p w14:paraId="6238E2B0" w14:textId="77777777" w:rsidR="00F75588" w:rsidRPr="00A05552" w:rsidRDefault="00F75588" w:rsidP="00504CE9">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05552">
              <w:rPr>
                <w:rFonts w:ascii="Arial" w:hAnsi="Arial" w:cs="Arial"/>
              </w:rPr>
              <w:t>B</w:t>
            </w:r>
          </w:p>
        </w:tc>
        <w:tc>
          <w:tcPr>
            <w:tcW w:w="0" w:type="auto"/>
            <w:hideMark/>
          </w:tcPr>
          <w:p w14:paraId="3B5D6E27" w14:textId="77777777" w:rsidR="00F75588" w:rsidRPr="00A05552" w:rsidRDefault="00F75588" w:rsidP="00504CE9">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05552">
              <w:rPr>
                <w:rFonts w:ascii="Arial" w:hAnsi="Arial" w:cs="Arial"/>
              </w:rPr>
              <w:t>C</w:t>
            </w:r>
          </w:p>
        </w:tc>
      </w:tr>
      <w:tr w:rsidR="00F75588" w:rsidRPr="00A05552" w14:paraId="22ED1D0D" w14:textId="77777777" w:rsidTr="00504CE9">
        <w:trPr>
          <w:cnfStyle w:val="000000100000" w:firstRow="0" w:lastRow="0" w:firstColumn="0" w:lastColumn="0" w:oddVBand="0" w:evenVBand="0" w:oddHBand="1" w:evenHBand="0" w:firstRowFirstColumn="0" w:firstRowLastColumn="0" w:lastRowFirstColumn="0" w:lastRowLastColumn="0"/>
          <w:trHeight w:val="65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3FD8A2" w14:textId="77777777" w:rsidR="00F75588" w:rsidRPr="00A05552" w:rsidRDefault="00F75588" w:rsidP="00504CE9">
            <w:pPr>
              <w:spacing w:after="160"/>
              <w:jc w:val="center"/>
              <w:rPr>
                <w:rFonts w:ascii="Arial" w:hAnsi="Arial" w:cs="Arial"/>
              </w:rPr>
            </w:pPr>
            <w:r w:rsidRPr="00A05552">
              <w:rPr>
                <w:rFonts w:ascii="Arial" w:hAnsi="Arial" w:cs="Arial"/>
              </w:rPr>
              <w:t>Initial investment (£m)</w:t>
            </w:r>
          </w:p>
        </w:tc>
        <w:tc>
          <w:tcPr>
            <w:tcW w:w="0" w:type="auto"/>
            <w:hideMark/>
          </w:tcPr>
          <w:p w14:paraId="52669DDC" w14:textId="77777777" w:rsidR="00F75588" w:rsidRPr="00A05552" w:rsidRDefault="00F75588" w:rsidP="00504CE9">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A05552">
              <w:rPr>
                <w:rFonts w:ascii="Arial" w:hAnsi="Arial" w:cs="Arial"/>
                <w:bCs/>
              </w:rPr>
              <w:t>40</w:t>
            </w:r>
          </w:p>
        </w:tc>
        <w:tc>
          <w:tcPr>
            <w:tcW w:w="0" w:type="auto"/>
            <w:hideMark/>
          </w:tcPr>
          <w:p w14:paraId="45C2E70D" w14:textId="77777777" w:rsidR="00F75588" w:rsidRPr="00A05552" w:rsidRDefault="00F75588" w:rsidP="00504CE9">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A05552">
              <w:rPr>
                <w:rFonts w:ascii="Arial" w:hAnsi="Arial" w:cs="Arial"/>
                <w:bCs/>
              </w:rPr>
              <w:t>30</w:t>
            </w:r>
          </w:p>
        </w:tc>
        <w:tc>
          <w:tcPr>
            <w:tcW w:w="0" w:type="auto"/>
            <w:hideMark/>
          </w:tcPr>
          <w:p w14:paraId="6126A74D" w14:textId="77777777" w:rsidR="00F75588" w:rsidRPr="00A05552" w:rsidRDefault="00F75588" w:rsidP="00504CE9">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A05552">
              <w:rPr>
                <w:rFonts w:ascii="Arial" w:hAnsi="Arial" w:cs="Arial"/>
                <w:bCs/>
              </w:rPr>
              <w:t>50</w:t>
            </w:r>
          </w:p>
        </w:tc>
      </w:tr>
      <w:tr w:rsidR="00F75588" w:rsidRPr="00A05552" w14:paraId="553F7DAE" w14:textId="77777777" w:rsidTr="00504CE9">
        <w:trPr>
          <w:trHeight w:val="65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803AA9" w14:textId="77777777" w:rsidR="00F75588" w:rsidRPr="00A05552" w:rsidRDefault="00F75588" w:rsidP="00504CE9">
            <w:pPr>
              <w:spacing w:after="160"/>
              <w:jc w:val="center"/>
              <w:rPr>
                <w:rFonts w:ascii="Arial" w:hAnsi="Arial" w:cs="Arial"/>
              </w:rPr>
            </w:pPr>
            <w:r w:rsidRPr="00A05552">
              <w:rPr>
                <w:rFonts w:ascii="Arial" w:hAnsi="Arial" w:cs="Arial"/>
              </w:rPr>
              <w:t>Payback Period (years)</w:t>
            </w:r>
          </w:p>
        </w:tc>
        <w:tc>
          <w:tcPr>
            <w:tcW w:w="0" w:type="auto"/>
            <w:hideMark/>
          </w:tcPr>
          <w:p w14:paraId="3B57556A" w14:textId="77777777" w:rsidR="00F75588" w:rsidRPr="00A05552" w:rsidRDefault="00F75588" w:rsidP="00504CE9">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A05552">
              <w:rPr>
                <w:rFonts w:ascii="Arial" w:hAnsi="Arial" w:cs="Arial"/>
                <w:bCs/>
              </w:rPr>
              <w:t>3.4</w:t>
            </w:r>
          </w:p>
        </w:tc>
        <w:tc>
          <w:tcPr>
            <w:tcW w:w="0" w:type="auto"/>
            <w:hideMark/>
          </w:tcPr>
          <w:p w14:paraId="20748C44" w14:textId="77777777" w:rsidR="00F75588" w:rsidRPr="00A05552" w:rsidRDefault="00F75588" w:rsidP="00504CE9">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A05552">
              <w:rPr>
                <w:rFonts w:ascii="Arial" w:hAnsi="Arial" w:cs="Arial"/>
                <w:bCs/>
              </w:rPr>
              <w:t>5.0</w:t>
            </w:r>
          </w:p>
        </w:tc>
        <w:tc>
          <w:tcPr>
            <w:tcW w:w="0" w:type="auto"/>
            <w:hideMark/>
          </w:tcPr>
          <w:p w14:paraId="3235CE7E" w14:textId="77777777" w:rsidR="00F75588" w:rsidRPr="00A05552" w:rsidRDefault="00F75588" w:rsidP="00504CE9">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A05552">
              <w:rPr>
                <w:rFonts w:ascii="Arial" w:hAnsi="Arial" w:cs="Arial"/>
                <w:bCs/>
              </w:rPr>
              <w:t>3.6</w:t>
            </w:r>
          </w:p>
        </w:tc>
      </w:tr>
      <w:tr w:rsidR="00F75588" w:rsidRPr="00A05552" w14:paraId="01DFF422" w14:textId="77777777" w:rsidTr="00504CE9">
        <w:trPr>
          <w:cnfStyle w:val="000000100000" w:firstRow="0" w:lastRow="0" w:firstColumn="0" w:lastColumn="0" w:oddVBand="0" w:evenVBand="0" w:oddHBand="1" w:evenHBand="0" w:firstRowFirstColumn="0" w:firstRowLastColumn="0" w:lastRowFirstColumn="0" w:lastRowLastColumn="0"/>
          <w:trHeight w:val="65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FC5681B" w14:textId="77777777" w:rsidR="00F75588" w:rsidRPr="00A05552" w:rsidRDefault="00F75588" w:rsidP="00504CE9">
            <w:pPr>
              <w:spacing w:after="160"/>
              <w:jc w:val="center"/>
              <w:rPr>
                <w:rFonts w:ascii="Arial" w:hAnsi="Arial" w:cs="Arial"/>
              </w:rPr>
            </w:pPr>
            <w:r w:rsidRPr="00A05552">
              <w:rPr>
                <w:rFonts w:ascii="Arial" w:hAnsi="Arial" w:cs="Arial"/>
              </w:rPr>
              <w:t>ARR</w:t>
            </w:r>
          </w:p>
        </w:tc>
        <w:tc>
          <w:tcPr>
            <w:tcW w:w="0" w:type="auto"/>
            <w:hideMark/>
          </w:tcPr>
          <w:p w14:paraId="5337C33A" w14:textId="77777777" w:rsidR="00F75588" w:rsidRPr="00A05552" w:rsidRDefault="00F75588" w:rsidP="00504CE9">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A05552">
              <w:rPr>
                <w:rFonts w:ascii="Arial" w:hAnsi="Arial" w:cs="Arial"/>
                <w:bCs/>
              </w:rPr>
              <w:t>7%</w:t>
            </w:r>
          </w:p>
        </w:tc>
        <w:tc>
          <w:tcPr>
            <w:tcW w:w="0" w:type="auto"/>
            <w:hideMark/>
          </w:tcPr>
          <w:p w14:paraId="1D4965CF" w14:textId="77777777" w:rsidR="00F75588" w:rsidRPr="00A05552" w:rsidRDefault="00F75588" w:rsidP="00504CE9">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A05552">
              <w:rPr>
                <w:rFonts w:ascii="Arial" w:hAnsi="Arial" w:cs="Arial"/>
                <w:bCs/>
              </w:rPr>
              <w:t>0%</w:t>
            </w:r>
          </w:p>
        </w:tc>
        <w:tc>
          <w:tcPr>
            <w:tcW w:w="0" w:type="auto"/>
            <w:hideMark/>
          </w:tcPr>
          <w:p w14:paraId="23D37298" w14:textId="77777777" w:rsidR="00F75588" w:rsidRPr="00A05552" w:rsidRDefault="00F75588" w:rsidP="00504CE9">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A05552">
              <w:rPr>
                <w:rFonts w:ascii="Arial" w:hAnsi="Arial" w:cs="Arial"/>
                <w:bCs/>
              </w:rPr>
              <w:t>10%</w:t>
            </w:r>
          </w:p>
        </w:tc>
      </w:tr>
      <w:tr w:rsidR="00F75588" w:rsidRPr="00A05552" w14:paraId="1B8537A4" w14:textId="77777777" w:rsidTr="00504CE9">
        <w:trPr>
          <w:trHeight w:val="65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7A577B3" w14:textId="77777777" w:rsidR="00F75588" w:rsidRPr="00A05552" w:rsidRDefault="00F75588" w:rsidP="00504CE9">
            <w:pPr>
              <w:spacing w:after="160"/>
              <w:jc w:val="center"/>
              <w:rPr>
                <w:rFonts w:ascii="Arial" w:hAnsi="Arial" w:cs="Arial"/>
              </w:rPr>
            </w:pPr>
            <w:r w:rsidRPr="00A05552">
              <w:rPr>
                <w:rFonts w:ascii="Arial" w:hAnsi="Arial" w:cs="Arial"/>
              </w:rPr>
              <w:t>NPV (£m)</w:t>
            </w:r>
          </w:p>
        </w:tc>
        <w:tc>
          <w:tcPr>
            <w:tcW w:w="0" w:type="auto"/>
            <w:hideMark/>
          </w:tcPr>
          <w:p w14:paraId="71EDBC1C" w14:textId="77777777" w:rsidR="00F75588" w:rsidRPr="00A05552" w:rsidRDefault="00F75588" w:rsidP="00504CE9">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A05552">
              <w:rPr>
                <w:rFonts w:ascii="Arial" w:hAnsi="Arial" w:cs="Arial"/>
                <w:bCs/>
              </w:rPr>
              <w:t>1.323</w:t>
            </w:r>
          </w:p>
        </w:tc>
        <w:tc>
          <w:tcPr>
            <w:tcW w:w="0" w:type="auto"/>
            <w:hideMark/>
          </w:tcPr>
          <w:p w14:paraId="485663D7" w14:textId="77777777" w:rsidR="00F75588" w:rsidRPr="00A05552" w:rsidRDefault="00F75588" w:rsidP="00504CE9">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A05552">
              <w:rPr>
                <w:rFonts w:ascii="Arial" w:hAnsi="Arial" w:cs="Arial"/>
                <w:bCs/>
              </w:rPr>
              <w:t>-7.256</w:t>
            </w:r>
          </w:p>
        </w:tc>
        <w:tc>
          <w:tcPr>
            <w:tcW w:w="0" w:type="auto"/>
            <w:hideMark/>
          </w:tcPr>
          <w:p w14:paraId="35410C64" w14:textId="77777777" w:rsidR="00F75588" w:rsidRPr="00A05552" w:rsidRDefault="00F75588" w:rsidP="00504CE9">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A05552">
              <w:rPr>
                <w:rFonts w:ascii="Arial" w:hAnsi="Arial" w:cs="Arial"/>
                <w:bCs/>
              </w:rPr>
              <w:t>4.224</w:t>
            </w:r>
          </w:p>
        </w:tc>
      </w:tr>
      <w:tr w:rsidR="00F75588" w:rsidRPr="00A05552" w14:paraId="51E8EEDA" w14:textId="77777777" w:rsidTr="00504CE9">
        <w:trPr>
          <w:cnfStyle w:val="000000100000" w:firstRow="0" w:lastRow="0" w:firstColumn="0" w:lastColumn="0" w:oddVBand="0" w:evenVBand="0" w:oddHBand="1" w:evenHBand="0" w:firstRowFirstColumn="0" w:firstRowLastColumn="0" w:lastRowFirstColumn="0" w:lastRowLastColumn="0"/>
          <w:trHeight w:val="68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B443DA" w14:textId="77777777" w:rsidR="00F75588" w:rsidRPr="00A05552" w:rsidRDefault="00F75588" w:rsidP="00504CE9">
            <w:pPr>
              <w:spacing w:after="160"/>
              <w:jc w:val="center"/>
              <w:rPr>
                <w:rFonts w:ascii="Arial" w:hAnsi="Arial" w:cs="Arial"/>
              </w:rPr>
            </w:pPr>
            <w:r w:rsidRPr="00A05552">
              <w:rPr>
                <w:rFonts w:ascii="Arial" w:hAnsi="Arial" w:cs="Arial"/>
              </w:rPr>
              <w:t>PI</w:t>
            </w:r>
          </w:p>
        </w:tc>
        <w:tc>
          <w:tcPr>
            <w:tcW w:w="0" w:type="auto"/>
            <w:hideMark/>
          </w:tcPr>
          <w:p w14:paraId="7E9BE1A7" w14:textId="77777777" w:rsidR="00F75588" w:rsidRPr="00A05552" w:rsidRDefault="00F75588" w:rsidP="00504CE9">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A05552">
              <w:rPr>
                <w:rFonts w:ascii="Arial" w:hAnsi="Arial" w:cs="Arial"/>
                <w:bCs/>
              </w:rPr>
              <w:t>1.03</w:t>
            </w:r>
          </w:p>
        </w:tc>
        <w:tc>
          <w:tcPr>
            <w:tcW w:w="0" w:type="auto"/>
            <w:hideMark/>
          </w:tcPr>
          <w:p w14:paraId="3D2CAD3E" w14:textId="77777777" w:rsidR="00F75588" w:rsidRPr="00A05552" w:rsidRDefault="00F75588" w:rsidP="00504CE9">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A05552">
              <w:rPr>
                <w:rFonts w:ascii="Arial" w:hAnsi="Arial" w:cs="Arial"/>
                <w:bCs/>
              </w:rPr>
              <w:t>0.76</w:t>
            </w:r>
          </w:p>
        </w:tc>
        <w:tc>
          <w:tcPr>
            <w:tcW w:w="0" w:type="auto"/>
            <w:hideMark/>
          </w:tcPr>
          <w:p w14:paraId="75FEFAD0" w14:textId="77777777" w:rsidR="00F75588" w:rsidRPr="00A05552" w:rsidRDefault="00F75588" w:rsidP="00504CE9">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A05552">
              <w:rPr>
                <w:rFonts w:ascii="Arial" w:hAnsi="Arial" w:cs="Arial"/>
                <w:bCs/>
              </w:rPr>
              <w:t>1.08</w:t>
            </w:r>
          </w:p>
        </w:tc>
      </w:tr>
      <w:tr w:rsidR="00F75588" w:rsidRPr="00A05552" w14:paraId="20B1A4DC" w14:textId="77777777" w:rsidTr="00504CE9">
        <w:trPr>
          <w:trHeight w:val="636"/>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020139C" w14:textId="77777777" w:rsidR="00F75588" w:rsidRPr="00A05552" w:rsidRDefault="00F75588" w:rsidP="00504CE9">
            <w:pPr>
              <w:spacing w:after="160"/>
              <w:jc w:val="center"/>
              <w:rPr>
                <w:rFonts w:ascii="Arial" w:hAnsi="Arial" w:cs="Arial"/>
              </w:rPr>
            </w:pPr>
            <w:r w:rsidRPr="00A05552">
              <w:rPr>
                <w:rFonts w:ascii="Arial" w:hAnsi="Arial" w:cs="Arial"/>
              </w:rPr>
              <w:t>IRR</w:t>
            </w:r>
          </w:p>
        </w:tc>
        <w:tc>
          <w:tcPr>
            <w:tcW w:w="0" w:type="auto"/>
            <w:hideMark/>
          </w:tcPr>
          <w:p w14:paraId="199D2F86" w14:textId="77777777" w:rsidR="00F75588" w:rsidRPr="00A05552" w:rsidRDefault="00F75588" w:rsidP="00504CE9">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A05552">
              <w:rPr>
                <w:rFonts w:ascii="Arial" w:hAnsi="Arial" w:cs="Arial"/>
                <w:bCs/>
              </w:rPr>
              <w:t>11.3%</w:t>
            </w:r>
          </w:p>
        </w:tc>
        <w:tc>
          <w:tcPr>
            <w:tcW w:w="0" w:type="auto"/>
            <w:hideMark/>
          </w:tcPr>
          <w:p w14:paraId="3E34F83A" w14:textId="77777777" w:rsidR="00F75588" w:rsidRPr="00A05552" w:rsidRDefault="00F75588" w:rsidP="00504CE9">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A05552">
              <w:rPr>
                <w:rFonts w:ascii="Arial" w:hAnsi="Arial" w:cs="Arial"/>
                <w:bCs/>
              </w:rPr>
              <w:t>0%</w:t>
            </w:r>
          </w:p>
        </w:tc>
        <w:tc>
          <w:tcPr>
            <w:tcW w:w="0" w:type="auto"/>
            <w:hideMark/>
          </w:tcPr>
          <w:p w14:paraId="1123AD07" w14:textId="77777777" w:rsidR="00F75588" w:rsidRPr="00A05552" w:rsidRDefault="00F75588" w:rsidP="00504CE9">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A05552">
              <w:rPr>
                <w:rFonts w:ascii="Arial" w:hAnsi="Arial" w:cs="Arial"/>
                <w:bCs/>
              </w:rPr>
              <w:t>12.7%</w:t>
            </w:r>
          </w:p>
        </w:tc>
      </w:tr>
    </w:tbl>
    <w:p w14:paraId="37905A6D" w14:textId="570AD273" w:rsidR="00A77CB4" w:rsidRPr="00A05552" w:rsidRDefault="00A77CB4" w:rsidP="00504CE9">
      <w:pPr>
        <w:jc w:val="center"/>
        <w:rPr>
          <w:rFonts w:ascii="Arial" w:hAnsi="Arial" w:cs="Arial"/>
          <w:bCs/>
        </w:rPr>
      </w:pPr>
      <w:r w:rsidRPr="00A05552">
        <w:rPr>
          <w:rFonts w:ascii="Arial" w:hAnsi="Arial" w:cs="Arial"/>
          <w:bCs/>
        </w:rPr>
        <w:t xml:space="preserve">Source: </w:t>
      </w:r>
      <w:r w:rsidR="00504CE9" w:rsidRPr="00A05552">
        <w:rPr>
          <w:rFonts w:ascii="Arial" w:hAnsi="Arial" w:cs="Arial"/>
          <w:bCs/>
        </w:rPr>
        <w:t>(GE Vernova, 2024; General Electric Company, 2020-2023)</w:t>
      </w:r>
    </w:p>
    <w:p w14:paraId="726EBD86" w14:textId="6B510500" w:rsidR="00F75588" w:rsidRPr="00A05552" w:rsidRDefault="00A77CB4" w:rsidP="00F75588">
      <w:pPr>
        <w:rPr>
          <w:rFonts w:ascii="Arial" w:hAnsi="Arial" w:cs="Arial"/>
          <w:bCs/>
        </w:rPr>
      </w:pPr>
      <w:r w:rsidRPr="00A05552">
        <w:rPr>
          <w:rFonts w:ascii="Arial" w:hAnsi="Arial" w:cs="Arial"/>
          <w:bCs/>
        </w:rPr>
        <w:t xml:space="preserve">The appraisal methods offer a homogenous ranking. Project C obviously returns the best NPV, IRR and PI, which would be an indication of the generation of value per pound of investment. Project A is slightly higher than the hurdle rate and is quicker in recovering capital but generates much less discounted returns. In Project B, there is value </w:t>
      </w:r>
      <w:r w:rsidRPr="00A05552">
        <w:rPr>
          <w:rFonts w:ascii="Arial" w:hAnsi="Arial" w:cs="Arial"/>
          <w:bCs/>
        </w:rPr>
        <w:lastRenderedPageBreak/>
        <w:t>destruction, and both NPV and IRR are negative and equal to zero</w:t>
      </w:r>
      <w:r w:rsidR="00341438" w:rsidRPr="00A05552">
        <w:rPr>
          <w:rFonts w:ascii="Arial" w:hAnsi="Arial" w:cs="Arial"/>
          <w:bCs/>
        </w:rPr>
        <w:t xml:space="preserve"> (</w:t>
      </w:r>
      <w:proofErr w:type="spellStart"/>
      <w:r w:rsidR="00341438" w:rsidRPr="00A05552">
        <w:rPr>
          <w:rFonts w:ascii="Arial" w:hAnsi="Arial" w:cs="Arial"/>
          <w:bCs/>
        </w:rPr>
        <w:t>Patil</w:t>
      </w:r>
      <w:proofErr w:type="spellEnd"/>
      <w:r w:rsidR="00341438" w:rsidRPr="00A05552">
        <w:rPr>
          <w:rFonts w:ascii="Arial" w:hAnsi="Arial" w:cs="Arial"/>
          <w:bCs/>
        </w:rPr>
        <w:t xml:space="preserve"> et al., 2024)</w:t>
      </w:r>
      <w:r w:rsidRPr="00A05552">
        <w:rPr>
          <w:rFonts w:ascii="Arial" w:hAnsi="Arial" w:cs="Arial"/>
          <w:bCs/>
        </w:rPr>
        <w:t>. The results of ARR support the discounted analysis because only A and C give positive profits after depreciation whereby C gives the best performance. Payback period favours projects A and C in the liquidity perspective of prioritisation</w:t>
      </w:r>
      <w:r w:rsidR="00341438" w:rsidRPr="00A05552">
        <w:rPr>
          <w:rFonts w:ascii="Arial" w:hAnsi="Arial" w:cs="Arial"/>
          <w:bCs/>
        </w:rPr>
        <w:t xml:space="preserve"> (Wang et al., 2024)</w:t>
      </w:r>
      <w:r w:rsidRPr="00A05552">
        <w:rPr>
          <w:rFonts w:ascii="Arial" w:hAnsi="Arial" w:cs="Arial"/>
          <w:bCs/>
        </w:rPr>
        <w:t>.</w:t>
      </w:r>
    </w:p>
    <w:p w14:paraId="32AA31AD" w14:textId="77777777" w:rsidR="00124C67" w:rsidRPr="00A05552" w:rsidRDefault="00124C67" w:rsidP="00124C67">
      <w:pPr>
        <w:keepNext/>
        <w:jc w:val="center"/>
        <w:rPr>
          <w:rFonts w:ascii="Arial" w:hAnsi="Arial" w:cs="Arial"/>
        </w:rPr>
      </w:pPr>
      <w:r w:rsidRPr="00A05552">
        <w:rPr>
          <w:rFonts w:ascii="Arial" w:hAnsi="Arial" w:cs="Arial"/>
          <w:noProof/>
          <w:lang w:val="en-US"/>
          <w14:ligatures w14:val="standardContextual"/>
        </w:rPr>
        <w:drawing>
          <wp:inline distT="0" distB="0" distL="0" distR="0" wp14:anchorId="00EDEE05" wp14:editId="6544C064">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CB2DCC6" w14:textId="5D55555A" w:rsidR="00124C67" w:rsidRPr="00A05552" w:rsidRDefault="00124C67" w:rsidP="00124C67">
      <w:pPr>
        <w:pStyle w:val="Caption"/>
        <w:jc w:val="center"/>
        <w:rPr>
          <w:rFonts w:ascii="Arial" w:hAnsi="Arial" w:cs="Arial"/>
          <w:bCs/>
        </w:rPr>
      </w:pPr>
      <w:r w:rsidRPr="00A05552">
        <w:rPr>
          <w:rFonts w:ascii="Arial" w:hAnsi="Arial" w:cs="Arial"/>
        </w:rPr>
        <w:t xml:space="preserve">Figure </w:t>
      </w:r>
      <w:r w:rsidRPr="00A05552">
        <w:rPr>
          <w:rFonts w:ascii="Arial" w:hAnsi="Arial" w:cs="Arial"/>
        </w:rPr>
        <w:fldChar w:fldCharType="begin"/>
      </w:r>
      <w:r w:rsidRPr="00A05552">
        <w:rPr>
          <w:rFonts w:ascii="Arial" w:hAnsi="Arial" w:cs="Arial"/>
        </w:rPr>
        <w:instrText xml:space="preserve"> SEQ Figure \* ARABIC </w:instrText>
      </w:r>
      <w:r w:rsidRPr="00A05552">
        <w:rPr>
          <w:rFonts w:ascii="Arial" w:hAnsi="Arial" w:cs="Arial"/>
        </w:rPr>
        <w:fldChar w:fldCharType="separate"/>
      </w:r>
      <w:r w:rsidRPr="00A05552">
        <w:rPr>
          <w:rFonts w:ascii="Arial" w:hAnsi="Arial" w:cs="Arial"/>
          <w:noProof/>
        </w:rPr>
        <w:t>4</w:t>
      </w:r>
      <w:r w:rsidRPr="00A05552">
        <w:rPr>
          <w:rFonts w:ascii="Arial" w:hAnsi="Arial" w:cs="Arial"/>
        </w:rPr>
        <w:fldChar w:fldCharType="end"/>
      </w:r>
      <w:r w:rsidRPr="00A05552">
        <w:rPr>
          <w:rFonts w:ascii="Arial" w:hAnsi="Arial" w:cs="Arial"/>
        </w:rPr>
        <w:t>: PV inflows vs initial cost Source:</w:t>
      </w:r>
      <w:r w:rsidR="001340E3" w:rsidRPr="00A05552">
        <w:rPr>
          <w:rFonts w:ascii="Arial" w:hAnsi="Arial" w:cs="Arial"/>
        </w:rPr>
        <w:t xml:space="preserve"> </w:t>
      </w:r>
      <w:r w:rsidR="001340E3" w:rsidRPr="00A05552">
        <w:rPr>
          <w:rFonts w:ascii="Arial" w:hAnsi="Arial" w:cs="Arial"/>
          <w:bCs/>
        </w:rPr>
        <w:t>(GE Vernova, 2024; General Electric Company, 2020-2023)</w:t>
      </w:r>
    </w:p>
    <w:p w14:paraId="1765E2E6" w14:textId="5C290508" w:rsidR="00F75588" w:rsidRPr="00A05552" w:rsidRDefault="00F75588" w:rsidP="00F75588">
      <w:pPr>
        <w:rPr>
          <w:rFonts w:ascii="Arial" w:hAnsi="Arial" w:cs="Arial"/>
          <w:b/>
          <w:bCs/>
        </w:rPr>
      </w:pPr>
      <w:r w:rsidRPr="00A05552">
        <w:rPr>
          <w:rFonts w:ascii="Arial" w:hAnsi="Arial" w:cs="Arial"/>
          <w:b/>
          <w:bCs/>
        </w:rPr>
        <w:t>Project risk discussion</w:t>
      </w:r>
    </w:p>
    <w:p w14:paraId="31F4E3DD" w14:textId="6452A74C" w:rsidR="00F75588" w:rsidRPr="00A05552" w:rsidRDefault="00F75588" w:rsidP="00F75588">
      <w:pPr>
        <w:rPr>
          <w:rFonts w:ascii="Arial" w:hAnsi="Arial" w:cs="Arial"/>
          <w:bCs/>
        </w:rPr>
      </w:pPr>
      <w:r w:rsidRPr="00A05552">
        <w:rPr>
          <w:rFonts w:ascii="Arial" w:hAnsi="Arial" w:cs="Arial"/>
          <w:bCs/>
        </w:rPr>
        <w:t xml:space="preserve">Project B presents low return risk yet high economic risk, as any adverse shock removes already negligible return capacity. Project </w:t>
      </w:r>
      <w:r w:rsidR="00A77CB4" w:rsidRPr="00A05552">
        <w:rPr>
          <w:rFonts w:ascii="Arial" w:hAnsi="Arial" w:cs="Arial"/>
          <w:bCs/>
        </w:rPr>
        <w:t>‘</w:t>
      </w:r>
      <w:proofErr w:type="gramStart"/>
      <w:r w:rsidRPr="00A05552">
        <w:rPr>
          <w:rFonts w:ascii="Arial" w:hAnsi="Arial" w:cs="Arial"/>
          <w:bCs/>
        </w:rPr>
        <w:t>A</w:t>
      </w:r>
      <w:proofErr w:type="gramEnd"/>
      <w:r w:rsidR="00A77CB4" w:rsidRPr="00A05552">
        <w:rPr>
          <w:rFonts w:ascii="Arial" w:hAnsi="Arial" w:cs="Arial"/>
          <w:bCs/>
        </w:rPr>
        <w:t>’</w:t>
      </w:r>
      <w:r w:rsidRPr="00A05552">
        <w:rPr>
          <w:rFonts w:ascii="Arial" w:hAnsi="Arial" w:cs="Arial"/>
          <w:bCs/>
        </w:rPr>
        <w:t xml:space="preserve"> exhibits moderate risk, with early inflows improving liquidity but limited NPV margin leaves little buffer. Project </w:t>
      </w:r>
      <w:r w:rsidR="00A77CB4" w:rsidRPr="00A05552">
        <w:rPr>
          <w:rFonts w:ascii="Arial" w:hAnsi="Arial" w:cs="Arial"/>
          <w:bCs/>
        </w:rPr>
        <w:t>‘</w:t>
      </w:r>
      <w:r w:rsidRPr="00A05552">
        <w:rPr>
          <w:rFonts w:ascii="Arial" w:hAnsi="Arial" w:cs="Arial"/>
          <w:bCs/>
        </w:rPr>
        <w:t>C</w:t>
      </w:r>
      <w:r w:rsidR="00A77CB4" w:rsidRPr="00A05552">
        <w:rPr>
          <w:rFonts w:ascii="Arial" w:hAnsi="Arial" w:cs="Arial"/>
          <w:bCs/>
        </w:rPr>
        <w:t>’</w:t>
      </w:r>
      <w:r w:rsidRPr="00A05552">
        <w:rPr>
          <w:rFonts w:ascii="Arial" w:hAnsi="Arial" w:cs="Arial"/>
          <w:bCs/>
        </w:rPr>
        <w:t xml:space="preserve"> carries timing risk because inflows are back-loaded, increasing exposure to forecast error, yet the project compensates with the strongest discounted returns and value per pound invested</w:t>
      </w:r>
      <w:r w:rsidR="00341438" w:rsidRPr="00A05552">
        <w:rPr>
          <w:rFonts w:ascii="Arial" w:hAnsi="Arial" w:cs="Arial"/>
          <w:bCs/>
        </w:rPr>
        <w:t xml:space="preserve"> (</w:t>
      </w:r>
      <w:proofErr w:type="spellStart"/>
      <w:r w:rsidR="00341438" w:rsidRPr="00A05552">
        <w:rPr>
          <w:rFonts w:ascii="Arial" w:hAnsi="Arial" w:cs="Arial"/>
          <w:bCs/>
        </w:rPr>
        <w:t>Olanrewaju</w:t>
      </w:r>
      <w:proofErr w:type="spellEnd"/>
      <w:r w:rsidR="00341438" w:rsidRPr="00A05552">
        <w:rPr>
          <w:rFonts w:ascii="Arial" w:hAnsi="Arial" w:cs="Arial"/>
          <w:bCs/>
        </w:rPr>
        <w:t xml:space="preserve"> et al., 2024)</w:t>
      </w:r>
      <w:r w:rsidRPr="00A05552">
        <w:rPr>
          <w:rFonts w:ascii="Arial" w:hAnsi="Arial" w:cs="Arial"/>
          <w:bCs/>
        </w:rPr>
        <w:t xml:space="preserve">. The company’s liquidity pressures require a balance between payback speed and value creation. Project </w:t>
      </w:r>
      <w:r w:rsidR="00A77CB4" w:rsidRPr="00A05552">
        <w:rPr>
          <w:rFonts w:ascii="Arial" w:hAnsi="Arial" w:cs="Arial"/>
          <w:bCs/>
        </w:rPr>
        <w:t>‘</w:t>
      </w:r>
      <w:r w:rsidRPr="00A05552">
        <w:rPr>
          <w:rFonts w:ascii="Arial" w:hAnsi="Arial" w:cs="Arial"/>
          <w:bCs/>
        </w:rPr>
        <w:t>C</w:t>
      </w:r>
      <w:r w:rsidR="00A77CB4" w:rsidRPr="00A05552">
        <w:rPr>
          <w:rFonts w:ascii="Arial" w:hAnsi="Arial" w:cs="Arial"/>
          <w:bCs/>
        </w:rPr>
        <w:t>’</w:t>
      </w:r>
      <w:r w:rsidRPr="00A05552">
        <w:rPr>
          <w:rFonts w:ascii="Arial" w:hAnsi="Arial" w:cs="Arial"/>
          <w:bCs/>
        </w:rPr>
        <w:t xml:space="preserve"> meets this balance better than Project </w:t>
      </w:r>
      <w:r w:rsidR="00A77CB4" w:rsidRPr="00A05552">
        <w:rPr>
          <w:rFonts w:ascii="Arial" w:hAnsi="Arial" w:cs="Arial"/>
          <w:bCs/>
        </w:rPr>
        <w:t>‘</w:t>
      </w:r>
      <w:r w:rsidRPr="00A05552">
        <w:rPr>
          <w:rFonts w:ascii="Arial" w:hAnsi="Arial" w:cs="Arial"/>
          <w:bCs/>
        </w:rPr>
        <w:t>A</w:t>
      </w:r>
      <w:r w:rsidR="00A77CB4" w:rsidRPr="00A05552">
        <w:rPr>
          <w:rFonts w:ascii="Arial" w:hAnsi="Arial" w:cs="Arial"/>
          <w:bCs/>
        </w:rPr>
        <w:t>’</w:t>
      </w:r>
      <w:r w:rsidRPr="00A05552">
        <w:rPr>
          <w:rFonts w:ascii="Arial" w:hAnsi="Arial" w:cs="Arial"/>
          <w:bCs/>
        </w:rPr>
        <w:t>, as its discounted gains outweigh the modestly longer payback period</w:t>
      </w:r>
      <w:r w:rsidR="00341438" w:rsidRPr="00A05552">
        <w:rPr>
          <w:rFonts w:ascii="Arial" w:hAnsi="Arial" w:cs="Arial"/>
          <w:bCs/>
        </w:rPr>
        <w:t xml:space="preserve"> (Xing, 2025)</w:t>
      </w:r>
      <w:r w:rsidRPr="00A05552">
        <w:rPr>
          <w:rFonts w:ascii="Arial" w:hAnsi="Arial" w:cs="Arial"/>
          <w:bCs/>
        </w:rPr>
        <w:t>.</w:t>
      </w:r>
    </w:p>
    <w:p w14:paraId="1AD6532E" w14:textId="77777777" w:rsidR="00F75588" w:rsidRPr="00A05552" w:rsidRDefault="00F75588" w:rsidP="006B6F45">
      <w:pPr>
        <w:pStyle w:val="Heading2"/>
        <w:rPr>
          <w:rFonts w:cs="Arial"/>
        </w:rPr>
      </w:pPr>
      <w:bookmarkStart w:id="30" w:name="_Toc217247588"/>
      <w:r w:rsidRPr="00A05552">
        <w:rPr>
          <w:rFonts w:cs="Arial"/>
        </w:rPr>
        <w:t>5.3 Capital rationing decision</w:t>
      </w:r>
      <w:bookmarkEnd w:id="30"/>
    </w:p>
    <w:p w14:paraId="6183599F" w14:textId="018051DE" w:rsidR="00A77CB4" w:rsidRPr="00A05552" w:rsidRDefault="00A77CB4" w:rsidP="00A77CB4">
      <w:pPr>
        <w:rPr>
          <w:rFonts w:ascii="Arial" w:hAnsi="Arial" w:cs="Arial"/>
          <w:bCs/>
        </w:rPr>
      </w:pPr>
      <w:r w:rsidRPr="00A05552">
        <w:rPr>
          <w:rFonts w:ascii="Arial" w:hAnsi="Arial" w:cs="Arial"/>
          <w:bCs/>
        </w:rPr>
        <w:t>The firm has a maximum of £60m to commit. Since every project is indivisible and mutually exclusive, the capital constraint virtually restricts the decision to a single project. The rationed choice measure ought to be maximisation of NPV or PI. Project C tops on both the measures and contributes to the rebuilding of retained earnings</w:t>
      </w:r>
      <w:r w:rsidR="00341438" w:rsidRPr="00A05552">
        <w:rPr>
          <w:rFonts w:ascii="Arial" w:hAnsi="Arial" w:cs="Arial"/>
          <w:bCs/>
        </w:rPr>
        <w:t xml:space="preserve"> (</w:t>
      </w:r>
      <w:proofErr w:type="spellStart"/>
      <w:r w:rsidR="00341438" w:rsidRPr="00A05552">
        <w:rPr>
          <w:rFonts w:ascii="Arial" w:hAnsi="Arial" w:cs="Arial"/>
          <w:bCs/>
        </w:rPr>
        <w:t>Hristov</w:t>
      </w:r>
      <w:proofErr w:type="spellEnd"/>
      <w:r w:rsidR="00341438" w:rsidRPr="00A05552">
        <w:rPr>
          <w:rFonts w:ascii="Arial" w:hAnsi="Arial" w:cs="Arial"/>
          <w:bCs/>
        </w:rPr>
        <w:t>, 2024)</w:t>
      </w:r>
      <w:r w:rsidRPr="00A05552">
        <w:rPr>
          <w:rFonts w:ascii="Arial" w:hAnsi="Arial" w:cs="Arial"/>
          <w:bCs/>
        </w:rPr>
        <w:t xml:space="preserve">. </w:t>
      </w:r>
      <w:r w:rsidRPr="00A05552">
        <w:rPr>
          <w:rFonts w:ascii="Arial" w:hAnsi="Arial" w:cs="Arial"/>
          <w:bCs/>
        </w:rPr>
        <w:lastRenderedPageBreak/>
        <w:t>Project A even though it generates positive NPV, the PI is lower than that of C and incremental value per pound is less. Project B ought not to be accepted because it destroys value but it will increase leverage and liquidity stress</w:t>
      </w:r>
      <w:r w:rsidR="00341438" w:rsidRPr="00A05552">
        <w:rPr>
          <w:rFonts w:ascii="Arial" w:hAnsi="Arial" w:cs="Arial"/>
          <w:bCs/>
        </w:rPr>
        <w:t xml:space="preserve"> (</w:t>
      </w:r>
      <w:proofErr w:type="spellStart"/>
      <w:r w:rsidR="00341438" w:rsidRPr="00A05552">
        <w:rPr>
          <w:rFonts w:ascii="Arial" w:hAnsi="Arial" w:cs="Arial"/>
          <w:bCs/>
        </w:rPr>
        <w:t>Deeb</w:t>
      </w:r>
      <w:proofErr w:type="spellEnd"/>
      <w:r w:rsidR="00341438" w:rsidRPr="00A05552">
        <w:rPr>
          <w:rFonts w:ascii="Arial" w:hAnsi="Arial" w:cs="Arial"/>
          <w:bCs/>
        </w:rPr>
        <w:t xml:space="preserve"> et al., 2024)</w:t>
      </w:r>
      <w:r w:rsidRPr="00A05552">
        <w:rPr>
          <w:rFonts w:ascii="Arial" w:hAnsi="Arial" w:cs="Arial"/>
          <w:bCs/>
        </w:rPr>
        <w:t>.</w:t>
      </w:r>
    </w:p>
    <w:p w14:paraId="2C5D8B98" w14:textId="0712120A" w:rsidR="00F75588" w:rsidRPr="00A05552" w:rsidRDefault="00A77CB4" w:rsidP="00A77CB4">
      <w:pPr>
        <w:rPr>
          <w:rFonts w:ascii="Arial" w:hAnsi="Arial" w:cs="Arial"/>
          <w:bCs/>
        </w:rPr>
      </w:pPr>
      <w:r w:rsidRPr="00A05552">
        <w:rPr>
          <w:rFonts w:ascii="Arial" w:hAnsi="Arial" w:cs="Arial"/>
          <w:bCs/>
        </w:rPr>
        <w:t>Accordingly, Project C is financially viable and strategically better in case of hard capital rationing.</w:t>
      </w:r>
    </w:p>
    <w:p w14:paraId="1BC11B31" w14:textId="77777777" w:rsidR="00F75588" w:rsidRPr="00A05552" w:rsidRDefault="00F75588" w:rsidP="006B6F45">
      <w:pPr>
        <w:pStyle w:val="Heading2"/>
        <w:rPr>
          <w:rFonts w:cs="Arial"/>
        </w:rPr>
      </w:pPr>
      <w:bookmarkStart w:id="31" w:name="_Toc217247589"/>
      <w:r w:rsidRPr="00A05552">
        <w:rPr>
          <w:rFonts w:cs="Arial"/>
        </w:rPr>
        <w:t>5.4 Final investment recommendation</w:t>
      </w:r>
      <w:bookmarkEnd w:id="31"/>
    </w:p>
    <w:p w14:paraId="6B71E8C1" w14:textId="7419B76F" w:rsidR="00F75588" w:rsidRPr="00A05552" w:rsidRDefault="00A77CB4" w:rsidP="00F75588">
      <w:pPr>
        <w:rPr>
          <w:rFonts w:ascii="Arial" w:hAnsi="Arial" w:cs="Arial"/>
          <w:bCs/>
        </w:rPr>
      </w:pPr>
      <w:r w:rsidRPr="00A05552">
        <w:rPr>
          <w:rFonts w:ascii="Arial" w:hAnsi="Arial" w:cs="Arial"/>
          <w:bCs/>
        </w:rPr>
        <w:t>Project C ought to be adopted and Project A and B rejected. C has the highest NPV, PI and IRR implying that it is in a position of generating shareholder value and surpassing the cost of capital. High ARR strengthens accounting returns sustainability</w:t>
      </w:r>
      <w:r w:rsidR="00341438" w:rsidRPr="00A05552">
        <w:rPr>
          <w:rFonts w:ascii="Arial" w:hAnsi="Arial" w:cs="Arial"/>
          <w:bCs/>
        </w:rPr>
        <w:t xml:space="preserve"> (Wise, 2020)</w:t>
      </w:r>
      <w:r w:rsidRPr="00A05552">
        <w:rPr>
          <w:rFonts w:ascii="Arial" w:hAnsi="Arial" w:cs="Arial"/>
          <w:bCs/>
        </w:rPr>
        <w:t>. Net cash flows of project help in reversing the liquidity erosion of the firm gradually by amplifying the cash generation of the firm. It reinforces the future profit margins and retained earnings, recovery of equity, which reduces the burden of debt and enhances the profitability aspects of the Z-score. Although the inflows will come later in the life of the project, the value created will be worth the risk</w:t>
      </w:r>
      <w:r w:rsidR="00341438" w:rsidRPr="00A05552">
        <w:rPr>
          <w:rFonts w:ascii="Arial" w:hAnsi="Arial" w:cs="Arial"/>
          <w:bCs/>
        </w:rPr>
        <w:t xml:space="preserve"> (Robert et al., 2023)</w:t>
      </w:r>
      <w:r w:rsidRPr="00A05552">
        <w:rPr>
          <w:rFonts w:ascii="Arial" w:hAnsi="Arial" w:cs="Arial"/>
          <w:bCs/>
        </w:rPr>
        <w:t>.</w:t>
      </w:r>
    </w:p>
    <w:p w14:paraId="417C2017" w14:textId="77777777" w:rsidR="00EF1834" w:rsidRPr="00A05552" w:rsidRDefault="00EF1834">
      <w:pPr>
        <w:spacing w:line="259" w:lineRule="auto"/>
        <w:jc w:val="left"/>
        <w:rPr>
          <w:rFonts w:ascii="Arial" w:eastAsiaTheme="majorEastAsia" w:hAnsi="Arial" w:cs="Arial"/>
          <w:b/>
          <w:sz w:val="32"/>
          <w:szCs w:val="24"/>
        </w:rPr>
      </w:pPr>
      <w:r w:rsidRPr="00A05552">
        <w:rPr>
          <w:rFonts w:ascii="Arial" w:hAnsi="Arial" w:cs="Arial"/>
        </w:rPr>
        <w:br w:type="page"/>
      </w:r>
    </w:p>
    <w:p w14:paraId="0BFB36B8" w14:textId="1E4112D4" w:rsidR="00F75588" w:rsidRPr="00A05552" w:rsidRDefault="00F75588" w:rsidP="006B6F45">
      <w:pPr>
        <w:pStyle w:val="Heading1"/>
      </w:pPr>
      <w:bookmarkStart w:id="32" w:name="_Toc217247590"/>
      <w:r w:rsidRPr="00A05552">
        <w:lastRenderedPageBreak/>
        <w:t>6. Conclusion</w:t>
      </w:r>
      <w:bookmarkEnd w:id="32"/>
      <w:r w:rsidRPr="00A05552">
        <w:t xml:space="preserve"> </w:t>
      </w:r>
    </w:p>
    <w:p w14:paraId="0F2F7B4E" w14:textId="77777777" w:rsidR="00A77CB4" w:rsidRPr="00A05552" w:rsidRDefault="00A77CB4" w:rsidP="00A77CB4">
      <w:pPr>
        <w:rPr>
          <w:rFonts w:ascii="Arial" w:hAnsi="Arial" w:cs="Arial"/>
          <w:bCs/>
        </w:rPr>
      </w:pPr>
      <w:r w:rsidRPr="00A05552">
        <w:rPr>
          <w:rFonts w:ascii="Arial" w:hAnsi="Arial" w:cs="Arial"/>
          <w:bCs/>
        </w:rPr>
        <w:t>The financial analysis reveals that General Electronics is experiencing protracted liquidity, profitability and solvency stress caused by dwindling margins, negative ROE, low working capital conversion and increasing leverage. Turnaround demands rigorous investment on projects that restore earnings power whilst maintaining the limited liquidity. The appraisal of three investment options under capital rationing was done using Payback, ARR, NPV, PI and IRR. The results always reveal that the financial returns of Project C are the greatest, capital recovery and excellent value generation per pound invested is consistent.</w:t>
      </w:r>
    </w:p>
    <w:p w14:paraId="1BF36552" w14:textId="710F7BF6" w:rsidR="00B54831" w:rsidRPr="00A05552" w:rsidRDefault="00A77CB4" w:rsidP="00B54831">
      <w:pPr>
        <w:rPr>
          <w:rFonts w:ascii="Arial" w:hAnsi="Arial" w:cs="Arial"/>
          <w:bCs/>
        </w:rPr>
      </w:pPr>
      <w:r w:rsidRPr="00A05552">
        <w:rPr>
          <w:rFonts w:ascii="Arial" w:hAnsi="Arial" w:cs="Arial"/>
          <w:bCs/>
        </w:rPr>
        <w:t>The choice of Project C helps to revive the long-term financial performance and helps to strengthen the liquidity on the basis of the enhanced operational cash flows. Projects A and B barely pass or do not pass the hurdle rate, and this gives the firm an opportunity to undergo a further degradation of finances in case these projects are selected. This investment, combined with the restructuring and working capital reforms mentioned above, helps the company to pursue a holistic recovery approach based on value-based financial decision making.</w:t>
      </w:r>
    </w:p>
    <w:p w14:paraId="0D8D9C5F" w14:textId="77777777" w:rsidR="00EF1834" w:rsidRPr="00A05552" w:rsidRDefault="00EF1834">
      <w:pPr>
        <w:spacing w:line="259" w:lineRule="auto"/>
        <w:jc w:val="left"/>
        <w:rPr>
          <w:rFonts w:ascii="Arial" w:eastAsiaTheme="majorEastAsia" w:hAnsi="Arial" w:cs="Arial"/>
          <w:b/>
          <w:sz w:val="32"/>
          <w:szCs w:val="24"/>
        </w:rPr>
      </w:pPr>
      <w:r w:rsidRPr="00A05552">
        <w:rPr>
          <w:rFonts w:ascii="Arial" w:hAnsi="Arial" w:cs="Arial"/>
        </w:rPr>
        <w:br w:type="page"/>
      </w:r>
    </w:p>
    <w:p w14:paraId="2934A116" w14:textId="4C705C31" w:rsidR="00B94E97" w:rsidRPr="00A05552" w:rsidRDefault="00B94E97" w:rsidP="006B6F45">
      <w:pPr>
        <w:pStyle w:val="Heading1"/>
      </w:pPr>
      <w:bookmarkStart w:id="33" w:name="_Toc217247591"/>
      <w:r w:rsidRPr="00A05552">
        <w:lastRenderedPageBreak/>
        <w:t>Refer</w:t>
      </w:r>
      <w:r w:rsidR="006B6F45" w:rsidRPr="00A05552">
        <w:t>e</w:t>
      </w:r>
      <w:r w:rsidRPr="00A05552">
        <w:t>nces</w:t>
      </w:r>
      <w:bookmarkEnd w:id="33"/>
    </w:p>
    <w:p w14:paraId="3B481E01" w14:textId="77777777" w:rsidR="00EF1834" w:rsidRPr="00A05552" w:rsidRDefault="00EF1834" w:rsidP="00124C67">
      <w:pPr>
        <w:rPr>
          <w:rFonts w:ascii="Arial" w:hAnsi="Arial" w:cs="Arial"/>
          <w:szCs w:val="24"/>
        </w:rPr>
      </w:pPr>
    </w:p>
    <w:p w14:paraId="58B3ED78" w14:textId="77777777" w:rsidR="00EF1834" w:rsidRPr="00A05552" w:rsidRDefault="00EF1834" w:rsidP="00504CE9">
      <w:pPr>
        <w:rPr>
          <w:rFonts w:ascii="Arial" w:hAnsi="Arial" w:cs="Arial"/>
          <w:szCs w:val="24"/>
        </w:rPr>
      </w:pPr>
      <w:proofErr w:type="spellStart"/>
      <w:r w:rsidRPr="00A05552">
        <w:rPr>
          <w:rFonts w:ascii="Arial" w:hAnsi="Arial" w:cs="Arial"/>
          <w:szCs w:val="24"/>
        </w:rPr>
        <w:t>Bapat</w:t>
      </w:r>
      <w:proofErr w:type="spellEnd"/>
      <w:r w:rsidRPr="00A05552">
        <w:rPr>
          <w:rFonts w:ascii="Arial" w:hAnsi="Arial" w:cs="Arial"/>
          <w:szCs w:val="24"/>
        </w:rPr>
        <w:t xml:space="preserve">, D. (2020). Antecedents to responsible financial management </w:t>
      </w:r>
      <w:proofErr w:type="spellStart"/>
      <w:r w:rsidRPr="00A05552">
        <w:rPr>
          <w:rFonts w:ascii="Arial" w:hAnsi="Arial" w:cs="Arial"/>
          <w:szCs w:val="24"/>
        </w:rPr>
        <w:t>behavior</w:t>
      </w:r>
      <w:proofErr w:type="spellEnd"/>
      <w:r w:rsidRPr="00A05552">
        <w:rPr>
          <w:rFonts w:ascii="Arial" w:hAnsi="Arial" w:cs="Arial"/>
          <w:szCs w:val="24"/>
        </w:rPr>
        <w:t xml:space="preserve"> among young adults: moderating role of financial risk tolerance. </w:t>
      </w:r>
      <w:r w:rsidRPr="00A05552">
        <w:rPr>
          <w:rFonts w:ascii="Arial" w:hAnsi="Arial" w:cs="Arial"/>
          <w:i/>
          <w:iCs/>
          <w:szCs w:val="24"/>
        </w:rPr>
        <w:t>International Journal of Bank Marketing</w:t>
      </w:r>
      <w:r w:rsidRPr="00A05552">
        <w:rPr>
          <w:rFonts w:ascii="Arial" w:hAnsi="Arial" w:cs="Arial"/>
          <w:szCs w:val="24"/>
        </w:rPr>
        <w:t>, </w:t>
      </w:r>
      <w:r w:rsidRPr="00A05552">
        <w:rPr>
          <w:rFonts w:ascii="Arial" w:hAnsi="Arial" w:cs="Arial"/>
          <w:i/>
          <w:iCs/>
          <w:szCs w:val="24"/>
        </w:rPr>
        <w:t>38</w:t>
      </w:r>
      <w:r w:rsidRPr="00A05552">
        <w:rPr>
          <w:rFonts w:ascii="Arial" w:hAnsi="Arial" w:cs="Arial"/>
          <w:szCs w:val="24"/>
        </w:rPr>
        <w:t>(5), 1177-1194.</w:t>
      </w:r>
    </w:p>
    <w:p w14:paraId="09A9FE06" w14:textId="77777777" w:rsidR="00EF1834" w:rsidRPr="00A05552" w:rsidRDefault="00EF1834" w:rsidP="00504CE9">
      <w:pPr>
        <w:rPr>
          <w:rFonts w:ascii="Arial" w:hAnsi="Arial" w:cs="Arial"/>
          <w:szCs w:val="24"/>
        </w:rPr>
      </w:pPr>
      <w:proofErr w:type="spellStart"/>
      <w:r w:rsidRPr="00A05552">
        <w:rPr>
          <w:rFonts w:ascii="Arial" w:hAnsi="Arial" w:cs="Arial"/>
          <w:szCs w:val="24"/>
        </w:rPr>
        <w:t>Bhalla</w:t>
      </w:r>
      <w:proofErr w:type="spellEnd"/>
      <w:r w:rsidRPr="00A05552">
        <w:rPr>
          <w:rFonts w:ascii="Arial" w:hAnsi="Arial" w:cs="Arial"/>
          <w:szCs w:val="24"/>
        </w:rPr>
        <w:t>, V. K. (2020). </w:t>
      </w:r>
      <w:r w:rsidRPr="00A05552">
        <w:rPr>
          <w:rFonts w:ascii="Arial" w:hAnsi="Arial" w:cs="Arial"/>
          <w:i/>
          <w:iCs/>
          <w:szCs w:val="24"/>
        </w:rPr>
        <w:t>International Financial Management (Text and Cases)</w:t>
      </w:r>
      <w:r w:rsidRPr="00A05552">
        <w:rPr>
          <w:rFonts w:ascii="Arial" w:hAnsi="Arial" w:cs="Arial"/>
          <w:szCs w:val="24"/>
        </w:rPr>
        <w:t>. S. Chand Publishing.</w:t>
      </w:r>
    </w:p>
    <w:p w14:paraId="5982CF18" w14:textId="61F74F1F" w:rsidR="00EF1834" w:rsidRPr="00A05552" w:rsidRDefault="00EF1834" w:rsidP="00504CE9">
      <w:pPr>
        <w:rPr>
          <w:rFonts w:ascii="Arial" w:hAnsi="Arial" w:cs="Arial"/>
          <w:szCs w:val="24"/>
        </w:rPr>
      </w:pPr>
      <w:proofErr w:type="spellStart"/>
      <w:r w:rsidRPr="00A05552">
        <w:rPr>
          <w:rFonts w:ascii="Arial" w:hAnsi="Arial" w:cs="Arial"/>
          <w:szCs w:val="24"/>
        </w:rPr>
        <w:t>Boisjoly</w:t>
      </w:r>
      <w:proofErr w:type="spellEnd"/>
      <w:r w:rsidRPr="00A05552">
        <w:rPr>
          <w:rFonts w:ascii="Arial" w:hAnsi="Arial" w:cs="Arial"/>
          <w:szCs w:val="24"/>
        </w:rPr>
        <w:t xml:space="preserve">, R. P., </w:t>
      </w:r>
      <w:proofErr w:type="spellStart"/>
      <w:r w:rsidRPr="00A05552">
        <w:rPr>
          <w:rFonts w:ascii="Arial" w:hAnsi="Arial" w:cs="Arial"/>
          <w:szCs w:val="24"/>
        </w:rPr>
        <w:t>Conine</w:t>
      </w:r>
      <w:proofErr w:type="spellEnd"/>
      <w:r w:rsidRPr="00A05552">
        <w:rPr>
          <w:rFonts w:ascii="Arial" w:hAnsi="Arial" w:cs="Arial"/>
          <w:szCs w:val="24"/>
        </w:rPr>
        <w:t xml:space="preserve"> Jr, T. E., </w:t>
      </w:r>
      <w:r w:rsidR="007E7EC6" w:rsidRPr="00A05552">
        <w:rPr>
          <w:rFonts w:ascii="Arial" w:hAnsi="Arial" w:cs="Arial"/>
          <w:szCs w:val="24"/>
        </w:rPr>
        <w:t>and</w:t>
      </w:r>
      <w:r w:rsidRPr="00A05552">
        <w:rPr>
          <w:rFonts w:ascii="Arial" w:hAnsi="Arial" w:cs="Arial"/>
          <w:szCs w:val="24"/>
        </w:rPr>
        <w:t xml:space="preserve"> McDonald IV, M. B. (2020). Working capital management: Financial and valuation impacts. </w:t>
      </w:r>
      <w:r w:rsidRPr="00A05552">
        <w:rPr>
          <w:rFonts w:ascii="Arial" w:hAnsi="Arial" w:cs="Arial"/>
          <w:i/>
          <w:iCs/>
          <w:szCs w:val="24"/>
        </w:rPr>
        <w:t>Journal of Business Research</w:t>
      </w:r>
      <w:r w:rsidRPr="00A05552">
        <w:rPr>
          <w:rFonts w:ascii="Arial" w:hAnsi="Arial" w:cs="Arial"/>
          <w:szCs w:val="24"/>
        </w:rPr>
        <w:t>, </w:t>
      </w:r>
      <w:r w:rsidRPr="00A05552">
        <w:rPr>
          <w:rFonts w:ascii="Arial" w:hAnsi="Arial" w:cs="Arial"/>
          <w:i/>
          <w:iCs/>
          <w:szCs w:val="24"/>
        </w:rPr>
        <w:t>108</w:t>
      </w:r>
      <w:r w:rsidRPr="00A05552">
        <w:rPr>
          <w:rFonts w:ascii="Arial" w:hAnsi="Arial" w:cs="Arial"/>
          <w:szCs w:val="24"/>
        </w:rPr>
        <w:t>, 1-8.</w:t>
      </w:r>
    </w:p>
    <w:p w14:paraId="0A4FBE4A" w14:textId="7B445B6C" w:rsidR="00EF1834" w:rsidRPr="00A05552" w:rsidRDefault="00EF1834" w:rsidP="00504CE9">
      <w:pPr>
        <w:rPr>
          <w:rFonts w:ascii="Arial" w:hAnsi="Arial" w:cs="Arial"/>
          <w:szCs w:val="24"/>
        </w:rPr>
      </w:pPr>
      <w:proofErr w:type="spellStart"/>
      <w:r w:rsidRPr="00A05552">
        <w:rPr>
          <w:rFonts w:ascii="Arial" w:hAnsi="Arial" w:cs="Arial"/>
          <w:szCs w:val="24"/>
        </w:rPr>
        <w:t>Deeb</w:t>
      </w:r>
      <w:proofErr w:type="spellEnd"/>
      <w:r w:rsidRPr="00A05552">
        <w:rPr>
          <w:rFonts w:ascii="Arial" w:hAnsi="Arial" w:cs="Arial"/>
          <w:szCs w:val="24"/>
        </w:rPr>
        <w:t xml:space="preserve">, R., </w:t>
      </w:r>
      <w:proofErr w:type="spellStart"/>
      <w:r w:rsidRPr="00A05552">
        <w:rPr>
          <w:rFonts w:ascii="Arial" w:hAnsi="Arial" w:cs="Arial"/>
          <w:szCs w:val="24"/>
        </w:rPr>
        <w:t>Oleinikova</w:t>
      </w:r>
      <w:proofErr w:type="spellEnd"/>
      <w:r w:rsidRPr="00A05552">
        <w:rPr>
          <w:rFonts w:ascii="Arial" w:hAnsi="Arial" w:cs="Arial"/>
          <w:szCs w:val="24"/>
        </w:rPr>
        <w:t xml:space="preserve">, E. N., </w:t>
      </w:r>
      <w:r w:rsidR="007E7EC6" w:rsidRPr="00A05552">
        <w:rPr>
          <w:rFonts w:ascii="Arial" w:hAnsi="Arial" w:cs="Arial"/>
          <w:szCs w:val="24"/>
        </w:rPr>
        <w:t>and</w:t>
      </w:r>
      <w:r w:rsidRPr="00A05552">
        <w:rPr>
          <w:rFonts w:ascii="Arial" w:hAnsi="Arial" w:cs="Arial"/>
          <w:szCs w:val="24"/>
        </w:rPr>
        <w:t xml:space="preserve"> </w:t>
      </w:r>
      <w:proofErr w:type="spellStart"/>
      <w:r w:rsidRPr="00A05552">
        <w:rPr>
          <w:rFonts w:ascii="Arial" w:hAnsi="Arial" w:cs="Arial"/>
          <w:szCs w:val="24"/>
        </w:rPr>
        <w:t>Dudolin</w:t>
      </w:r>
      <w:proofErr w:type="spellEnd"/>
      <w:r w:rsidRPr="00A05552">
        <w:rPr>
          <w:rFonts w:ascii="Arial" w:hAnsi="Arial" w:cs="Arial"/>
          <w:szCs w:val="24"/>
        </w:rPr>
        <w:t>, A. A. (2024, April). Experience in Utilizing the “Project Expert” Program for Financial and Economic Calculations in the Educational Process. In </w:t>
      </w:r>
      <w:r w:rsidRPr="00A05552">
        <w:rPr>
          <w:rFonts w:ascii="Arial" w:hAnsi="Arial" w:cs="Arial"/>
          <w:i/>
          <w:iCs/>
          <w:szCs w:val="24"/>
        </w:rPr>
        <w:t>2024 7th International Conference on Information Technologies in Engineering Education (</w:t>
      </w:r>
      <w:proofErr w:type="spellStart"/>
      <w:r w:rsidRPr="00A05552">
        <w:rPr>
          <w:rFonts w:ascii="Arial" w:hAnsi="Arial" w:cs="Arial"/>
          <w:i/>
          <w:iCs/>
          <w:szCs w:val="24"/>
        </w:rPr>
        <w:t>Inforino</w:t>
      </w:r>
      <w:proofErr w:type="spellEnd"/>
      <w:r w:rsidRPr="00A05552">
        <w:rPr>
          <w:rFonts w:ascii="Arial" w:hAnsi="Arial" w:cs="Arial"/>
          <w:i/>
          <w:iCs/>
          <w:szCs w:val="24"/>
        </w:rPr>
        <w:t>)</w:t>
      </w:r>
      <w:r w:rsidRPr="00A05552">
        <w:rPr>
          <w:rFonts w:ascii="Arial" w:hAnsi="Arial" w:cs="Arial"/>
          <w:szCs w:val="24"/>
        </w:rPr>
        <w:t> (pp. 1-4). IEEE.</w:t>
      </w:r>
    </w:p>
    <w:p w14:paraId="3043C5F2" w14:textId="77777777" w:rsidR="00EF1834" w:rsidRPr="00A05552" w:rsidRDefault="00EF1834" w:rsidP="00504CE9">
      <w:pPr>
        <w:rPr>
          <w:rFonts w:ascii="Arial" w:hAnsi="Arial" w:cs="Arial"/>
          <w:szCs w:val="24"/>
        </w:rPr>
      </w:pPr>
      <w:proofErr w:type="spellStart"/>
      <w:r w:rsidRPr="00A05552">
        <w:rPr>
          <w:rFonts w:ascii="Arial" w:hAnsi="Arial" w:cs="Arial"/>
          <w:szCs w:val="24"/>
        </w:rPr>
        <w:t>Emami</w:t>
      </w:r>
      <w:proofErr w:type="spellEnd"/>
      <w:r w:rsidRPr="00A05552">
        <w:rPr>
          <w:rFonts w:ascii="Arial" w:hAnsi="Arial" w:cs="Arial"/>
          <w:szCs w:val="24"/>
        </w:rPr>
        <w:t xml:space="preserve"> </w:t>
      </w:r>
      <w:proofErr w:type="spellStart"/>
      <w:r w:rsidRPr="00A05552">
        <w:rPr>
          <w:rFonts w:ascii="Arial" w:hAnsi="Arial" w:cs="Arial"/>
          <w:szCs w:val="24"/>
        </w:rPr>
        <w:t>Langroodi</w:t>
      </w:r>
      <w:proofErr w:type="spellEnd"/>
      <w:r w:rsidRPr="00A05552">
        <w:rPr>
          <w:rFonts w:ascii="Arial" w:hAnsi="Arial" w:cs="Arial"/>
          <w:szCs w:val="24"/>
        </w:rPr>
        <w:t>, F. (2021). Schumpeter’s Theory of Economic Development: a study of the creative destruction and entrepreneurship effects on the economic growth. </w:t>
      </w:r>
      <w:r w:rsidRPr="00A05552">
        <w:rPr>
          <w:rFonts w:ascii="Arial" w:hAnsi="Arial" w:cs="Arial"/>
          <w:i/>
          <w:iCs/>
          <w:szCs w:val="24"/>
        </w:rPr>
        <w:t>Journal of Insurance and Financial Management</w:t>
      </w:r>
      <w:r w:rsidRPr="00A05552">
        <w:rPr>
          <w:rFonts w:ascii="Arial" w:hAnsi="Arial" w:cs="Arial"/>
          <w:szCs w:val="24"/>
        </w:rPr>
        <w:t>, </w:t>
      </w:r>
      <w:r w:rsidRPr="00A05552">
        <w:rPr>
          <w:rFonts w:ascii="Arial" w:hAnsi="Arial" w:cs="Arial"/>
          <w:i/>
          <w:iCs/>
          <w:szCs w:val="24"/>
        </w:rPr>
        <w:t>4</w:t>
      </w:r>
      <w:r w:rsidRPr="00A05552">
        <w:rPr>
          <w:rFonts w:ascii="Arial" w:hAnsi="Arial" w:cs="Arial"/>
          <w:szCs w:val="24"/>
        </w:rPr>
        <w:t>(3).’</w:t>
      </w:r>
    </w:p>
    <w:p w14:paraId="330D9D12" w14:textId="77777777" w:rsidR="00EF1834" w:rsidRPr="00A05552" w:rsidRDefault="00EF1834" w:rsidP="00504CE9">
      <w:pPr>
        <w:rPr>
          <w:rFonts w:ascii="Arial" w:hAnsi="Arial" w:cs="Arial"/>
          <w:szCs w:val="24"/>
        </w:rPr>
      </w:pPr>
      <w:r w:rsidRPr="00A05552">
        <w:rPr>
          <w:rFonts w:ascii="Arial" w:hAnsi="Arial" w:cs="Arial"/>
          <w:szCs w:val="24"/>
        </w:rPr>
        <w:t xml:space="preserve">GE Vernova. (2024). </w:t>
      </w:r>
      <w:r w:rsidRPr="00A05552">
        <w:rPr>
          <w:rFonts w:ascii="Arial" w:hAnsi="Arial" w:cs="Arial"/>
          <w:i/>
          <w:iCs/>
          <w:szCs w:val="24"/>
        </w:rPr>
        <w:t>2024 Annual report</w:t>
      </w:r>
      <w:r w:rsidRPr="00A05552">
        <w:rPr>
          <w:rFonts w:ascii="Arial" w:hAnsi="Arial" w:cs="Arial"/>
          <w:szCs w:val="24"/>
        </w:rPr>
        <w:t xml:space="preserve">. </w:t>
      </w:r>
      <w:hyperlink r:id="rId13" w:tgtFrame="_blank" w:history="1">
        <w:r w:rsidRPr="00A05552">
          <w:rPr>
            <w:rStyle w:val="Hyperlink"/>
            <w:rFonts w:ascii="Arial" w:hAnsi="Arial" w:cs="Arial"/>
            <w:szCs w:val="24"/>
          </w:rPr>
          <w:t>https://www.gevernova.com/investors/annual-report</w:t>
        </w:r>
      </w:hyperlink>
    </w:p>
    <w:p w14:paraId="2C4F924F" w14:textId="77777777" w:rsidR="00EF1834" w:rsidRPr="00A05552" w:rsidRDefault="00EF1834" w:rsidP="00504CE9">
      <w:pPr>
        <w:rPr>
          <w:rFonts w:ascii="Arial" w:hAnsi="Arial" w:cs="Arial"/>
          <w:szCs w:val="24"/>
        </w:rPr>
      </w:pPr>
      <w:r w:rsidRPr="00A05552">
        <w:rPr>
          <w:rFonts w:ascii="Arial" w:hAnsi="Arial" w:cs="Arial"/>
          <w:szCs w:val="24"/>
        </w:rPr>
        <w:t xml:space="preserve">General Electric Company. (2020). </w:t>
      </w:r>
      <w:r w:rsidRPr="00A05552">
        <w:rPr>
          <w:rFonts w:ascii="Arial" w:hAnsi="Arial" w:cs="Arial"/>
          <w:i/>
          <w:iCs/>
          <w:szCs w:val="24"/>
        </w:rPr>
        <w:t>2020 Annual report</w:t>
      </w:r>
      <w:r w:rsidRPr="00A05552">
        <w:rPr>
          <w:rFonts w:ascii="Arial" w:hAnsi="Arial" w:cs="Arial"/>
          <w:szCs w:val="24"/>
        </w:rPr>
        <w:t xml:space="preserve">. </w:t>
      </w:r>
      <w:hyperlink r:id="rId14" w:tgtFrame="_blank" w:history="1">
        <w:r w:rsidRPr="00A05552">
          <w:rPr>
            <w:rStyle w:val="Hyperlink"/>
            <w:rFonts w:ascii="Arial" w:hAnsi="Arial" w:cs="Arial"/>
            <w:szCs w:val="24"/>
          </w:rPr>
          <w:t>https://www.ge.com/investor-relations/annual-report</w:t>
        </w:r>
      </w:hyperlink>
    </w:p>
    <w:p w14:paraId="03ACA137" w14:textId="77777777" w:rsidR="00EF1834" w:rsidRPr="00A05552" w:rsidRDefault="00EF1834" w:rsidP="00504CE9">
      <w:pPr>
        <w:rPr>
          <w:rFonts w:ascii="Arial" w:hAnsi="Arial" w:cs="Arial"/>
          <w:szCs w:val="24"/>
        </w:rPr>
      </w:pPr>
      <w:r w:rsidRPr="00A05552">
        <w:rPr>
          <w:rFonts w:ascii="Arial" w:hAnsi="Arial" w:cs="Arial"/>
          <w:szCs w:val="24"/>
        </w:rPr>
        <w:t xml:space="preserve">General Electric Company. (2021). </w:t>
      </w:r>
      <w:r w:rsidRPr="00A05552">
        <w:rPr>
          <w:rFonts w:ascii="Arial" w:hAnsi="Arial" w:cs="Arial"/>
          <w:i/>
          <w:iCs/>
          <w:szCs w:val="24"/>
        </w:rPr>
        <w:t>2021 Annual report</w:t>
      </w:r>
      <w:r w:rsidRPr="00A05552">
        <w:rPr>
          <w:rFonts w:ascii="Arial" w:hAnsi="Arial" w:cs="Arial"/>
          <w:szCs w:val="24"/>
        </w:rPr>
        <w:t xml:space="preserve">. </w:t>
      </w:r>
      <w:hyperlink r:id="rId15" w:tgtFrame="_blank" w:history="1">
        <w:r w:rsidRPr="00A05552">
          <w:rPr>
            <w:rStyle w:val="Hyperlink"/>
            <w:rFonts w:ascii="Arial" w:hAnsi="Arial" w:cs="Arial"/>
            <w:szCs w:val="24"/>
          </w:rPr>
          <w:t>https://www.ge.com/investor-relations/annual-report</w:t>
        </w:r>
      </w:hyperlink>
    </w:p>
    <w:p w14:paraId="10B17D85" w14:textId="77777777" w:rsidR="00EF1834" w:rsidRPr="00A05552" w:rsidRDefault="00EF1834" w:rsidP="00504CE9">
      <w:pPr>
        <w:rPr>
          <w:rFonts w:ascii="Arial" w:hAnsi="Arial" w:cs="Arial"/>
          <w:szCs w:val="24"/>
        </w:rPr>
      </w:pPr>
      <w:r w:rsidRPr="00A05552">
        <w:rPr>
          <w:rFonts w:ascii="Arial" w:hAnsi="Arial" w:cs="Arial"/>
          <w:szCs w:val="24"/>
        </w:rPr>
        <w:t xml:space="preserve">General Electric Company. (2022). </w:t>
      </w:r>
      <w:r w:rsidRPr="00A05552">
        <w:rPr>
          <w:rFonts w:ascii="Arial" w:hAnsi="Arial" w:cs="Arial"/>
          <w:i/>
          <w:iCs/>
          <w:szCs w:val="24"/>
        </w:rPr>
        <w:t>2022 Annual report</w:t>
      </w:r>
      <w:r w:rsidRPr="00A05552">
        <w:rPr>
          <w:rFonts w:ascii="Arial" w:hAnsi="Arial" w:cs="Arial"/>
          <w:szCs w:val="24"/>
        </w:rPr>
        <w:t xml:space="preserve">. </w:t>
      </w:r>
      <w:hyperlink r:id="rId16" w:tgtFrame="_blank" w:history="1">
        <w:r w:rsidRPr="00A05552">
          <w:rPr>
            <w:rStyle w:val="Hyperlink"/>
            <w:rFonts w:ascii="Arial" w:hAnsi="Arial" w:cs="Arial"/>
            <w:szCs w:val="24"/>
          </w:rPr>
          <w:t>https://www.ge.com/investor-relations/annual-report</w:t>
        </w:r>
      </w:hyperlink>
    </w:p>
    <w:p w14:paraId="0429162F" w14:textId="77777777" w:rsidR="00EF1834" w:rsidRPr="00A05552" w:rsidRDefault="00EF1834" w:rsidP="00504CE9">
      <w:pPr>
        <w:rPr>
          <w:rFonts w:ascii="Arial" w:hAnsi="Arial" w:cs="Arial"/>
          <w:szCs w:val="24"/>
        </w:rPr>
      </w:pPr>
      <w:r w:rsidRPr="00A05552">
        <w:rPr>
          <w:rFonts w:ascii="Arial" w:hAnsi="Arial" w:cs="Arial"/>
          <w:szCs w:val="24"/>
        </w:rPr>
        <w:t xml:space="preserve">General Electric Company. (2023). </w:t>
      </w:r>
      <w:r w:rsidRPr="00A05552">
        <w:rPr>
          <w:rFonts w:ascii="Arial" w:hAnsi="Arial" w:cs="Arial"/>
          <w:i/>
          <w:iCs/>
          <w:szCs w:val="24"/>
        </w:rPr>
        <w:t>2023 Annual report</w:t>
      </w:r>
      <w:r w:rsidRPr="00A05552">
        <w:rPr>
          <w:rFonts w:ascii="Arial" w:hAnsi="Arial" w:cs="Arial"/>
          <w:szCs w:val="24"/>
        </w:rPr>
        <w:t xml:space="preserve">. </w:t>
      </w:r>
      <w:hyperlink r:id="rId17" w:tgtFrame="_blank" w:history="1">
        <w:r w:rsidRPr="00A05552">
          <w:rPr>
            <w:rStyle w:val="Hyperlink"/>
            <w:rFonts w:ascii="Arial" w:hAnsi="Arial" w:cs="Arial"/>
            <w:szCs w:val="24"/>
          </w:rPr>
          <w:t>https://www.ge.com/investor-relations/annual-report</w:t>
        </w:r>
      </w:hyperlink>
    </w:p>
    <w:p w14:paraId="3744CBC3" w14:textId="77777777" w:rsidR="00EF1834" w:rsidRPr="00A05552" w:rsidRDefault="00EF1834" w:rsidP="00504CE9">
      <w:pPr>
        <w:rPr>
          <w:rFonts w:ascii="Arial" w:hAnsi="Arial" w:cs="Arial"/>
          <w:szCs w:val="24"/>
        </w:rPr>
      </w:pPr>
      <w:r w:rsidRPr="00A05552">
        <w:rPr>
          <w:rFonts w:ascii="Arial" w:hAnsi="Arial" w:cs="Arial"/>
          <w:szCs w:val="24"/>
        </w:rPr>
        <w:t xml:space="preserve">General Electric Company. (2025). </w:t>
      </w:r>
      <w:proofErr w:type="gramStart"/>
      <w:r w:rsidRPr="00A05552">
        <w:rPr>
          <w:rFonts w:ascii="Arial" w:hAnsi="Arial" w:cs="Arial"/>
          <w:i/>
          <w:iCs/>
          <w:szCs w:val="24"/>
        </w:rPr>
        <w:t>About</w:t>
      </w:r>
      <w:proofErr w:type="gramEnd"/>
      <w:r w:rsidRPr="00A05552">
        <w:rPr>
          <w:rFonts w:ascii="Arial" w:hAnsi="Arial" w:cs="Arial"/>
          <w:i/>
          <w:iCs/>
          <w:szCs w:val="24"/>
        </w:rPr>
        <w:t xml:space="preserve"> us</w:t>
      </w:r>
      <w:r w:rsidRPr="00A05552">
        <w:rPr>
          <w:rFonts w:ascii="Arial" w:hAnsi="Arial" w:cs="Arial"/>
          <w:szCs w:val="24"/>
        </w:rPr>
        <w:t xml:space="preserve">. </w:t>
      </w:r>
      <w:hyperlink r:id="rId18" w:tgtFrame="_blank" w:history="1">
        <w:r w:rsidRPr="00A05552">
          <w:rPr>
            <w:rStyle w:val="Hyperlink"/>
            <w:rFonts w:ascii="Arial" w:hAnsi="Arial" w:cs="Arial"/>
            <w:szCs w:val="24"/>
          </w:rPr>
          <w:t>https://www.ge.com/about-us</w:t>
        </w:r>
      </w:hyperlink>
    </w:p>
    <w:p w14:paraId="6549C4A4" w14:textId="700D4F1A" w:rsidR="00EF1834" w:rsidRPr="00A05552" w:rsidRDefault="00EF1834" w:rsidP="00504CE9">
      <w:pPr>
        <w:rPr>
          <w:rFonts w:ascii="Arial" w:hAnsi="Arial" w:cs="Arial"/>
          <w:szCs w:val="24"/>
        </w:rPr>
      </w:pPr>
      <w:r w:rsidRPr="00A05552">
        <w:rPr>
          <w:rFonts w:ascii="Arial" w:hAnsi="Arial" w:cs="Arial"/>
          <w:szCs w:val="24"/>
        </w:rPr>
        <w:lastRenderedPageBreak/>
        <w:t xml:space="preserve">Goyal, K., Kumar, S., </w:t>
      </w:r>
      <w:r w:rsidR="007E7EC6" w:rsidRPr="00A05552">
        <w:rPr>
          <w:rFonts w:ascii="Arial" w:hAnsi="Arial" w:cs="Arial"/>
          <w:szCs w:val="24"/>
        </w:rPr>
        <w:t>and</w:t>
      </w:r>
      <w:r w:rsidRPr="00A05552">
        <w:rPr>
          <w:rFonts w:ascii="Arial" w:hAnsi="Arial" w:cs="Arial"/>
          <w:szCs w:val="24"/>
        </w:rPr>
        <w:t xml:space="preserve"> Xiao, J. J. (2021). Antecedents and consequences of Personal Financial Management </w:t>
      </w:r>
      <w:proofErr w:type="spellStart"/>
      <w:r w:rsidRPr="00A05552">
        <w:rPr>
          <w:rFonts w:ascii="Arial" w:hAnsi="Arial" w:cs="Arial"/>
          <w:szCs w:val="24"/>
        </w:rPr>
        <w:t>Behavior</w:t>
      </w:r>
      <w:proofErr w:type="spellEnd"/>
      <w:r w:rsidRPr="00A05552">
        <w:rPr>
          <w:rFonts w:ascii="Arial" w:hAnsi="Arial" w:cs="Arial"/>
          <w:szCs w:val="24"/>
        </w:rPr>
        <w:t>: a systematic literature review and future research agenda. </w:t>
      </w:r>
      <w:r w:rsidRPr="00A05552">
        <w:rPr>
          <w:rFonts w:ascii="Arial" w:hAnsi="Arial" w:cs="Arial"/>
          <w:i/>
          <w:iCs/>
          <w:szCs w:val="24"/>
        </w:rPr>
        <w:t>International journal of bank marketing</w:t>
      </w:r>
      <w:r w:rsidRPr="00A05552">
        <w:rPr>
          <w:rFonts w:ascii="Arial" w:hAnsi="Arial" w:cs="Arial"/>
          <w:szCs w:val="24"/>
        </w:rPr>
        <w:t>, </w:t>
      </w:r>
      <w:r w:rsidRPr="00A05552">
        <w:rPr>
          <w:rFonts w:ascii="Arial" w:hAnsi="Arial" w:cs="Arial"/>
          <w:i/>
          <w:iCs/>
          <w:szCs w:val="24"/>
        </w:rPr>
        <w:t>39</w:t>
      </w:r>
      <w:r w:rsidRPr="00A05552">
        <w:rPr>
          <w:rFonts w:ascii="Arial" w:hAnsi="Arial" w:cs="Arial"/>
          <w:szCs w:val="24"/>
        </w:rPr>
        <w:t>(7), 1166-1207.</w:t>
      </w:r>
    </w:p>
    <w:p w14:paraId="5A09A862" w14:textId="2FC258DA" w:rsidR="00EF1834" w:rsidRPr="00A05552" w:rsidRDefault="00EF1834" w:rsidP="00504CE9">
      <w:pPr>
        <w:rPr>
          <w:rFonts w:ascii="Arial" w:hAnsi="Arial" w:cs="Arial"/>
          <w:szCs w:val="24"/>
        </w:rPr>
      </w:pPr>
      <w:r w:rsidRPr="00A05552">
        <w:rPr>
          <w:rFonts w:ascii="Arial" w:hAnsi="Arial" w:cs="Arial"/>
          <w:szCs w:val="24"/>
        </w:rPr>
        <w:t xml:space="preserve">Heron, N. M., </w:t>
      </w:r>
      <w:r w:rsidR="007E7EC6" w:rsidRPr="00A05552">
        <w:rPr>
          <w:rFonts w:ascii="Arial" w:hAnsi="Arial" w:cs="Arial"/>
          <w:szCs w:val="24"/>
        </w:rPr>
        <w:t>and</w:t>
      </w:r>
      <w:r w:rsidRPr="00A05552">
        <w:rPr>
          <w:rFonts w:ascii="Arial" w:hAnsi="Arial" w:cs="Arial"/>
          <w:szCs w:val="24"/>
        </w:rPr>
        <w:t xml:space="preserve"> </w:t>
      </w:r>
      <w:proofErr w:type="spellStart"/>
      <w:r w:rsidRPr="00A05552">
        <w:rPr>
          <w:rFonts w:ascii="Arial" w:hAnsi="Arial" w:cs="Arial"/>
          <w:szCs w:val="24"/>
        </w:rPr>
        <w:t>Markelevich</w:t>
      </w:r>
      <w:proofErr w:type="spellEnd"/>
      <w:r w:rsidRPr="00A05552">
        <w:rPr>
          <w:rFonts w:ascii="Arial" w:hAnsi="Arial" w:cs="Arial"/>
          <w:szCs w:val="24"/>
        </w:rPr>
        <w:t>, A. (2023). Segment Reporting and Segment Profitability: A Case Study on General Electric. </w:t>
      </w:r>
      <w:r w:rsidRPr="00A05552">
        <w:rPr>
          <w:rFonts w:ascii="Arial" w:hAnsi="Arial" w:cs="Arial"/>
          <w:i/>
          <w:iCs/>
          <w:szCs w:val="24"/>
        </w:rPr>
        <w:t>Issues in Accounting Education Teaching Notes</w:t>
      </w:r>
      <w:r w:rsidRPr="00A05552">
        <w:rPr>
          <w:rFonts w:ascii="Arial" w:hAnsi="Arial" w:cs="Arial"/>
          <w:szCs w:val="24"/>
        </w:rPr>
        <w:t>, </w:t>
      </w:r>
      <w:r w:rsidRPr="00A05552">
        <w:rPr>
          <w:rFonts w:ascii="Arial" w:hAnsi="Arial" w:cs="Arial"/>
          <w:i/>
          <w:iCs/>
          <w:szCs w:val="24"/>
        </w:rPr>
        <w:t>38</w:t>
      </w:r>
      <w:r w:rsidRPr="00A05552">
        <w:rPr>
          <w:rFonts w:ascii="Arial" w:hAnsi="Arial" w:cs="Arial"/>
          <w:szCs w:val="24"/>
        </w:rPr>
        <w:t>(3), TN9-TN42.</w:t>
      </w:r>
    </w:p>
    <w:p w14:paraId="3F8DAB84" w14:textId="77777777" w:rsidR="00EF1834" w:rsidRPr="00A05552" w:rsidRDefault="00EF1834" w:rsidP="00504CE9">
      <w:pPr>
        <w:rPr>
          <w:rFonts w:ascii="Arial" w:hAnsi="Arial" w:cs="Arial"/>
          <w:szCs w:val="24"/>
        </w:rPr>
      </w:pPr>
      <w:proofErr w:type="spellStart"/>
      <w:r w:rsidRPr="00A05552">
        <w:rPr>
          <w:rFonts w:ascii="Arial" w:hAnsi="Arial" w:cs="Arial"/>
          <w:szCs w:val="24"/>
        </w:rPr>
        <w:t>Hristov</w:t>
      </w:r>
      <w:proofErr w:type="spellEnd"/>
      <w:r w:rsidRPr="00A05552">
        <w:rPr>
          <w:rFonts w:ascii="Arial" w:hAnsi="Arial" w:cs="Arial"/>
          <w:szCs w:val="24"/>
        </w:rPr>
        <w:t>, G. E. (2024). Text mining financial statements: challenges and opportunities. </w:t>
      </w:r>
      <w:r w:rsidRPr="00A05552">
        <w:rPr>
          <w:rFonts w:ascii="Arial" w:hAnsi="Arial" w:cs="Arial"/>
          <w:i/>
          <w:iCs/>
          <w:szCs w:val="24"/>
        </w:rPr>
        <w:t>Innovative Information Technologies for Economy Digitalization (IITED)</w:t>
      </w:r>
      <w:r w:rsidRPr="00A05552">
        <w:rPr>
          <w:rFonts w:ascii="Arial" w:hAnsi="Arial" w:cs="Arial"/>
          <w:szCs w:val="24"/>
        </w:rPr>
        <w:t>, (1), 196-204.</w:t>
      </w:r>
    </w:p>
    <w:p w14:paraId="38F9C0B8" w14:textId="77777777" w:rsidR="00EF1834" w:rsidRPr="00A05552" w:rsidRDefault="00EF1834" w:rsidP="00504CE9">
      <w:pPr>
        <w:rPr>
          <w:rFonts w:ascii="Arial" w:hAnsi="Arial" w:cs="Arial"/>
          <w:szCs w:val="24"/>
        </w:rPr>
      </w:pPr>
      <w:r w:rsidRPr="00A05552">
        <w:rPr>
          <w:rFonts w:ascii="Arial" w:hAnsi="Arial" w:cs="Arial"/>
          <w:szCs w:val="24"/>
        </w:rPr>
        <w:t>Loth, D. (2023). </w:t>
      </w:r>
      <w:r w:rsidRPr="00A05552">
        <w:rPr>
          <w:rFonts w:ascii="Arial" w:hAnsi="Arial" w:cs="Arial"/>
          <w:i/>
          <w:iCs/>
          <w:szCs w:val="24"/>
        </w:rPr>
        <w:t xml:space="preserve">Swope of GE: the story of </w:t>
      </w:r>
      <w:proofErr w:type="spellStart"/>
      <w:proofErr w:type="gramStart"/>
      <w:r w:rsidRPr="00A05552">
        <w:rPr>
          <w:rFonts w:ascii="Arial" w:hAnsi="Arial" w:cs="Arial"/>
          <w:i/>
          <w:iCs/>
          <w:szCs w:val="24"/>
        </w:rPr>
        <w:t>gerard</w:t>
      </w:r>
      <w:proofErr w:type="spellEnd"/>
      <w:proofErr w:type="gramEnd"/>
      <w:r w:rsidRPr="00A05552">
        <w:rPr>
          <w:rFonts w:ascii="Arial" w:hAnsi="Arial" w:cs="Arial"/>
          <w:i/>
          <w:iCs/>
          <w:szCs w:val="24"/>
        </w:rPr>
        <w:t xml:space="preserve"> </w:t>
      </w:r>
      <w:proofErr w:type="spellStart"/>
      <w:r w:rsidRPr="00A05552">
        <w:rPr>
          <w:rFonts w:ascii="Arial" w:hAnsi="Arial" w:cs="Arial"/>
          <w:i/>
          <w:iCs/>
          <w:szCs w:val="24"/>
        </w:rPr>
        <w:t>swope</w:t>
      </w:r>
      <w:proofErr w:type="spellEnd"/>
      <w:r w:rsidRPr="00A05552">
        <w:rPr>
          <w:rFonts w:ascii="Arial" w:hAnsi="Arial" w:cs="Arial"/>
          <w:i/>
          <w:iCs/>
          <w:szCs w:val="24"/>
        </w:rPr>
        <w:t xml:space="preserve"> and General Electric in American Business</w:t>
      </w:r>
      <w:r w:rsidRPr="00A05552">
        <w:rPr>
          <w:rFonts w:ascii="Arial" w:hAnsi="Arial" w:cs="Arial"/>
          <w:szCs w:val="24"/>
        </w:rPr>
        <w:t>. Plunkett Lake Press.</w:t>
      </w:r>
    </w:p>
    <w:p w14:paraId="60631D8C" w14:textId="77777777" w:rsidR="00EF1834" w:rsidRPr="00A05552" w:rsidRDefault="00EF1834" w:rsidP="00504CE9">
      <w:pPr>
        <w:rPr>
          <w:rFonts w:ascii="Arial" w:hAnsi="Arial" w:cs="Arial"/>
          <w:szCs w:val="24"/>
        </w:rPr>
      </w:pPr>
      <w:r w:rsidRPr="00A05552">
        <w:rPr>
          <w:rFonts w:ascii="Arial" w:hAnsi="Arial" w:cs="Arial"/>
          <w:szCs w:val="24"/>
        </w:rPr>
        <w:t>Maher, S. (2022). The Making of General Electric in the Era of Finance Capital. In </w:t>
      </w:r>
      <w:r w:rsidRPr="00A05552">
        <w:rPr>
          <w:rFonts w:ascii="Arial" w:hAnsi="Arial" w:cs="Arial"/>
          <w:i/>
          <w:iCs/>
          <w:szCs w:val="24"/>
        </w:rPr>
        <w:t>Corporate Capitalism and the Integral State: General Electric and a Century of American Power</w:t>
      </w:r>
      <w:r w:rsidRPr="00A05552">
        <w:rPr>
          <w:rFonts w:ascii="Arial" w:hAnsi="Arial" w:cs="Arial"/>
          <w:szCs w:val="24"/>
        </w:rPr>
        <w:t> (pp. 53-78). Cham: Springer International Publishing.</w:t>
      </w:r>
    </w:p>
    <w:p w14:paraId="5571615E" w14:textId="58072071" w:rsidR="00EF1834" w:rsidRPr="00A05552" w:rsidRDefault="00EF1834" w:rsidP="00504CE9">
      <w:pPr>
        <w:rPr>
          <w:rFonts w:ascii="Arial" w:hAnsi="Arial" w:cs="Arial"/>
          <w:szCs w:val="24"/>
        </w:rPr>
      </w:pPr>
      <w:proofErr w:type="spellStart"/>
      <w:r w:rsidRPr="00A05552">
        <w:rPr>
          <w:rFonts w:ascii="Arial" w:hAnsi="Arial" w:cs="Arial"/>
          <w:szCs w:val="24"/>
        </w:rPr>
        <w:t>Olanrewaju</w:t>
      </w:r>
      <w:proofErr w:type="spellEnd"/>
      <w:r w:rsidRPr="00A05552">
        <w:rPr>
          <w:rFonts w:ascii="Arial" w:hAnsi="Arial" w:cs="Arial"/>
          <w:szCs w:val="24"/>
        </w:rPr>
        <w:t xml:space="preserve">, O. I. K., </w:t>
      </w:r>
      <w:proofErr w:type="spellStart"/>
      <w:r w:rsidRPr="00A05552">
        <w:rPr>
          <w:rFonts w:ascii="Arial" w:hAnsi="Arial" w:cs="Arial"/>
          <w:szCs w:val="24"/>
        </w:rPr>
        <w:t>Ekechukwu</w:t>
      </w:r>
      <w:proofErr w:type="spellEnd"/>
      <w:r w:rsidRPr="00A05552">
        <w:rPr>
          <w:rFonts w:ascii="Arial" w:hAnsi="Arial" w:cs="Arial"/>
          <w:szCs w:val="24"/>
        </w:rPr>
        <w:t xml:space="preserve">, D. E., </w:t>
      </w:r>
      <w:r w:rsidR="007E7EC6" w:rsidRPr="00A05552">
        <w:rPr>
          <w:rFonts w:ascii="Arial" w:hAnsi="Arial" w:cs="Arial"/>
          <w:szCs w:val="24"/>
        </w:rPr>
        <w:t>and</w:t>
      </w:r>
      <w:r w:rsidRPr="00A05552">
        <w:rPr>
          <w:rFonts w:ascii="Arial" w:hAnsi="Arial" w:cs="Arial"/>
          <w:szCs w:val="24"/>
        </w:rPr>
        <w:t xml:space="preserve"> </w:t>
      </w:r>
      <w:proofErr w:type="spellStart"/>
      <w:r w:rsidRPr="00A05552">
        <w:rPr>
          <w:rFonts w:ascii="Arial" w:hAnsi="Arial" w:cs="Arial"/>
          <w:szCs w:val="24"/>
        </w:rPr>
        <w:t>Simpa</w:t>
      </w:r>
      <w:proofErr w:type="spellEnd"/>
      <w:r w:rsidRPr="00A05552">
        <w:rPr>
          <w:rFonts w:ascii="Arial" w:hAnsi="Arial" w:cs="Arial"/>
          <w:szCs w:val="24"/>
        </w:rPr>
        <w:t>, P. (2024). Driving energy transition through financial innovation: The critical role of Big Data and ESG metrics. </w:t>
      </w:r>
      <w:r w:rsidRPr="00A05552">
        <w:rPr>
          <w:rFonts w:ascii="Arial" w:hAnsi="Arial" w:cs="Arial"/>
          <w:i/>
          <w:iCs/>
          <w:szCs w:val="24"/>
        </w:rPr>
        <w:t xml:space="preserve">Computer Science </w:t>
      </w:r>
      <w:r w:rsidR="007E7EC6" w:rsidRPr="00A05552">
        <w:rPr>
          <w:rFonts w:ascii="Arial" w:hAnsi="Arial" w:cs="Arial"/>
          <w:i/>
          <w:iCs/>
          <w:szCs w:val="24"/>
        </w:rPr>
        <w:t>and</w:t>
      </w:r>
      <w:r w:rsidRPr="00A05552">
        <w:rPr>
          <w:rFonts w:ascii="Arial" w:hAnsi="Arial" w:cs="Arial"/>
          <w:i/>
          <w:iCs/>
          <w:szCs w:val="24"/>
        </w:rPr>
        <w:t xml:space="preserve"> IT Research Journal</w:t>
      </w:r>
      <w:r w:rsidRPr="00A05552">
        <w:rPr>
          <w:rFonts w:ascii="Arial" w:hAnsi="Arial" w:cs="Arial"/>
          <w:szCs w:val="24"/>
        </w:rPr>
        <w:t>, </w:t>
      </w:r>
      <w:r w:rsidRPr="00A05552">
        <w:rPr>
          <w:rFonts w:ascii="Arial" w:hAnsi="Arial" w:cs="Arial"/>
          <w:i/>
          <w:iCs/>
          <w:szCs w:val="24"/>
        </w:rPr>
        <w:t>5</w:t>
      </w:r>
      <w:r w:rsidRPr="00A05552">
        <w:rPr>
          <w:rFonts w:ascii="Arial" w:hAnsi="Arial" w:cs="Arial"/>
          <w:szCs w:val="24"/>
        </w:rPr>
        <w:t>(6), 1434-1452.</w:t>
      </w:r>
    </w:p>
    <w:p w14:paraId="79B1475C" w14:textId="242D3EDE" w:rsidR="00EF1834" w:rsidRPr="00A05552" w:rsidRDefault="00EF1834" w:rsidP="00504CE9">
      <w:pPr>
        <w:rPr>
          <w:rFonts w:ascii="Arial" w:hAnsi="Arial" w:cs="Arial"/>
          <w:szCs w:val="24"/>
        </w:rPr>
      </w:pPr>
      <w:proofErr w:type="spellStart"/>
      <w:r w:rsidRPr="00A05552">
        <w:rPr>
          <w:rFonts w:ascii="Arial" w:hAnsi="Arial" w:cs="Arial"/>
          <w:szCs w:val="24"/>
        </w:rPr>
        <w:t>Patil</w:t>
      </w:r>
      <w:proofErr w:type="spellEnd"/>
      <w:r w:rsidRPr="00A05552">
        <w:rPr>
          <w:rFonts w:ascii="Arial" w:hAnsi="Arial" w:cs="Arial"/>
          <w:szCs w:val="24"/>
        </w:rPr>
        <w:t xml:space="preserve">, V. J., </w:t>
      </w:r>
      <w:proofErr w:type="spellStart"/>
      <w:r w:rsidRPr="00A05552">
        <w:rPr>
          <w:rFonts w:ascii="Arial" w:hAnsi="Arial" w:cs="Arial"/>
          <w:szCs w:val="24"/>
        </w:rPr>
        <w:t>Khadake</w:t>
      </w:r>
      <w:proofErr w:type="spellEnd"/>
      <w:r w:rsidRPr="00A05552">
        <w:rPr>
          <w:rFonts w:ascii="Arial" w:hAnsi="Arial" w:cs="Arial"/>
          <w:szCs w:val="24"/>
        </w:rPr>
        <w:t xml:space="preserve">, S. B., </w:t>
      </w:r>
      <w:proofErr w:type="spellStart"/>
      <w:r w:rsidRPr="00A05552">
        <w:rPr>
          <w:rFonts w:ascii="Arial" w:hAnsi="Arial" w:cs="Arial"/>
          <w:szCs w:val="24"/>
        </w:rPr>
        <w:t>Tamboli</w:t>
      </w:r>
      <w:proofErr w:type="spellEnd"/>
      <w:r w:rsidRPr="00A05552">
        <w:rPr>
          <w:rFonts w:ascii="Arial" w:hAnsi="Arial" w:cs="Arial"/>
          <w:szCs w:val="24"/>
        </w:rPr>
        <w:t xml:space="preserve">, D. A., </w:t>
      </w:r>
      <w:proofErr w:type="spellStart"/>
      <w:r w:rsidRPr="00A05552">
        <w:rPr>
          <w:rFonts w:ascii="Arial" w:hAnsi="Arial" w:cs="Arial"/>
          <w:szCs w:val="24"/>
        </w:rPr>
        <w:t>Mallad</w:t>
      </w:r>
      <w:proofErr w:type="spellEnd"/>
      <w:r w:rsidRPr="00A05552">
        <w:rPr>
          <w:rFonts w:ascii="Arial" w:hAnsi="Arial" w:cs="Arial"/>
          <w:szCs w:val="24"/>
        </w:rPr>
        <w:t xml:space="preserve">, H. M., </w:t>
      </w:r>
      <w:proofErr w:type="spellStart"/>
      <w:r w:rsidRPr="00A05552">
        <w:rPr>
          <w:rFonts w:ascii="Arial" w:hAnsi="Arial" w:cs="Arial"/>
          <w:szCs w:val="24"/>
        </w:rPr>
        <w:t>Takpere</w:t>
      </w:r>
      <w:proofErr w:type="spellEnd"/>
      <w:r w:rsidRPr="00A05552">
        <w:rPr>
          <w:rFonts w:ascii="Arial" w:hAnsi="Arial" w:cs="Arial"/>
          <w:szCs w:val="24"/>
        </w:rPr>
        <w:t xml:space="preserve">, S. M., </w:t>
      </w:r>
      <w:r w:rsidR="007E7EC6" w:rsidRPr="00A05552">
        <w:rPr>
          <w:rFonts w:ascii="Arial" w:hAnsi="Arial" w:cs="Arial"/>
          <w:szCs w:val="24"/>
        </w:rPr>
        <w:t>and</w:t>
      </w:r>
      <w:r w:rsidRPr="00A05552">
        <w:rPr>
          <w:rFonts w:ascii="Arial" w:hAnsi="Arial" w:cs="Arial"/>
          <w:szCs w:val="24"/>
        </w:rPr>
        <w:t xml:space="preserve"> </w:t>
      </w:r>
      <w:proofErr w:type="spellStart"/>
      <w:r w:rsidRPr="00A05552">
        <w:rPr>
          <w:rFonts w:ascii="Arial" w:hAnsi="Arial" w:cs="Arial"/>
          <w:szCs w:val="24"/>
        </w:rPr>
        <w:t>Sawant</w:t>
      </w:r>
      <w:proofErr w:type="spellEnd"/>
      <w:r w:rsidRPr="00A05552">
        <w:rPr>
          <w:rFonts w:ascii="Arial" w:hAnsi="Arial" w:cs="Arial"/>
          <w:szCs w:val="24"/>
        </w:rPr>
        <w:t>, V. A. (2024, January). A comprehensive analysis of artificial intelligence integration in electrical engineering. In </w:t>
      </w:r>
      <w:r w:rsidRPr="00A05552">
        <w:rPr>
          <w:rFonts w:ascii="Arial" w:hAnsi="Arial" w:cs="Arial"/>
          <w:i/>
          <w:iCs/>
          <w:szCs w:val="24"/>
        </w:rPr>
        <w:t>2024 5th International Conference on Mobile Computing and Sustainable Informatics (ICMCSI)</w:t>
      </w:r>
      <w:r w:rsidRPr="00A05552">
        <w:rPr>
          <w:rFonts w:ascii="Arial" w:hAnsi="Arial" w:cs="Arial"/>
          <w:szCs w:val="24"/>
        </w:rPr>
        <w:t> (pp. 484-491). IEEE.</w:t>
      </w:r>
    </w:p>
    <w:p w14:paraId="210B8A10" w14:textId="6210930E" w:rsidR="00EF1834" w:rsidRPr="00A05552" w:rsidRDefault="00EF1834" w:rsidP="00504CE9">
      <w:pPr>
        <w:rPr>
          <w:rFonts w:ascii="Arial" w:hAnsi="Arial" w:cs="Arial"/>
          <w:szCs w:val="24"/>
        </w:rPr>
      </w:pPr>
      <w:r w:rsidRPr="00A05552">
        <w:rPr>
          <w:rFonts w:ascii="Arial" w:hAnsi="Arial" w:cs="Arial"/>
          <w:szCs w:val="24"/>
        </w:rPr>
        <w:t xml:space="preserve">Robert, C. H., Jennifer, L. K., </w:t>
      </w:r>
      <w:r w:rsidR="007E7EC6" w:rsidRPr="00A05552">
        <w:rPr>
          <w:rFonts w:ascii="Arial" w:hAnsi="Arial" w:cs="Arial"/>
          <w:szCs w:val="24"/>
        </w:rPr>
        <w:t>and</w:t>
      </w:r>
      <w:r w:rsidRPr="00A05552">
        <w:rPr>
          <w:rFonts w:ascii="Arial" w:hAnsi="Arial" w:cs="Arial"/>
          <w:szCs w:val="24"/>
        </w:rPr>
        <w:t xml:space="preserve"> Todd, M. (2023). </w:t>
      </w:r>
      <w:r w:rsidRPr="00A05552">
        <w:rPr>
          <w:rFonts w:ascii="Arial" w:hAnsi="Arial" w:cs="Arial"/>
          <w:i/>
          <w:iCs/>
          <w:szCs w:val="24"/>
        </w:rPr>
        <w:t>Analysis for financial management</w:t>
      </w:r>
      <w:r w:rsidRPr="00A05552">
        <w:rPr>
          <w:rFonts w:ascii="Arial" w:hAnsi="Arial" w:cs="Arial"/>
          <w:szCs w:val="24"/>
        </w:rPr>
        <w:t>. McGraw-Hill Education.</w:t>
      </w:r>
    </w:p>
    <w:p w14:paraId="52BC422E" w14:textId="15616DBB" w:rsidR="00EF1834" w:rsidRPr="00A05552" w:rsidRDefault="00EF1834" w:rsidP="00504CE9">
      <w:pPr>
        <w:rPr>
          <w:rFonts w:ascii="Arial" w:hAnsi="Arial" w:cs="Arial"/>
          <w:szCs w:val="24"/>
        </w:rPr>
      </w:pPr>
      <w:r w:rsidRPr="00A05552">
        <w:rPr>
          <w:rFonts w:ascii="Arial" w:hAnsi="Arial" w:cs="Arial"/>
          <w:szCs w:val="24"/>
        </w:rPr>
        <w:t xml:space="preserve">Wang, L., Cheng, Y., Xiang, A., Zhang, J., </w:t>
      </w:r>
      <w:r w:rsidR="007E7EC6" w:rsidRPr="00A05552">
        <w:rPr>
          <w:rFonts w:ascii="Arial" w:hAnsi="Arial" w:cs="Arial"/>
          <w:szCs w:val="24"/>
        </w:rPr>
        <w:t>and</w:t>
      </w:r>
      <w:r w:rsidRPr="00A05552">
        <w:rPr>
          <w:rFonts w:ascii="Arial" w:hAnsi="Arial" w:cs="Arial"/>
          <w:szCs w:val="24"/>
        </w:rPr>
        <w:t xml:space="preserve"> Yang, H. (2024). Application of natural language processing in financial risk detection. </w:t>
      </w:r>
      <w:proofErr w:type="spellStart"/>
      <w:proofErr w:type="gramStart"/>
      <w:r w:rsidRPr="00A05552">
        <w:rPr>
          <w:rFonts w:ascii="Arial" w:hAnsi="Arial" w:cs="Arial"/>
          <w:i/>
          <w:iCs/>
          <w:szCs w:val="24"/>
        </w:rPr>
        <w:t>arXiv</w:t>
      </w:r>
      <w:proofErr w:type="spellEnd"/>
      <w:proofErr w:type="gramEnd"/>
      <w:r w:rsidRPr="00A05552">
        <w:rPr>
          <w:rFonts w:ascii="Arial" w:hAnsi="Arial" w:cs="Arial"/>
          <w:i/>
          <w:iCs/>
          <w:szCs w:val="24"/>
        </w:rPr>
        <w:t xml:space="preserve"> preprint arXiv:2406.09765</w:t>
      </w:r>
      <w:r w:rsidRPr="00A05552">
        <w:rPr>
          <w:rFonts w:ascii="Arial" w:hAnsi="Arial" w:cs="Arial"/>
          <w:szCs w:val="24"/>
        </w:rPr>
        <w:t>.</w:t>
      </w:r>
    </w:p>
    <w:p w14:paraId="1B43CBA9" w14:textId="77777777" w:rsidR="00EF1834" w:rsidRPr="00A05552" w:rsidRDefault="00EF1834" w:rsidP="00504CE9">
      <w:pPr>
        <w:rPr>
          <w:rFonts w:ascii="Arial" w:hAnsi="Arial" w:cs="Arial"/>
          <w:szCs w:val="24"/>
        </w:rPr>
      </w:pPr>
      <w:r w:rsidRPr="00A05552">
        <w:rPr>
          <w:rFonts w:ascii="Arial" w:hAnsi="Arial" w:cs="Arial"/>
          <w:szCs w:val="24"/>
        </w:rPr>
        <w:t>Wise, G. (2020). </w:t>
      </w:r>
      <w:r w:rsidRPr="00A05552">
        <w:rPr>
          <w:rFonts w:ascii="Arial" w:hAnsi="Arial" w:cs="Arial"/>
          <w:i/>
          <w:iCs/>
          <w:szCs w:val="24"/>
        </w:rPr>
        <w:t>Willis R. Whitney, general electric and the origins of US industrial research</w:t>
      </w:r>
      <w:r w:rsidRPr="00A05552">
        <w:rPr>
          <w:rFonts w:ascii="Arial" w:hAnsi="Arial" w:cs="Arial"/>
          <w:szCs w:val="24"/>
        </w:rPr>
        <w:t>. Plunkett Lake Press.</w:t>
      </w:r>
    </w:p>
    <w:p w14:paraId="12E8C9EB" w14:textId="77777777" w:rsidR="00EF1834" w:rsidRPr="00A05552" w:rsidRDefault="00EF1834" w:rsidP="00504CE9">
      <w:pPr>
        <w:rPr>
          <w:rFonts w:ascii="Arial" w:hAnsi="Arial" w:cs="Arial"/>
          <w:szCs w:val="24"/>
        </w:rPr>
      </w:pPr>
      <w:r w:rsidRPr="00A05552">
        <w:rPr>
          <w:rFonts w:ascii="Arial" w:hAnsi="Arial" w:cs="Arial"/>
          <w:szCs w:val="24"/>
        </w:rPr>
        <w:lastRenderedPageBreak/>
        <w:t xml:space="preserve">Xing, F. (2025). Designing heterogeneous </w:t>
      </w:r>
      <w:proofErr w:type="spellStart"/>
      <w:r w:rsidRPr="00A05552">
        <w:rPr>
          <w:rFonts w:ascii="Arial" w:hAnsi="Arial" w:cs="Arial"/>
          <w:szCs w:val="24"/>
        </w:rPr>
        <w:t>llm</w:t>
      </w:r>
      <w:proofErr w:type="spellEnd"/>
      <w:r w:rsidRPr="00A05552">
        <w:rPr>
          <w:rFonts w:ascii="Arial" w:hAnsi="Arial" w:cs="Arial"/>
          <w:szCs w:val="24"/>
        </w:rPr>
        <w:t xml:space="preserve"> agents for financial sentiment analysis. </w:t>
      </w:r>
      <w:r w:rsidRPr="00A05552">
        <w:rPr>
          <w:rFonts w:ascii="Arial" w:hAnsi="Arial" w:cs="Arial"/>
          <w:i/>
          <w:iCs/>
          <w:szCs w:val="24"/>
        </w:rPr>
        <w:t>ACM Transactions on Management Information Systems</w:t>
      </w:r>
      <w:r w:rsidRPr="00A05552">
        <w:rPr>
          <w:rFonts w:ascii="Arial" w:hAnsi="Arial" w:cs="Arial"/>
          <w:szCs w:val="24"/>
        </w:rPr>
        <w:t>, </w:t>
      </w:r>
      <w:r w:rsidRPr="00A05552">
        <w:rPr>
          <w:rFonts w:ascii="Arial" w:hAnsi="Arial" w:cs="Arial"/>
          <w:i/>
          <w:iCs/>
          <w:szCs w:val="24"/>
        </w:rPr>
        <w:t>16</w:t>
      </w:r>
      <w:r w:rsidRPr="00A05552">
        <w:rPr>
          <w:rFonts w:ascii="Arial" w:hAnsi="Arial" w:cs="Arial"/>
          <w:szCs w:val="24"/>
        </w:rPr>
        <w:t>(1), 1-24.</w:t>
      </w:r>
    </w:p>
    <w:p w14:paraId="079706B4" w14:textId="0FF904F0" w:rsidR="00EF1834" w:rsidRPr="00A05552" w:rsidRDefault="00EF1834" w:rsidP="00504CE9">
      <w:pPr>
        <w:rPr>
          <w:rFonts w:ascii="Arial" w:hAnsi="Arial" w:cs="Arial"/>
          <w:szCs w:val="24"/>
        </w:rPr>
      </w:pPr>
      <w:r w:rsidRPr="00A05552">
        <w:rPr>
          <w:rFonts w:ascii="Arial" w:hAnsi="Arial" w:cs="Arial"/>
          <w:szCs w:val="24"/>
        </w:rPr>
        <w:t xml:space="preserve">Zheng, H., Wu, J., Song, R., </w:t>
      </w:r>
      <w:proofErr w:type="spellStart"/>
      <w:r w:rsidRPr="00A05552">
        <w:rPr>
          <w:rFonts w:ascii="Arial" w:hAnsi="Arial" w:cs="Arial"/>
          <w:szCs w:val="24"/>
        </w:rPr>
        <w:t>Guo</w:t>
      </w:r>
      <w:proofErr w:type="spellEnd"/>
      <w:r w:rsidRPr="00A05552">
        <w:rPr>
          <w:rFonts w:ascii="Arial" w:hAnsi="Arial" w:cs="Arial"/>
          <w:szCs w:val="24"/>
        </w:rPr>
        <w:t xml:space="preserve">, L., </w:t>
      </w:r>
      <w:r w:rsidR="007E7EC6" w:rsidRPr="00A05552">
        <w:rPr>
          <w:rFonts w:ascii="Arial" w:hAnsi="Arial" w:cs="Arial"/>
          <w:szCs w:val="24"/>
        </w:rPr>
        <w:t>and</w:t>
      </w:r>
      <w:r w:rsidRPr="00A05552">
        <w:rPr>
          <w:rFonts w:ascii="Arial" w:hAnsi="Arial" w:cs="Arial"/>
          <w:szCs w:val="24"/>
        </w:rPr>
        <w:t xml:space="preserve"> Xu, Z. (2024). Predicting financial enterprise stocks and economic data trends using machine learning time series analysis.</w:t>
      </w:r>
    </w:p>
    <w:p w14:paraId="47E8E20F" w14:textId="15489D42" w:rsidR="00EF1834" w:rsidRPr="00A05552" w:rsidRDefault="00EF1834" w:rsidP="00504CE9">
      <w:pPr>
        <w:rPr>
          <w:rFonts w:ascii="Arial" w:hAnsi="Arial" w:cs="Arial"/>
          <w:szCs w:val="24"/>
        </w:rPr>
      </w:pPr>
      <w:r w:rsidRPr="00A05552">
        <w:rPr>
          <w:rFonts w:ascii="Arial" w:hAnsi="Arial" w:cs="Arial"/>
          <w:szCs w:val="24"/>
        </w:rPr>
        <w:t xml:space="preserve">Zheng, J., Xin, D., Cheng, Q., Tian, M., </w:t>
      </w:r>
      <w:r w:rsidR="007E7EC6" w:rsidRPr="00A05552">
        <w:rPr>
          <w:rFonts w:ascii="Arial" w:hAnsi="Arial" w:cs="Arial"/>
          <w:szCs w:val="24"/>
        </w:rPr>
        <w:t>and</w:t>
      </w:r>
      <w:r w:rsidRPr="00A05552">
        <w:rPr>
          <w:rFonts w:ascii="Arial" w:hAnsi="Arial" w:cs="Arial"/>
          <w:szCs w:val="24"/>
        </w:rPr>
        <w:t xml:space="preserve"> Yang, L. (2024). The random forest model for </w:t>
      </w:r>
      <w:proofErr w:type="spellStart"/>
      <w:r w:rsidRPr="00A05552">
        <w:rPr>
          <w:rFonts w:ascii="Arial" w:hAnsi="Arial" w:cs="Arial"/>
          <w:szCs w:val="24"/>
        </w:rPr>
        <w:t>analyzing</w:t>
      </w:r>
      <w:proofErr w:type="spellEnd"/>
      <w:r w:rsidRPr="00A05552">
        <w:rPr>
          <w:rFonts w:ascii="Arial" w:hAnsi="Arial" w:cs="Arial"/>
          <w:szCs w:val="24"/>
        </w:rPr>
        <w:t xml:space="preserve"> and forecasting </w:t>
      </w:r>
      <w:proofErr w:type="gramStart"/>
      <w:r w:rsidRPr="00A05552">
        <w:rPr>
          <w:rFonts w:ascii="Arial" w:hAnsi="Arial" w:cs="Arial"/>
          <w:szCs w:val="24"/>
        </w:rPr>
        <w:t>the us</w:t>
      </w:r>
      <w:proofErr w:type="gramEnd"/>
      <w:r w:rsidRPr="00A05552">
        <w:rPr>
          <w:rFonts w:ascii="Arial" w:hAnsi="Arial" w:cs="Arial"/>
          <w:szCs w:val="24"/>
        </w:rPr>
        <w:t xml:space="preserve"> stock market in the context of smart finance. </w:t>
      </w:r>
      <w:proofErr w:type="spellStart"/>
      <w:proofErr w:type="gramStart"/>
      <w:r w:rsidRPr="00A05552">
        <w:rPr>
          <w:rFonts w:ascii="Arial" w:hAnsi="Arial" w:cs="Arial"/>
          <w:i/>
          <w:iCs/>
          <w:szCs w:val="24"/>
        </w:rPr>
        <w:t>arXiv</w:t>
      </w:r>
      <w:proofErr w:type="spellEnd"/>
      <w:proofErr w:type="gramEnd"/>
      <w:r w:rsidRPr="00A05552">
        <w:rPr>
          <w:rFonts w:ascii="Arial" w:hAnsi="Arial" w:cs="Arial"/>
          <w:i/>
          <w:iCs/>
          <w:szCs w:val="24"/>
        </w:rPr>
        <w:t xml:space="preserve"> preprint arXiv:2402.17194</w:t>
      </w:r>
      <w:r w:rsidRPr="00A05552">
        <w:rPr>
          <w:rFonts w:ascii="Arial" w:hAnsi="Arial" w:cs="Arial"/>
          <w:szCs w:val="24"/>
        </w:rPr>
        <w:t>.</w:t>
      </w:r>
    </w:p>
    <w:p w14:paraId="4E231513" w14:textId="77777777" w:rsidR="00504CE9" w:rsidRPr="00A05552" w:rsidRDefault="00504CE9" w:rsidP="00124C67">
      <w:pPr>
        <w:rPr>
          <w:rFonts w:ascii="Arial" w:hAnsi="Arial" w:cs="Arial"/>
          <w:szCs w:val="24"/>
        </w:rPr>
      </w:pPr>
    </w:p>
    <w:p w14:paraId="67C1A1CD" w14:textId="77777777" w:rsidR="00504CE9" w:rsidRPr="00A05552" w:rsidRDefault="00504CE9" w:rsidP="00124C67">
      <w:pPr>
        <w:rPr>
          <w:rFonts w:ascii="Arial" w:hAnsi="Arial" w:cs="Arial"/>
          <w:szCs w:val="24"/>
        </w:rPr>
      </w:pPr>
    </w:p>
    <w:p w14:paraId="08CE740B" w14:textId="77777777" w:rsidR="00124C67" w:rsidRPr="00A05552" w:rsidRDefault="00124C67" w:rsidP="00124C67">
      <w:pPr>
        <w:rPr>
          <w:rFonts w:ascii="Arial" w:hAnsi="Arial" w:cs="Arial"/>
        </w:rPr>
      </w:pPr>
    </w:p>
    <w:p w14:paraId="16B74720" w14:textId="77777777" w:rsidR="00EF1834" w:rsidRPr="00A05552" w:rsidRDefault="00EF1834">
      <w:pPr>
        <w:spacing w:line="259" w:lineRule="auto"/>
        <w:jc w:val="left"/>
        <w:rPr>
          <w:rFonts w:ascii="Arial" w:eastAsiaTheme="majorEastAsia" w:hAnsi="Arial" w:cs="Arial"/>
          <w:b/>
          <w:sz w:val="32"/>
          <w:szCs w:val="24"/>
        </w:rPr>
      </w:pPr>
      <w:r w:rsidRPr="00A05552">
        <w:rPr>
          <w:rFonts w:ascii="Arial" w:hAnsi="Arial" w:cs="Arial"/>
        </w:rPr>
        <w:br w:type="page"/>
      </w:r>
    </w:p>
    <w:p w14:paraId="1C864AB5" w14:textId="5070E969" w:rsidR="00B94E97" w:rsidRPr="00A05552" w:rsidRDefault="00B94E97" w:rsidP="006B6F45">
      <w:pPr>
        <w:pStyle w:val="Heading1"/>
      </w:pPr>
      <w:bookmarkStart w:id="34" w:name="_Toc217247592"/>
      <w:r w:rsidRPr="00A05552">
        <w:lastRenderedPageBreak/>
        <w:t>Appendix</w:t>
      </w:r>
      <w:r w:rsidR="00F75588" w:rsidRPr="00A05552">
        <w:t xml:space="preserve"> 1: </w:t>
      </w:r>
      <w:r w:rsidRPr="00A05552">
        <w:t>Invest ratios necessary inputs</w:t>
      </w:r>
      <w:bookmarkEnd w:id="34"/>
    </w:p>
    <w:tbl>
      <w:tblPr>
        <w:tblStyle w:val="TableGrid"/>
        <w:tblW w:w="0" w:type="auto"/>
        <w:tblLook w:val="04A0" w:firstRow="1" w:lastRow="0" w:firstColumn="1" w:lastColumn="0" w:noHBand="0" w:noVBand="1"/>
      </w:tblPr>
      <w:tblGrid>
        <w:gridCol w:w="661"/>
        <w:gridCol w:w="2543"/>
        <w:gridCol w:w="2816"/>
        <w:gridCol w:w="3330"/>
      </w:tblGrid>
      <w:tr w:rsidR="00B94E97" w:rsidRPr="00A05552" w14:paraId="268D1344" w14:textId="77777777" w:rsidTr="00B94E97">
        <w:tc>
          <w:tcPr>
            <w:tcW w:w="0" w:type="auto"/>
            <w:hideMark/>
          </w:tcPr>
          <w:p w14:paraId="61BE16E4" w14:textId="77777777" w:rsidR="00B94E97" w:rsidRPr="00A05552" w:rsidRDefault="00B94E97" w:rsidP="00B94E97">
            <w:pPr>
              <w:spacing w:after="160"/>
              <w:rPr>
                <w:rFonts w:ascii="Arial" w:hAnsi="Arial" w:cs="Arial"/>
                <w:b/>
                <w:bCs/>
                <w:sz w:val="20"/>
                <w:szCs w:val="20"/>
              </w:rPr>
            </w:pPr>
            <w:r w:rsidRPr="00A05552">
              <w:rPr>
                <w:rFonts w:ascii="Arial" w:hAnsi="Arial" w:cs="Arial"/>
                <w:b/>
                <w:bCs/>
                <w:sz w:val="20"/>
                <w:szCs w:val="20"/>
              </w:rPr>
              <w:t>Year</w:t>
            </w:r>
          </w:p>
        </w:tc>
        <w:tc>
          <w:tcPr>
            <w:tcW w:w="0" w:type="auto"/>
            <w:hideMark/>
          </w:tcPr>
          <w:p w14:paraId="54810969" w14:textId="77777777" w:rsidR="00B94E97" w:rsidRPr="00A05552" w:rsidRDefault="00B94E97" w:rsidP="00B94E97">
            <w:pPr>
              <w:spacing w:after="160"/>
              <w:rPr>
                <w:rFonts w:ascii="Arial" w:hAnsi="Arial" w:cs="Arial"/>
                <w:b/>
                <w:bCs/>
                <w:sz w:val="20"/>
                <w:szCs w:val="20"/>
              </w:rPr>
            </w:pPr>
            <w:r w:rsidRPr="00A05552">
              <w:rPr>
                <w:rFonts w:ascii="Arial" w:hAnsi="Arial" w:cs="Arial"/>
                <w:b/>
                <w:bCs/>
                <w:sz w:val="20"/>
                <w:szCs w:val="20"/>
              </w:rPr>
              <w:t>Annual Dividend (Per Share)</w:t>
            </w:r>
          </w:p>
        </w:tc>
        <w:tc>
          <w:tcPr>
            <w:tcW w:w="0" w:type="auto"/>
            <w:hideMark/>
          </w:tcPr>
          <w:p w14:paraId="7552E027" w14:textId="77777777" w:rsidR="00B94E97" w:rsidRPr="00A05552" w:rsidRDefault="00B94E97" w:rsidP="00B94E97">
            <w:pPr>
              <w:spacing w:after="160"/>
              <w:rPr>
                <w:rFonts w:ascii="Arial" w:hAnsi="Arial" w:cs="Arial"/>
                <w:b/>
                <w:bCs/>
                <w:sz w:val="20"/>
                <w:szCs w:val="20"/>
              </w:rPr>
            </w:pPr>
            <w:r w:rsidRPr="00A05552">
              <w:rPr>
                <w:rFonts w:ascii="Arial" w:hAnsi="Arial" w:cs="Arial"/>
                <w:b/>
                <w:bCs/>
                <w:sz w:val="20"/>
                <w:szCs w:val="20"/>
              </w:rPr>
              <w:t>Basic EPS (Earnings Per Share)</w:t>
            </w:r>
          </w:p>
        </w:tc>
        <w:tc>
          <w:tcPr>
            <w:tcW w:w="0" w:type="auto"/>
            <w:hideMark/>
          </w:tcPr>
          <w:p w14:paraId="076E1E4D" w14:textId="77777777" w:rsidR="00B94E97" w:rsidRPr="00A05552" w:rsidRDefault="00B94E97" w:rsidP="00B94E97">
            <w:pPr>
              <w:spacing w:after="160"/>
              <w:rPr>
                <w:rFonts w:ascii="Arial" w:hAnsi="Arial" w:cs="Arial"/>
                <w:b/>
                <w:bCs/>
                <w:sz w:val="20"/>
                <w:szCs w:val="20"/>
              </w:rPr>
            </w:pPr>
            <w:r w:rsidRPr="00A05552">
              <w:rPr>
                <w:rFonts w:ascii="Arial" w:hAnsi="Arial" w:cs="Arial"/>
                <w:b/>
                <w:bCs/>
                <w:sz w:val="20"/>
                <w:szCs w:val="20"/>
              </w:rPr>
              <w:t>Year-End Stock Price (Adjusted Close)</w:t>
            </w:r>
          </w:p>
        </w:tc>
      </w:tr>
      <w:tr w:rsidR="00B94E97" w:rsidRPr="00A05552" w14:paraId="68EFC6AD" w14:textId="77777777" w:rsidTr="00B94E97">
        <w:tc>
          <w:tcPr>
            <w:tcW w:w="0" w:type="auto"/>
            <w:hideMark/>
          </w:tcPr>
          <w:p w14:paraId="0D28E063" w14:textId="77777777" w:rsidR="00B94E97" w:rsidRPr="00A05552" w:rsidRDefault="00B94E97" w:rsidP="00B94E97">
            <w:pPr>
              <w:spacing w:after="160"/>
              <w:rPr>
                <w:rFonts w:ascii="Arial" w:hAnsi="Arial" w:cs="Arial"/>
                <w:b/>
                <w:bCs/>
                <w:sz w:val="20"/>
                <w:szCs w:val="20"/>
              </w:rPr>
            </w:pPr>
            <w:r w:rsidRPr="00A05552">
              <w:rPr>
                <w:rFonts w:ascii="Arial" w:hAnsi="Arial" w:cs="Arial"/>
                <w:b/>
                <w:bCs/>
                <w:sz w:val="20"/>
                <w:szCs w:val="20"/>
              </w:rPr>
              <w:t>2024</w:t>
            </w:r>
          </w:p>
        </w:tc>
        <w:tc>
          <w:tcPr>
            <w:tcW w:w="0" w:type="auto"/>
            <w:hideMark/>
          </w:tcPr>
          <w:p w14:paraId="7434F0C8"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$1.12</w:t>
            </w:r>
          </w:p>
        </w:tc>
        <w:tc>
          <w:tcPr>
            <w:tcW w:w="0" w:type="auto"/>
            <w:hideMark/>
          </w:tcPr>
          <w:p w14:paraId="2E06190D"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$6.15</w:t>
            </w:r>
          </w:p>
        </w:tc>
        <w:tc>
          <w:tcPr>
            <w:tcW w:w="0" w:type="auto"/>
            <w:hideMark/>
          </w:tcPr>
          <w:p w14:paraId="3AFBCCE2"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$166.79</w:t>
            </w:r>
          </w:p>
        </w:tc>
      </w:tr>
      <w:tr w:rsidR="00B94E97" w:rsidRPr="00A05552" w14:paraId="5321E4D4" w14:textId="77777777" w:rsidTr="00B94E97">
        <w:tc>
          <w:tcPr>
            <w:tcW w:w="0" w:type="auto"/>
            <w:hideMark/>
          </w:tcPr>
          <w:p w14:paraId="51A5CD1D" w14:textId="77777777" w:rsidR="00B94E97" w:rsidRPr="00A05552" w:rsidRDefault="00B94E97" w:rsidP="00B94E97">
            <w:pPr>
              <w:spacing w:after="160"/>
              <w:rPr>
                <w:rFonts w:ascii="Arial" w:hAnsi="Arial" w:cs="Arial"/>
                <w:b/>
                <w:bCs/>
                <w:sz w:val="20"/>
                <w:szCs w:val="20"/>
              </w:rPr>
            </w:pPr>
            <w:r w:rsidRPr="00A05552">
              <w:rPr>
                <w:rFonts w:ascii="Arial" w:hAnsi="Arial" w:cs="Arial"/>
                <w:b/>
                <w:bCs/>
                <w:sz w:val="20"/>
                <w:szCs w:val="20"/>
              </w:rPr>
              <w:t>2023</w:t>
            </w:r>
          </w:p>
        </w:tc>
        <w:tc>
          <w:tcPr>
            <w:tcW w:w="0" w:type="auto"/>
            <w:hideMark/>
          </w:tcPr>
          <w:p w14:paraId="60BAAB73"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$0.32</w:t>
            </w:r>
          </w:p>
        </w:tc>
        <w:tc>
          <w:tcPr>
            <w:tcW w:w="0" w:type="auto"/>
            <w:hideMark/>
          </w:tcPr>
          <w:p w14:paraId="7450336A"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$8.44</w:t>
            </w:r>
          </w:p>
        </w:tc>
        <w:tc>
          <w:tcPr>
            <w:tcW w:w="0" w:type="auto"/>
            <w:hideMark/>
          </w:tcPr>
          <w:p w14:paraId="43D16524"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$101.81</w:t>
            </w:r>
          </w:p>
        </w:tc>
      </w:tr>
      <w:tr w:rsidR="00B94E97" w:rsidRPr="00A05552" w14:paraId="219305CC" w14:textId="77777777" w:rsidTr="00B94E97">
        <w:tc>
          <w:tcPr>
            <w:tcW w:w="0" w:type="auto"/>
            <w:hideMark/>
          </w:tcPr>
          <w:p w14:paraId="56546F2F" w14:textId="77777777" w:rsidR="00B94E97" w:rsidRPr="00A05552" w:rsidRDefault="00B94E97" w:rsidP="00B94E97">
            <w:pPr>
              <w:spacing w:after="160"/>
              <w:rPr>
                <w:rFonts w:ascii="Arial" w:hAnsi="Arial" w:cs="Arial"/>
                <w:b/>
                <w:bCs/>
                <w:sz w:val="20"/>
                <w:szCs w:val="20"/>
              </w:rPr>
            </w:pPr>
            <w:r w:rsidRPr="00A05552">
              <w:rPr>
                <w:rFonts w:ascii="Arial" w:hAnsi="Arial" w:cs="Arial"/>
                <w:b/>
                <w:bCs/>
                <w:sz w:val="20"/>
                <w:szCs w:val="20"/>
              </w:rPr>
              <w:t>2022</w:t>
            </w:r>
          </w:p>
        </w:tc>
        <w:tc>
          <w:tcPr>
            <w:tcW w:w="0" w:type="auto"/>
            <w:hideMark/>
          </w:tcPr>
          <w:p w14:paraId="003A3392"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$0.32</w:t>
            </w:r>
          </w:p>
        </w:tc>
        <w:tc>
          <w:tcPr>
            <w:tcW w:w="0" w:type="auto"/>
            <w:hideMark/>
          </w:tcPr>
          <w:p w14:paraId="53D9252E"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$0.97</w:t>
            </w:r>
          </w:p>
        </w:tc>
        <w:tc>
          <w:tcPr>
            <w:tcW w:w="0" w:type="auto"/>
            <w:hideMark/>
          </w:tcPr>
          <w:p w14:paraId="4C7437F1"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$52.15</w:t>
            </w:r>
          </w:p>
        </w:tc>
      </w:tr>
      <w:tr w:rsidR="00B94E97" w:rsidRPr="00A05552" w14:paraId="3FD57C5A" w14:textId="77777777" w:rsidTr="00B94E97">
        <w:tc>
          <w:tcPr>
            <w:tcW w:w="0" w:type="auto"/>
            <w:hideMark/>
          </w:tcPr>
          <w:p w14:paraId="20523682" w14:textId="77777777" w:rsidR="00B94E97" w:rsidRPr="00A05552" w:rsidRDefault="00B94E97" w:rsidP="00B94E97">
            <w:pPr>
              <w:spacing w:after="160"/>
              <w:rPr>
                <w:rFonts w:ascii="Arial" w:hAnsi="Arial" w:cs="Arial"/>
                <w:b/>
                <w:bCs/>
                <w:sz w:val="20"/>
                <w:szCs w:val="20"/>
              </w:rPr>
            </w:pPr>
            <w:r w:rsidRPr="00A05552">
              <w:rPr>
                <w:rFonts w:ascii="Arial" w:hAnsi="Arial" w:cs="Arial"/>
                <w:b/>
                <w:bCs/>
                <w:sz w:val="20"/>
                <w:szCs w:val="20"/>
              </w:rPr>
              <w:t>2021</w:t>
            </w:r>
          </w:p>
        </w:tc>
        <w:tc>
          <w:tcPr>
            <w:tcW w:w="0" w:type="auto"/>
            <w:hideMark/>
          </w:tcPr>
          <w:p w14:paraId="0D01D313"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$0.32</w:t>
            </w:r>
          </w:p>
        </w:tc>
        <w:tc>
          <w:tcPr>
            <w:tcW w:w="0" w:type="auto"/>
            <w:hideMark/>
          </w:tcPr>
          <w:p w14:paraId="1A0B3C13"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-$6.00</w:t>
            </w:r>
          </w:p>
        </w:tc>
        <w:tc>
          <w:tcPr>
            <w:tcW w:w="0" w:type="auto"/>
            <w:hideMark/>
          </w:tcPr>
          <w:p w14:paraId="3C0C52E9"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$58.79</w:t>
            </w:r>
          </w:p>
        </w:tc>
      </w:tr>
      <w:tr w:rsidR="00B94E97" w:rsidRPr="00A05552" w14:paraId="1C971856" w14:textId="77777777" w:rsidTr="00B94E97">
        <w:tc>
          <w:tcPr>
            <w:tcW w:w="0" w:type="auto"/>
            <w:hideMark/>
          </w:tcPr>
          <w:p w14:paraId="7C105C03" w14:textId="77777777" w:rsidR="00B94E97" w:rsidRPr="00A05552" w:rsidRDefault="00B94E97" w:rsidP="00B94E97">
            <w:pPr>
              <w:spacing w:after="160"/>
              <w:rPr>
                <w:rFonts w:ascii="Arial" w:hAnsi="Arial" w:cs="Arial"/>
                <w:b/>
                <w:bCs/>
                <w:sz w:val="20"/>
                <w:szCs w:val="20"/>
              </w:rPr>
            </w:pPr>
            <w:r w:rsidRPr="00A05552">
              <w:rPr>
                <w:rFonts w:ascii="Arial" w:hAnsi="Arial" w:cs="Arial"/>
                <w:b/>
                <w:bCs/>
                <w:sz w:val="20"/>
                <w:szCs w:val="20"/>
              </w:rPr>
              <w:t>2020</w:t>
            </w:r>
          </w:p>
        </w:tc>
        <w:tc>
          <w:tcPr>
            <w:tcW w:w="0" w:type="auto"/>
            <w:hideMark/>
          </w:tcPr>
          <w:p w14:paraId="1AA6DEB2"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$0.32</w:t>
            </w:r>
          </w:p>
        </w:tc>
        <w:tc>
          <w:tcPr>
            <w:tcW w:w="0" w:type="auto"/>
            <w:hideMark/>
          </w:tcPr>
          <w:p w14:paraId="0EBA1308"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$5.46</w:t>
            </w:r>
          </w:p>
        </w:tc>
        <w:tc>
          <w:tcPr>
            <w:tcW w:w="0" w:type="auto"/>
            <w:hideMark/>
          </w:tcPr>
          <w:p w14:paraId="1378CE82" w14:textId="77777777" w:rsidR="00B94E97" w:rsidRPr="00A05552" w:rsidRDefault="00B94E97" w:rsidP="00B94E97">
            <w:pPr>
              <w:spacing w:after="160"/>
              <w:rPr>
                <w:rFonts w:ascii="Arial" w:hAnsi="Arial" w:cs="Arial"/>
                <w:bCs/>
                <w:sz w:val="20"/>
                <w:szCs w:val="20"/>
              </w:rPr>
            </w:pPr>
            <w:r w:rsidRPr="00A05552">
              <w:rPr>
                <w:rFonts w:ascii="Arial" w:hAnsi="Arial" w:cs="Arial"/>
                <w:bCs/>
                <w:sz w:val="20"/>
                <w:szCs w:val="20"/>
              </w:rPr>
              <w:t>$53.72</w:t>
            </w:r>
          </w:p>
        </w:tc>
      </w:tr>
    </w:tbl>
    <w:p w14:paraId="6D1789EC" w14:textId="77777777" w:rsidR="00B94E97" w:rsidRPr="00A05552" w:rsidRDefault="00B94E97" w:rsidP="00B54831">
      <w:pPr>
        <w:rPr>
          <w:rFonts w:ascii="Arial" w:hAnsi="Arial" w:cs="Arial"/>
          <w:b/>
          <w:bCs/>
        </w:rPr>
      </w:pPr>
    </w:p>
    <w:p w14:paraId="0CE8CC32" w14:textId="2F099BD7" w:rsidR="00F75588" w:rsidRPr="00A05552" w:rsidRDefault="00F75588" w:rsidP="00F75588">
      <w:pPr>
        <w:rPr>
          <w:rFonts w:ascii="Arial" w:hAnsi="Arial" w:cs="Arial"/>
          <w:lang w:val="en"/>
        </w:rPr>
      </w:pPr>
      <w:r w:rsidRPr="00A05552">
        <w:rPr>
          <w:rFonts w:ascii="Arial" w:hAnsi="Arial" w:cs="Arial"/>
          <w:lang w:val="en"/>
        </w:rPr>
        <w:t xml:space="preserve">Great catch flagging the IRR issue. Here is a </w:t>
      </w:r>
      <w:r w:rsidRPr="00A05552">
        <w:rPr>
          <w:rFonts w:ascii="Arial" w:hAnsi="Arial" w:cs="Arial"/>
          <w:b/>
          <w:bCs/>
          <w:lang w:val="en"/>
        </w:rPr>
        <w:t xml:space="preserve">clean, corrected, fully </w:t>
      </w:r>
      <w:proofErr w:type="spellStart"/>
      <w:r w:rsidRPr="00A05552">
        <w:rPr>
          <w:rFonts w:ascii="Arial" w:hAnsi="Arial" w:cs="Arial"/>
          <w:b/>
          <w:bCs/>
          <w:lang w:val="en"/>
        </w:rPr>
        <w:t>organised</w:t>
      </w:r>
      <w:proofErr w:type="spellEnd"/>
      <w:r w:rsidRPr="00A05552">
        <w:rPr>
          <w:rFonts w:ascii="Arial" w:hAnsi="Arial" w:cs="Arial"/>
          <w:b/>
          <w:bCs/>
          <w:lang w:val="en"/>
        </w:rPr>
        <w:t xml:space="preserve"> Appendix</w:t>
      </w:r>
      <w:r w:rsidRPr="00A05552">
        <w:rPr>
          <w:rFonts w:ascii="Arial" w:hAnsi="Arial" w:cs="Arial"/>
          <w:lang w:val="en"/>
        </w:rPr>
        <w:t xml:space="preserve"> for Section 5, with IRR workings fixed and everything laid out clearly in tables and Excel-friendly format.</w:t>
      </w:r>
    </w:p>
    <w:p w14:paraId="59EE4A74" w14:textId="1E291E26" w:rsidR="00F75588" w:rsidRPr="00A05552" w:rsidRDefault="00F75588" w:rsidP="006B6F45">
      <w:pPr>
        <w:pStyle w:val="Heading1"/>
        <w:rPr>
          <w:lang w:val="en"/>
        </w:rPr>
      </w:pPr>
      <w:bookmarkStart w:id="35" w:name="_Toc217247593"/>
      <w:r w:rsidRPr="00A05552">
        <w:rPr>
          <w:lang w:val="en"/>
        </w:rPr>
        <w:t>Appendix 2: Investment Appraisal Calculations (Projects A, B, C)</w:t>
      </w:r>
      <w:bookmarkEnd w:id="35"/>
    </w:p>
    <w:p w14:paraId="33ED0240" w14:textId="762C39BA" w:rsidR="00F75588" w:rsidRPr="00A05552" w:rsidRDefault="00F75588" w:rsidP="00F75588">
      <w:pPr>
        <w:rPr>
          <w:rFonts w:ascii="Arial" w:hAnsi="Arial" w:cs="Arial"/>
          <w:lang w:val="en"/>
        </w:rPr>
      </w:pPr>
      <w:r w:rsidRPr="00A05552">
        <w:rPr>
          <w:rFonts w:ascii="Arial" w:hAnsi="Arial" w:cs="Arial"/>
          <w:lang w:val="en"/>
        </w:rPr>
        <w:t xml:space="preserve">All amounts in £ million unless stated otherwise. Discount rate for NPV/PI = </w:t>
      </w:r>
      <w:r w:rsidRPr="00A05552">
        <w:rPr>
          <w:rFonts w:ascii="Arial" w:hAnsi="Arial" w:cs="Arial"/>
          <w:b/>
          <w:bCs/>
          <w:lang w:val="en"/>
        </w:rPr>
        <w:t>10%</w:t>
      </w:r>
      <w:r w:rsidRPr="00A05552">
        <w:rPr>
          <w:rFonts w:ascii="Arial" w:hAnsi="Arial" w:cs="Arial"/>
          <w:lang w:val="en"/>
        </w:rPr>
        <w:t xml:space="preserve">. Project lives = </w:t>
      </w:r>
      <w:r w:rsidRPr="00A05552">
        <w:rPr>
          <w:rFonts w:ascii="Arial" w:hAnsi="Arial" w:cs="Arial"/>
          <w:b/>
          <w:bCs/>
          <w:lang w:val="en"/>
        </w:rPr>
        <w:t>5 years</w:t>
      </w:r>
      <w:r w:rsidRPr="00A05552">
        <w:rPr>
          <w:rFonts w:ascii="Arial" w:hAnsi="Arial" w:cs="Arial"/>
          <w:lang w:val="en"/>
        </w:rPr>
        <w:t>, straight-line depreciation to zero.</w:t>
      </w:r>
    </w:p>
    <w:p w14:paraId="267C1F41" w14:textId="77777777" w:rsidR="00F75588" w:rsidRPr="00A05552" w:rsidRDefault="00F75588" w:rsidP="00F75588">
      <w:pPr>
        <w:rPr>
          <w:rFonts w:ascii="Arial" w:hAnsi="Arial" w:cs="Arial"/>
          <w:lang w:val="en"/>
        </w:rPr>
      </w:pPr>
      <w:r w:rsidRPr="00A05552">
        <w:rPr>
          <w:rFonts w:ascii="Arial" w:hAnsi="Arial" w:cs="Arial"/>
          <w:b/>
          <w:bCs/>
          <w:lang w:val="en"/>
        </w:rPr>
        <w:t>A1. Discount Factor Table at 10%</w:t>
      </w:r>
    </w:p>
    <w:tbl>
      <w:tblPr>
        <w:tblW w:w="0" w:type="auto"/>
        <w:tblLook w:val="0020" w:firstRow="1" w:lastRow="0" w:firstColumn="0" w:lastColumn="0" w:noHBand="0" w:noVBand="0"/>
      </w:tblPr>
      <w:tblGrid>
        <w:gridCol w:w="723"/>
        <w:gridCol w:w="1423"/>
        <w:gridCol w:w="1817"/>
      </w:tblGrid>
      <w:tr w:rsidR="00F75588" w:rsidRPr="00A05552" w14:paraId="0024E82E" w14:textId="77777777" w:rsidTr="00227CD9">
        <w:trPr>
          <w:tblHeader/>
        </w:trPr>
        <w:tc>
          <w:tcPr>
            <w:tcW w:w="0" w:type="auto"/>
            <w:tcBorders>
              <w:top w:val="single" w:sz="10" w:space="0" w:color="000000"/>
              <w:left w:val="single" w:sz="10" w:space="0" w:color="000000"/>
              <w:bottom w:val="single" w:sz="10" w:space="0" w:color="000000"/>
              <w:right w:val="single" w:sz="10" w:space="0" w:color="000000"/>
            </w:tcBorders>
            <w:vAlign w:val="center"/>
          </w:tcPr>
          <w:p w14:paraId="02C7B777" w14:textId="77777777" w:rsidR="00F75588" w:rsidRPr="00A05552" w:rsidRDefault="00F75588" w:rsidP="00F75588">
            <w:pPr>
              <w:rPr>
                <w:rFonts w:ascii="Arial" w:hAnsi="Arial" w:cs="Arial"/>
                <w:lang w:val="en"/>
              </w:rPr>
            </w:pPr>
            <w:r w:rsidRPr="00A05552">
              <w:rPr>
                <w:rFonts w:ascii="Arial" w:hAnsi="Arial" w:cs="Arial"/>
                <w:lang w:val="en"/>
              </w:rPr>
              <w:t>Year</w:t>
            </w:r>
          </w:p>
        </w:tc>
        <w:tc>
          <w:tcPr>
            <w:tcW w:w="0" w:type="auto"/>
            <w:tcBorders>
              <w:top w:val="single" w:sz="10" w:space="0" w:color="000000"/>
              <w:left w:val="single" w:sz="10" w:space="0" w:color="000000"/>
              <w:bottom w:val="single" w:sz="10" w:space="0" w:color="000000"/>
              <w:right w:val="single" w:sz="10" w:space="0" w:color="000000"/>
            </w:tcBorders>
            <w:vAlign w:val="center"/>
          </w:tcPr>
          <w:p w14:paraId="42D60235" w14:textId="77777777" w:rsidR="00F75588" w:rsidRPr="00A05552" w:rsidRDefault="00F75588" w:rsidP="00F75588">
            <w:pPr>
              <w:rPr>
                <w:rFonts w:ascii="Arial" w:hAnsi="Arial" w:cs="Arial"/>
                <w:lang w:val="en"/>
              </w:rPr>
            </w:pPr>
            <w:r w:rsidRPr="00A05552">
              <w:rPr>
                <w:rFonts w:ascii="Arial" w:hAnsi="Arial" w:cs="Arial"/>
                <w:lang w:val="en"/>
              </w:rPr>
              <w:t>Formula</w:t>
            </w:r>
          </w:p>
        </w:tc>
        <w:tc>
          <w:tcPr>
            <w:tcW w:w="0" w:type="auto"/>
            <w:tcBorders>
              <w:top w:val="single" w:sz="10" w:space="0" w:color="000000"/>
              <w:left w:val="single" w:sz="10" w:space="0" w:color="000000"/>
              <w:bottom w:val="single" w:sz="10" w:space="0" w:color="000000"/>
              <w:right w:val="single" w:sz="10" w:space="0" w:color="000000"/>
            </w:tcBorders>
            <w:vAlign w:val="center"/>
          </w:tcPr>
          <w:p w14:paraId="271F8B04" w14:textId="77777777" w:rsidR="00F75588" w:rsidRPr="00A05552" w:rsidRDefault="00F75588" w:rsidP="00F75588">
            <w:pPr>
              <w:rPr>
                <w:rFonts w:ascii="Arial" w:hAnsi="Arial" w:cs="Arial"/>
                <w:lang w:val="en"/>
              </w:rPr>
            </w:pPr>
            <w:r w:rsidRPr="00A05552">
              <w:rPr>
                <w:rFonts w:ascii="Arial" w:hAnsi="Arial" w:cs="Arial"/>
                <w:lang w:val="en"/>
              </w:rPr>
              <w:t>Discount factor</w:t>
            </w:r>
          </w:p>
        </w:tc>
      </w:tr>
      <w:tr w:rsidR="00F75588" w:rsidRPr="00A05552" w14:paraId="16309F49"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22EBEA61" w14:textId="77777777" w:rsidR="00F75588" w:rsidRPr="00A05552" w:rsidRDefault="00F75588" w:rsidP="00F75588">
            <w:pPr>
              <w:rPr>
                <w:rFonts w:ascii="Arial" w:hAnsi="Arial" w:cs="Arial"/>
                <w:lang w:val="en"/>
              </w:rPr>
            </w:pPr>
            <w:r w:rsidRPr="00A05552">
              <w:rPr>
                <w:rFonts w:ascii="Arial" w:hAnsi="Arial" w:cs="Arial"/>
                <w:lang w:val="en"/>
              </w:rPr>
              <w:t>1</w:t>
            </w:r>
          </w:p>
        </w:tc>
        <w:tc>
          <w:tcPr>
            <w:tcW w:w="0" w:type="auto"/>
            <w:tcBorders>
              <w:top w:val="single" w:sz="10" w:space="0" w:color="000000"/>
              <w:left w:val="single" w:sz="10" w:space="0" w:color="000000"/>
              <w:bottom w:val="single" w:sz="10" w:space="0" w:color="000000"/>
              <w:right w:val="single" w:sz="10" w:space="0" w:color="000000"/>
            </w:tcBorders>
          </w:tcPr>
          <w:p w14:paraId="4F8B5186" w14:textId="77777777" w:rsidR="00F75588" w:rsidRPr="00A05552" w:rsidRDefault="00F75588" w:rsidP="00F75588">
            <w:pPr>
              <w:rPr>
                <w:rFonts w:ascii="Arial" w:hAnsi="Arial" w:cs="Arial"/>
                <w:lang w:val="en"/>
              </w:rPr>
            </w:pPr>
            <w:r w:rsidRPr="00A05552">
              <w:rPr>
                <w:rFonts w:ascii="Arial" w:hAnsi="Arial" w:cs="Arial"/>
                <w:lang w:val="en"/>
              </w:rPr>
              <w:t>1 / (1.10)^1</w:t>
            </w:r>
          </w:p>
        </w:tc>
        <w:tc>
          <w:tcPr>
            <w:tcW w:w="0" w:type="auto"/>
            <w:tcBorders>
              <w:top w:val="single" w:sz="10" w:space="0" w:color="000000"/>
              <w:left w:val="single" w:sz="10" w:space="0" w:color="000000"/>
              <w:bottom w:val="single" w:sz="10" w:space="0" w:color="000000"/>
              <w:right w:val="single" w:sz="10" w:space="0" w:color="000000"/>
            </w:tcBorders>
          </w:tcPr>
          <w:p w14:paraId="2EC35214" w14:textId="77777777" w:rsidR="00F75588" w:rsidRPr="00A05552" w:rsidRDefault="00F75588" w:rsidP="00F75588">
            <w:pPr>
              <w:rPr>
                <w:rFonts w:ascii="Arial" w:hAnsi="Arial" w:cs="Arial"/>
                <w:lang w:val="en"/>
              </w:rPr>
            </w:pPr>
            <w:r w:rsidRPr="00A05552">
              <w:rPr>
                <w:rFonts w:ascii="Arial" w:hAnsi="Arial" w:cs="Arial"/>
                <w:lang w:val="en"/>
              </w:rPr>
              <w:t>0.9091</w:t>
            </w:r>
          </w:p>
        </w:tc>
      </w:tr>
      <w:tr w:rsidR="00F75588" w:rsidRPr="00A05552" w14:paraId="767E6CEB"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625B7B13" w14:textId="77777777" w:rsidR="00F75588" w:rsidRPr="00A05552" w:rsidRDefault="00F75588" w:rsidP="00F75588">
            <w:pPr>
              <w:rPr>
                <w:rFonts w:ascii="Arial" w:hAnsi="Arial" w:cs="Arial"/>
                <w:lang w:val="en"/>
              </w:rPr>
            </w:pPr>
            <w:r w:rsidRPr="00A05552">
              <w:rPr>
                <w:rFonts w:ascii="Arial" w:hAnsi="Arial" w:cs="Arial"/>
                <w:lang w:val="en"/>
              </w:rPr>
              <w:t>2</w:t>
            </w:r>
          </w:p>
        </w:tc>
        <w:tc>
          <w:tcPr>
            <w:tcW w:w="0" w:type="auto"/>
            <w:tcBorders>
              <w:top w:val="single" w:sz="10" w:space="0" w:color="000000"/>
              <w:left w:val="single" w:sz="10" w:space="0" w:color="000000"/>
              <w:bottom w:val="single" w:sz="10" w:space="0" w:color="000000"/>
              <w:right w:val="single" w:sz="10" w:space="0" w:color="000000"/>
            </w:tcBorders>
          </w:tcPr>
          <w:p w14:paraId="6A8D73A6" w14:textId="77777777" w:rsidR="00F75588" w:rsidRPr="00A05552" w:rsidRDefault="00F75588" w:rsidP="00F75588">
            <w:pPr>
              <w:rPr>
                <w:rFonts w:ascii="Arial" w:hAnsi="Arial" w:cs="Arial"/>
                <w:lang w:val="en"/>
              </w:rPr>
            </w:pPr>
            <w:r w:rsidRPr="00A05552">
              <w:rPr>
                <w:rFonts w:ascii="Arial" w:hAnsi="Arial" w:cs="Arial"/>
                <w:lang w:val="en"/>
              </w:rPr>
              <w:t>1 / (1.10)^2</w:t>
            </w:r>
          </w:p>
        </w:tc>
        <w:tc>
          <w:tcPr>
            <w:tcW w:w="0" w:type="auto"/>
            <w:tcBorders>
              <w:top w:val="single" w:sz="10" w:space="0" w:color="000000"/>
              <w:left w:val="single" w:sz="10" w:space="0" w:color="000000"/>
              <w:bottom w:val="single" w:sz="10" w:space="0" w:color="000000"/>
              <w:right w:val="single" w:sz="10" w:space="0" w:color="000000"/>
            </w:tcBorders>
          </w:tcPr>
          <w:p w14:paraId="4F9A88C9" w14:textId="77777777" w:rsidR="00F75588" w:rsidRPr="00A05552" w:rsidRDefault="00F75588" w:rsidP="00F75588">
            <w:pPr>
              <w:rPr>
                <w:rFonts w:ascii="Arial" w:hAnsi="Arial" w:cs="Arial"/>
                <w:lang w:val="en"/>
              </w:rPr>
            </w:pPr>
            <w:r w:rsidRPr="00A05552">
              <w:rPr>
                <w:rFonts w:ascii="Arial" w:hAnsi="Arial" w:cs="Arial"/>
                <w:lang w:val="en"/>
              </w:rPr>
              <w:t>0.8264</w:t>
            </w:r>
          </w:p>
        </w:tc>
      </w:tr>
      <w:tr w:rsidR="00F75588" w:rsidRPr="00A05552" w14:paraId="796AA279"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6B2574C5" w14:textId="77777777" w:rsidR="00F75588" w:rsidRPr="00A05552" w:rsidRDefault="00F75588" w:rsidP="00F75588">
            <w:pPr>
              <w:rPr>
                <w:rFonts w:ascii="Arial" w:hAnsi="Arial" w:cs="Arial"/>
                <w:lang w:val="en"/>
              </w:rPr>
            </w:pPr>
            <w:r w:rsidRPr="00A05552">
              <w:rPr>
                <w:rFonts w:ascii="Arial" w:hAnsi="Arial" w:cs="Arial"/>
                <w:lang w:val="en"/>
              </w:rPr>
              <w:t>3</w:t>
            </w:r>
          </w:p>
        </w:tc>
        <w:tc>
          <w:tcPr>
            <w:tcW w:w="0" w:type="auto"/>
            <w:tcBorders>
              <w:top w:val="single" w:sz="10" w:space="0" w:color="000000"/>
              <w:left w:val="single" w:sz="10" w:space="0" w:color="000000"/>
              <w:bottom w:val="single" w:sz="10" w:space="0" w:color="000000"/>
              <w:right w:val="single" w:sz="10" w:space="0" w:color="000000"/>
            </w:tcBorders>
          </w:tcPr>
          <w:p w14:paraId="16FD9E15" w14:textId="77777777" w:rsidR="00F75588" w:rsidRPr="00A05552" w:rsidRDefault="00F75588" w:rsidP="00F75588">
            <w:pPr>
              <w:rPr>
                <w:rFonts w:ascii="Arial" w:hAnsi="Arial" w:cs="Arial"/>
                <w:lang w:val="en"/>
              </w:rPr>
            </w:pPr>
            <w:r w:rsidRPr="00A05552">
              <w:rPr>
                <w:rFonts w:ascii="Arial" w:hAnsi="Arial" w:cs="Arial"/>
                <w:lang w:val="en"/>
              </w:rPr>
              <w:t>1 / (1.10)^3</w:t>
            </w:r>
          </w:p>
        </w:tc>
        <w:tc>
          <w:tcPr>
            <w:tcW w:w="0" w:type="auto"/>
            <w:tcBorders>
              <w:top w:val="single" w:sz="10" w:space="0" w:color="000000"/>
              <w:left w:val="single" w:sz="10" w:space="0" w:color="000000"/>
              <w:bottom w:val="single" w:sz="10" w:space="0" w:color="000000"/>
              <w:right w:val="single" w:sz="10" w:space="0" w:color="000000"/>
            </w:tcBorders>
          </w:tcPr>
          <w:p w14:paraId="1AA6507E" w14:textId="77777777" w:rsidR="00F75588" w:rsidRPr="00A05552" w:rsidRDefault="00F75588" w:rsidP="00F75588">
            <w:pPr>
              <w:rPr>
                <w:rFonts w:ascii="Arial" w:hAnsi="Arial" w:cs="Arial"/>
                <w:lang w:val="en"/>
              </w:rPr>
            </w:pPr>
            <w:r w:rsidRPr="00A05552">
              <w:rPr>
                <w:rFonts w:ascii="Arial" w:hAnsi="Arial" w:cs="Arial"/>
                <w:lang w:val="en"/>
              </w:rPr>
              <w:t>0.7513</w:t>
            </w:r>
          </w:p>
        </w:tc>
      </w:tr>
      <w:tr w:rsidR="00F75588" w:rsidRPr="00A05552" w14:paraId="69E9412F"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0AE7FEB6" w14:textId="77777777" w:rsidR="00F75588" w:rsidRPr="00A05552" w:rsidRDefault="00F75588" w:rsidP="00F75588">
            <w:pPr>
              <w:rPr>
                <w:rFonts w:ascii="Arial" w:hAnsi="Arial" w:cs="Arial"/>
                <w:lang w:val="en"/>
              </w:rPr>
            </w:pPr>
            <w:r w:rsidRPr="00A05552">
              <w:rPr>
                <w:rFonts w:ascii="Arial" w:hAnsi="Arial" w:cs="Arial"/>
                <w:lang w:val="en"/>
              </w:rPr>
              <w:t>4</w:t>
            </w:r>
          </w:p>
        </w:tc>
        <w:tc>
          <w:tcPr>
            <w:tcW w:w="0" w:type="auto"/>
            <w:tcBorders>
              <w:top w:val="single" w:sz="10" w:space="0" w:color="000000"/>
              <w:left w:val="single" w:sz="10" w:space="0" w:color="000000"/>
              <w:bottom w:val="single" w:sz="10" w:space="0" w:color="000000"/>
              <w:right w:val="single" w:sz="10" w:space="0" w:color="000000"/>
            </w:tcBorders>
          </w:tcPr>
          <w:p w14:paraId="01233E40" w14:textId="77777777" w:rsidR="00F75588" w:rsidRPr="00A05552" w:rsidRDefault="00F75588" w:rsidP="00F75588">
            <w:pPr>
              <w:rPr>
                <w:rFonts w:ascii="Arial" w:hAnsi="Arial" w:cs="Arial"/>
                <w:lang w:val="en"/>
              </w:rPr>
            </w:pPr>
            <w:r w:rsidRPr="00A05552">
              <w:rPr>
                <w:rFonts w:ascii="Arial" w:hAnsi="Arial" w:cs="Arial"/>
                <w:lang w:val="en"/>
              </w:rPr>
              <w:t>1 / (1.10)^4</w:t>
            </w:r>
          </w:p>
        </w:tc>
        <w:tc>
          <w:tcPr>
            <w:tcW w:w="0" w:type="auto"/>
            <w:tcBorders>
              <w:top w:val="single" w:sz="10" w:space="0" w:color="000000"/>
              <w:left w:val="single" w:sz="10" w:space="0" w:color="000000"/>
              <w:bottom w:val="single" w:sz="10" w:space="0" w:color="000000"/>
              <w:right w:val="single" w:sz="10" w:space="0" w:color="000000"/>
            </w:tcBorders>
          </w:tcPr>
          <w:p w14:paraId="4017BE38" w14:textId="77777777" w:rsidR="00F75588" w:rsidRPr="00A05552" w:rsidRDefault="00F75588" w:rsidP="00F75588">
            <w:pPr>
              <w:rPr>
                <w:rFonts w:ascii="Arial" w:hAnsi="Arial" w:cs="Arial"/>
                <w:lang w:val="en"/>
              </w:rPr>
            </w:pPr>
            <w:r w:rsidRPr="00A05552">
              <w:rPr>
                <w:rFonts w:ascii="Arial" w:hAnsi="Arial" w:cs="Arial"/>
                <w:lang w:val="en"/>
              </w:rPr>
              <w:t>0.6830</w:t>
            </w:r>
          </w:p>
        </w:tc>
      </w:tr>
      <w:tr w:rsidR="00F75588" w:rsidRPr="00A05552" w14:paraId="670E2A55"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3476A162" w14:textId="77777777" w:rsidR="00F75588" w:rsidRPr="00A05552" w:rsidRDefault="00F75588" w:rsidP="00F75588">
            <w:pPr>
              <w:rPr>
                <w:rFonts w:ascii="Arial" w:hAnsi="Arial" w:cs="Arial"/>
                <w:lang w:val="en"/>
              </w:rPr>
            </w:pPr>
            <w:r w:rsidRPr="00A05552">
              <w:rPr>
                <w:rFonts w:ascii="Arial" w:hAnsi="Arial" w:cs="Arial"/>
                <w:lang w:val="en"/>
              </w:rPr>
              <w:t>5</w:t>
            </w:r>
          </w:p>
        </w:tc>
        <w:tc>
          <w:tcPr>
            <w:tcW w:w="0" w:type="auto"/>
            <w:tcBorders>
              <w:top w:val="single" w:sz="10" w:space="0" w:color="000000"/>
              <w:left w:val="single" w:sz="10" w:space="0" w:color="000000"/>
              <w:bottom w:val="single" w:sz="10" w:space="0" w:color="000000"/>
              <w:right w:val="single" w:sz="10" w:space="0" w:color="000000"/>
            </w:tcBorders>
          </w:tcPr>
          <w:p w14:paraId="461A095D" w14:textId="77777777" w:rsidR="00F75588" w:rsidRPr="00A05552" w:rsidRDefault="00F75588" w:rsidP="00F75588">
            <w:pPr>
              <w:rPr>
                <w:rFonts w:ascii="Arial" w:hAnsi="Arial" w:cs="Arial"/>
                <w:lang w:val="en"/>
              </w:rPr>
            </w:pPr>
            <w:r w:rsidRPr="00A05552">
              <w:rPr>
                <w:rFonts w:ascii="Arial" w:hAnsi="Arial" w:cs="Arial"/>
                <w:lang w:val="en"/>
              </w:rPr>
              <w:t>1 / (1.10)^5</w:t>
            </w:r>
          </w:p>
        </w:tc>
        <w:tc>
          <w:tcPr>
            <w:tcW w:w="0" w:type="auto"/>
            <w:tcBorders>
              <w:top w:val="single" w:sz="10" w:space="0" w:color="000000"/>
              <w:left w:val="single" w:sz="10" w:space="0" w:color="000000"/>
              <w:bottom w:val="single" w:sz="10" w:space="0" w:color="000000"/>
              <w:right w:val="single" w:sz="10" w:space="0" w:color="000000"/>
            </w:tcBorders>
          </w:tcPr>
          <w:p w14:paraId="6FE609AD" w14:textId="77777777" w:rsidR="00F75588" w:rsidRPr="00A05552" w:rsidRDefault="00F75588" w:rsidP="00F75588">
            <w:pPr>
              <w:rPr>
                <w:rFonts w:ascii="Arial" w:hAnsi="Arial" w:cs="Arial"/>
                <w:lang w:val="en"/>
              </w:rPr>
            </w:pPr>
            <w:r w:rsidRPr="00A05552">
              <w:rPr>
                <w:rFonts w:ascii="Arial" w:hAnsi="Arial" w:cs="Arial"/>
                <w:lang w:val="en"/>
              </w:rPr>
              <w:t>0.6209</w:t>
            </w:r>
          </w:p>
        </w:tc>
      </w:tr>
    </w:tbl>
    <w:p w14:paraId="754BD757" w14:textId="4B0A6D32" w:rsidR="00F75588" w:rsidRPr="00A05552" w:rsidRDefault="00F75588" w:rsidP="00F75588">
      <w:pPr>
        <w:rPr>
          <w:rFonts w:ascii="Arial" w:hAnsi="Arial" w:cs="Arial"/>
          <w:lang w:val="en"/>
        </w:rPr>
      </w:pPr>
      <w:r w:rsidRPr="00A05552">
        <w:rPr>
          <w:rFonts w:ascii="Arial" w:hAnsi="Arial" w:cs="Arial"/>
          <w:lang w:val="en"/>
        </w:rPr>
        <w:t>(These can be generated in Excel with =1</w:t>
      </w:r>
      <w:proofErr w:type="gramStart"/>
      <w:r w:rsidRPr="00A05552">
        <w:rPr>
          <w:rFonts w:ascii="Arial" w:hAnsi="Arial" w:cs="Arial"/>
          <w:lang w:val="en"/>
        </w:rPr>
        <w:t>/(</w:t>
      </w:r>
      <w:proofErr w:type="gramEnd"/>
      <w:r w:rsidRPr="00A05552">
        <w:rPr>
          <w:rFonts w:ascii="Arial" w:hAnsi="Arial" w:cs="Arial"/>
          <w:lang w:val="en"/>
        </w:rPr>
        <w:t>1+10%)^A2.)</w:t>
      </w:r>
    </w:p>
    <w:p w14:paraId="799118F7" w14:textId="77777777" w:rsidR="00F75588" w:rsidRPr="00A05552" w:rsidRDefault="00F75588" w:rsidP="00F75588">
      <w:pPr>
        <w:rPr>
          <w:rFonts w:ascii="Arial" w:hAnsi="Arial" w:cs="Arial"/>
          <w:lang w:val="en"/>
        </w:rPr>
      </w:pPr>
      <w:r w:rsidRPr="00A05552">
        <w:rPr>
          <w:rFonts w:ascii="Arial" w:hAnsi="Arial" w:cs="Arial"/>
          <w:b/>
          <w:bCs/>
          <w:lang w:val="en"/>
        </w:rPr>
        <w:lastRenderedPageBreak/>
        <w:t>A2. Present Values, NPV and PI</w:t>
      </w:r>
    </w:p>
    <w:p w14:paraId="4E77BF61" w14:textId="77777777" w:rsidR="00F75588" w:rsidRPr="00A05552" w:rsidRDefault="00F75588" w:rsidP="00F75588">
      <w:pPr>
        <w:rPr>
          <w:rFonts w:ascii="Arial" w:hAnsi="Arial" w:cs="Arial"/>
          <w:lang w:val="en"/>
        </w:rPr>
      </w:pPr>
      <w:r w:rsidRPr="00A05552">
        <w:rPr>
          <w:rFonts w:ascii="Arial" w:hAnsi="Arial" w:cs="Arial"/>
          <w:b/>
          <w:bCs/>
          <w:lang w:val="en"/>
        </w:rPr>
        <w:t>Project A</w:t>
      </w:r>
    </w:p>
    <w:p w14:paraId="62F5CB9F" w14:textId="77777777" w:rsidR="00F75588" w:rsidRPr="00A05552" w:rsidRDefault="00F75588" w:rsidP="00F75588">
      <w:pPr>
        <w:rPr>
          <w:rFonts w:ascii="Arial" w:hAnsi="Arial" w:cs="Arial"/>
          <w:lang w:val="en"/>
        </w:rPr>
      </w:pPr>
      <w:r w:rsidRPr="00A05552">
        <w:rPr>
          <w:rFonts w:ascii="Arial" w:hAnsi="Arial" w:cs="Arial"/>
          <w:lang w:val="en"/>
        </w:rPr>
        <w:t>Initial investment = 40</w:t>
      </w:r>
    </w:p>
    <w:tbl>
      <w:tblPr>
        <w:tblW w:w="0" w:type="auto"/>
        <w:tblLook w:val="0020" w:firstRow="1" w:lastRow="0" w:firstColumn="0" w:lastColumn="0" w:noHBand="0" w:noVBand="0"/>
      </w:tblPr>
      <w:tblGrid>
        <w:gridCol w:w="2070"/>
        <w:gridCol w:w="1457"/>
        <w:gridCol w:w="1327"/>
        <w:gridCol w:w="2564"/>
      </w:tblGrid>
      <w:tr w:rsidR="00F75588" w:rsidRPr="00A05552" w14:paraId="1B825CAD" w14:textId="77777777" w:rsidTr="00227CD9">
        <w:trPr>
          <w:tblHeader/>
        </w:trPr>
        <w:tc>
          <w:tcPr>
            <w:tcW w:w="0" w:type="auto"/>
            <w:tcBorders>
              <w:top w:val="single" w:sz="10" w:space="0" w:color="000000"/>
              <w:left w:val="single" w:sz="10" w:space="0" w:color="000000"/>
              <w:bottom w:val="single" w:sz="10" w:space="0" w:color="000000"/>
              <w:right w:val="single" w:sz="10" w:space="0" w:color="000000"/>
            </w:tcBorders>
            <w:vAlign w:val="center"/>
          </w:tcPr>
          <w:p w14:paraId="0A91755F" w14:textId="77777777" w:rsidR="00F75588" w:rsidRPr="00A05552" w:rsidRDefault="00F75588" w:rsidP="00F75588">
            <w:pPr>
              <w:rPr>
                <w:rFonts w:ascii="Arial" w:hAnsi="Arial" w:cs="Arial"/>
                <w:lang w:val="en"/>
              </w:rPr>
            </w:pPr>
            <w:r w:rsidRPr="00A05552">
              <w:rPr>
                <w:rFonts w:ascii="Arial" w:hAnsi="Arial" w:cs="Arial"/>
                <w:lang w:val="en"/>
              </w:rPr>
              <w:t>Year</w:t>
            </w:r>
          </w:p>
        </w:tc>
        <w:tc>
          <w:tcPr>
            <w:tcW w:w="0" w:type="auto"/>
            <w:tcBorders>
              <w:top w:val="single" w:sz="10" w:space="0" w:color="000000"/>
              <w:left w:val="single" w:sz="10" w:space="0" w:color="000000"/>
              <w:bottom w:val="single" w:sz="10" w:space="0" w:color="000000"/>
              <w:right w:val="single" w:sz="10" w:space="0" w:color="000000"/>
            </w:tcBorders>
            <w:vAlign w:val="center"/>
          </w:tcPr>
          <w:p w14:paraId="0950727D" w14:textId="77777777" w:rsidR="00F75588" w:rsidRPr="00A05552" w:rsidRDefault="00F75588" w:rsidP="00F75588">
            <w:pPr>
              <w:rPr>
                <w:rFonts w:ascii="Arial" w:hAnsi="Arial" w:cs="Arial"/>
                <w:lang w:val="en"/>
              </w:rPr>
            </w:pPr>
            <w:r w:rsidRPr="00A05552">
              <w:rPr>
                <w:rFonts w:ascii="Arial" w:hAnsi="Arial" w:cs="Arial"/>
                <w:lang w:val="en"/>
              </w:rPr>
              <w:t>Cash inflow</w:t>
            </w:r>
          </w:p>
        </w:tc>
        <w:tc>
          <w:tcPr>
            <w:tcW w:w="0" w:type="auto"/>
            <w:tcBorders>
              <w:top w:val="single" w:sz="10" w:space="0" w:color="000000"/>
              <w:left w:val="single" w:sz="10" w:space="0" w:color="000000"/>
              <w:bottom w:val="single" w:sz="10" w:space="0" w:color="000000"/>
              <w:right w:val="single" w:sz="10" w:space="0" w:color="000000"/>
            </w:tcBorders>
            <w:vAlign w:val="center"/>
          </w:tcPr>
          <w:p w14:paraId="6E44E8FE" w14:textId="77777777" w:rsidR="00F75588" w:rsidRPr="00A05552" w:rsidRDefault="00F75588" w:rsidP="00F75588">
            <w:pPr>
              <w:rPr>
                <w:rFonts w:ascii="Arial" w:hAnsi="Arial" w:cs="Arial"/>
                <w:lang w:val="en"/>
              </w:rPr>
            </w:pPr>
            <w:r w:rsidRPr="00A05552">
              <w:rPr>
                <w:rFonts w:ascii="Arial" w:hAnsi="Arial" w:cs="Arial"/>
                <w:lang w:val="en"/>
              </w:rPr>
              <w:t>DF @10%</w:t>
            </w:r>
          </w:p>
        </w:tc>
        <w:tc>
          <w:tcPr>
            <w:tcW w:w="0" w:type="auto"/>
            <w:tcBorders>
              <w:top w:val="single" w:sz="10" w:space="0" w:color="000000"/>
              <w:left w:val="single" w:sz="10" w:space="0" w:color="000000"/>
              <w:bottom w:val="single" w:sz="10" w:space="0" w:color="000000"/>
              <w:right w:val="single" w:sz="10" w:space="0" w:color="000000"/>
            </w:tcBorders>
            <w:vAlign w:val="center"/>
          </w:tcPr>
          <w:p w14:paraId="64AB5254" w14:textId="77777777" w:rsidR="00F75588" w:rsidRPr="00A05552" w:rsidRDefault="00F75588" w:rsidP="00F75588">
            <w:pPr>
              <w:rPr>
                <w:rFonts w:ascii="Arial" w:hAnsi="Arial" w:cs="Arial"/>
                <w:lang w:val="en"/>
              </w:rPr>
            </w:pPr>
            <w:r w:rsidRPr="00A05552">
              <w:rPr>
                <w:rFonts w:ascii="Arial" w:hAnsi="Arial" w:cs="Arial"/>
                <w:lang w:val="en"/>
              </w:rPr>
              <w:t xml:space="preserve">PV inflow (in-cell </w:t>
            </w:r>
            <w:proofErr w:type="spellStart"/>
            <w:r w:rsidRPr="00A05552">
              <w:rPr>
                <w:rFonts w:ascii="Arial" w:hAnsi="Arial" w:cs="Arial"/>
                <w:lang w:val="en"/>
              </w:rPr>
              <w:t>calc</w:t>
            </w:r>
            <w:proofErr w:type="spellEnd"/>
            <w:r w:rsidRPr="00A05552">
              <w:rPr>
                <w:rFonts w:ascii="Arial" w:hAnsi="Arial" w:cs="Arial"/>
                <w:lang w:val="en"/>
              </w:rPr>
              <w:t>)</w:t>
            </w:r>
          </w:p>
        </w:tc>
      </w:tr>
      <w:tr w:rsidR="00F75588" w:rsidRPr="00A05552" w14:paraId="31DAEC4B"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732A0B7F" w14:textId="77777777" w:rsidR="00F75588" w:rsidRPr="00A05552" w:rsidRDefault="00F75588" w:rsidP="00F75588">
            <w:pPr>
              <w:rPr>
                <w:rFonts w:ascii="Arial" w:hAnsi="Arial" w:cs="Arial"/>
                <w:lang w:val="en"/>
              </w:rPr>
            </w:pPr>
            <w:r w:rsidRPr="00A05552">
              <w:rPr>
                <w:rFonts w:ascii="Arial" w:hAnsi="Arial" w:cs="Arial"/>
                <w:lang w:val="en"/>
              </w:rPr>
              <w:t>1</w:t>
            </w:r>
          </w:p>
        </w:tc>
        <w:tc>
          <w:tcPr>
            <w:tcW w:w="0" w:type="auto"/>
            <w:tcBorders>
              <w:top w:val="single" w:sz="10" w:space="0" w:color="000000"/>
              <w:left w:val="single" w:sz="10" w:space="0" w:color="000000"/>
              <w:bottom w:val="single" w:sz="10" w:space="0" w:color="000000"/>
              <w:right w:val="single" w:sz="10" w:space="0" w:color="000000"/>
            </w:tcBorders>
          </w:tcPr>
          <w:p w14:paraId="2F07FF40" w14:textId="77777777" w:rsidR="00F75588" w:rsidRPr="00A05552" w:rsidRDefault="00F75588" w:rsidP="00F75588">
            <w:pPr>
              <w:rPr>
                <w:rFonts w:ascii="Arial" w:hAnsi="Arial" w:cs="Arial"/>
                <w:lang w:val="en"/>
              </w:rPr>
            </w:pPr>
            <w:r w:rsidRPr="00A05552">
              <w:rPr>
                <w:rFonts w:ascii="Arial" w:hAnsi="Arial" w:cs="Arial"/>
                <w:lang w:val="en"/>
              </w:rPr>
              <w:t>10</w:t>
            </w:r>
          </w:p>
        </w:tc>
        <w:tc>
          <w:tcPr>
            <w:tcW w:w="0" w:type="auto"/>
            <w:tcBorders>
              <w:top w:val="single" w:sz="10" w:space="0" w:color="000000"/>
              <w:left w:val="single" w:sz="10" w:space="0" w:color="000000"/>
              <w:bottom w:val="single" w:sz="10" w:space="0" w:color="000000"/>
              <w:right w:val="single" w:sz="10" w:space="0" w:color="000000"/>
            </w:tcBorders>
          </w:tcPr>
          <w:p w14:paraId="60D7F451" w14:textId="77777777" w:rsidR="00F75588" w:rsidRPr="00A05552" w:rsidRDefault="00F75588" w:rsidP="00F75588">
            <w:pPr>
              <w:rPr>
                <w:rFonts w:ascii="Arial" w:hAnsi="Arial" w:cs="Arial"/>
                <w:lang w:val="en"/>
              </w:rPr>
            </w:pPr>
            <w:r w:rsidRPr="00A05552">
              <w:rPr>
                <w:rFonts w:ascii="Arial" w:hAnsi="Arial" w:cs="Arial"/>
                <w:lang w:val="en"/>
              </w:rPr>
              <w:t>0.9091</w:t>
            </w:r>
          </w:p>
        </w:tc>
        <w:tc>
          <w:tcPr>
            <w:tcW w:w="0" w:type="auto"/>
            <w:tcBorders>
              <w:top w:val="single" w:sz="10" w:space="0" w:color="000000"/>
              <w:left w:val="single" w:sz="10" w:space="0" w:color="000000"/>
              <w:bottom w:val="single" w:sz="10" w:space="0" w:color="000000"/>
              <w:right w:val="single" w:sz="10" w:space="0" w:color="000000"/>
            </w:tcBorders>
          </w:tcPr>
          <w:p w14:paraId="57C4BEDC" w14:textId="77777777" w:rsidR="00F75588" w:rsidRPr="00A05552" w:rsidRDefault="00F75588" w:rsidP="00F75588">
            <w:pPr>
              <w:rPr>
                <w:rFonts w:ascii="Arial" w:hAnsi="Arial" w:cs="Arial"/>
                <w:lang w:val="en"/>
              </w:rPr>
            </w:pPr>
            <w:r w:rsidRPr="00A05552">
              <w:rPr>
                <w:rFonts w:ascii="Arial" w:hAnsi="Arial" w:cs="Arial"/>
                <w:lang w:val="en"/>
              </w:rPr>
              <w:t>10×0.9091 = 9.091</w:t>
            </w:r>
          </w:p>
        </w:tc>
      </w:tr>
      <w:tr w:rsidR="00F75588" w:rsidRPr="00A05552" w14:paraId="626684E5"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36A7C214" w14:textId="77777777" w:rsidR="00F75588" w:rsidRPr="00A05552" w:rsidRDefault="00F75588" w:rsidP="00F75588">
            <w:pPr>
              <w:rPr>
                <w:rFonts w:ascii="Arial" w:hAnsi="Arial" w:cs="Arial"/>
                <w:lang w:val="en"/>
              </w:rPr>
            </w:pPr>
            <w:r w:rsidRPr="00A05552">
              <w:rPr>
                <w:rFonts w:ascii="Arial" w:hAnsi="Arial" w:cs="Arial"/>
                <w:lang w:val="en"/>
              </w:rPr>
              <w:t>2</w:t>
            </w:r>
          </w:p>
        </w:tc>
        <w:tc>
          <w:tcPr>
            <w:tcW w:w="0" w:type="auto"/>
            <w:tcBorders>
              <w:top w:val="single" w:sz="10" w:space="0" w:color="000000"/>
              <w:left w:val="single" w:sz="10" w:space="0" w:color="000000"/>
              <w:bottom w:val="single" w:sz="10" w:space="0" w:color="000000"/>
              <w:right w:val="single" w:sz="10" w:space="0" w:color="000000"/>
            </w:tcBorders>
          </w:tcPr>
          <w:p w14:paraId="5CCD4205" w14:textId="77777777" w:rsidR="00F75588" w:rsidRPr="00A05552" w:rsidRDefault="00F75588" w:rsidP="00F75588">
            <w:pPr>
              <w:rPr>
                <w:rFonts w:ascii="Arial" w:hAnsi="Arial" w:cs="Arial"/>
                <w:lang w:val="en"/>
              </w:rPr>
            </w:pPr>
            <w:r w:rsidRPr="00A05552">
              <w:rPr>
                <w:rFonts w:ascii="Arial" w:hAnsi="Arial" w:cs="Arial"/>
                <w:lang w:val="en"/>
              </w:rPr>
              <w:t>12</w:t>
            </w:r>
          </w:p>
        </w:tc>
        <w:tc>
          <w:tcPr>
            <w:tcW w:w="0" w:type="auto"/>
            <w:tcBorders>
              <w:top w:val="single" w:sz="10" w:space="0" w:color="000000"/>
              <w:left w:val="single" w:sz="10" w:space="0" w:color="000000"/>
              <w:bottom w:val="single" w:sz="10" w:space="0" w:color="000000"/>
              <w:right w:val="single" w:sz="10" w:space="0" w:color="000000"/>
            </w:tcBorders>
          </w:tcPr>
          <w:p w14:paraId="496AA1F7" w14:textId="77777777" w:rsidR="00F75588" w:rsidRPr="00A05552" w:rsidRDefault="00F75588" w:rsidP="00F75588">
            <w:pPr>
              <w:rPr>
                <w:rFonts w:ascii="Arial" w:hAnsi="Arial" w:cs="Arial"/>
                <w:lang w:val="en"/>
              </w:rPr>
            </w:pPr>
            <w:r w:rsidRPr="00A05552">
              <w:rPr>
                <w:rFonts w:ascii="Arial" w:hAnsi="Arial" w:cs="Arial"/>
                <w:lang w:val="en"/>
              </w:rPr>
              <w:t>0.8264</w:t>
            </w:r>
          </w:p>
        </w:tc>
        <w:tc>
          <w:tcPr>
            <w:tcW w:w="0" w:type="auto"/>
            <w:tcBorders>
              <w:top w:val="single" w:sz="10" w:space="0" w:color="000000"/>
              <w:left w:val="single" w:sz="10" w:space="0" w:color="000000"/>
              <w:bottom w:val="single" w:sz="10" w:space="0" w:color="000000"/>
              <w:right w:val="single" w:sz="10" w:space="0" w:color="000000"/>
            </w:tcBorders>
          </w:tcPr>
          <w:p w14:paraId="1AD46D01" w14:textId="77777777" w:rsidR="00F75588" w:rsidRPr="00A05552" w:rsidRDefault="00F75588" w:rsidP="00F75588">
            <w:pPr>
              <w:rPr>
                <w:rFonts w:ascii="Arial" w:hAnsi="Arial" w:cs="Arial"/>
                <w:lang w:val="en"/>
              </w:rPr>
            </w:pPr>
            <w:r w:rsidRPr="00A05552">
              <w:rPr>
                <w:rFonts w:ascii="Arial" w:hAnsi="Arial" w:cs="Arial"/>
                <w:lang w:val="en"/>
              </w:rPr>
              <w:t>12×0.8264 = 9.917</w:t>
            </w:r>
          </w:p>
        </w:tc>
      </w:tr>
      <w:tr w:rsidR="00F75588" w:rsidRPr="00A05552" w14:paraId="7FF4065E"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1205349D" w14:textId="77777777" w:rsidR="00F75588" w:rsidRPr="00A05552" w:rsidRDefault="00F75588" w:rsidP="00F75588">
            <w:pPr>
              <w:rPr>
                <w:rFonts w:ascii="Arial" w:hAnsi="Arial" w:cs="Arial"/>
                <w:lang w:val="en"/>
              </w:rPr>
            </w:pPr>
            <w:r w:rsidRPr="00A05552">
              <w:rPr>
                <w:rFonts w:ascii="Arial" w:hAnsi="Arial" w:cs="Arial"/>
                <w:lang w:val="en"/>
              </w:rPr>
              <w:t>3</w:t>
            </w:r>
          </w:p>
        </w:tc>
        <w:tc>
          <w:tcPr>
            <w:tcW w:w="0" w:type="auto"/>
            <w:tcBorders>
              <w:top w:val="single" w:sz="10" w:space="0" w:color="000000"/>
              <w:left w:val="single" w:sz="10" w:space="0" w:color="000000"/>
              <w:bottom w:val="single" w:sz="10" w:space="0" w:color="000000"/>
              <w:right w:val="single" w:sz="10" w:space="0" w:color="000000"/>
            </w:tcBorders>
          </w:tcPr>
          <w:p w14:paraId="6CC02254" w14:textId="77777777" w:rsidR="00F75588" w:rsidRPr="00A05552" w:rsidRDefault="00F75588" w:rsidP="00F75588">
            <w:pPr>
              <w:rPr>
                <w:rFonts w:ascii="Arial" w:hAnsi="Arial" w:cs="Arial"/>
                <w:lang w:val="en"/>
              </w:rPr>
            </w:pPr>
            <w:r w:rsidRPr="00A05552">
              <w:rPr>
                <w:rFonts w:ascii="Arial" w:hAnsi="Arial" w:cs="Arial"/>
                <w:lang w:val="en"/>
              </w:rPr>
              <w:t>14</w:t>
            </w:r>
          </w:p>
        </w:tc>
        <w:tc>
          <w:tcPr>
            <w:tcW w:w="0" w:type="auto"/>
            <w:tcBorders>
              <w:top w:val="single" w:sz="10" w:space="0" w:color="000000"/>
              <w:left w:val="single" w:sz="10" w:space="0" w:color="000000"/>
              <w:bottom w:val="single" w:sz="10" w:space="0" w:color="000000"/>
              <w:right w:val="single" w:sz="10" w:space="0" w:color="000000"/>
            </w:tcBorders>
          </w:tcPr>
          <w:p w14:paraId="21F1F2AB" w14:textId="77777777" w:rsidR="00F75588" w:rsidRPr="00A05552" w:rsidRDefault="00F75588" w:rsidP="00F75588">
            <w:pPr>
              <w:rPr>
                <w:rFonts w:ascii="Arial" w:hAnsi="Arial" w:cs="Arial"/>
                <w:lang w:val="en"/>
              </w:rPr>
            </w:pPr>
            <w:r w:rsidRPr="00A05552">
              <w:rPr>
                <w:rFonts w:ascii="Arial" w:hAnsi="Arial" w:cs="Arial"/>
                <w:lang w:val="en"/>
              </w:rPr>
              <w:t>0.7513</w:t>
            </w:r>
          </w:p>
        </w:tc>
        <w:tc>
          <w:tcPr>
            <w:tcW w:w="0" w:type="auto"/>
            <w:tcBorders>
              <w:top w:val="single" w:sz="10" w:space="0" w:color="000000"/>
              <w:left w:val="single" w:sz="10" w:space="0" w:color="000000"/>
              <w:bottom w:val="single" w:sz="10" w:space="0" w:color="000000"/>
              <w:right w:val="single" w:sz="10" w:space="0" w:color="000000"/>
            </w:tcBorders>
          </w:tcPr>
          <w:p w14:paraId="59F7513A" w14:textId="77777777" w:rsidR="00F75588" w:rsidRPr="00A05552" w:rsidRDefault="00F75588" w:rsidP="00F75588">
            <w:pPr>
              <w:rPr>
                <w:rFonts w:ascii="Arial" w:hAnsi="Arial" w:cs="Arial"/>
                <w:lang w:val="en"/>
              </w:rPr>
            </w:pPr>
            <w:r w:rsidRPr="00A05552">
              <w:rPr>
                <w:rFonts w:ascii="Arial" w:hAnsi="Arial" w:cs="Arial"/>
                <w:lang w:val="en"/>
              </w:rPr>
              <w:t>14×0.7513 = 10.518</w:t>
            </w:r>
          </w:p>
        </w:tc>
      </w:tr>
      <w:tr w:rsidR="00F75588" w:rsidRPr="00A05552" w14:paraId="3E0A54DC"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4FA53E5B" w14:textId="77777777" w:rsidR="00F75588" w:rsidRPr="00A05552" w:rsidRDefault="00F75588" w:rsidP="00F75588">
            <w:pPr>
              <w:rPr>
                <w:rFonts w:ascii="Arial" w:hAnsi="Arial" w:cs="Arial"/>
                <w:lang w:val="en"/>
              </w:rPr>
            </w:pPr>
            <w:r w:rsidRPr="00A05552">
              <w:rPr>
                <w:rFonts w:ascii="Arial" w:hAnsi="Arial" w:cs="Arial"/>
                <w:lang w:val="en"/>
              </w:rPr>
              <w:t>4</w:t>
            </w:r>
          </w:p>
        </w:tc>
        <w:tc>
          <w:tcPr>
            <w:tcW w:w="0" w:type="auto"/>
            <w:tcBorders>
              <w:top w:val="single" w:sz="10" w:space="0" w:color="000000"/>
              <w:left w:val="single" w:sz="10" w:space="0" w:color="000000"/>
              <w:bottom w:val="single" w:sz="10" w:space="0" w:color="000000"/>
              <w:right w:val="single" w:sz="10" w:space="0" w:color="000000"/>
            </w:tcBorders>
          </w:tcPr>
          <w:p w14:paraId="11560CCB" w14:textId="77777777" w:rsidR="00F75588" w:rsidRPr="00A05552" w:rsidRDefault="00F75588" w:rsidP="00F75588">
            <w:pPr>
              <w:rPr>
                <w:rFonts w:ascii="Arial" w:hAnsi="Arial" w:cs="Arial"/>
                <w:lang w:val="en"/>
              </w:rPr>
            </w:pPr>
            <w:r w:rsidRPr="00A05552">
              <w:rPr>
                <w:rFonts w:ascii="Arial" w:hAnsi="Arial" w:cs="Arial"/>
                <w:lang w:val="en"/>
              </w:rPr>
              <w:t>10</w:t>
            </w:r>
          </w:p>
        </w:tc>
        <w:tc>
          <w:tcPr>
            <w:tcW w:w="0" w:type="auto"/>
            <w:tcBorders>
              <w:top w:val="single" w:sz="10" w:space="0" w:color="000000"/>
              <w:left w:val="single" w:sz="10" w:space="0" w:color="000000"/>
              <w:bottom w:val="single" w:sz="10" w:space="0" w:color="000000"/>
              <w:right w:val="single" w:sz="10" w:space="0" w:color="000000"/>
            </w:tcBorders>
          </w:tcPr>
          <w:p w14:paraId="2D357228" w14:textId="77777777" w:rsidR="00F75588" w:rsidRPr="00A05552" w:rsidRDefault="00F75588" w:rsidP="00F75588">
            <w:pPr>
              <w:rPr>
                <w:rFonts w:ascii="Arial" w:hAnsi="Arial" w:cs="Arial"/>
                <w:lang w:val="en"/>
              </w:rPr>
            </w:pPr>
            <w:r w:rsidRPr="00A05552">
              <w:rPr>
                <w:rFonts w:ascii="Arial" w:hAnsi="Arial" w:cs="Arial"/>
                <w:lang w:val="en"/>
              </w:rPr>
              <w:t>0.6830</w:t>
            </w:r>
          </w:p>
        </w:tc>
        <w:tc>
          <w:tcPr>
            <w:tcW w:w="0" w:type="auto"/>
            <w:tcBorders>
              <w:top w:val="single" w:sz="10" w:space="0" w:color="000000"/>
              <w:left w:val="single" w:sz="10" w:space="0" w:color="000000"/>
              <w:bottom w:val="single" w:sz="10" w:space="0" w:color="000000"/>
              <w:right w:val="single" w:sz="10" w:space="0" w:color="000000"/>
            </w:tcBorders>
          </w:tcPr>
          <w:p w14:paraId="76693B06" w14:textId="77777777" w:rsidR="00F75588" w:rsidRPr="00A05552" w:rsidRDefault="00F75588" w:rsidP="00F75588">
            <w:pPr>
              <w:rPr>
                <w:rFonts w:ascii="Arial" w:hAnsi="Arial" w:cs="Arial"/>
                <w:lang w:val="en"/>
              </w:rPr>
            </w:pPr>
            <w:r w:rsidRPr="00A05552">
              <w:rPr>
                <w:rFonts w:ascii="Arial" w:hAnsi="Arial" w:cs="Arial"/>
                <w:lang w:val="en"/>
              </w:rPr>
              <w:t>10×0.6830 = 6.830</w:t>
            </w:r>
          </w:p>
        </w:tc>
      </w:tr>
      <w:tr w:rsidR="00F75588" w:rsidRPr="00A05552" w14:paraId="53712463"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2D66432E" w14:textId="77777777" w:rsidR="00F75588" w:rsidRPr="00A05552" w:rsidRDefault="00F75588" w:rsidP="00F75588">
            <w:pPr>
              <w:rPr>
                <w:rFonts w:ascii="Arial" w:hAnsi="Arial" w:cs="Arial"/>
                <w:lang w:val="en"/>
              </w:rPr>
            </w:pPr>
            <w:r w:rsidRPr="00A05552">
              <w:rPr>
                <w:rFonts w:ascii="Arial" w:hAnsi="Arial" w:cs="Arial"/>
                <w:lang w:val="en"/>
              </w:rPr>
              <w:t>5</w:t>
            </w:r>
          </w:p>
        </w:tc>
        <w:tc>
          <w:tcPr>
            <w:tcW w:w="0" w:type="auto"/>
            <w:tcBorders>
              <w:top w:val="single" w:sz="10" w:space="0" w:color="000000"/>
              <w:left w:val="single" w:sz="10" w:space="0" w:color="000000"/>
              <w:bottom w:val="single" w:sz="10" w:space="0" w:color="000000"/>
              <w:right w:val="single" w:sz="10" w:space="0" w:color="000000"/>
            </w:tcBorders>
          </w:tcPr>
          <w:p w14:paraId="472C0B96" w14:textId="77777777" w:rsidR="00F75588" w:rsidRPr="00A05552" w:rsidRDefault="00F75588" w:rsidP="00F75588">
            <w:pPr>
              <w:rPr>
                <w:rFonts w:ascii="Arial" w:hAnsi="Arial" w:cs="Arial"/>
                <w:lang w:val="en"/>
              </w:rPr>
            </w:pPr>
            <w:r w:rsidRPr="00A05552">
              <w:rPr>
                <w:rFonts w:ascii="Arial" w:hAnsi="Arial" w:cs="Arial"/>
                <w:lang w:val="en"/>
              </w:rPr>
              <w:t>8</w:t>
            </w:r>
          </w:p>
        </w:tc>
        <w:tc>
          <w:tcPr>
            <w:tcW w:w="0" w:type="auto"/>
            <w:tcBorders>
              <w:top w:val="single" w:sz="10" w:space="0" w:color="000000"/>
              <w:left w:val="single" w:sz="10" w:space="0" w:color="000000"/>
              <w:bottom w:val="single" w:sz="10" w:space="0" w:color="000000"/>
              <w:right w:val="single" w:sz="10" w:space="0" w:color="000000"/>
            </w:tcBorders>
          </w:tcPr>
          <w:p w14:paraId="7FC54517" w14:textId="77777777" w:rsidR="00F75588" w:rsidRPr="00A05552" w:rsidRDefault="00F75588" w:rsidP="00F75588">
            <w:pPr>
              <w:rPr>
                <w:rFonts w:ascii="Arial" w:hAnsi="Arial" w:cs="Arial"/>
                <w:lang w:val="en"/>
              </w:rPr>
            </w:pPr>
            <w:r w:rsidRPr="00A05552">
              <w:rPr>
                <w:rFonts w:ascii="Arial" w:hAnsi="Arial" w:cs="Arial"/>
                <w:lang w:val="en"/>
              </w:rPr>
              <w:t>0.6209</w:t>
            </w:r>
          </w:p>
        </w:tc>
        <w:tc>
          <w:tcPr>
            <w:tcW w:w="0" w:type="auto"/>
            <w:tcBorders>
              <w:top w:val="single" w:sz="10" w:space="0" w:color="000000"/>
              <w:left w:val="single" w:sz="10" w:space="0" w:color="000000"/>
              <w:bottom w:val="single" w:sz="10" w:space="0" w:color="000000"/>
              <w:right w:val="single" w:sz="10" w:space="0" w:color="000000"/>
            </w:tcBorders>
          </w:tcPr>
          <w:p w14:paraId="4DF88E1F" w14:textId="77777777" w:rsidR="00F75588" w:rsidRPr="00A05552" w:rsidRDefault="00F75588" w:rsidP="00F75588">
            <w:pPr>
              <w:rPr>
                <w:rFonts w:ascii="Arial" w:hAnsi="Arial" w:cs="Arial"/>
                <w:lang w:val="en"/>
              </w:rPr>
            </w:pPr>
            <w:r w:rsidRPr="00A05552">
              <w:rPr>
                <w:rFonts w:ascii="Arial" w:hAnsi="Arial" w:cs="Arial"/>
                <w:lang w:val="en"/>
              </w:rPr>
              <w:t>8×0.6209 = 4.967</w:t>
            </w:r>
          </w:p>
        </w:tc>
      </w:tr>
      <w:tr w:rsidR="00F75588" w:rsidRPr="00A05552" w14:paraId="4BB4E6FD"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368DBDBC" w14:textId="77777777" w:rsidR="00F75588" w:rsidRPr="00A05552" w:rsidRDefault="00F75588" w:rsidP="00F75588">
            <w:pPr>
              <w:rPr>
                <w:rFonts w:ascii="Arial" w:hAnsi="Arial" w:cs="Arial"/>
                <w:lang w:val="en"/>
              </w:rPr>
            </w:pPr>
            <w:r w:rsidRPr="00A05552">
              <w:rPr>
                <w:rFonts w:ascii="Arial" w:hAnsi="Arial" w:cs="Arial"/>
                <w:b/>
                <w:bCs/>
                <w:lang w:val="en"/>
              </w:rPr>
              <w:t>Total PV inflows</w:t>
            </w:r>
          </w:p>
        </w:tc>
        <w:tc>
          <w:tcPr>
            <w:tcW w:w="0" w:type="auto"/>
            <w:tcBorders>
              <w:top w:val="single" w:sz="10" w:space="0" w:color="000000"/>
              <w:left w:val="single" w:sz="10" w:space="0" w:color="000000"/>
              <w:bottom w:val="single" w:sz="10" w:space="0" w:color="000000"/>
              <w:right w:val="single" w:sz="10" w:space="0" w:color="000000"/>
            </w:tcBorders>
          </w:tcPr>
          <w:p w14:paraId="76B4B1FB" w14:textId="77777777" w:rsidR="00F75588" w:rsidRPr="00A05552" w:rsidRDefault="00F75588" w:rsidP="00F75588">
            <w:pPr>
              <w:rPr>
                <w:rFonts w:ascii="Arial" w:hAnsi="Arial" w:cs="Arial"/>
                <w:lang w:val="en"/>
              </w:rPr>
            </w:pPr>
          </w:p>
        </w:tc>
        <w:tc>
          <w:tcPr>
            <w:tcW w:w="0" w:type="auto"/>
            <w:tcBorders>
              <w:top w:val="single" w:sz="10" w:space="0" w:color="000000"/>
              <w:left w:val="single" w:sz="10" w:space="0" w:color="000000"/>
              <w:bottom w:val="single" w:sz="10" w:space="0" w:color="000000"/>
              <w:right w:val="single" w:sz="10" w:space="0" w:color="000000"/>
            </w:tcBorders>
          </w:tcPr>
          <w:p w14:paraId="0D1CDE7A" w14:textId="77777777" w:rsidR="00F75588" w:rsidRPr="00A05552" w:rsidRDefault="00F75588" w:rsidP="00F75588">
            <w:pPr>
              <w:rPr>
                <w:rFonts w:ascii="Arial" w:hAnsi="Arial" w:cs="Arial"/>
                <w:lang w:val="en"/>
              </w:rPr>
            </w:pPr>
          </w:p>
        </w:tc>
        <w:tc>
          <w:tcPr>
            <w:tcW w:w="0" w:type="auto"/>
            <w:tcBorders>
              <w:top w:val="single" w:sz="10" w:space="0" w:color="000000"/>
              <w:left w:val="single" w:sz="10" w:space="0" w:color="000000"/>
              <w:bottom w:val="single" w:sz="10" w:space="0" w:color="000000"/>
              <w:right w:val="single" w:sz="10" w:space="0" w:color="000000"/>
            </w:tcBorders>
          </w:tcPr>
          <w:p w14:paraId="278F9E34" w14:textId="77777777" w:rsidR="00F75588" w:rsidRPr="00A05552" w:rsidRDefault="00F75588" w:rsidP="00F75588">
            <w:pPr>
              <w:rPr>
                <w:rFonts w:ascii="Arial" w:hAnsi="Arial" w:cs="Arial"/>
                <w:lang w:val="en"/>
              </w:rPr>
            </w:pPr>
            <w:r w:rsidRPr="00A05552">
              <w:rPr>
                <w:rFonts w:ascii="Arial" w:hAnsi="Arial" w:cs="Arial"/>
                <w:b/>
                <w:bCs/>
                <w:lang w:val="en"/>
              </w:rPr>
              <w:t>41.323</w:t>
            </w:r>
          </w:p>
        </w:tc>
      </w:tr>
    </w:tbl>
    <w:p w14:paraId="760E574A" w14:textId="77777777" w:rsidR="00F75588" w:rsidRPr="00A05552" w:rsidRDefault="00F75588" w:rsidP="00F75588">
      <w:pPr>
        <w:numPr>
          <w:ilvl w:val="0"/>
          <w:numId w:val="24"/>
        </w:numPr>
        <w:rPr>
          <w:rFonts w:ascii="Arial" w:hAnsi="Arial" w:cs="Arial"/>
          <w:lang w:val="en"/>
        </w:rPr>
      </w:pPr>
      <w:r w:rsidRPr="00A05552">
        <w:rPr>
          <w:rFonts w:ascii="Arial" w:hAnsi="Arial" w:cs="Arial"/>
          <w:b/>
          <w:bCs/>
          <w:lang w:val="en"/>
        </w:rPr>
        <w:t>NPV(A)</w:t>
      </w:r>
      <w:r w:rsidRPr="00A05552">
        <w:rPr>
          <w:rFonts w:ascii="Arial" w:hAnsi="Arial" w:cs="Arial"/>
          <w:lang w:val="en"/>
        </w:rPr>
        <w:t xml:space="preserve"> = 41.323 − 40 = </w:t>
      </w:r>
      <w:r w:rsidRPr="00A05552">
        <w:rPr>
          <w:rFonts w:ascii="Arial" w:hAnsi="Arial" w:cs="Arial"/>
          <w:b/>
          <w:bCs/>
          <w:lang w:val="en"/>
        </w:rPr>
        <w:t>1.323</w:t>
      </w:r>
    </w:p>
    <w:p w14:paraId="38081889" w14:textId="4658B4B5" w:rsidR="00F75588" w:rsidRPr="00A05552" w:rsidRDefault="00F75588" w:rsidP="00F75588">
      <w:pPr>
        <w:numPr>
          <w:ilvl w:val="0"/>
          <w:numId w:val="24"/>
        </w:numPr>
        <w:rPr>
          <w:rFonts w:ascii="Arial" w:hAnsi="Arial" w:cs="Arial"/>
          <w:lang w:val="en"/>
        </w:rPr>
      </w:pPr>
      <w:r w:rsidRPr="00A05552">
        <w:rPr>
          <w:rFonts w:ascii="Arial" w:hAnsi="Arial" w:cs="Arial"/>
          <w:b/>
          <w:bCs/>
          <w:lang w:val="en"/>
        </w:rPr>
        <w:t>PI(A)</w:t>
      </w:r>
      <w:r w:rsidRPr="00A05552">
        <w:rPr>
          <w:rFonts w:ascii="Arial" w:hAnsi="Arial" w:cs="Arial"/>
          <w:lang w:val="en"/>
        </w:rPr>
        <w:t xml:space="preserve"> = 41.323 ÷ 40 = </w:t>
      </w:r>
      <w:r w:rsidRPr="00A05552">
        <w:rPr>
          <w:rFonts w:ascii="Arial" w:hAnsi="Arial" w:cs="Arial"/>
          <w:b/>
          <w:bCs/>
          <w:lang w:val="en"/>
        </w:rPr>
        <w:t>1.03</w:t>
      </w:r>
    </w:p>
    <w:p w14:paraId="29A2035B" w14:textId="77777777" w:rsidR="00F75588" w:rsidRPr="00A05552" w:rsidRDefault="00F75588" w:rsidP="00F75588">
      <w:pPr>
        <w:rPr>
          <w:rFonts w:ascii="Arial" w:hAnsi="Arial" w:cs="Arial"/>
          <w:lang w:val="en"/>
        </w:rPr>
      </w:pPr>
      <w:r w:rsidRPr="00A05552">
        <w:rPr>
          <w:rFonts w:ascii="Arial" w:hAnsi="Arial" w:cs="Arial"/>
          <w:b/>
          <w:bCs/>
          <w:lang w:val="en"/>
        </w:rPr>
        <w:t>Project B</w:t>
      </w:r>
    </w:p>
    <w:p w14:paraId="47678DC1" w14:textId="77777777" w:rsidR="00F75588" w:rsidRPr="00A05552" w:rsidRDefault="00F75588" w:rsidP="00F75588">
      <w:pPr>
        <w:rPr>
          <w:rFonts w:ascii="Arial" w:hAnsi="Arial" w:cs="Arial"/>
          <w:lang w:val="en"/>
        </w:rPr>
      </w:pPr>
      <w:r w:rsidRPr="00A05552">
        <w:rPr>
          <w:rFonts w:ascii="Arial" w:hAnsi="Arial" w:cs="Arial"/>
          <w:lang w:val="en"/>
        </w:rPr>
        <w:t>Initial investment = 30</w:t>
      </w:r>
    </w:p>
    <w:tbl>
      <w:tblPr>
        <w:tblW w:w="0" w:type="auto"/>
        <w:tblLook w:val="0020" w:firstRow="1" w:lastRow="0" w:firstColumn="0" w:lastColumn="0" w:noHBand="0" w:noVBand="0"/>
      </w:tblPr>
      <w:tblGrid>
        <w:gridCol w:w="2070"/>
        <w:gridCol w:w="1457"/>
        <w:gridCol w:w="1327"/>
        <w:gridCol w:w="2098"/>
      </w:tblGrid>
      <w:tr w:rsidR="00F75588" w:rsidRPr="00A05552" w14:paraId="446F5A9B" w14:textId="77777777" w:rsidTr="00227CD9">
        <w:trPr>
          <w:tblHeader/>
        </w:trPr>
        <w:tc>
          <w:tcPr>
            <w:tcW w:w="0" w:type="auto"/>
            <w:tcBorders>
              <w:top w:val="single" w:sz="10" w:space="0" w:color="000000"/>
              <w:left w:val="single" w:sz="10" w:space="0" w:color="000000"/>
              <w:bottom w:val="single" w:sz="10" w:space="0" w:color="000000"/>
              <w:right w:val="single" w:sz="10" w:space="0" w:color="000000"/>
            </w:tcBorders>
            <w:vAlign w:val="center"/>
          </w:tcPr>
          <w:p w14:paraId="6AB5FAD4" w14:textId="77777777" w:rsidR="00F75588" w:rsidRPr="00A05552" w:rsidRDefault="00F75588" w:rsidP="00F75588">
            <w:pPr>
              <w:rPr>
                <w:rFonts w:ascii="Arial" w:hAnsi="Arial" w:cs="Arial"/>
                <w:lang w:val="en"/>
              </w:rPr>
            </w:pPr>
            <w:r w:rsidRPr="00A05552">
              <w:rPr>
                <w:rFonts w:ascii="Arial" w:hAnsi="Arial" w:cs="Arial"/>
                <w:lang w:val="en"/>
              </w:rPr>
              <w:t>Year</w:t>
            </w:r>
          </w:p>
        </w:tc>
        <w:tc>
          <w:tcPr>
            <w:tcW w:w="0" w:type="auto"/>
            <w:tcBorders>
              <w:top w:val="single" w:sz="10" w:space="0" w:color="000000"/>
              <w:left w:val="single" w:sz="10" w:space="0" w:color="000000"/>
              <w:bottom w:val="single" w:sz="10" w:space="0" w:color="000000"/>
              <w:right w:val="single" w:sz="10" w:space="0" w:color="000000"/>
            </w:tcBorders>
            <w:vAlign w:val="center"/>
          </w:tcPr>
          <w:p w14:paraId="62648F6C" w14:textId="77777777" w:rsidR="00F75588" w:rsidRPr="00A05552" w:rsidRDefault="00F75588" w:rsidP="00F75588">
            <w:pPr>
              <w:rPr>
                <w:rFonts w:ascii="Arial" w:hAnsi="Arial" w:cs="Arial"/>
                <w:lang w:val="en"/>
              </w:rPr>
            </w:pPr>
            <w:r w:rsidRPr="00A05552">
              <w:rPr>
                <w:rFonts w:ascii="Arial" w:hAnsi="Arial" w:cs="Arial"/>
                <w:lang w:val="en"/>
              </w:rPr>
              <w:t>Cash inflow</w:t>
            </w:r>
          </w:p>
        </w:tc>
        <w:tc>
          <w:tcPr>
            <w:tcW w:w="0" w:type="auto"/>
            <w:tcBorders>
              <w:top w:val="single" w:sz="10" w:space="0" w:color="000000"/>
              <w:left w:val="single" w:sz="10" w:space="0" w:color="000000"/>
              <w:bottom w:val="single" w:sz="10" w:space="0" w:color="000000"/>
              <w:right w:val="single" w:sz="10" w:space="0" w:color="000000"/>
            </w:tcBorders>
            <w:vAlign w:val="center"/>
          </w:tcPr>
          <w:p w14:paraId="46DF1E77" w14:textId="77777777" w:rsidR="00F75588" w:rsidRPr="00A05552" w:rsidRDefault="00F75588" w:rsidP="00F75588">
            <w:pPr>
              <w:rPr>
                <w:rFonts w:ascii="Arial" w:hAnsi="Arial" w:cs="Arial"/>
                <w:lang w:val="en"/>
              </w:rPr>
            </w:pPr>
            <w:r w:rsidRPr="00A05552">
              <w:rPr>
                <w:rFonts w:ascii="Arial" w:hAnsi="Arial" w:cs="Arial"/>
                <w:lang w:val="en"/>
              </w:rPr>
              <w:t>DF @10%</w:t>
            </w:r>
          </w:p>
        </w:tc>
        <w:tc>
          <w:tcPr>
            <w:tcW w:w="0" w:type="auto"/>
            <w:tcBorders>
              <w:top w:val="single" w:sz="10" w:space="0" w:color="000000"/>
              <w:left w:val="single" w:sz="10" w:space="0" w:color="000000"/>
              <w:bottom w:val="single" w:sz="10" w:space="0" w:color="000000"/>
              <w:right w:val="single" w:sz="10" w:space="0" w:color="000000"/>
            </w:tcBorders>
            <w:vAlign w:val="center"/>
          </w:tcPr>
          <w:p w14:paraId="78A09B36" w14:textId="77777777" w:rsidR="00F75588" w:rsidRPr="00A05552" w:rsidRDefault="00F75588" w:rsidP="00F75588">
            <w:pPr>
              <w:rPr>
                <w:rFonts w:ascii="Arial" w:hAnsi="Arial" w:cs="Arial"/>
                <w:lang w:val="en"/>
              </w:rPr>
            </w:pPr>
            <w:r w:rsidRPr="00A05552">
              <w:rPr>
                <w:rFonts w:ascii="Arial" w:hAnsi="Arial" w:cs="Arial"/>
                <w:lang w:val="en"/>
              </w:rPr>
              <w:t>PV inflow</w:t>
            </w:r>
          </w:p>
        </w:tc>
      </w:tr>
      <w:tr w:rsidR="00F75588" w:rsidRPr="00A05552" w14:paraId="002C9774"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7EF3CD0A" w14:textId="77777777" w:rsidR="00F75588" w:rsidRPr="00A05552" w:rsidRDefault="00F75588" w:rsidP="00F75588">
            <w:pPr>
              <w:rPr>
                <w:rFonts w:ascii="Arial" w:hAnsi="Arial" w:cs="Arial"/>
                <w:lang w:val="en"/>
              </w:rPr>
            </w:pPr>
            <w:r w:rsidRPr="00A05552">
              <w:rPr>
                <w:rFonts w:ascii="Arial" w:hAnsi="Arial" w:cs="Arial"/>
                <w:lang w:val="en"/>
              </w:rPr>
              <w:t>1</w:t>
            </w:r>
          </w:p>
        </w:tc>
        <w:tc>
          <w:tcPr>
            <w:tcW w:w="0" w:type="auto"/>
            <w:tcBorders>
              <w:top w:val="single" w:sz="10" w:space="0" w:color="000000"/>
              <w:left w:val="single" w:sz="10" w:space="0" w:color="000000"/>
              <w:bottom w:val="single" w:sz="10" w:space="0" w:color="000000"/>
              <w:right w:val="single" w:sz="10" w:space="0" w:color="000000"/>
            </w:tcBorders>
          </w:tcPr>
          <w:p w14:paraId="6A0DE594" w14:textId="77777777" w:rsidR="00F75588" w:rsidRPr="00A05552" w:rsidRDefault="00F75588" w:rsidP="00F75588">
            <w:pPr>
              <w:rPr>
                <w:rFonts w:ascii="Arial" w:hAnsi="Arial" w:cs="Arial"/>
                <w:lang w:val="en"/>
              </w:rPr>
            </w:pPr>
            <w:r w:rsidRPr="00A05552">
              <w:rPr>
                <w:rFonts w:ascii="Arial" w:hAnsi="Arial" w:cs="Arial"/>
                <w:lang w:val="en"/>
              </w:rPr>
              <w:t>6</w:t>
            </w:r>
          </w:p>
        </w:tc>
        <w:tc>
          <w:tcPr>
            <w:tcW w:w="0" w:type="auto"/>
            <w:tcBorders>
              <w:top w:val="single" w:sz="10" w:space="0" w:color="000000"/>
              <w:left w:val="single" w:sz="10" w:space="0" w:color="000000"/>
              <w:bottom w:val="single" w:sz="10" w:space="0" w:color="000000"/>
              <w:right w:val="single" w:sz="10" w:space="0" w:color="000000"/>
            </w:tcBorders>
          </w:tcPr>
          <w:p w14:paraId="322D3CCD" w14:textId="77777777" w:rsidR="00F75588" w:rsidRPr="00A05552" w:rsidRDefault="00F75588" w:rsidP="00F75588">
            <w:pPr>
              <w:rPr>
                <w:rFonts w:ascii="Arial" w:hAnsi="Arial" w:cs="Arial"/>
                <w:lang w:val="en"/>
              </w:rPr>
            </w:pPr>
            <w:r w:rsidRPr="00A05552">
              <w:rPr>
                <w:rFonts w:ascii="Arial" w:hAnsi="Arial" w:cs="Arial"/>
                <w:lang w:val="en"/>
              </w:rPr>
              <w:t>0.9091</w:t>
            </w:r>
          </w:p>
        </w:tc>
        <w:tc>
          <w:tcPr>
            <w:tcW w:w="0" w:type="auto"/>
            <w:tcBorders>
              <w:top w:val="single" w:sz="10" w:space="0" w:color="000000"/>
              <w:left w:val="single" w:sz="10" w:space="0" w:color="000000"/>
              <w:bottom w:val="single" w:sz="10" w:space="0" w:color="000000"/>
              <w:right w:val="single" w:sz="10" w:space="0" w:color="000000"/>
            </w:tcBorders>
          </w:tcPr>
          <w:p w14:paraId="0C825CBE" w14:textId="77777777" w:rsidR="00F75588" w:rsidRPr="00A05552" w:rsidRDefault="00F75588" w:rsidP="00F75588">
            <w:pPr>
              <w:rPr>
                <w:rFonts w:ascii="Arial" w:hAnsi="Arial" w:cs="Arial"/>
                <w:lang w:val="en"/>
              </w:rPr>
            </w:pPr>
            <w:r w:rsidRPr="00A05552">
              <w:rPr>
                <w:rFonts w:ascii="Arial" w:hAnsi="Arial" w:cs="Arial"/>
                <w:lang w:val="en"/>
              </w:rPr>
              <w:t>6×0.9091 = 5.455</w:t>
            </w:r>
          </w:p>
        </w:tc>
      </w:tr>
      <w:tr w:rsidR="00F75588" w:rsidRPr="00A05552" w14:paraId="2CDAE5D3"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49BAF9FB" w14:textId="77777777" w:rsidR="00F75588" w:rsidRPr="00A05552" w:rsidRDefault="00F75588" w:rsidP="00F75588">
            <w:pPr>
              <w:rPr>
                <w:rFonts w:ascii="Arial" w:hAnsi="Arial" w:cs="Arial"/>
                <w:lang w:val="en"/>
              </w:rPr>
            </w:pPr>
            <w:r w:rsidRPr="00A05552">
              <w:rPr>
                <w:rFonts w:ascii="Arial" w:hAnsi="Arial" w:cs="Arial"/>
                <w:lang w:val="en"/>
              </w:rPr>
              <w:t>2</w:t>
            </w:r>
          </w:p>
        </w:tc>
        <w:tc>
          <w:tcPr>
            <w:tcW w:w="0" w:type="auto"/>
            <w:tcBorders>
              <w:top w:val="single" w:sz="10" w:space="0" w:color="000000"/>
              <w:left w:val="single" w:sz="10" w:space="0" w:color="000000"/>
              <w:bottom w:val="single" w:sz="10" w:space="0" w:color="000000"/>
              <w:right w:val="single" w:sz="10" w:space="0" w:color="000000"/>
            </w:tcBorders>
          </w:tcPr>
          <w:p w14:paraId="2514FEE8" w14:textId="77777777" w:rsidR="00F75588" w:rsidRPr="00A05552" w:rsidRDefault="00F75588" w:rsidP="00F75588">
            <w:pPr>
              <w:rPr>
                <w:rFonts w:ascii="Arial" w:hAnsi="Arial" w:cs="Arial"/>
                <w:lang w:val="en"/>
              </w:rPr>
            </w:pPr>
            <w:r w:rsidRPr="00A05552">
              <w:rPr>
                <w:rFonts w:ascii="Arial" w:hAnsi="Arial" w:cs="Arial"/>
                <w:lang w:val="en"/>
              </w:rPr>
              <w:t>6</w:t>
            </w:r>
          </w:p>
        </w:tc>
        <w:tc>
          <w:tcPr>
            <w:tcW w:w="0" w:type="auto"/>
            <w:tcBorders>
              <w:top w:val="single" w:sz="10" w:space="0" w:color="000000"/>
              <w:left w:val="single" w:sz="10" w:space="0" w:color="000000"/>
              <w:bottom w:val="single" w:sz="10" w:space="0" w:color="000000"/>
              <w:right w:val="single" w:sz="10" w:space="0" w:color="000000"/>
            </w:tcBorders>
          </w:tcPr>
          <w:p w14:paraId="3183E1A6" w14:textId="77777777" w:rsidR="00F75588" w:rsidRPr="00A05552" w:rsidRDefault="00F75588" w:rsidP="00F75588">
            <w:pPr>
              <w:rPr>
                <w:rFonts w:ascii="Arial" w:hAnsi="Arial" w:cs="Arial"/>
                <w:lang w:val="en"/>
              </w:rPr>
            </w:pPr>
            <w:r w:rsidRPr="00A05552">
              <w:rPr>
                <w:rFonts w:ascii="Arial" w:hAnsi="Arial" w:cs="Arial"/>
                <w:lang w:val="en"/>
              </w:rPr>
              <w:t>0.8264</w:t>
            </w:r>
          </w:p>
        </w:tc>
        <w:tc>
          <w:tcPr>
            <w:tcW w:w="0" w:type="auto"/>
            <w:tcBorders>
              <w:top w:val="single" w:sz="10" w:space="0" w:color="000000"/>
              <w:left w:val="single" w:sz="10" w:space="0" w:color="000000"/>
              <w:bottom w:val="single" w:sz="10" w:space="0" w:color="000000"/>
              <w:right w:val="single" w:sz="10" w:space="0" w:color="000000"/>
            </w:tcBorders>
          </w:tcPr>
          <w:p w14:paraId="2B746F34" w14:textId="77777777" w:rsidR="00F75588" w:rsidRPr="00A05552" w:rsidRDefault="00F75588" w:rsidP="00F75588">
            <w:pPr>
              <w:rPr>
                <w:rFonts w:ascii="Arial" w:hAnsi="Arial" w:cs="Arial"/>
                <w:lang w:val="en"/>
              </w:rPr>
            </w:pPr>
            <w:r w:rsidRPr="00A05552">
              <w:rPr>
                <w:rFonts w:ascii="Arial" w:hAnsi="Arial" w:cs="Arial"/>
                <w:lang w:val="en"/>
              </w:rPr>
              <w:t>4.958</w:t>
            </w:r>
          </w:p>
        </w:tc>
      </w:tr>
      <w:tr w:rsidR="00F75588" w:rsidRPr="00A05552" w14:paraId="76A22A7C"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64AF9183" w14:textId="77777777" w:rsidR="00F75588" w:rsidRPr="00A05552" w:rsidRDefault="00F75588" w:rsidP="00F75588">
            <w:pPr>
              <w:rPr>
                <w:rFonts w:ascii="Arial" w:hAnsi="Arial" w:cs="Arial"/>
                <w:lang w:val="en"/>
              </w:rPr>
            </w:pPr>
            <w:r w:rsidRPr="00A05552">
              <w:rPr>
                <w:rFonts w:ascii="Arial" w:hAnsi="Arial" w:cs="Arial"/>
                <w:lang w:val="en"/>
              </w:rPr>
              <w:t>3</w:t>
            </w:r>
          </w:p>
        </w:tc>
        <w:tc>
          <w:tcPr>
            <w:tcW w:w="0" w:type="auto"/>
            <w:tcBorders>
              <w:top w:val="single" w:sz="10" w:space="0" w:color="000000"/>
              <w:left w:val="single" w:sz="10" w:space="0" w:color="000000"/>
              <w:bottom w:val="single" w:sz="10" w:space="0" w:color="000000"/>
              <w:right w:val="single" w:sz="10" w:space="0" w:color="000000"/>
            </w:tcBorders>
          </w:tcPr>
          <w:p w14:paraId="3E6E41D4" w14:textId="77777777" w:rsidR="00F75588" w:rsidRPr="00A05552" w:rsidRDefault="00F75588" w:rsidP="00F75588">
            <w:pPr>
              <w:rPr>
                <w:rFonts w:ascii="Arial" w:hAnsi="Arial" w:cs="Arial"/>
                <w:lang w:val="en"/>
              </w:rPr>
            </w:pPr>
            <w:r w:rsidRPr="00A05552">
              <w:rPr>
                <w:rFonts w:ascii="Arial" w:hAnsi="Arial" w:cs="Arial"/>
                <w:lang w:val="en"/>
              </w:rPr>
              <w:t>6</w:t>
            </w:r>
          </w:p>
        </w:tc>
        <w:tc>
          <w:tcPr>
            <w:tcW w:w="0" w:type="auto"/>
            <w:tcBorders>
              <w:top w:val="single" w:sz="10" w:space="0" w:color="000000"/>
              <w:left w:val="single" w:sz="10" w:space="0" w:color="000000"/>
              <w:bottom w:val="single" w:sz="10" w:space="0" w:color="000000"/>
              <w:right w:val="single" w:sz="10" w:space="0" w:color="000000"/>
            </w:tcBorders>
          </w:tcPr>
          <w:p w14:paraId="26E049CB" w14:textId="77777777" w:rsidR="00F75588" w:rsidRPr="00A05552" w:rsidRDefault="00F75588" w:rsidP="00F75588">
            <w:pPr>
              <w:rPr>
                <w:rFonts w:ascii="Arial" w:hAnsi="Arial" w:cs="Arial"/>
                <w:lang w:val="en"/>
              </w:rPr>
            </w:pPr>
            <w:r w:rsidRPr="00A05552">
              <w:rPr>
                <w:rFonts w:ascii="Arial" w:hAnsi="Arial" w:cs="Arial"/>
                <w:lang w:val="en"/>
              </w:rPr>
              <w:t>0.7513</w:t>
            </w:r>
          </w:p>
        </w:tc>
        <w:tc>
          <w:tcPr>
            <w:tcW w:w="0" w:type="auto"/>
            <w:tcBorders>
              <w:top w:val="single" w:sz="10" w:space="0" w:color="000000"/>
              <w:left w:val="single" w:sz="10" w:space="0" w:color="000000"/>
              <w:bottom w:val="single" w:sz="10" w:space="0" w:color="000000"/>
              <w:right w:val="single" w:sz="10" w:space="0" w:color="000000"/>
            </w:tcBorders>
          </w:tcPr>
          <w:p w14:paraId="057BBA2E" w14:textId="77777777" w:rsidR="00F75588" w:rsidRPr="00A05552" w:rsidRDefault="00F75588" w:rsidP="00F75588">
            <w:pPr>
              <w:rPr>
                <w:rFonts w:ascii="Arial" w:hAnsi="Arial" w:cs="Arial"/>
                <w:lang w:val="en"/>
              </w:rPr>
            </w:pPr>
            <w:r w:rsidRPr="00A05552">
              <w:rPr>
                <w:rFonts w:ascii="Arial" w:hAnsi="Arial" w:cs="Arial"/>
                <w:lang w:val="en"/>
              </w:rPr>
              <w:t>4.508</w:t>
            </w:r>
          </w:p>
        </w:tc>
      </w:tr>
      <w:tr w:rsidR="00F75588" w:rsidRPr="00A05552" w14:paraId="4D49EF8C"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4644C498" w14:textId="77777777" w:rsidR="00F75588" w:rsidRPr="00A05552" w:rsidRDefault="00F75588" w:rsidP="00F75588">
            <w:pPr>
              <w:rPr>
                <w:rFonts w:ascii="Arial" w:hAnsi="Arial" w:cs="Arial"/>
                <w:lang w:val="en"/>
              </w:rPr>
            </w:pPr>
            <w:r w:rsidRPr="00A05552">
              <w:rPr>
                <w:rFonts w:ascii="Arial" w:hAnsi="Arial" w:cs="Arial"/>
                <w:lang w:val="en"/>
              </w:rPr>
              <w:t>4</w:t>
            </w:r>
          </w:p>
        </w:tc>
        <w:tc>
          <w:tcPr>
            <w:tcW w:w="0" w:type="auto"/>
            <w:tcBorders>
              <w:top w:val="single" w:sz="10" w:space="0" w:color="000000"/>
              <w:left w:val="single" w:sz="10" w:space="0" w:color="000000"/>
              <w:bottom w:val="single" w:sz="10" w:space="0" w:color="000000"/>
              <w:right w:val="single" w:sz="10" w:space="0" w:color="000000"/>
            </w:tcBorders>
          </w:tcPr>
          <w:p w14:paraId="5736C446" w14:textId="77777777" w:rsidR="00F75588" w:rsidRPr="00A05552" w:rsidRDefault="00F75588" w:rsidP="00F75588">
            <w:pPr>
              <w:rPr>
                <w:rFonts w:ascii="Arial" w:hAnsi="Arial" w:cs="Arial"/>
                <w:lang w:val="en"/>
              </w:rPr>
            </w:pPr>
            <w:r w:rsidRPr="00A05552">
              <w:rPr>
                <w:rFonts w:ascii="Arial" w:hAnsi="Arial" w:cs="Arial"/>
                <w:lang w:val="en"/>
              </w:rPr>
              <w:t>6</w:t>
            </w:r>
          </w:p>
        </w:tc>
        <w:tc>
          <w:tcPr>
            <w:tcW w:w="0" w:type="auto"/>
            <w:tcBorders>
              <w:top w:val="single" w:sz="10" w:space="0" w:color="000000"/>
              <w:left w:val="single" w:sz="10" w:space="0" w:color="000000"/>
              <w:bottom w:val="single" w:sz="10" w:space="0" w:color="000000"/>
              <w:right w:val="single" w:sz="10" w:space="0" w:color="000000"/>
            </w:tcBorders>
          </w:tcPr>
          <w:p w14:paraId="6B148F16" w14:textId="77777777" w:rsidR="00F75588" w:rsidRPr="00A05552" w:rsidRDefault="00F75588" w:rsidP="00F75588">
            <w:pPr>
              <w:rPr>
                <w:rFonts w:ascii="Arial" w:hAnsi="Arial" w:cs="Arial"/>
                <w:lang w:val="en"/>
              </w:rPr>
            </w:pPr>
            <w:r w:rsidRPr="00A05552">
              <w:rPr>
                <w:rFonts w:ascii="Arial" w:hAnsi="Arial" w:cs="Arial"/>
                <w:lang w:val="en"/>
              </w:rPr>
              <w:t>0.6830</w:t>
            </w:r>
          </w:p>
        </w:tc>
        <w:tc>
          <w:tcPr>
            <w:tcW w:w="0" w:type="auto"/>
            <w:tcBorders>
              <w:top w:val="single" w:sz="10" w:space="0" w:color="000000"/>
              <w:left w:val="single" w:sz="10" w:space="0" w:color="000000"/>
              <w:bottom w:val="single" w:sz="10" w:space="0" w:color="000000"/>
              <w:right w:val="single" w:sz="10" w:space="0" w:color="000000"/>
            </w:tcBorders>
          </w:tcPr>
          <w:p w14:paraId="0EC24125" w14:textId="77777777" w:rsidR="00F75588" w:rsidRPr="00A05552" w:rsidRDefault="00F75588" w:rsidP="00F75588">
            <w:pPr>
              <w:rPr>
                <w:rFonts w:ascii="Arial" w:hAnsi="Arial" w:cs="Arial"/>
                <w:lang w:val="en"/>
              </w:rPr>
            </w:pPr>
            <w:r w:rsidRPr="00A05552">
              <w:rPr>
                <w:rFonts w:ascii="Arial" w:hAnsi="Arial" w:cs="Arial"/>
                <w:lang w:val="en"/>
              </w:rPr>
              <w:t>4.098</w:t>
            </w:r>
          </w:p>
        </w:tc>
      </w:tr>
      <w:tr w:rsidR="00F75588" w:rsidRPr="00A05552" w14:paraId="659F9B0C"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2877B629" w14:textId="77777777" w:rsidR="00F75588" w:rsidRPr="00A05552" w:rsidRDefault="00F75588" w:rsidP="00F75588">
            <w:pPr>
              <w:rPr>
                <w:rFonts w:ascii="Arial" w:hAnsi="Arial" w:cs="Arial"/>
                <w:lang w:val="en"/>
              </w:rPr>
            </w:pPr>
            <w:r w:rsidRPr="00A05552">
              <w:rPr>
                <w:rFonts w:ascii="Arial" w:hAnsi="Arial" w:cs="Arial"/>
                <w:lang w:val="en"/>
              </w:rPr>
              <w:t>5</w:t>
            </w:r>
          </w:p>
        </w:tc>
        <w:tc>
          <w:tcPr>
            <w:tcW w:w="0" w:type="auto"/>
            <w:tcBorders>
              <w:top w:val="single" w:sz="10" w:space="0" w:color="000000"/>
              <w:left w:val="single" w:sz="10" w:space="0" w:color="000000"/>
              <w:bottom w:val="single" w:sz="10" w:space="0" w:color="000000"/>
              <w:right w:val="single" w:sz="10" w:space="0" w:color="000000"/>
            </w:tcBorders>
          </w:tcPr>
          <w:p w14:paraId="139416BE" w14:textId="77777777" w:rsidR="00F75588" w:rsidRPr="00A05552" w:rsidRDefault="00F75588" w:rsidP="00F75588">
            <w:pPr>
              <w:rPr>
                <w:rFonts w:ascii="Arial" w:hAnsi="Arial" w:cs="Arial"/>
                <w:lang w:val="en"/>
              </w:rPr>
            </w:pPr>
            <w:r w:rsidRPr="00A05552">
              <w:rPr>
                <w:rFonts w:ascii="Arial" w:hAnsi="Arial" w:cs="Arial"/>
                <w:lang w:val="en"/>
              </w:rPr>
              <w:t>6</w:t>
            </w:r>
          </w:p>
        </w:tc>
        <w:tc>
          <w:tcPr>
            <w:tcW w:w="0" w:type="auto"/>
            <w:tcBorders>
              <w:top w:val="single" w:sz="10" w:space="0" w:color="000000"/>
              <w:left w:val="single" w:sz="10" w:space="0" w:color="000000"/>
              <w:bottom w:val="single" w:sz="10" w:space="0" w:color="000000"/>
              <w:right w:val="single" w:sz="10" w:space="0" w:color="000000"/>
            </w:tcBorders>
          </w:tcPr>
          <w:p w14:paraId="33393451" w14:textId="77777777" w:rsidR="00F75588" w:rsidRPr="00A05552" w:rsidRDefault="00F75588" w:rsidP="00F75588">
            <w:pPr>
              <w:rPr>
                <w:rFonts w:ascii="Arial" w:hAnsi="Arial" w:cs="Arial"/>
                <w:lang w:val="en"/>
              </w:rPr>
            </w:pPr>
            <w:r w:rsidRPr="00A05552">
              <w:rPr>
                <w:rFonts w:ascii="Arial" w:hAnsi="Arial" w:cs="Arial"/>
                <w:lang w:val="en"/>
              </w:rPr>
              <w:t>0.6209</w:t>
            </w:r>
          </w:p>
        </w:tc>
        <w:tc>
          <w:tcPr>
            <w:tcW w:w="0" w:type="auto"/>
            <w:tcBorders>
              <w:top w:val="single" w:sz="10" w:space="0" w:color="000000"/>
              <w:left w:val="single" w:sz="10" w:space="0" w:color="000000"/>
              <w:bottom w:val="single" w:sz="10" w:space="0" w:color="000000"/>
              <w:right w:val="single" w:sz="10" w:space="0" w:color="000000"/>
            </w:tcBorders>
          </w:tcPr>
          <w:p w14:paraId="3498D13B" w14:textId="77777777" w:rsidR="00F75588" w:rsidRPr="00A05552" w:rsidRDefault="00F75588" w:rsidP="00F75588">
            <w:pPr>
              <w:rPr>
                <w:rFonts w:ascii="Arial" w:hAnsi="Arial" w:cs="Arial"/>
                <w:lang w:val="en"/>
              </w:rPr>
            </w:pPr>
            <w:r w:rsidRPr="00A05552">
              <w:rPr>
                <w:rFonts w:ascii="Arial" w:hAnsi="Arial" w:cs="Arial"/>
                <w:lang w:val="en"/>
              </w:rPr>
              <w:t>3.725</w:t>
            </w:r>
          </w:p>
        </w:tc>
      </w:tr>
      <w:tr w:rsidR="00F75588" w:rsidRPr="00A05552" w14:paraId="5AC3A6D5"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370C1AAA" w14:textId="77777777" w:rsidR="00F75588" w:rsidRPr="00A05552" w:rsidRDefault="00F75588" w:rsidP="00F75588">
            <w:pPr>
              <w:rPr>
                <w:rFonts w:ascii="Arial" w:hAnsi="Arial" w:cs="Arial"/>
                <w:lang w:val="en"/>
              </w:rPr>
            </w:pPr>
            <w:r w:rsidRPr="00A05552">
              <w:rPr>
                <w:rFonts w:ascii="Arial" w:hAnsi="Arial" w:cs="Arial"/>
                <w:b/>
                <w:bCs/>
                <w:lang w:val="en"/>
              </w:rPr>
              <w:t>Total PV inflows</w:t>
            </w:r>
          </w:p>
        </w:tc>
        <w:tc>
          <w:tcPr>
            <w:tcW w:w="0" w:type="auto"/>
            <w:tcBorders>
              <w:top w:val="single" w:sz="10" w:space="0" w:color="000000"/>
              <w:left w:val="single" w:sz="10" w:space="0" w:color="000000"/>
              <w:bottom w:val="single" w:sz="10" w:space="0" w:color="000000"/>
              <w:right w:val="single" w:sz="10" w:space="0" w:color="000000"/>
            </w:tcBorders>
          </w:tcPr>
          <w:p w14:paraId="6667B689" w14:textId="77777777" w:rsidR="00F75588" w:rsidRPr="00A05552" w:rsidRDefault="00F75588" w:rsidP="00F75588">
            <w:pPr>
              <w:rPr>
                <w:rFonts w:ascii="Arial" w:hAnsi="Arial" w:cs="Arial"/>
                <w:lang w:val="en"/>
              </w:rPr>
            </w:pPr>
          </w:p>
        </w:tc>
        <w:tc>
          <w:tcPr>
            <w:tcW w:w="0" w:type="auto"/>
            <w:tcBorders>
              <w:top w:val="single" w:sz="10" w:space="0" w:color="000000"/>
              <w:left w:val="single" w:sz="10" w:space="0" w:color="000000"/>
              <w:bottom w:val="single" w:sz="10" w:space="0" w:color="000000"/>
              <w:right w:val="single" w:sz="10" w:space="0" w:color="000000"/>
            </w:tcBorders>
          </w:tcPr>
          <w:p w14:paraId="33D28A40" w14:textId="77777777" w:rsidR="00F75588" w:rsidRPr="00A05552" w:rsidRDefault="00F75588" w:rsidP="00F75588">
            <w:pPr>
              <w:rPr>
                <w:rFonts w:ascii="Arial" w:hAnsi="Arial" w:cs="Arial"/>
                <w:lang w:val="en"/>
              </w:rPr>
            </w:pPr>
          </w:p>
        </w:tc>
        <w:tc>
          <w:tcPr>
            <w:tcW w:w="0" w:type="auto"/>
            <w:tcBorders>
              <w:top w:val="single" w:sz="10" w:space="0" w:color="000000"/>
              <w:left w:val="single" w:sz="10" w:space="0" w:color="000000"/>
              <w:bottom w:val="single" w:sz="10" w:space="0" w:color="000000"/>
              <w:right w:val="single" w:sz="10" w:space="0" w:color="000000"/>
            </w:tcBorders>
          </w:tcPr>
          <w:p w14:paraId="2F0E82FB" w14:textId="77777777" w:rsidR="00F75588" w:rsidRPr="00A05552" w:rsidRDefault="00F75588" w:rsidP="00F75588">
            <w:pPr>
              <w:rPr>
                <w:rFonts w:ascii="Arial" w:hAnsi="Arial" w:cs="Arial"/>
                <w:lang w:val="en"/>
              </w:rPr>
            </w:pPr>
            <w:r w:rsidRPr="00A05552">
              <w:rPr>
                <w:rFonts w:ascii="Arial" w:hAnsi="Arial" w:cs="Arial"/>
                <w:b/>
                <w:bCs/>
                <w:lang w:val="en"/>
              </w:rPr>
              <w:t>22.744</w:t>
            </w:r>
          </w:p>
        </w:tc>
      </w:tr>
    </w:tbl>
    <w:p w14:paraId="1EE41671" w14:textId="77777777" w:rsidR="00F75588" w:rsidRPr="00A05552" w:rsidRDefault="00F75588" w:rsidP="00F75588">
      <w:pPr>
        <w:numPr>
          <w:ilvl w:val="0"/>
          <w:numId w:val="24"/>
        </w:numPr>
        <w:rPr>
          <w:rFonts w:ascii="Arial" w:hAnsi="Arial" w:cs="Arial"/>
          <w:lang w:val="en"/>
        </w:rPr>
      </w:pPr>
      <w:r w:rsidRPr="00A05552">
        <w:rPr>
          <w:rFonts w:ascii="Arial" w:hAnsi="Arial" w:cs="Arial"/>
          <w:b/>
          <w:bCs/>
          <w:lang w:val="en"/>
        </w:rPr>
        <w:t>NPV(B)</w:t>
      </w:r>
      <w:r w:rsidRPr="00A05552">
        <w:rPr>
          <w:rFonts w:ascii="Arial" w:hAnsi="Arial" w:cs="Arial"/>
          <w:lang w:val="en"/>
        </w:rPr>
        <w:t xml:space="preserve"> = 22.744 − 30 = </w:t>
      </w:r>
      <w:r w:rsidRPr="00A05552">
        <w:rPr>
          <w:rFonts w:ascii="Arial" w:hAnsi="Arial" w:cs="Arial"/>
          <w:b/>
          <w:bCs/>
          <w:lang w:val="en"/>
        </w:rPr>
        <w:t>−7.256</w:t>
      </w:r>
    </w:p>
    <w:p w14:paraId="6DB3C523" w14:textId="4A21245A" w:rsidR="00F75588" w:rsidRPr="00A05552" w:rsidRDefault="00F75588" w:rsidP="00F75588">
      <w:pPr>
        <w:numPr>
          <w:ilvl w:val="0"/>
          <w:numId w:val="24"/>
        </w:numPr>
        <w:rPr>
          <w:rFonts w:ascii="Arial" w:hAnsi="Arial" w:cs="Arial"/>
          <w:lang w:val="en"/>
        </w:rPr>
      </w:pPr>
      <w:r w:rsidRPr="00A05552">
        <w:rPr>
          <w:rFonts w:ascii="Arial" w:hAnsi="Arial" w:cs="Arial"/>
          <w:b/>
          <w:bCs/>
          <w:lang w:val="en"/>
        </w:rPr>
        <w:lastRenderedPageBreak/>
        <w:t>PI(B)</w:t>
      </w:r>
      <w:r w:rsidRPr="00A05552">
        <w:rPr>
          <w:rFonts w:ascii="Arial" w:hAnsi="Arial" w:cs="Arial"/>
          <w:lang w:val="en"/>
        </w:rPr>
        <w:t xml:space="preserve"> = 22.744 ÷ 30 = </w:t>
      </w:r>
      <w:r w:rsidRPr="00A05552">
        <w:rPr>
          <w:rFonts w:ascii="Arial" w:hAnsi="Arial" w:cs="Arial"/>
          <w:b/>
          <w:bCs/>
          <w:lang w:val="en"/>
        </w:rPr>
        <w:t>0.76</w:t>
      </w:r>
    </w:p>
    <w:p w14:paraId="249ED46A" w14:textId="77777777" w:rsidR="00F75588" w:rsidRPr="00A05552" w:rsidRDefault="00F75588" w:rsidP="00F75588">
      <w:pPr>
        <w:rPr>
          <w:rFonts w:ascii="Arial" w:hAnsi="Arial" w:cs="Arial"/>
          <w:lang w:val="en"/>
        </w:rPr>
      </w:pPr>
      <w:r w:rsidRPr="00A05552">
        <w:rPr>
          <w:rFonts w:ascii="Arial" w:hAnsi="Arial" w:cs="Arial"/>
          <w:b/>
          <w:bCs/>
          <w:lang w:val="en"/>
        </w:rPr>
        <w:t>Project C</w:t>
      </w:r>
    </w:p>
    <w:p w14:paraId="7C47B45B" w14:textId="77777777" w:rsidR="00F75588" w:rsidRPr="00A05552" w:rsidRDefault="00F75588" w:rsidP="00F75588">
      <w:pPr>
        <w:rPr>
          <w:rFonts w:ascii="Arial" w:hAnsi="Arial" w:cs="Arial"/>
          <w:lang w:val="en"/>
        </w:rPr>
      </w:pPr>
      <w:r w:rsidRPr="00A05552">
        <w:rPr>
          <w:rFonts w:ascii="Arial" w:hAnsi="Arial" w:cs="Arial"/>
          <w:lang w:val="en"/>
        </w:rPr>
        <w:t>Initial investment = 50</w:t>
      </w:r>
    </w:p>
    <w:tbl>
      <w:tblPr>
        <w:tblW w:w="0" w:type="auto"/>
        <w:tblLook w:val="0020" w:firstRow="1" w:lastRow="0" w:firstColumn="0" w:lastColumn="0" w:noHBand="0" w:noVBand="0"/>
      </w:tblPr>
      <w:tblGrid>
        <w:gridCol w:w="2070"/>
        <w:gridCol w:w="1457"/>
        <w:gridCol w:w="1327"/>
        <w:gridCol w:w="2098"/>
      </w:tblGrid>
      <w:tr w:rsidR="00F75588" w:rsidRPr="00A05552" w14:paraId="393732DA" w14:textId="77777777" w:rsidTr="00227CD9">
        <w:trPr>
          <w:tblHeader/>
        </w:trPr>
        <w:tc>
          <w:tcPr>
            <w:tcW w:w="0" w:type="auto"/>
            <w:tcBorders>
              <w:top w:val="single" w:sz="10" w:space="0" w:color="000000"/>
              <w:left w:val="single" w:sz="10" w:space="0" w:color="000000"/>
              <w:bottom w:val="single" w:sz="10" w:space="0" w:color="000000"/>
              <w:right w:val="single" w:sz="10" w:space="0" w:color="000000"/>
            </w:tcBorders>
            <w:vAlign w:val="center"/>
          </w:tcPr>
          <w:p w14:paraId="65DEFCB2" w14:textId="77777777" w:rsidR="00F75588" w:rsidRPr="00A05552" w:rsidRDefault="00F75588" w:rsidP="00F75588">
            <w:pPr>
              <w:rPr>
                <w:rFonts w:ascii="Arial" w:hAnsi="Arial" w:cs="Arial"/>
                <w:lang w:val="en"/>
              </w:rPr>
            </w:pPr>
            <w:r w:rsidRPr="00A05552">
              <w:rPr>
                <w:rFonts w:ascii="Arial" w:hAnsi="Arial" w:cs="Arial"/>
                <w:lang w:val="en"/>
              </w:rPr>
              <w:t>Year</w:t>
            </w:r>
          </w:p>
        </w:tc>
        <w:tc>
          <w:tcPr>
            <w:tcW w:w="0" w:type="auto"/>
            <w:tcBorders>
              <w:top w:val="single" w:sz="10" w:space="0" w:color="000000"/>
              <w:left w:val="single" w:sz="10" w:space="0" w:color="000000"/>
              <w:bottom w:val="single" w:sz="10" w:space="0" w:color="000000"/>
              <w:right w:val="single" w:sz="10" w:space="0" w:color="000000"/>
            </w:tcBorders>
            <w:vAlign w:val="center"/>
          </w:tcPr>
          <w:p w14:paraId="36911966" w14:textId="77777777" w:rsidR="00F75588" w:rsidRPr="00A05552" w:rsidRDefault="00F75588" w:rsidP="00F75588">
            <w:pPr>
              <w:rPr>
                <w:rFonts w:ascii="Arial" w:hAnsi="Arial" w:cs="Arial"/>
                <w:lang w:val="en"/>
              </w:rPr>
            </w:pPr>
            <w:r w:rsidRPr="00A05552">
              <w:rPr>
                <w:rFonts w:ascii="Arial" w:hAnsi="Arial" w:cs="Arial"/>
                <w:lang w:val="en"/>
              </w:rPr>
              <w:t>Cash inflow</w:t>
            </w:r>
          </w:p>
        </w:tc>
        <w:tc>
          <w:tcPr>
            <w:tcW w:w="0" w:type="auto"/>
            <w:tcBorders>
              <w:top w:val="single" w:sz="10" w:space="0" w:color="000000"/>
              <w:left w:val="single" w:sz="10" w:space="0" w:color="000000"/>
              <w:bottom w:val="single" w:sz="10" w:space="0" w:color="000000"/>
              <w:right w:val="single" w:sz="10" w:space="0" w:color="000000"/>
            </w:tcBorders>
            <w:vAlign w:val="center"/>
          </w:tcPr>
          <w:p w14:paraId="778824A2" w14:textId="77777777" w:rsidR="00F75588" w:rsidRPr="00A05552" w:rsidRDefault="00F75588" w:rsidP="00F75588">
            <w:pPr>
              <w:rPr>
                <w:rFonts w:ascii="Arial" w:hAnsi="Arial" w:cs="Arial"/>
                <w:lang w:val="en"/>
              </w:rPr>
            </w:pPr>
            <w:r w:rsidRPr="00A05552">
              <w:rPr>
                <w:rFonts w:ascii="Arial" w:hAnsi="Arial" w:cs="Arial"/>
                <w:lang w:val="en"/>
              </w:rPr>
              <w:t>DF @10%</w:t>
            </w:r>
          </w:p>
        </w:tc>
        <w:tc>
          <w:tcPr>
            <w:tcW w:w="0" w:type="auto"/>
            <w:tcBorders>
              <w:top w:val="single" w:sz="10" w:space="0" w:color="000000"/>
              <w:left w:val="single" w:sz="10" w:space="0" w:color="000000"/>
              <w:bottom w:val="single" w:sz="10" w:space="0" w:color="000000"/>
              <w:right w:val="single" w:sz="10" w:space="0" w:color="000000"/>
            </w:tcBorders>
            <w:vAlign w:val="center"/>
          </w:tcPr>
          <w:p w14:paraId="3CF25F1A" w14:textId="77777777" w:rsidR="00F75588" w:rsidRPr="00A05552" w:rsidRDefault="00F75588" w:rsidP="00F75588">
            <w:pPr>
              <w:rPr>
                <w:rFonts w:ascii="Arial" w:hAnsi="Arial" w:cs="Arial"/>
                <w:lang w:val="en"/>
              </w:rPr>
            </w:pPr>
            <w:r w:rsidRPr="00A05552">
              <w:rPr>
                <w:rFonts w:ascii="Arial" w:hAnsi="Arial" w:cs="Arial"/>
                <w:lang w:val="en"/>
              </w:rPr>
              <w:t>PV inflow</w:t>
            </w:r>
          </w:p>
        </w:tc>
      </w:tr>
      <w:tr w:rsidR="00F75588" w:rsidRPr="00A05552" w14:paraId="3E8617DC"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15A696D6" w14:textId="77777777" w:rsidR="00F75588" w:rsidRPr="00A05552" w:rsidRDefault="00F75588" w:rsidP="00F75588">
            <w:pPr>
              <w:rPr>
                <w:rFonts w:ascii="Arial" w:hAnsi="Arial" w:cs="Arial"/>
                <w:lang w:val="en"/>
              </w:rPr>
            </w:pPr>
            <w:r w:rsidRPr="00A05552">
              <w:rPr>
                <w:rFonts w:ascii="Arial" w:hAnsi="Arial" w:cs="Arial"/>
                <w:lang w:val="en"/>
              </w:rPr>
              <w:t>1</w:t>
            </w:r>
          </w:p>
        </w:tc>
        <w:tc>
          <w:tcPr>
            <w:tcW w:w="0" w:type="auto"/>
            <w:tcBorders>
              <w:top w:val="single" w:sz="10" w:space="0" w:color="000000"/>
              <w:left w:val="single" w:sz="10" w:space="0" w:color="000000"/>
              <w:bottom w:val="single" w:sz="10" w:space="0" w:color="000000"/>
              <w:right w:val="single" w:sz="10" w:space="0" w:color="000000"/>
            </w:tcBorders>
          </w:tcPr>
          <w:p w14:paraId="32F547B7" w14:textId="77777777" w:rsidR="00F75588" w:rsidRPr="00A05552" w:rsidRDefault="00F75588" w:rsidP="00F75588">
            <w:pPr>
              <w:rPr>
                <w:rFonts w:ascii="Arial" w:hAnsi="Arial" w:cs="Arial"/>
                <w:lang w:val="en"/>
              </w:rPr>
            </w:pPr>
            <w:r w:rsidRPr="00A05552">
              <w:rPr>
                <w:rFonts w:ascii="Arial" w:hAnsi="Arial" w:cs="Arial"/>
                <w:lang w:val="en"/>
              </w:rPr>
              <w:t>5</w:t>
            </w:r>
          </w:p>
        </w:tc>
        <w:tc>
          <w:tcPr>
            <w:tcW w:w="0" w:type="auto"/>
            <w:tcBorders>
              <w:top w:val="single" w:sz="10" w:space="0" w:color="000000"/>
              <w:left w:val="single" w:sz="10" w:space="0" w:color="000000"/>
              <w:bottom w:val="single" w:sz="10" w:space="0" w:color="000000"/>
              <w:right w:val="single" w:sz="10" w:space="0" w:color="000000"/>
            </w:tcBorders>
          </w:tcPr>
          <w:p w14:paraId="06CD0543" w14:textId="77777777" w:rsidR="00F75588" w:rsidRPr="00A05552" w:rsidRDefault="00F75588" w:rsidP="00F75588">
            <w:pPr>
              <w:rPr>
                <w:rFonts w:ascii="Arial" w:hAnsi="Arial" w:cs="Arial"/>
                <w:lang w:val="en"/>
              </w:rPr>
            </w:pPr>
            <w:r w:rsidRPr="00A05552">
              <w:rPr>
                <w:rFonts w:ascii="Arial" w:hAnsi="Arial" w:cs="Arial"/>
                <w:lang w:val="en"/>
              </w:rPr>
              <w:t>0.9091</w:t>
            </w:r>
          </w:p>
        </w:tc>
        <w:tc>
          <w:tcPr>
            <w:tcW w:w="0" w:type="auto"/>
            <w:tcBorders>
              <w:top w:val="single" w:sz="10" w:space="0" w:color="000000"/>
              <w:left w:val="single" w:sz="10" w:space="0" w:color="000000"/>
              <w:bottom w:val="single" w:sz="10" w:space="0" w:color="000000"/>
              <w:right w:val="single" w:sz="10" w:space="0" w:color="000000"/>
            </w:tcBorders>
          </w:tcPr>
          <w:p w14:paraId="024F7D49" w14:textId="77777777" w:rsidR="00F75588" w:rsidRPr="00A05552" w:rsidRDefault="00F75588" w:rsidP="00F75588">
            <w:pPr>
              <w:rPr>
                <w:rFonts w:ascii="Arial" w:hAnsi="Arial" w:cs="Arial"/>
                <w:lang w:val="en"/>
              </w:rPr>
            </w:pPr>
            <w:r w:rsidRPr="00A05552">
              <w:rPr>
                <w:rFonts w:ascii="Arial" w:hAnsi="Arial" w:cs="Arial"/>
                <w:lang w:val="en"/>
              </w:rPr>
              <w:t>5×0.9091 = 4.545</w:t>
            </w:r>
          </w:p>
        </w:tc>
      </w:tr>
      <w:tr w:rsidR="00F75588" w:rsidRPr="00A05552" w14:paraId="3BC354C3"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394E318F" w14:textId="77777777" w:rsidR="00F75588" w:rsidRPr="00A05552" w:rsidRDefault="00F75588" w:rsidP="00F75588">
            <w:pPr>
              <w:rPr>
                <w:rFonts w:ascii="Arial" w:hAnsi="Arial" w:cs="Arial"/>
                <w:lang w:val="en"/>
              </w:rPr>
            </w:pPr>
            <w:r w:rsidRPr="00A05552">
              <w:rPr>
                <w:rFonts w:ascii="Arial" w:hAnsi="Arial" w:cs="Arial"/>
                <w:lang w:val="en"/>
              </w:rPr>
              <w:t>2</w:t>
            </w:r>
          </w:p>
        </w:tc>
        <w:tc>
          <w:tcPr>
            <w:tcW w:w="0" w:type="auto"/>
            <w:tcBorders>
              <w:top w:val="single" w:sz="10" w:space="0" w:color="000000"/>
              <w:left w:val="single" w:sz="10" w:space="0" w:color="000000"/>
              <w:bottom w:val="single" w:sz="10" w:space="0" w:color="000000"/>
              <w:right w:val="single" w:sz="10" w:space="0" w:color="000000"/>
            </w:tcBorders>
          </w:tcPr>
          <w:p w14:paraId="07D0153E" w14:textId="77777777" w:rsidR="00F75588" w:rsidRPr="00A05552" w:rsidRDefault="00F75588" w:rsidP="00F75588">
            <w:pPr>
              <w:rPr>
                <w:rFonts w:ascii="Arial" w:hAnsi="Arial" w:cs="Arial"/>
                <w:lang w:val="en"/>
              </w:rPr>
            </w:pPr>
            <w:r w:rsidRPr="00A05552">
              <w:rPr>
                <w:rFonts w:ascii="Arial" w:hAnsi="Arial" w:cs="Arial"/>
                <w:lang w:val="en"/>
              </w:rPr>
              <w:t>10</w:t>
            </w:r>
          </w:p>
        </w:tc>
        <w:tc>
          <w:tcPr>
            <w:tcW w:w="0" w:type="auto"/>
            <w:tcBorders>
              <w:top w:val="single" w:sz="10" w:space="0" w:color="000000"/>
              <w:left w:val="single" w:sz="10" w:space="0" w:color="000000"/>
              <w:bottom w:val="single" w:sz="10" w:space="0" w:color="000000"/>
              <w:right w:val="single" w:sz="10" w:space="0" w:color="000000"/>
            </w:tcBorders>
          </w:tcPr>
          <w:p w14:paraId="54CB9A47" w14:textId="77777777" w:rsidR="00F75588" w:rsidRPr="00A05552" w:rsidRDefault="00F75588" w:rsidP="00F75588">
            <w:pPr>
              <w:rPr>
                <w:rFonts w:ascii="Arial" w:hAnsi="Arial" w:cs="Arial"/>
                <w:lang w:val="en"/>
              </w:rPr>
            </w:pPr>
            <w:r w:rsidRPr="00A05552">
              <w:rPr>
                <w:rFonts w:ascii="Arial" w:hAnsi="Arial" w:cs="Arial"/>
                <w:lang w:val="en"/>
              </w:rPr>
              <w:t>0.8264</w:t>
            </w:r>
          </w:p>
        </w:tc>
        <w:tc>
          <w:tcPr>
            <w:tcW w:w="0" w:type="auto"/>
            <w:tcBorders>
              <w:top w:val="single" w:sz="10" w:space="0" w:color="000000"/>
              <w:left w:val="single" w:sz="10" w:space="0" w:color="000000"/>
              <w:bottom w:val="single" w:sz="10" w:space="0" w:color="000000"/>
              <w:right w:val="single" w:sz="10" w:space="0" w:color="000000"/>
            </w:tcBorders>
          </w:tcPr>
          <w:p w14:paraId="21EA7CD2" w14:textId="77777777" w:rsidR="00F75588" w:rsidRPr="00A05552" w:rsidRDefault="00F75588" w:rsidP="00F75588">
            <w:pPr>
              <w:rPr>
                <w:rFonts w:ascii="Arial" w:hAnsi="Arial" w:cs="Arial"/>
                <w:lang w:val="en"/>
              </w:rPr>
            </w:pPr>
            <w:r w:rsidRPr="00A05552">
              <w:rPr>
                <w:rFonts w:ascii="Arial" w:hAnsi="Arial" w:cs="Arial"/>
                <w:lang w:val="en"/>
              </w:rPr>
              <w:t>8.264</w:t>
            </w:r>
          </w:p>
        </w:tc>
      </w:tr>
      <w:tr w:rsidR="00F75588" w:rsidRPr="00A05552" w14:paraId="2BD9AA40"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4F9799D3" w14:textId="77777777" w:rsidR="00F75588" w:rsidRPr="00A05552" w:rsidRDefault="00F75588" w:rsidP="00F75588">
            <w:pPr>
              <w:rPr>
                <w:rFonts w:ascii="Arial" w:hAnsi="Arial" w:cs="Arial"/>
                <w:lang w:val="en"/>
              </w:rPr>
            </w:pPr>
            <w:r w:rsidRPr="00A05552">
              <w:rPr>
                <w:rFonts w:ascii="Arial" w:hAnsi="Arial" w:cs="Arial"/>
                <w:lang w:val="en"/>
              </w:rPr>
              <w:t>3</w:t>
            </w:r>
          </w:p>
        </w:tc>
        <w:tc>
          <w:tcPr>
            <w:tcW w:w="0" w:type="auto"/>
            <w:tcBorders>
              <w:top w:val="single" w:sz="10" w:space="0" w:color="000000"/>
              <w:left w:val="single" w:sz="10" w:space="0" w:color="000000"/>
              <w:bottom w:val="single" w:sz="10" w:space="0" w:color="000000"/>
              <w:right w:val="single" w:sz="10" w:space="0" w:color="000000"/>
            </w:tcBorders>
          </w:tcPr>
          <w:p w14:paraId="05F51D74" w14:textId="77777777" w:rsidR="00F75588" w:rsidRPr="00A05552" w:rsidRDefault="00F75588" w:rsidP="00F75588">
            <w:pPr>
              <w:rPr>
                <w:rFonts w:ascii="Arial" w:hAnsi="Arial" w:cs="Arial"/>
                <w:lang w:val="en"/>
              </w:rPr>
            </w:pPr>
            <w:r w:rsidRPr="00A05552">
              <w:rPr>
                <w:rFonts w:ascii="Arial" w:hAnsi="Arial" w:cs="Arial"/>
                <w:lang w:val="en"/>
              </w:rPr>
              <w:t>20</w:t>
            </w:r>
          </w:p>
        </w:tc>
        <w:tc>
          <w:tcPr>
            <w:tcW w:w="0" w:type="auto"/>
            <w:tcBorders>
              <w:top w:val="single" w:sz="10" w:space="0" w:color="000000"/>
              <w:left w:val="single" w:sz="10" w:space="0" w:color="000000"/>
              <w:bottom w:val="single" w:sz="10" w:space="0" w:color="000000"/>
              <w:right w:val="single" w:sz="10" w:space="0" w:color="000000"/>
            </w:tcBorders>
          </w:tcPr>
          <w:p w14:paraId="2777B0E7" w14:textId="77777777" w:rsidR="00F75588" w:rsidRPr="00A05552" w:rsidRDefault="00F75588" w:rsidP="00F75588">
            <w:pPr>
              <w:rPr>
                <w:rFonts w:ascii="Arial" w:hAnsi="Arial" w:cs="Arial"/>
                <w:lang w:val="en"/>
              </w:rPr>
            </w:pPr>
            <w:r w:rsidRPr="00A05552">
              <w:rPr>
                <w:rFonts w:ascii="Arial" w:hAnsi="Arial" w:cs="Arial"/>
                <w:lang w:val="en"/>
              </w:rPr>
              <w:t>0.7513</w:t>
            </w:r>
          </w:p>
        </w:tc>
        <w:tc>
          <w:tcPr>
            <w:tcW w:w="0" w:type="auto"/>
            <w:tcBorders>
              <w:top w:val="single" w:sz="10" w:space="0" w:color="000000"/>
              <w:left w:val="single" w:sz="10" w:space="0" w:color="000000"/>
              <w:bottom w:val="single" w:sz="10" w:space="0" w:color="000000"/>
              <w:right w:val="single" w:sz="10" w:space="0" w:color="000000"/>
            </w:tcBorders>
          </w:tcPr>
          <w:p w14:paraId="35CA4584" w14:textId="77777777" w:rsidR="00F75588" w:rsidRPr="00A05552" w:rsidRDefault="00F75588" w:rsidP="00F75588">
            <w:pPr>
              <w:rPr>
                <w:rFonts w:ascii="Arial" w:hAnsi="Arial" w:cs="Arial"/>
                <w:lang w:val="en"/>
              </w:rPr>
            </w:pPr>
            <w:r w:rsidRPr="00A05552">
              <w:rPr>
                <w:rFonts w:ascii="Arial" w:hAnsi="Arial" w:cs="Arial"/>
                <w:lang w:val="en"/>
              </w:rPr>
              <w:t>15.026</w:t>
            </w:r>
          </w:p>
        </w:tc>
      </w:tr>
      <w:tr w:rsidR="00F75588" w:rsidRPr="00A05552" w14:paraId="28A3C39B"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58653629" w14:textId="77777777" w:rsidR="00F75588" w:rsidRPr="00A05552" w:rsidRDefault="00F75588" w:rsidP="00F75588">
            <w:pPr>
              <w:rPr>
                <w:rFonts w:ascii="Arial" w:hAnsi="Arial" w:cs="Arial"/>
                <w:lang w:val="en"/>
              </w:rPr>
            </w:pPr>
            <w:r w:rsidRPr="00A05552">
              <w:rPr>
                <w:rFonts w:ascii="Arial" w:hAnsi="Arial" w:cs="Arial"/>
                <w:lang w:val="en"/>
              </w:rPr>
              <w:t>4</w:t>
            </w:r>
          </w:p>
        </w:tc>
        <w:tc>
          <w:tcPr>
            <w:tcW w:w="0" w:type="auto"/>
            <w:tcBorders>
              <w:top w:val="single" w:sz="10" w:space="0" w:color="000000"/>
              <w:left w:val="single" w:sz="10" w:space="0" w:color="000000"/>
              <w:bottom w:val="single" w:sz="10" w:space="0" w:color="000000"/>
              <w:right w:val="single" w:sz="10" w:space="0" w:color="000000"/>
            </w:tcBorders>
          </w:tcPr>
          <w:p w14:paraId="3DDBA5BA" w14:textId="77777777" w:rsidR="00F75588" w:rsidRPr="00A05552" w:rsidRDefault="00F75588" w:rsidP="00F75588">
            <w:pPr>
              <w:rPr>
                <w:rFonts w:ascii="Arial" w:hAnsi="Arial" w:cs="Arial"/>
                <w:lang w:val="en"/>
              </w:rPr>
            </w:pPr>
            <w:r w:rsidRPr="00A05552">
              <w:rPr>
                <w:rFonts w:ascii="Arial" w:hAnsi="Arial" w:cs="Arial"/>
                <w:lang w:val="en"/>
              </w:rPr>
              <w:t>25</w:t>
            </w:r>
          </w:p>
        </w:tc>
        <w:tc>
          <w:tcPr>
            <w:tcW w:w="0" w:type="auto"/>
            <w:tcBorders>
              <w:top w:val="single" w:sz="10" w:space="0" w:color="000000"/>
              <w:left w:val="single" w:sz="10" w:space="0" w:color="000000"/>
              <w:bottom w:val="single" w:sz="10" w:space="0" w:color="000000"/>
              <w:right w:val="single" w:sz="10" w:space="0" w:color="000000"/>
            </w:tcBorders>
          </w:tcPr>
          <w:p w14:paraId="2E719A73" w14:textId="77777777" w:rsidR="00F75588" w:rsidRPr="00A05552" w:rsidRDefault="00F75588" w:rsidP="00F75588">
            <w:pPr>
              <w:rPr>
                <w:rFonts w:ascii="Arial" w:hAnsi="Arial" w:cs="Arial"/>
                <w:lang w:val="en"/>
              </w:rPr>
            </w:pPr>
            <w:r w:rsidRPr="00A05552">
              <w:rPr>
                <w:rFonts w:ascii="Arial" w:hAnsi="Arial" w:cs="Arial"/>
                <w:lang w:val="en"/>
              </w:rPr>
              <w:t>0.6830</w:t>
            </w:r>
          </w:p>
        </w:tc>
        <w:tc>
          <w:tcPr>
            <w:tcW w:w="0" w:type="auto"/>
            <w:tcBorders>
              <w:top w:val="single" w:sz="10" w:space="0" w:color="000000"/>
              <w:left w:val="single" w:sz="10" w:space="0" w:color="000000"/>
              <w:bottom w:val="single" w:sz="10" w:space="0" w:color="000000"/>
              <w:right w:val="single" w:sz="10" w:space="0" w:color="000000"/>
            </w:tcBorders>
          </w:tcPr>
          <w:p w14:paraId="573F0B5D" w14:textId="77777777" w:rsidR="00F75588" w:rsidRPr="00A05552" w:rsidRDefault="00F75588" w:rsidP="00F75588">
            <w:pPr>
              <w:rPr>
                <w:rFonts w:ascii="Arial" w:hAnsi="Arial" w:cs="Arial"/>
                <w:lang w:val="en"/>
              </w:rPr>
            </w:pPr>
            <w:r w:rsidRPr="00A05552">
              <w:rPr>
                <w:rFonts w:ascii="Arial" w:hAnsi="Arial" w:cs="Arial"/>
                <w:lang w:val="en"/>
              </w:rPr>
              <w:t>17.075</w:t>
            </w:r>
          </w:p>
        </w:tc>
      </w:tr>
      <w:tr w:rsidR="00F75588" w:rsidRPr="00A05552" w14:paraId="4E4EAE66"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2D93DC77" w14:textId="77777777" w:rsidR="00F75588" w:rsidRPr="00A05552" w:rsidRDefault="00F75588" w:rsidP="00F75588">
            <w:pPr>
              <w:rPr>
                <w:rFonts w:ascii="Arial" w:hAnsi="Arial" w:cs="Arial"/>
                <w:lang w:val="en"/>
              </w:rPr>
            </w:pPr>
            <w:r w:rsidRPr="00A05552">
              <w:rPr>
                <w:rFonts w:ascii="Arial" w:hAnsi="Arial" w:cs="Arial"/>
                <w:lang w:val="en"/>
              </w:rPr>
              <w:t>5</w:t>
            </w:r>
          </w:p>
        </w:tc>
        <w:tc>
          <w:tcPr>
            <w:tcW w:w="0" w:type="auto"/>
            <w:tcBorders>
              <w:top w:val="single" w:sz="10" w:space="0" w:color="000000"/>
              <w:left w:val="single" w:sz="10" w:space="0" w:color="000000"/>
              <w:bottom w:val="single" w:sz="10" w:space="0" w:color="000000"/>
              <w:right w:val="single" w:sz="10" w:space="0" w:color="000000"/>
            </w:tcBorders>
          </w:tcPr>
          <w:p w14:paraId="1C7D7BD4" w14:textId="77777777" w:rsidR="00F75588" w:rsidRPr="00A05552" w:rsidRDefault="00F75588" w:rsidP="00F75588">
            <w:pPr>
              <w:rPr>
                <w:rFonts w:ascii="Arial" w:hAnsi="Arial" w:cs="Arial"/>
                <w:lang w:val="en"/>
              </w:rPr>
            </w:pPr>
            <w:r w:rsidRPr="00A05552">
              <w:rPr>
                <w:rFonts w:ascii="Arial" w:hAnsi="Arial" w:cs="Arial"/>
                <w:lang w:val="en"/>
              </w:rPr>
              <w:t>15</w:t>
            </w:r>
          </w:p>
        </w:tc>
        <w:tc>
          <w:tcPr>
            <w:tcW w:w="0" w:type="auto"/>
            <w:tcBorders>
              <w:top w:val="single" w:sz="10" w:space="0" w:color="000000"/>
              <w:left w:val="single" w:sz="10" w:space="0" w:color="000000"/>
              <w:bottom w:val="single" w:sz="10" w:space="0" w:color="000000"/>
              <w:right w:val="single" w:sz="10" w:space="0" w:color="000000"/>
            </w:tcBorders>
          </w:tcPr>
          <w:p w14:paraId="15042925" w14:textId="77777777" w:rsidR="00F75588" w:rsidRPr="00A05552" w:rsidRDefault="00F75588" w:rsidP="00F75588">
            <w:pPr>
              <w:rPr>
                <w:rFonts w:ascii="Arial" w:hAnsi="Arial" w:cs="Arial"/>
                <w:lang w:val="en"/>
              </w:rPr>
            </w:pPr>
            <w:r w:rsidRPr="00A05552">
              <w:rPr>
                <w:rFonts w:ascii="Arial" w:hAnsi="Arial" w:cs="Arial"/>
                <w:lang w:val="en"/>
              </w:rPr>
              <w:t>0.6209</w:t>
            </w:r>
          </w:p>
        </w:tc>
        <w:tc>
          <w:tcPr>
            <w:tcW w:w="0" w:type="auto"/>
            <w:tcBorders>
              <w:top w:val="single" w:sz="10" w:space="0" w:color="000000"/>
              <w:left w:val="single" w:sz="10" w:space="0" w:color="000000"/>
              <w:bottom w:val="single" w:sz="10" w:space="0" w:color="000000"/>
              <w:right w:val="single" w:sz="10" w:space="0" w:color="000000"/>
            </w:tcBorders>
          </w:tcPr>
          <w:p w14:paraId="5BAB1B99" w14:textId="77777777" w:rsidR="00F75588" w:rsidRPr="00A05552" w:rsidRDefault="00F75588" w:rsidP="00F75588">
            <w:pPr>
              <w:rPr>
                <w:rFonts w:ascii="Arial" w:hAnsi="Arial" w:cs="Arial"/>
                <w:lang w:val="en"/>
              </w:rPr>
            </w:pPr>
            <w:r w:rsidRPr="00A05552">
              <w:rPr>
                <w:rFonts w:ascii="Arial" w:hAnsi="Arial" w:cs="Arial"/>
                <w:lang w:val="en"/>
              </w:rPr>
              <w:t>9.314</w:t>
            </w:r>
          </w:p>
        </w:tc>
      </w:tr>
      <w:tr w:rsidR="00F75588" w:rsidRPr="00A05552" w14:paraId="3BD02920"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3B855586" w14:textId="77777777" w:rsidR="00F75588" w:rsidRPr="00A05552" w:rsidRDefault="00F75588" w:rsidP="00F75588">
            <w:pPr>
              <w:rPr>
                <w:rFonts w:ascii="Arial" w:hAnsi="Arial" w:cs="Arial"/>
                <w:lang w:val="en"/>
              </w:rPr>
            </w:pPr>
            <w:r w:rsidRPr="00A05552">
              <w:rPr>
                <w:rFonts w:ascii="Arial" w:hAnsi="Arial" w:cs="Arial"/>
                <w:b/>
                <w:bCs/>
                <w:lang w:val="en"/>
              </w:rPr>
              <w:t>Total PV inflows</w:t>
            </w:r>
          </w:p>
        </w:tc>
        <w:tc>
          <w:tcPr>
            <w:tcW w:w="0" w:type="auto"/>
            <w:tcBorders>
              <w:top w:val="single" w:sz="10" w:space="0" w:color="000000"/>
              <w:left w:val="single" w:sz="10" w:space="0" w:color="000000"/>
              <w:bottom w:val="single" w:sz="10" w:space="0" w:color="000000"/>
              <w:right w:val="single" w:sz="10" w:space="0" w:color="000000"/>
            </w:tcBorders>
          </w:tcPr>
          <w:p w14:paraId="052EC0B0" w14:textId="77777777" w:rsidR="00F75588" w:rsidRPr="00A05552" w:rsidRDefault="00F75588" w:rsidP="00F75588">
            <w:pPr>
              <w:rPr>
                <w:rFonts w:ascii="Arial" w:hAnsi="Arial" w:cs="Arial"/>
                <w:lang w:val="en"/>
              </w:rPr>
            </w:pPr>
          </w:p>
        </w:tc>
        <w:tc>
          <w:tcPr>
            <w:tcW w:w="0" w:type="auto"/>
            <w:tcBorders>
              <w:top w:val="single" w:sz="10" w:space="0" w:color="000000"/>
              <w:left w:val="single" w:sz="10" w:space="0" w:color="000000"/>
              <w:bottom w:val="single" w:sz="10" w:space="0" w:color="000000"/>
              <w:right w:val="single" w:sz="10" w:space="0" w:color="000000"/>
            </w:tcBorders>
          </w:tcPr>
          <w:p w14:paraId="6DA2CC98" w14:textId="77777777" w:rsidR="00F75588" w:rsidRPr="00A05552" w:rsidRDefault="00F75588" w:rsidP="00F75588">
            <w:pPr>
              <w:rPr>
                <w:rFonts w:ascii="Arial" w:hAnsi="Arial" w:cs="Arial"/>
                <w:lang w:val="en"/>
              </w:rPr>
            </w:pPr>
          </w:p>
        </w:tc>
        <w:tc>
          <w:tcPr>
            <w:tcW w:w="0" w:type="auto"/>
            <w:tcBorders>
              <w:top w:val="single" w:sz="10" w:space="0" w:color="000000"/>
              <w:left w:val="single" w:sz="10" w:space="0" w:color="000000"/>
              <w:bottom w:val="single" w:sz="10" w:space="0" w:color="000000"/>
              <w:right w:val="single" w:sz="10" w:space="0" w:color="000000"/>
            </w:tcBorders>
          </w:tcPr>
          <w:p w14:paraId="198FC6F3" w14:textId="77777777" w:rsidR="00F75588" w:rsidRPr="00A05552" w:rsidRDefault="00F75588" w:rsidP="00F75588">
            <w:pPr>
              <w:rPr>
                <w:rFonts w:ascii="Arial" w:hAnsi="Arial" w:cs="Arial"/>
                <w:lang w:val="en"/>
              </w:rPr>
            </w:pPr>
            <w:r w:rsidRPr="00A05552">
              <w:rPr>
                <w:rFonts w:ascii="Arial" w:hAnsi="Arial" w:cs="Arial"/>
                <w:b/>
                <w:bCs/>
                <w:lang w:val="en"/>
              </w:rPr>
              <w:t>54.224</w:t>
            </w:r>
          </w:p>
        </w:tc>
      </w:tr>
    </w:tbl>
    <w:p w14:paraId="3BC68A17" w14:textId="77777777" w:rsidR="00F75588" w:rsidRPr="00A05552" w:rsidRDefault="00F75588" w:rsidP="00F75588">
      <w:pPr>
        <w:numPr>
          <w:ilvl w:val="0"/>
          <w:numId w:val="24"/>
        </w:numPr>
        <w:rPr>
          <w:rFonts w:ascii="Arial" w:hAnsi="Arial" w:cs="Arial"/>
          <w:lang w:val="en"/>
        </w:rPr>
      </w:pPr>
      <w:r w:rsidRPr="00A05552">
        <w:rPr>
          <w:rFonts w:ascii="Arial" w:hAnsi="Arial" w:cs="Arial"/>
          <w:b/>
          <w:bCs/>
          <w:lang w:val="en"/>
        </w:rPr>
        <w:t>NPV(C)</w:t>
      </w:r>
      <w:r w:rsidRPr="00A05552">
        <w:rPr>
          <w:rFonts w:ascii="Arial" w:hAnsi="Arial" w:cs="Arial"/>
          <w:lang w:val="en"/>
        </w:rPr>
        <w:t xml:space="preserve"> = 54.224 − 50 = </w:t>
      </w:r>
      <w:r w:rsidRPr="00A05552">
        <w:rPr>
          <w:rFonts w:ascii="Arial" w:hAnsi="Arial" w:cs="Arial"/>
          <w:b/>
          <w:bCs/>
          <w:lang w:val="en"/>
        </w:rPr>
        <w:t>4.224</w:t>
      </w:r>
    </w:p>
    <w:p w14:paraId="535A0DDA" w14:textId="2D5D258A" w:rsidR="00F75588" w:rsidRPr="00A05552" w:rsidRDefault="00F75588" w:rsidP="00F75588">
      <w:pPr>
        <w:numPr>
          <w:ilvl w:val="0"/>
          <w:numId w:val="24"/>
        </w:numPr>
        <w:rPr>
          <w:rFonts w:ascii="Arial" w:hAnsi="Arial" w:cs="Arial"/>
          <w:lang w:val="en"/>
        </w:rPr>
      </w:pPr>
      <w:r w:rsidRPr="00A05552">
        <w:rPr>
          <w:rFonts w:ascii="Arial" w:hAnsi="Arial" w:cs="Arial"/>
          <w:b/>
          <w:bCs/>
          <w:lang w:val="en"/>
        </w:rPr>
        <w:t>PI(C)</w:t>
      </w:r>
      <w:r w:rsidRPr="00A05552">
        <w:rPr>
          <w:rFonts w:ascii="Arial" w:hAnsi="Arial" w:cs="Arial"/>
          <w:lang w:val="en"/>
        </w:rPr>
        <w:t xml:space="preserve"> = 54.224 ÷ 50 = </w:t>
      </w:r>
      <w:r w:rsidRPr="00A05552">
        <w:rPr>
          <w:rFonts w:ascii="Arial" w:hAnsi="Arial" w:cs="Arial"/>
          <w:b/>
          <w:bCs/>
          <w:lang w:val="en"/>
        </w:rPr>
        <w:t>1.08</w:t>
      </w:r>
    </w:p>
    <w:p w14:paraId="40D256E9" w14:textId="77777777" w:rsidR="00F75588" w:rsidRPr="00A05552" w:rsidRDefault="00F75588" w:rsidP="00F75588">
      <w:pPr>
        <w:rPr>
          <w:rFonts w:ascii="Arial" w:hAnsi="Arial" w:cs="Arial"/>
          <w:lang w:val="en"/>
        </w:rPr>
      </w:pPr>
      <w:r w:rsidRPr="00A05552">
        <w:rPr>
          <w:rFonts w:ascii="Arial" w:hAnsi="Arial" w:cs="Arial"/>
          <w:b/>
          <w:bCs/>
          <w:lang w:val="en"/>
        </w:rPr>
        <w:t>A3. Payback Period (PBP)</w:t>
      </w:r>
    </w:p>
    <w:tbl>
      <w:tblPr>
        <w:tblW w:w="0" w:type="auto"/>
        <w:tblLook w:val="0020" w:firstRow="1" w:lastRow="0" w:firstColumn="0" w:lastColumn="0" w:noHBand="0" w:noVBand="0"/>
      </w:tblPr>
      <w:tblGrid>
        <w:gridCol w:w="964"/>
        <w:gridCol w:w="1188"/>
        <w:gridCol w:w="1478"/>
        <w:gridCol w:w="1839"/>
        <w:gridCol w:w="2728"/>
        <w:gridCol w:w="1137"/>
      </w:tblGrid>
      <w:tr w:rsidR="00F75588" w:rsidRPr="00A05552" w14:paraId="5A284D9D" w14:textId="77777777" w:rsidTr="00227CD9">
        <w:trPr>
          <w:tblHeader/>
        </w:trPr>
        <w:tc>
          <w:tcPr>
            <w:tcW w:w="0" w:type="auto"/>
            <w:tcBorders>
              <w:top w:val="single" w:sz="10" w:space="0" w:color="000000"/>
              <w:left w:val="single" w:sz="10" w:space="0" w:color="000000"/>
              <w:bottom w:val="single" w:sz="10" w:space="0" w:color="000000"/>
              <w:right w:val="single" w:sz="10" w:space="0" w:color="000000"/>
            </w:tcBorders>
            <w:vAlign w:val="center"/>
          </w:tcPr>
          <w:p w14:paraId="605D0601" w14:textId="77777777" w:rsidR="00F75588" w:rsidRPr="00A05552" w:rsidRDefault="00F75588" w:rsidP="00F75588">
            <w:pPr>
              <w:rPr>
                <w:rFonts w:ascii="Arial" w:hAnsi="Arial" w:cs="Arial"/>
                <w:lang w:val="en"/>
              </w:rPr>
            </w:pPr>
            <w:r w:rsidRPr="00A05552">
              <w:rPr>
                <w:rFonts w:ascii="Arial" w:hAnsi="Arial" w:cs="Arial"/>
                <w:lang w:val="en"/>
              </w:rPr>
              <w:t>Project</w:t>
            </w:r>
          </w:p>
        </w:tc>
        <w:tc>
          <w:tcPr>
            <w:tcW w:w="0" w:type="auto"/>
            <w:tcBorders>
              <w:top w:val="single" w:sz="10" w:space="0" w:color="000000"/>
              <w:left w:val="single" w:sz="10" w:space="0" w:color="000000"/>
              <w:bottom w:val="single" w:sz="10" w:space="0" w:color="000000"/>
              <w:right w:val="single" w:sz="10" w:space="0" w:color="000000"/>
            </w:tcBorders>
            <w:vAlign w:val="center"/>
          </w:tcPr>
          <w:p w14:paraId="6BBC3AA3" w14:textId="77777777" w:rsidR="00F75588" w:rsidRPr="00A05552" w:rsidRDefault="00F75588" w:rsidP="00F75588">
            <w:pPr>
              <w:rPr>
                <w:rFonts w:ascii="Arial" w:hAnsi="Arial" w:cs="Arial"/>
                <w:lang w:val="en"/>
              </w:rPr>
            </w:pPr>
            <w:r w:rsidRPr="00A05552">
              <w:rPr>
                <w:rFonts w:ascii="Arial" w:hAnsi="Arial" w:cs="Arial"/>
                <w:lang w:val="en"/>
              </w:rPr>
              <w:t>Initial outlay</w:t>
            </w:r>
          </w:p>
        </w:tc>
        <w:tc>
          <w:tcPr>
            <w:tcW w:w="0" w:type="auto"/>
            <w:tcBorders>
              <w:top w:val="single" w:sz="10" w:space="0" w:color="000000"/>
              <w:left w:val="single" w:sz="10" w:space="0" w:color="000000"/>
              <w:bottom w:val="single" w:sz="10" w:space="0" w:color="000000"/>
              <w:right w:val="single" w:sz="10" w:space="0" w:color="000000"/>
            </w:tcBorders>
            <w:vAlign w:val="center"/>
          </w:tcPr>
          <w:p w14:paraId="2F227D19" w14:textId="77777777" w:rsidR="00F75588" w:rsidRPr="00A05552" w:rsidRDefault="00F75588" w:rsidP="00F75588">
            <w:pPr>
              <w:rPr>
                <w:rFonts w:ascii="Arial" w:hAnsi="Arial" w:cs="Arial"/>
                <w:lang w:val="en"/>
              </w:rPr>
            </w:pPr>
            <w:r w:rsidRPr="00A05552">
              <w:rPr>
                <w:rFonts w:ascii="Arial" w:hAnsi="Arial" w:cs="Arial"/>
                <w:lang w:val="en"/>
              </w:rPr>
              <w:t>Yearly inflows</w:t>
            </w:r>
          </w:p>
        </w:tc>
        <w:tc>
          <w:tcPr>
            <w:tcW w:w="0" w:type="auto"/>
            <w:tcBorders>
              <w:top w:val="single" w:sz="10" w:space="0" w:color="000000"/>
              <w:left w:val="single" w:sz="10" w:space="0" w:color="000000"/>
              <w:bottom w:val="single" w:sz="10" w:space="0" w:color="000000"/>
              <w:right w:val="single" w:sz="10" w:space="0" w:color="000000"/>
            </w:tcBorders>
            <w:vAlign w:val="center"/>
          </w:tcPr>
          <w:p w14:paraId="5925E18D" w14:textId="77777777" w:rsidR="00F75588" w:rsidRPr="00A05552" w:rsidRDefault="00F75588" w:rsidP="00F75588">
            <w:pPr>
              <w:rPr>
                <w:rFonts w:ascii="Arial" w:hAnsi="Arial" w:cs="Arial"/>
                <w:lang w:val="en"/>
              </w:rPr>
            </w:pPr>
            <w:r w:rsidRPr="00A05552">
              <w:rPr>
                <w:rFonts w:ascii="Arial" w:hAnsi="Arial" w:cs="Arial"/>
                <w:lang w:val="en"/>
              </w:rPr>
              <w:t>Cumulative inflows</w:t>
            </w:r>
          </w:p>
        </w:tc>
        <w:tc>
          <w:tcPr>
            <w:tcW w:w="0" w:type="auto"/>
            <w:tcBorders>
              <w:top w:val="single" w:sz="10" w:space="0" w:color="000000"/>
              <w:left w:val="single" w:sz="10" w:space="0" w:color="000000"/>
              <w:bottom w:val="single" w:sz="10" w:space="0" w:color="000000"/>
              <w:right w:val="single" w:sz="10" w:space="0" w:color="000000"/>
            </w:tcBorders>
            <w:vAlign w:val="center"/>
          </w:tcPr>
          <w:p w14:paraId="1D4AC447" w14:textId="77777777" w:rsidR="00F75588" w:rsidRPr="00A05552" w:rsidRDefault="00F75588" w:rsidP="00F75588">
            <w:pPr>
              <w:rPr>
                <w:rFonts w:ascii="Arial" w:hAnsi="Arial" w:cs="Arial"/>
                <w:lang w:val="en"/>
              </w:rPr>
            </w:pPr>
            <w:r w:rsidRPr="00A05552">
              <w:rPr>
                <w:rFonts w:ascii="Arial" w:hAnsi="Arial" w:cs="Arial"/>
                <w:lang w:val="en"/>
              </w:rPr>
              <w:t>Payback working</w:t>
            </w:r>
          </w:p>
        </w:tc>
        <w:tc>
          <w:tcPr>
            <w:tcW w:w="0" w:type="auto"/>
            <w:tcBorders>
              <w:top w:val="single" w:sz="10" w:space="0" w:color="000000"/>
              <w:left w:val="single" w:sz="10" w:space="0" w:color="000000"/>
              <w:bottom w:val="single" w:sz="10" w:space="0" w:color="000000"/>
              <w:right w:val="single" w:sz="10" w:space="0" w:color="000000"/>
            </w:tcBorders>
            <w:vAlign w:val="center"/>
          </w:tcPr>
          <w:p w14:paraId="58589A67" w14:textId="77777777" w:rsidR="00F75588" w:rsidRPr="00A05552" w:rsidRDefault="00F75588" w:rsidP="00F75588">
            <w:pPr>
              <w:rPr>
                <w:rFonts w:ascii="Arial" w:hAnsi="Arial" w:cs="Arial"/>
                <w:lang w:val="en"/>
              </w:rPr>
            </w:pPr>
            <w:r w:rsidRPr="00A05552">
              <w:rPr>
                <w:rFonts w:ascii="Arial" w:hAnsi="Arial" w:cs="Arial"/>
                <w:lang w:val="en"/>
              </w:rPr>
              <w:t>Payback</w:t>
            </w:r>
          </w:p>
        </w:tc>
      </w:tr>
      <w:tr w:rsidR="00F75588" w:rsidRPr="00A05552" w14:paraId="3289C5DA"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573664F6" w14:textId="77777777" w:rsidR="00F75588" w:rsidRPr="00A05552" w:rsidRDefault="00F75588" w:rsidP="00F75588">
            <w:pPr>
              <w:rPr>
                <w:rFonts w:ascii="Arial" w:hAnsi="Arial" w:cs="Arial"/>
                <w:lang w:val="en"/>
              </w:rPr>
            </w:pPr>
            <w:r w:rsidRPr="00A05552">
              <w:rPr>
                <w:rFonts w:ascii="Arial" w:hAnsi="Arial" w:cs="Arial"/>
                <w:lang w:val="en"/>
              </w:rPr>
              <w:t>A</w:t>
            </w:r>
          </w:p>
        </w:tc>
        <w:tc>
          <w:tcPr>
            <w:tcW w:w="0" w:type="auto"/>
            <w:tcBorders>
              <w:top w:val="single" w:sz="10" w:space="0" w:color="000000"/>
              <w:left w:val="single" w:sz="10" w:space="0" w:color="000000"/>
              <w:bottom w:val="single" w:sz="10" w:space="0" w:color="000000"/>
              <w:right w:val="single" w:sz="10" w:space="0" w:color="000000"/>
            </w:tcBorders>
          </w:tcPr>
          <w:p w14:paraId="5CCC24E8" w14:textId="77777777" w:rsidR="00F75588" w:rsidRPr="00A05552" w:rsidRDefault="00F75588" w:rsidP="00F75588">
            <w:pPr>
              <w:rPr>
                <w:rFonts w:ascii="Arial" w:hAnsi="Arial" w:cs="Arial"/>
                <w:lang w:val="en"/>
              </w:rPr>
            </w:pPr>
            <w:r w:rsidRPr="00A05552">
              <w:rPr>
                <w:rFonts w:ascii="Arial" w:hAnsi="Arial" w:cs="Arial"/>
                <w:lang w:val="en"/>
              </w:rPr>
              <w:t>40</w:t>
            </w:r>
          </w:p>
        </w:tc>
        <w:tc>
          <w:tcPr>
            <w:tcW w:w="0" w:type="auto"/>
            <w:tcBorders>
              <w:top w:val="single" w:sz="10" w:space="0" w:color="000000"/>
              <w:left w:val="single" w:sz="10" w:space="0" w:color="000000"/>
              <w:bottom w:val="single" w:sz="10" w:space="0" w:color="000000"/>
              <w:right w:val="single" w:sz="10" w:space="0" w:color="000000"/>
            </w:tcBorders>
          </w:tcPr>
          <w:p w14:paraId="1EB0B592" w14:textId="77777777" w:rsidR="00F75588" w:rsidRPr="00A05552" w:rsidRDefault="00F75588" w:rsidP="00F75588">
            <w:pPr>
              <w:rPr>
                <w:rFonts w:ascii="Arial" w:hAnsi="Arial" w:cs="Arial"/>
                <w:lang w:val="en"/>
              </w:rPr>
            </w:pPr>
            <w:r w:rsidRPr="00A05552">
              <w:rPr>
                <w:rFonts w:ascii="Arial" w:hAnsi="Arial" w:cs="Arial"/>
                <w:lang w:val="en"/>
              </w:rPr>
              <w:t>10, 12, 14, 10, 8</w:t>
            </w:r>
          </w:p>
        </w:tc>
        <w:tc>
          <w:tcPr>
            <w:tcW w:w="0" w:type="auto"/>
            <w:tcBorders>
              <w:top w:val="single" w:sz="10" w:space="0" w:color="000000"/>
              <w:left w:val="single" w:sz="10" w:space="0" w:color="000000"/>
              <w:bottom w:val="single" w:sz="10" w:space="0" w:color="000000"/>
              <w:right w:val="single" w:sz="10" w:space="0" w:color="000000"/>
            </w:tcBorders>
          </w:tcPr>
          <w:p w14:paraId="7C325AFB" w14:textId="77777777" w:rsidR="00F75588" w:rsidRPr="00A05552" w:rsidRDefault="00F75588" w:rsidP="00F75588">
            <w:pPr>
              <w:rPr>
                <w:rFonts w:ascii="Arial" w:hAnsi="Arial" w:cs="Arial"/>
                <w:lang w:val="en"/>
              </w:rPr>
            </w:pPr>
            <w:r w:rsidRPr="00A05552">
              <w:rPr>
                <w:rFonts w:ascii="Arial" w:hAnsi="Arial" w:cs="Arial"/>
                <w:lang w:val="en"/>
              </w:rPr>
              <w:t>10, 22, 36, 46, 54</w:t>
            </w:r>
          </w:p>
        </w:tc>
        <w:tc>
          <w:tcPr>
            <w:tcW w:w="0" w:type="auto"/>
            <w:tcBorders>
              <w:top w:val="single" w:sz="10" w:space="0" w:color="000000"/>
              <w:left w:val="single" w:sz="10" w:space="0" w:color="000000"/>
              <w:bottom w:val="single" w:sz="10" w:space="0" w:color="000000"/>
              <w:right w:val="single" w:sz="10" w:space="0" w:color="000000"/>
            </w:tcBorders>
          </w:tcPr>
          <w:p w14:paraId="32D9512F" w14:textId="77777777" w:rsidR="00F75588" w:rsidRPr="00A05552" w:rsidRDefault="00F75588" w:rsidP="00F75588">
            <w:pPr>
              <w:rPr>
                <w:rFonts w:ascii="Arial" w:hAnsi="Arial" w:cs="Arial"/>
                <w:lang w:val="en"/>
              </w:rPr>
            </w:pPr>
            <w:r w:rsidRPr="00A05552">
              <w:rPr>
                <w:rFonts w:ascii="Arial" w:hAnsi="Arial" w:cs="Arial"/>
                <w:lang w:val="en"/>
              </w:rPr>
              <w:t>After year 3: 40−36 = 4; 4/10=0.4</w:t>
            </w:r>
          </w:p>
        </w:tc>
        <w:tc>
          <w:tcPr>
            <w:tcW w:w="0" w:type="auto"/>
            <w:tcBorders>
              <w:top w:val="single" w:sz="10" w:space="0" w:color="000000"/>
              <w:left w:val="single" w:sz="10" w:space="0" w:color="000000"/>
              <w:bottom w:val="single" w:sz="10" w:space="0" w:color="000000"/>
              <w:right w:val="single" w:sz="10" w:space="0" w:color="000000"/>
            </w:tcBorders>
          </w:tcPr>
          <w:p w14:paraId="560C579B" w14:textId="77777777" w:rsidR="00F75588" w:rsidRPr="00A05552" w:rsidRDefault="00F75588" w:rsidP="00F75588">
            <w:pPr>
              <w:rPr>
                <w:rFonts w:ascii="Arial" w:hAnsi="Arial" w:cs="Arial"/>
                <w:lang w:val="en"/>
              </w:rPr>
            </w:pPr>
            <w:r w:rsidRPr="00A05552">
              <w:rPr>
                <w:rFonts w:ascii="Arial" w:hAnsi="Arial" w:cs="Arial"/>
                <w:b/>
                <w:bCs/>
                <w:lang w:val="en"/>
              </w:rPr>
              <w:t xml:space="preserve">3.4 </w:t>
            </w:r>
            <w:proofErr w:type="spellStart"/>
            <w:r w:rsidRPr="00A05552">
              <w:rPr>
                <w:rFonts w:ascii="Arial" w:hAnsi="Arial" w:cs="Arial"/>
                <w:b/>
                <w:bCs/>
                <w:lang w:val="en"/>
              </w:rPr>
              <w:t>yrs</w:t>
            </w:r>
            <w:proofErr w:type="spellEnd"/>
          </w:p>
        </w:tc>
      </w:tr>
      <w:tr w:rsidR="00F75588" w:rsidRPr="00A05552" w14:paraId="5962C501"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6A780F4A" w14:textId="77777777" w:rsidR="00F75588" w:rsidRPr="00A05552" w:rsidRDefault="00F75588" w:rsidP="00F75588">
            <w:pPr>
              <w:rPr>
                <w:rFonts w:ascii="Arial" w:hAnsi="Arial" w:cs="Arial"/>
                <w:lang w:val="en"/>
              </w:rPr>
            </w:pPr>
            <w:r w:rsidRPr="00A05552">
              <w:rPr>
                <w:rFonts w:ascii="Arial" w:hAnsi="Arial" w:cs="Arial"/>
                <w:lang w:val="en"/>
              </w:rPr>
              <w:t>B</w:t>
            </w:r>
          </w:p>
        </w:tc>
        <w:tc>
          <w:tcPr>
            <w:tcW w:w="0" w:type="auto"/>
            <w:tcBorders>
              <w:top w:val="single" w:sz="10" w:space="0" w:color="000000"/>
              <w:left w:val="single" w:sz="10" w:space="0" w:color="000000"/>
              <w:bottom w:val="single" w:sz="10" w:space="0" w:color="000000"/>
              <w:right w:val="single" w:sz="10" w:space="0" w:color="000000"/>
            </w:tcBorders>
          </w:tcPr>
          <w:p w14:paraId="1AEF7495" w14:textId="77777777" w:rsidR="00F75588" w:rsidRPr="00A05552" w:rsidRDefault="00F75588" w:rsidP="00F75588">
            <w:pPr>
              <w:rPr>
                <w:rFonts w:ascii="Arial" w:hAnsi="Arial" w:cs="Arial"/>
                <w:lang w:val="en"/>
              </w:rPr>
            </w:pPr>
            <w:r w:rsidRPr="00A05552">
              <w:rPr>
                <w:rFonts w:ascii="Arial" w:hAnsi="Arial" w:cs="Arial"/>
                <w:lang w:val="en"/>
              </w:rPr>
              <w:t>30</w:t>
            </w:r>
          </w:p>
        </w:tc>
        <w:tc>
          <w:tcPr>
            <w:tcW w:w="0" w:type="auto"/>
            <w:tcBorders>
              <w:top w:val="single" w:sz="10" w:space="0" w:color="000000"/>
              <w:left w:val="single" w:sz="10" w:space="0" w:color="000000"/>
              <w:bottom w:val="single" w:sz="10" w:space="0" w:color="000000"/>
              <w:right w:val="single" w:sz="10" w:space="0" w:color="000000"/>
            </w:tcBorders>
          </w:tcPr>
          <w:p w14:paraId="6F5844C7" w14:textId="77777777" w:rsidR="00F75588" w:rsidRPr="00A05552" w:rsidRDefault="00F75588" w:rsidP="00F75588">
            <w:pPr>
              <w:rPr>
                <w:rFonts w:ascii="Arial" w:hAnsi="Arial" w:cs="Arial"/>
                <w:lang w:val="en"/>
              </w:rPr>
            </w:pPr>
            <w:r w:rsidRPr="00A05552">
              <w:rPr>
                <w:rFonts w:ascii="Arial" w:hAnsi="Arial" w:cs="Arial"/>
                <w:lang w:val="en"/>
              </w:rPr>
              <w:t>6, 6, 6, 6, 6</w:t>
            </w:r>
          </w:p>
        </w:tc>
        <w:tc>
          <w:tcPr>
            <w:tcW w:w="0" w:type="auto"/>
            <w:tcBorders>
              <w:top w:val="single" w:sz="10" w:space="0" w:color="000000"/>
              <w:left w:val="single" w:sz="10" w:space="0" w:color="000000"/>
              <w:bottom w:val="single" w:sz="10" w:space="0" w:color="000000"/>
              <w:right w:val="single" w:sz="10" w:space="0" w:color="000000"/>
            </w:tcBorders>
          </w:tcPr>
          <w:p w14:paraId="28537F87" w14:textId="77777777" w:rsidR="00F75588" w:rsidRPr="00A05552" w:rsidRDefault="00F75588" w:rsidP="00F75588">
            <w:pPr>
              <w:rPr>
                <w:rFonts w:ascii="Arial" w:hAnsi="Arial" w:cs="Arial"/>
                <w:lang w:val="en"/>
              </w:rPr>
            </w:pPr>
            <w:r w:rsidRPr="00A05552">
              <w:rPr>
                <w:rFonts w:ascii="Arial" w:hAnsi="Arial" w:cs="Arial"/>
                <w:lang w:val="en"/>
              </w:rPr>
              <w:t>6, 12, 18, 24, 30</w:t>
            </w:r>
          </w:p>
        </w:tc>
        <w:tc>
          <w:tcPr>
            <w:tcW w:w="0" w:type="auto"/>
            <w:tcBorders>
              <w:top w:val="single" w:sz="10" w:space="0" w:color="000000"/>
              <w:left w:val="single" w:sz="10" w:space="0" w:color="000000"/>
              <w:bottom w:val="single" w:sz="10" w:space="0" w:color="000000"/>
              <w:right w:val="single" w:sz="10" w:space="0" w:color="000000"/>
            </w:tcBorders>
          </w:tcPr>
          <w:p w14:paraId="265033FD" w14:textId="77777777" w:rsidR="00F75588" w:rsidRPr="00A05552" w:rsidRDefault="00F75588" w:rsidP="00F75588">
            <w:pPr>
              <w:rPr>
                <w:rFonts w:ascii="Arial" w:hAnsi="Arial" w:cs="Arial"/>
                <w:lang w:val="en"/>
              </w:rPr>
            </w:pPr>
            <w:r w:rsidRPr="00A05552">
              <w:rPr>
                <w:rFonts w:ascii="Arial" w:hAnsi="Arial" w:cs="Arial"/>
                <w:lang w:val="en"/>
              </w:rPr>
              <w:t>Reaches 30 at end of year 5</w:t>
            </w:r>
          </w:p>
        </w:tc>
        <w:tc>
          <w:tcPr>
            <w:tcW w:w="0" w:type="auto"/>
            <w:tcBorders>
              <w:top w:val="single" w:sz="10" w:space="0" w:color="000000"/>
              <w:left w:val="single" w:sz="10" w:space="0" w:color="000000"/>
              <w:bottom w:val="single" w:sz="10" w:space="0" w:color="000000"/>
              <w:right w:val="single" w:sz="10" w:space="0" w:color="000000"/>
            </w:tcBorders>
          </w:tcPr>
          <w:p w14:paraId="6DE7317F" w14:textId="77777777" w:rsidR="00F75588" w:rsidRPr="00A05552" w:rsidRDefault="00F75588" w:rsidP="00F75588">
            <w:pPr>
              <w:rPr>
                <w:rFonts w:ascii="Arial" w:hAnsi="Arial" w:cs="Arial"/>
                <w:lang w:val="en"/>
              </w:rPr>
            </w:pPr>
            <w:r w:rsidRPr="00A05552">
              <w:rPr>
                <w:rFonts w:ascii="Arial" w:hAnsi="Arial" w:cs="Arial"/>
                <w:b/>
                <w:bCs/>
                <w:lang w:val="en"/>
              </w:rPr>
              <w:t xml:space="preserve">5.0 </w:t>
            </w:r>
            <w:proofErr w:type="spellStart"/>
            <w:r w:rsidRPr="00A05552">
              <w:rPr>
                <w:rFonts w:ascii="Arial" w:hAnsi="Arial" w:cs="Arial"/>
                <w:b/>
                <w:bCs/>
                <w:lang w:val="en"/>
              </w:rPr>
              <w:t>yrs</w:t>
            </w:r>
            <w:proofErr w:type="spellEnd"/>
          </w:p>
        </w:tc>
      </w:tr>
      <w:tr w:rsidR="00F75588" w:rsidRPr="00A05552" w14:paraId="5C6955A9"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3D2C988C" w14:textId="77777777" w:rsidR="00F75588" w:rsidRPr="00A05552" w:rsidRDefault="00F75588" w:rsidP="00F75588">
            <w:pPr>
              <w:rPr>
                <w:rFonts w:ascii="Arial" w:hAnsi="Arial" w:cs="Arial"/>
                <w:lang w:val="en"/>
              </w:rPr>
            </w:pPr>
            <w:r w:rsidRPr="00A05552">
              <w:rPr>
                <w:rFonts w:ascii="Arial" w:hAnsi="Arial" w:cs="Arial"/>
                <w:lang w:val="en"/>
              </w:rPr>
              <w:t>C</w:t>
            </w:r>
          </w:p>
        </w:tc>
        <w:tc>
          <w:tcPr>
            <w:tcW w:w="0" w:type="auto"/>
            <w:tcBorders>
              <w:top w:val="single" w:sz="10" w:space="0" w:color="000000"/>
              <w:left w:val="single" w:sz="10" w:space="0" w:color="000000"/>
              <w:bottom w:val="single" w:sz="10" w:space="0" w:color="000000"/>
              <w:right w:val="single" w:sz="10" w:space="0" w:color="000000"/>
            </w:tcBorders>
          </w:tcPr>
          <w:p w14:paraId="72E4FCE3" w14:textId="77777777" w:rsidR="00F75588" w:rsidRPr="00A05552" w:rsidRDefault="00F75588" w:rsidP="00F75588">
            <w:pPr>
              <w:rPr>
                <w:rFonts w:ascii="Arial" w:hAnsi="Arial" w:cs="Arial"/>
                <w:lang w:val="en"/>
              </w:rPr>
            </w:pPr>
            <w:r w:rsidRPr="00A05552">
              <w:rPr>
                <w:rFonts w:ascii="Arial" w:hAnsi="Arial" w:cs="Arial"/>
                <w:lang w:val="en"/>
              </w:rPr>
              <w:t>50</w:t>
            </w:r>
          </w:p>
        </w:tc>
        <w:tc>
          <w:tcPr>
            <w:tcW w:w="0" w:type="auto"/>
            <w:tcBorders>
              <w:top w:val="single" w:sz="10" w:space="0" w:color="000000"/>
              <w:left w:val="single" w:sz="10" w:space="0" w:color="000000"/>
              <w:bottom w:val="single" w:sz="10" w:space="0" w:color="000000"/>
              <w:right w:val="single" w:sz="10" w:space="0" w:color="000000"/>
            </w:tcBorders>
          </w:tcPr>
          <w:p w14:paraId="55C67BFC" w14:textId="77777777" w:rsidR="00F75588" w:rsidRPr="00A05552" w:rsidRDefault="00F75588" w:rsidP="00F75588">
            <w:pPr>
              <w:rPr>
                <w:rFonts w:ascii="Arial" w:hAnsi="Arial" w:cs="Arial"/>
                <w:lang w:val="en"/>
              </w:rPr>
            </w:pPr>
            <w:r w:rsidRPr="00A05552">
              <w:rPr>
                <w:rFonts w:ascii="Arial" w:hAnsi="Arial" w:cs="Arial"/>
                <w:lang w:val="en"/>
              </w:rPr>
              <w:t>5, 10, 20, 25, 15</w:t>
            </w:r>
          </w:p>
        </w:tc>
        <w:tc>
          <w:tcPr>
            <w:tcW w:w="0" w:type="auto"/>
            <w:tcBorders>
              <w:top w:val="single" w:sz="10" w:space="0" w:color="000000"/>
              <w:left w:val="single" w:sz="10" w:space="0" w:color="000000"/>
              <w:bottom w:val="single" w:sz="10" w:space="0" w:color="000000"/>
              <w:right w:val="single" w:sz="10" w:space="0" w:color="000000"/>
            </w:tcBorders>
          </w:tcPr>
          <w:p w14:paraId="3A8F6590" w14:textId="77777777" w:rsidR="00F75588" w:rsidRPr="00A05552" w:rsidRDefault="00F75588" w:rsidP="00F75588">
            <w:pPr>
              <w:rPr>
                <w:rFonts w:ascii="Arial" w:hAnsi="Arial" w:cs="Arial"/>
                <w:lang w:val="en"/>
              </w:rPr>
            </w:pPr>
            <w:r w:rsidRPr="00A05552">
              <w:rPr>
                <w:rFonts w:ascii="Arial" w:hAnsi="Arial" w:cs="Arial"/>
                <w:lang w:val="en"/>
              </w:rPr>
              <w:t>5, 15, 35, 60, 75</w:t>
            </w:r>
          </w:p>
        </w:tc>
        <w:tc>
          <w:tcPr>
            <w:tcW w:w="0" w:type="auto"/>
            <w:tcBorders>
              <w:top w:val="single" w:sz="10" w:space="0" w:color="000000"/>
              <w:left w:val="single" w:sz="10" w:space="0" w:color="000000"/>
              <w:bottom w:val="single" w:sz="10" w:space="0" w:color="000000"/>
              <w:right w:val="single" w:sz="10" w:space="0" w:color="000000"/>
            </w:tcBorders>
          </w:tcPr>
          <w:p w14:paraId="2A38182F" w14:textId="77777777" w:rsidR="00F75588" w:rsidRPr="00A05552" w:rsidRDefault="00F75588" w:rsidP="00F75588">
            <w:pPr>
              <w:rPr>
                <w:rFonts w:ascii="Arial" w:hAnsi="Arial" w:cs="Arial"/>
                <w:lang w:val="en"/>
              </w:rPr>
            </w:pPr>
            <w:r w:rsidRPr="00A05552">
              <w:rPr>
                <w:rFonts w:ascii="Arial" w:hAnsi="Arial" w:cs="Arial"/>
                <w:lang w:val="en"/>
              </w:rPr>
              <w:t>After year 3: 50−35 = 15; 15/25=0.6</w:t>
            </w:r>
          </w:p>
        </w:tc>
        <w:tc>
          <w:tcPr>
            <w:tcW w:w="0" w:type="auto"/>
            <w:tcBorders>
              <w:top w:val="single" w:sz="10" w:space="0" w:color="000000"/>
              <w:left w:val="single" w:sz="10" w:space="0" w:color="000000"/>
              <w:bottom w:val="single" w:sz="10" w:space="0" w:color="000000"/>
              <w:right w:val="single" w:sz="10" w:space="0" w:color="000000"/>
            </w:tcBorders>
          </w:tcPr>
          <w:p w14:paraId="450498DE" w14:textId="77777777" w:rsidR="00F75588" w:rsidRPr="00A05552" w:rsidRDefault="00F75588" w:rsidP="00F75588">
            <w:pPr>
              <w:rPr>
                <w:rFonts w:ascii="Arial" w:hAnsi="Arial" w:cs="Arial"/>
                <w:lang w:val="en"/>
              </w:rPr>
            </w:pPr>
            <w:r w:rsidRPr="00A05552">
              <w:rPr>
                <w:rFonts w:ascii="Arial" w:hAnsi="Arial" w:cs="Arial"/>
                <w:b/>
                <w:bCs/>
                <w:lang w:val="en"/>
              </w:rPr>
              <w:t xml:space="preserve">3.6 </w:t>
            </w:r>
            <w:proofErr w:type="spellStart"/>
            <w:r w:rsidRPr="00A05552">
              <w:rPr>
                <w:rFonts w:ascii="Arial" w:hAnsi="Arial" w:cs="Arial"/>
                <w:b/>
                <w:bCs/>
                <w:lang w:val="en"/>
              </w:rPr>
              <w:t>yrs</w:t>
            </w:r>
            <w:proofErr w:type="spellEnd"/>
          </w:p>
        </w:tc>
      </w:tr>
    </w:tbl>
    <w:p w14:paraId="50082C81" w14:textId="136F77AA" w:rsidR="00F75588" w:rsidRPr="00A05552" w:rsidRDefault="00F75588" w:rsidP="00F75588">
      <w:pPr>
        <w:rPr>
          <w:rFonts w:ascii="Arial" w:hAnsi="Arial" w:cs="Arial"/>
          <w:lang w:val="en"/>
        </w:rPr>
      </w:pPr>
    </w:p>
    <w:p w14:paraId="64A03138" w14:textId="77777777" w:rsidR="00F75588" w:rsidRPr="00A05552" w:rsidRDefault="00F75588" w:rsidP="00F75588">
      <w:pPr>
        <w:rPr>
          <w:rFonts w:ascii="Arial" w:hAnsi="Arial" w:cs="Arial"/>
          <w:lang w:val="en"/>
        </w:rPr>
      </w:pPr>
      <w:r w:rsidRPr="00A05552">
        <w:rPr>
          <w:rFonts w:ascii="Arial" w:hAnsi="Arial" w:cs="Arial"/>
          <w:b/>
          <w:bCs/>
          <w:lang w:val="en"/>
        </w:rPr>
        <w:t>A4. Accounting Rate of Return (ARR)</w:t>
      </w:r>
    </w:p>
    <w:p w14:paraId="708D21CF" w14:textId="77777777" w:rsidR="00F75588" w:rsidRPr="00A05552" w:rsidRDefault="00F75588" w:rsidP="00F75588">
      <w:pPr>
        <w:rPr>
          <w:rFonts w:ascii="Arial" w:hAnsi="Arial" w:cs="Arial"/>
          <w:lang w:val="en"/>
        </w:rPr>
      </w:pPr>
      <w:r w:rsidRPr="00A05552">
        <w:rPr>
          <w:rFonts w:ascii="Arial" w:hAnsi="Arial" w:cs="Arial"/>
          <w:lang w:val="en"/>
        </w:rPr>
        <w:lastRenderedPageBreak/>
        <w:t>Straight-line depreciation to zero over 5 years:</w:t>
      </w:r>
    </w:p>
    <w:p w14:paraId="7156F4B0" w14:textId="77777777" w:rsidR="00F75588" w:rsidRPr="00A05552" w:rsidRDefault="00F75588" w:rsidP="00F75588">
      <w:pPr>
        <w:numPr>
          <w:ilvl w:val="0"/>
          <w:numId w:val="24"/>
        </w:numPr>
        <w:rPr>
          <w:rFonts w:ascii="Arial" w:hAnsi="Arial" w:cs="Arial"/>
          <w:lang w:val="en"/>
        </w:rPr>
      </w:pPr>
      <w:r w:rsidRPr="00A05552">
        <w:rPr>
          <w:rFonts w:ascii="Arial" w:hAnsi="Arial" w:cs="Arial"/>
          <w:lang w:val="en"/>
        </w:rPr>
        <w:t>Depreciation A = 40 ÷ 5 = 8 p.a.</w:t>
      </w:r>
    </w:p>
    <w:p w14:paraId="2FF5F2C2" w14:textId="77777777" w:rsidR="00F75588" w:rsidRPr="00A05552" w:rsidRDefault="00F75588" w:rsidP="00F75588">
      <w:pPr>
        <w:numPr>
          <w:ilvl w:val="0"/>
          <w:numId w:val="24"/>
        </w:numPr>
        <w:rPr>
          <w:rFonts w:ascii="Arial" w:hAnsi="Arial" w:cs="Arial"/>
          <w:lang w:val="en"/>
        </w:rPr>
      </w:pPr>
      <w:r w:rsidRPr="00A05552">
        <w:rPr>
          <w:rFonts w:ascii="Arial" w:hAnsi="Arial" w:cs="Arial"/>
          <w:lang w:val="en"/>
        </w:rPr>
        <w:t>Depreciation B = 30 ÷ 5 = 6 p.a.</w:t>
      </w:r>
    </w:p>
    <w:p w14:paraId="096EC8D5" w14:textId="77777777" w:rsidR="00F75588" w:rsidRPr="00A05552" w:rsidRDefault="00F75588" w:rsidP="00F75588">
      <w:pPr>
        <w:numPr>
          <w:ilvl w:val="0"/>
          <w:numId w:val="24"/>
        </w:numPr>
        <w:rPr>
          <w:rFonts w:ascii="Arial" w:hAnsi="Arial" w:cs="Arial"/>
          <w:lang w:val="en"/>
        </w:rPr>
      </w:pPr>
      <w:r w:rsidRPr="00A05552">
        <w:rPr>
          <w:rFonts w:ascii="Arial" w:hAnsi="Arial" w:cs="Arial"/>
          <w:lang w:val="en"/>
        </w:rPr>
        <w:t>Depreciation C = 50 ÷ 5 = 10 p.a.</w:t>
      </w:r>
    </w:p>
    <w:p w14:paraId="7A1B4A60" w14:textId="77777777" w:rsidR="00F75588" w:rsidRPr="00A05552" w:rsidRDefault="00F75588" w:rsidP="00F75588">
      <w:pPr>
        <w:rPr>
          <w:rFonts w:ascii="Arial" w:hAnsi="Arial" w:cs="Arial"/>
          <w:b/>
          <w:lang w:val="en"/>
        </w:rPr>
      </w:pPr>
      <w:r w:rsidRPr="00A05552">
        <w:rPr>
          <w:rFonts w:ascii="Arial" w:hAnsi="Arial" w:cs="Arial"/>
          <w:b/>
          <w:lang w:val="en"/>
        </w:rPr>
        <w:t>Profit and ARR</w:t>
      </w:r>
    </w:p>
    <w:tbl>
      <w:tblPr>
        <w:tblW w:w="0" w:type="auto"/>
        <w:tblLook w:val="0020" w:firstRow="1" w:lastRow="0" w:firstColumn="0" w:lastColumn="0" w:noHBand="0" w:noVBand="0"/>
      </w:tblPr>
      <w:tblGrid>
        <w:gridCol w:w="963"/>
        <w:gridCol w:w="1266"/>
        <w:gridCol w:w="1564"/>
        <w:gridCol w:w="1633"/>
        <w:gridCol w:w="2341"/>
        <w:gridCol w:w="1567"/>
      </w:tblGrid>
      <w:tr w:rsidR="00F75588" w:rsidRPr="00A05552" w14:paraId="59D194AA" w14:textId="77777777" w:rsidTr="00227CD9">
        <w:trPr>
          <w:tblHeader/>
        </w:trPr>
        <w:tc>
          <w:tcPr>
            <w:tcW w:w="0" w:type="auto"/>
            <w:tcBorders>
              <w:top w:val="single" w:sz="10" w:space="0" w:color="000000"/>
              <w:left w:val="single" w:sz="10" w:space="0" w:color="000000"/>
              <w:bottom w:val="single" w:sz="10" w:space="0" w:color="000000"/>
              <w:right w:val="single" w:sz="10" w:space="0" w:color="000000"/>
            </w:tcBorders>
            <w:vAlign w:val="center"/>
          </w:tcPr>
          <w:p w14:paraId="04012B28" w14:textId="77777777" w:rsidR="00F75588" w:rsidRPr="00A05552" w:rsidRDefault="00F75588" w:rsidP="00F75588">
            <w:pPr>
              <w:rPr>
                <w:rFonts w:ascii="Arial" w:hAnsi="Arial" w:cs="Arial"/>
                <w:lang w:val="en"/>
              </w:rPr>
            </w:pPr>
            <w:r w:rsidRPr="00A05552">
              <w:rPr>
                <w:rFonts w:ascii="Arial" w:hAnsi="Arial" w:cs="Arial"/>
                <w:lang w:val="en"/>
              </w:rPr>
              <w:t>Project</w:t>
            </w:r>
          </w:p>
        </w:tc>
        <w:tc>
          <w:tcPr>
            <w:tcW w:w="0" w:type="auto"/>
            <w:tcBorders>
              <w:top w:val="single" w:sz="10" w:space="0" w:color="000000"/>
              <w:left w:val="single" w:sz="10" w:space="0" w:color="000000"/>
              <w:bottom w:val="single" w:sz="10" w:space="0" w:color="000000"/>
              <w:right w:val="single" w:sz="10" w:space="0" w:color="000000"/>
            </w:tcBorders>
            <w:vAlign w:val="center"/>
          </w:tcPr>
          <w:p w14:paraId="3BE14EC2" w14:textId="77777777" w:rsidR="00F75588" w:rsidRPr="00A05552" w:rsidRDefault="00F75588" w:rsidP="00F75588">
            <w:pPr>
              <w:rPr>
                <w:rFonts w:ascii="Arial" w:hAnsi="Arial" w:cs="Arial"/>
                <w:lang w:val="en"/>
              </w:rPr>
            </w:pPr>
            <w:r w:rsidRPr="00A05552">
              <w:rPr>
                <w:rFonts w:ascii="Arial" w:hAnsi="Arial" w:cs="Arial"/>
                <w:lang w:val="en"/>
              </w:rPr>
              <w:t>Year inflows</w:t>
            </w:r>
          </w:p>
        </w:tc>
        <w:tc>
          <w:tcPr>
            <w:tcW w:w="0" w:type="auto"/>
            <w:tcBorders>
              <w:top w:val="single" w:sz="10" w:space="0" w:color="000000"/>
              <w:left w:val="single" w:sz="10" w:space="0" w:color="000000"/>
              <w:bottom w:val="single" w:sz="10" w:space="0" w:color="000000"/>
              <w:right w:val="single" w:sz="10" w:space="0" w:color="000000"/>
            </w:tcBorders>
            <w:vAlign w:val="center"/>
          </w:tcPr>
          <w:p w14:paraId="4D974F47" w14:textId="77777777" w:rsidR="00F75588" w:rsidRPr="00A05552" w:rsidRDefault="00F75588" w:rsidP="00F75588">
            <w:pPr>
              <w:rPr>
                <w:rFonts w:ascii="Arial" w:hAnsi="Arial" w:cs="Arial"/>
                <w:lang w:val="en"/>
              </w:rPr>
            </w:pPr>
            <w:r w:rsidRPr="00A05552">
              <w:rPr>
                <w:rFonts w:ascii="Arial" w:hAnsi="Arial" w:cs="Arial"/>
                <w:lang w:val="en"/>
              </w:rPr>
              <w:t>Depreciation</w:t>
            </w:r>
          </w:p>
        </w:tc>
        <w:tc>
          <w:tcPr>
            <w:tcW w:w="0" w:type="auto"/>
            <w:tcBorders>
              <w:top w:val="single" w:sz="10" w:space="0" w:color="000000"/>
              <w:left w:val="single" w:sz="10" w:space="0" w:color="000000"/>
              <w:bottom w:val="single" w:sz="10" w:space="0" w:color="000000"/>
              <w:right w:val="single" w:sz="10" w:space="0" w:color="000000"/>
            </w:tcBorders>
            <w:vAlign w:val="center"/>
          </w:tcPr>
          <w:p w14:paraId="40C938B9" w14:textId="77777777" w:rsidR="00F75588" w:rsidRPr="00A05552" w:rsidRDefault="00F75588" w:rsidP="00F75588">
            <w:pPr>
              <w:rPr>
                <w:rFonts w:ascii="Arial" w:hAnsi="Arial" w:cs="Arial"/>
                <w:lang w:val="en"/>
              </w:rPr>
            </w:pPr>
            <w:r w:rsidRPr="00A05552">
              <w:rPr>
                <w:rFonts w:ascii="Arial" w:hAnsi="Arial" w:cs="Arial"/>
                <w:lang w:val="en"/>
              </w:rPr>
              <w:t xml:space="preserve">Yearly profit (inflow − </w:t>
            </w:r>
            <w:proofErr w:type="spellStart"/>
            <w:r w:rsidRPr="00A05552">
              <w:rPr>
                <w:rFonts w:ascii="Arial" w:hAnsi="Arial" w:cs="Arial"/>
                <w:lang w:val="en"/>
              </w:rPr>
              <w:t>dep’n</w:t>
            </w:r>
            <w:proofErr w:type="spellEnd"/>
            <w:r w:rsidRPr="00A05552">
              <w:rPr>
                <w:rFonts w:ascii="Arial" w:hAnsi="Arial" w:cs="Arial"/>
                <w:lang w:val="en"/>
              </w:rPr>
              <w:t>)</w:t>
            </w:r>
          </w:p>
        </w:tc>
        <w:tc>
          <w:tcPr>
            <w:tcW w:w="0" w:type="auto"/>
            <w:tcBorders>
              <w:top w:val="single" w:sz="10" w:space="0" w:color="000000"/>
              <w:left w:val="single" w:sz="10" w:space="0" w:color="000000"/>
              <w:bottom w:val="single" w:sz="10" w:space="0" w:color="000000"/>
              <w:right w:val="single" w:sz="10" w:space="0" w:color="000000"/>
            </w:tcBorders>
            <w:vAlign w:val="center"/>
          </w:tcPr>
          <w:p w14:paraId="0291FA8F" w14:textId="77777777" w:rsidR="00F75588" w:rsidRPr="00A05552" w:rsidRDefault="00F75588" w:rsidP="00F75588">
            <w:pPr>
              <w:rPr>
                <w:rFonts w:ascii="Arial" w:hAnsi="Arial" w:cs="Arial"/>
                <w:lang w:val="en"/>
              </w:rPr>
            </w:pPr>
            <w:r w:rsidRPr="00A05552">
              <w:rPr>
                <w:rFonts w:ascii="Arial" w:hAnsi="Arial" w:cs="Arial"/>
                <w:lang w:val="en"/>
              </w:rPr>
              <w:t>Average annual profit</w:t>
            </w:r>
          </w:p>
        </w:tc>
        <w:tc>
          <w:tcPr>
            <w:tcW w:w="0" w:type="auto"/>
            <w:tcBorders>
              <w:top w:val="single" w:sz="10" w:space="0" w:color="000000"/>
              <w:left w:val="single" w:sz="10" w:space="0" w:color="000000"/>
              <w:bottom w:val="single" w:sz="10" w:space="0" w:color="000000"/>
              <w:right w:val="single" w:sz="10" w:space="0" w:color="000000"/>
            </w:tcBorders>
            <w:vAlign w:val="center"/>
          </w:tcPr>
          <w:p w14:paraId="35460243" w14:textId="77777777" w:rsidR="00F75588" w:rsidRPr="00A05552" w:rsidRDefault="00F75588" w:rsidP="00F75588">
            <w:pPr>
              <w:rPr>
                <w:rFonts w:ascii="Arial" w:hAnsi="Arial" w:cs="Arial"/>
                <w:lang w:val="en"/>
              </w:rPr>
            </w:pPr>
            <w:r w:rsidRPr="00A05552">
              <w:rPr>
                <w:rFonts w:ascii="Arial" w:hAnsi="Arial" w:cs="Arial"/>
                <w:lang w:val="en"/>
              </w:rPr>
              <w:t xml:space="preserve">ARR = </w:t>
            </w:r>
            <w:proofErr w:type="spellStart"/>
            <w:r w:rsidRPr="00A05552">
              <w:rPr>
                <w:rFonts w:ascii="Arial" w:hAnsi="Arial" w:cs="Arial"/>
                <w:lang w:val="en"/>
              </w:rPr>
              <w:t>Avg</w:t>
            </w:r>
            <w:proofErr w:type="spellEnd"/>
            <w:r w:rsidRPr="00A05552">
              <w:rPr>
                <w:rFonts w:ascii="Arial" w:hAnsi="Arial" w:cs="Arial"/>
                <w:lang w:val="en"/>
              </w:rPr>
              <w:t xml:space="preserve"> profit / Initial cost</w:t>
            </w:r>
          </w:p>
        </w:tc>
      </w:tr>
      <w:tr w:rsidR="00F75588" w:rsidRPr="00A05552" w14:paraId="28546942"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584123CF" w14:textId="77777777" w:rsidR="00F75588" w:rsidRPr="00A05552" w:rsidRDefault="00F75588" w:rsidP="00F75588">
            <w:pPr>
              <w:rPr>
                <w:rFonts w:ascii="Arial" w:hAnsi="Arial" w:cs="Arial"/>
                <w:lang w:val="en"/>
              </w:rPr>
            </w:pPr>
            <w:r w:rsidRPr="00A05552">
              <w:rPr>
                <w:rFonts w:ascii="Arial" w:hAnsi="Arial" w:cs="Arial"/>
                <w:lang w:val="en"/>
              </w:rPr>
              <w:t>A</w:t>
            </w:r>
          </w:p>
        </w:tc>
        <w:tc>
          <w:tcPr>
            <w:tcW w:w="0" w:type="auto"/>
            <w:tcBorders>
              <w:top w:val="single" w:sz="10" w:space="0" w:color="000000"/>
              <w:left w:val="single" w:sz="10" w:space="0" w:color="000000"/>
              <w:bottom w:val="single" w:sz="10" w:space="0" w:color="000000"/>
              <w:right w:val="single" w:sz="10" w:space="0" w:color="000000"/>
            </w:tcBorders>
          </w:tcPr>
          <w:p w14:paraId="5607A52C" w14:textId="77777777" w:rsidR="00F75588" w:rsidRPr="00A05552" w:rsidRDefault="00F75588" w:rsidP="00F75588">
            <w:pPr>
              <w:rPr>
                <w:rFonts w:ascii="Arial" w:hAnsi="Arial" w:cs="Arial"/>
                <w:lang w:val="en"/>
              </w:rPr>
            </w:pPr>
            <w:r w:rsidRPr="00A05552">
              <w:rPr>
                <w:rFonts w:ascii="Arial" w:hAnsi="Arial" w:cs="Arial"/>
                <w:lang w:val="en"/>
              </w:rPr>
              <w:t>10, 12, 14, 10, 8</w:t>
            </w:r>
          </w:p>
        </w:tc>
        <w:tc>
          <w:tcPr>
            <w:tcW w:w="0" w:type="auto"/>
            <w:tcBorders>
              <w:top w:val="single" w:sz="10" w:space="0" w:color="000000"/>
              <w:left w:val="single" w:sz="10" w:space="0" w:color="000000"/>
              <w:bottom w:val="single" w:sz="10" w:space="0" w:color="000000"/>
              <w:right w:val="single" w:sz="10" w:space="0" w:color="000000"/>
            </w:tcBorders>
          </w:tcPr>
          <w:p w14:paraId="7E58752D" w14:textId="77777777" w:rsidR="00F75588" w:rsidRPr="00A05552" w:rsidRDefault="00F75588" w:rsidP="00F75588">
            <w:pPr>
              <w:rPr>
                <w:rFonts w:ascii="Arial" w:hAnsi="Arial" w:cs="Arial"/>
                <w:lang w:val="en"/>
              </w:rPr>
            </w:pPr>
            <w:r w:rsidRPr="00A05552">
              <w:rPr>
                <w:rFonts w:ascii="Arial" w:hAnsi="Arial" w:cs="Arial"/>
                <w:lang w:val="en"/>
              </w:rPr>
              <w:t>8</w:t>
            </w:r>
          </w:p>
        </w:tc>
        <w:tc>
          <w:tcPr>
            <w:tcW w:w="0" w:type="auto"/>
            <w:tcBorders>
              <w:top w:val="single" w:sz="10" w:space="0" w:color="000000"/>
              <w:left w:val="single" w:sz="10" w:space="0" w:color="000000"/>
              <w:bottom w:val="single" w:sz="10" w:space="0" w:color="000000"/>
              <w:right w:val="single" w:sz="10" w:space="0" w:color="000000"/>
            </w:tcBorders>
          </w:tcPr>
          <w:p w14:paraId="22944AA4" w14:textId="77777777" w:rsidR="00F75588" w:rsidRPr="00A05552" w:rsidRDefault="00F75588" w:rsidP="00F75588">
            <w:pPr>
              <w:rPr>
                <w:rFonts w:ascii="Arial" w:hAnsi="Arial" w:cs="Arial"/>
                <w:lang w:val="en"/>
              </w:rPr>
            </w:pPr>
            <w:r w:rsidRPr="00A05552">
              <w:rPr>
                <w:rFonts w:ascii="Arial" w:hAnsi="Arial" w:cs="Arial"/>
                <w:lang w:val="en"/>
              </w:rPr>
              <w:t>2, 4, 6, 2, 0</w:t>
            </w:r>
          </w:p>
        </w:tc>
        <w:tc>
          <w:tcPr>
            <w:tcW w:w="0" w:type="auto"/>
            <w:tcBorders>
              <w:top w:val="single" w:sz="10" w:space="0" w:color="000000"/>
              <w:left w:val="single" w:sz="10" w:space="0" w:color="000000"/>
              <w:bottom w:val="single" w:sz="10" w:space="0" w:color="000000"/>
              <w:right w:val="single" w:sz="10" w:space="0" w:color="000000"/>
            </w:tcBorders>
          </w:tcPr>
          <w:p w14:paraId="2E0042D5" w14:textId="77777777" w:rsidR="00F75588" w:rsidRPr="00A05552" w:rsidRDefault="00F75588" w:rsidP="00F75588">
            <w:pPr>
              <w:rPr>
                <w:rFonts w:ascii="Arial" w:hAnsi="Arial" w:cs="Arial"/>
                <w:lang w:val="en"/>
              </w:rPr>
            </w:pPr>
            <w:r w:rsidRPr="00A05552">
              <w:rPr>
                <w:rFonts w:ascii="Arial" w:hAnsi="Arial" w:cs="Arial"/>
                <w:lang w:val="en"/>
              </w:rPr>
              <w:t>(2+4+6+2+0)/5 = 2.8</w:t>
            </w:r>
          </w:p>
        </w:tc>
        <w:tc>
          <w:tcPr>
            <w:tcW w:w="0" w:type="auto"/>
            <w:tcBorders>
              <w:top w:val="single" w:sz="10" w:space="0" w:color="000000"/>
              <w:left w:val="single" w:sz="10" w:space="0" w:color="000000"/>
              <w:bottom w:val="single" w:sz="10" w:space="0" w:color="000000"/>
              <w:right w:val="single" w:sz="10" w:space="0" w:color="000000"/>
            </w:tcBorders>
          </w:tcPr>
          <w:p w14:paraId="5B10A345" w14:textId="77777777" w:rsidR="00F75588" w:rsidRPr="00A05552" w:rsidRDefault="00F75588" w:rsidP="00F75588">
            <w:pPr>
              <w:rPr>
                <w:rFonts w:ascii="Arial" w:hAnsi="Arial" w:cs="Arial"/>
                <w:lang w:val="en"/>
              </w:rPr>
            </w:pPr>
            <w:r w:rsidRPr="00A05552">
              <w:rPr>
                <w:rFonts w:ascii="Arial" w:hAnsi="Arial" w:cs="Arial"/>
                <w:lang w:val="en"/>
              </w:rPr>
              <w:t xml:space="preserve">2.8 ÷ 40 = </w:t>
            </w:r>
            <w:r w:rsidRPr="00A05552">
              <w:rPr>
                <w:rFonts w:ascii="Arial" w:hAnsi="Arial" w:cs="Arial"/>
                <w:b/>
                <w:bCs/>
                <w:lang w:val="en"/>
              </w:rPr>
              <w:t>7%</w:t>
            </w:r>
          </w:p>
        </w:tc>
      </w:tr>
      <w:tr w:rsidR="00F75588" w:rsidRPr="00A05552" w14:paraId="1807740E"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4956BEA0" w14:textId="77777777" w:rsidR="00F75588" w:rsidRPr="00A05552" w:rsidRDefault="00F75588" w:rsidP="00F75588">
            <w:pPr>
              <w:rPr>
                <w:rFonts w:ascii="Arial" w:hAnsi="Arial" w:cs="Arial"/>
                <w:lang w:val="en"/>
              </w:rPr>
            </w:pPr>
            <w:r w:rsidRPr="00A05552">
              <w:rPr>
                <w:rFonts w:ascii="Arial" w:hAnsi="Arial" w:cs="Arial"/>
                <w:lang w:val="en"/>
              </w:rPr>
              <w:t>B</w:t>
            </w:r>
          </w:p>
        </w:tc>
        <w:tc>
          <w:tcPr>
            <w:tcW w:w="0" w:type="auto"/>
            <w:tcBorders>
              <w:top w:val="single" w:sz="10" w:space="0" w:color="000000"/>
              <w:left w:val="single" w:sz="10" w:space="0" w:color="000000"/>
              <w:bottom w:val="single" w:sz="10" w:space="0" w:color="000000"/>
              <w:right w:val="single" w:sz="10" w:space="0" w:color="000000"/>
            </w:tcBorders>
          </w:tcPr>
          <w:p w14:paraId="1FDBDC10" w14:textId="77777777" w:rsidR="00F75588" w:rsidRPr="00A05552" w:rsidRDefault="00F75588" w:rsidP="00F75588">
            <w:pPr>
              <w:rPr>
                <w:rFonts w:ascii="Arial" w:hAnsi="Arial" w:cs="Arial"/>
                <w:lang w:val="en"/>
              </w:rPr>
            </w:pPr>
            <w:r w:rsidRPr="00A05552">
              <w:rPr>
                <w:rFonts w:ascii="Arial" w:hAnsi="Arial" w:cs="Arial"/>
                <w:lang w:val="en"/>
              </w:rPr>
              <w:t>6, 6, 6, 6, 6</w:t>
            </w:r>
          </w:p>
        </w:tc>
        <w:tc>
          <w:tcPr>
            <w:tcW w:w="0" w:type="auto"/>
            <w:tcBorders>
              <w:top w:val="single" w:sz="10" w:space="0" w:color="000000"/>
              <w:left w:val="single" w:sz="10" w:space="0" w:color="000000"/>
              <w:bottom w:val="single" w:sz="10" w:space="0" w:color="000000"/>
              <w:right w:val="single" w:sz="10" w:space="0" w:color="000000"/>
            </w:tcBorders>
          </w:tcPr>
          <w:p w14:paraId="509626C8" w14:textId="77777777" w:rsidR="00F75588" w:rsidRPr="00A05552" w:rsidRDefault="00F75588" w:rsidP="00F75588">
            <w:pPr>
              <w:rPr>
                <w:rFonts w:ascii="Arial" w:hAnsi="Arial" w:cs="Arial"/>
                <w:lang w:val="en"/>
              </w:rPr>
            </w:pPr>
            <w:r w:rsidRPr="00A05552">
              <w:rPr>
                <w:rFonts w:ascii="Arial" w:hAnsi="Arial" w:cs="Arial"/>
                <w:lang w:val="en"/>
              </w:rPr>
              <w:t>6</w:t>
            </w:r>
          </w:p>
        </w:tc>
        <w:tc>
          <w:tcPr>
            <w:tcW w:w="0" w:type="auto"/>
            <w:tcBorders>
              <w:top w:val="single" w:sz="10" w:space="0" w:color="000000"/>
              <w:left w:val="single" w:sz="10" w:space="0" w:color="000000"/>
              <w:bottom w:val="single" w:sz="10" w:space="0" w:color="000000"/>
              <w:right w:val="single" w:sz="10" w:space="0" w:color="000000"/>
            </w:tcBorders>
          </w:tcPr>
          <w:p w14:paraId="2B5A9FBF" w14:textId="77777777" w:rsidR="00F75588" w:rsidRPr="00A05552" w:rsidRDefault="00F75588" w:rsidP="00F75588">
            <w:pPr>
              <w:rPr>
                <w:rFonts w:ascii="Arial" w:hAnsi="Arial" w:cs="Arial"/>
                <w:lang w:val="en"/>
              </w:rPr>
            </w:pPr>
            <w:r w:rsidRPr="00A05552">
              <w:rPr>
                <w:rFonts w:ascii="Arial" w:hAnsi="Arial" w:cs="Arial"/>
                <w:lang w:val="en"/>
              </w:rPr>
              <w:t>0, 0, 0, 0, 0</w:t>
            </w:r>
          </w:p>
        </w:tc>
        <w:tc>
          <w:tcPr>
            <w:tcW w:w="0" w:type="auto"/>
            <w:tcBorders>
              <w:top w:val="single" w:sz="10" w:space="0" w:color="000000"/>
              <w:left w:val="single" w:sz="10" w:space="0" w:color="000000"/>
              <w:bottom w:val="single" w:sz="10" w:space="0" w:color="000000"/>
              <w:right w:val="single" w:sz="10" w:space="0" w:color="000000"/>
            </w:tcBorders>
          </w:tcPr>
          <w:p w14:paraId="4EAF3B1A" w14:textId="77777777" w:rsidR="00F75588" w:rsidRPr="00A05552" w:rsidRDefault="00F75588" w:rsidP="00F75588">
            <w:pPr>
              <w:rPr>
                <w:rFonts w:ascii="Arial" w:hAnsi="Arial" w:cs="Arial"/>
                <w:lang w:val="en"/>
              </w:rPr>
            </w:pPr>
            <w:r w:rsidRPr="00A05552">
              <w:rPr>
                <w:rFonts w:ascii="Arial" w:hAnsi="Arial" w:cs="Arial"/>
                <w:lang w:val="en"/>
              </w:rPr>
              <w:t>0</w:t>
            </w:r>
          </w:p>
        </w:tc>
        <w:tc>
          <w:tcPr>
            <w:tcW w:w="0" w:type="auto"/>
            <w:tcBorders>
              <w:top w:val="single" w:sz="10" w:space="0" w:color="000000"/>
              <w:left w:val="single" w:sz="10" w:space="0" w:color="000000"/>
              <w:bottom w:val="single" w:sz="10" w:space="0" w:color="000000"/>
              <w:right w:val="single" w:sz="10" w:space="0" w:color="000000"/>
            </w:tcBorders>
          </w:tcPr>
          <w:p w14:paraId="337B30AF" w14:textId="77777777" w:rsidR="00F75588" w:rsidRPr="00A05552" w:rsidRDefault="00F75588" w:rsidP="00F75588">
            <w:pPr>
              <w:rPr>
                <w:rFonts w:ascii="Arial" w:hAnsi="Arial" w:cs="Arial"/>
                <w:lang w:val="en"/>
              </w:rPr>
            </w:pPr>
            <w:r w:rsidRPr="00A05552">
              <w:rPr>
                <w:rFonts w:ascii="Arial" w:hAnsi="Arial" w:cs="Arial"/>
                <w:lang w:val="en"/>
              </w:rPr>
              <w:t xml:space="preserve">0 ÷ 30 = </w:t>
            </w:r>
            <w:r w:rsidRPr="00A05552">
              <w:rPr>
                <w:rFonts w:ascii="Arial" w:hAnsi="Arial" w:cs="Arial"/>
                <w:b/>
                <w:bCs/>
                <w:lang w:val="en"/>
              </w:rPr>
              <w:t>0%</w:t>
            </w:r>
          </w:p>
        </w:tc>
      </w:tr>
      <w:tr w:rsidR="00F75588" w:rsidRPr="00A05552" w14:paraId="378E31DE"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70FC05B0" w14:textId="77777777" w:rsidR="00F75588" w:rsidRPr="00A05552" w:rsidRDefault="00F75588" w:rsidP="00F75588">
            <w:pPr>
              <w:rPr>
                <w:rFonts w:ascii="Arial" w:hAnsi="Arial" w:cs="Arial"/>
                <w:lang w:val="en"/>
              </w:rPr>
            </w:pPr>
            <w:r w:rsidRPr="00A05552">
              <w:rPr>
                <w:rFonts w:ascii="Arial" w:hAnsi="Arial" w:cs="Arial"/>
                <w:lang w:val="en"/>
              </w:rPr>
              <w:t>C</w:t>
            </w:r>
          </w:p>
        </w:tc>
        <w:tc>
          <w:tcPr>
            <w:tcW w:w="0" w:type="auto"/>
            <w:tcBorders>
              <w:top w:val="single" w:sz="10" w:space="0" w:color="000000"/>
              <w:left w:val="single" w:sz="10" w:space="0" w:color="000000"/>
              <w:bottom w:val="single" w:sz="10" w:space="0" w:color="000000"/>
              <w:right w:val="single" w:sz="10" w:space="0" w:color="000000"/>
            </w:tcBorders>
          </w:tcPr>
          <w:p w14:paraId="0F733185" w14:textId="77777777" w:rsidR="00F75588" w:rsidRPr="00A05552" w:rsidRDefault="00F75588" w:rsidP="00F75588">
            <w:pPr>
              <w:rPr>
                <w:rFonts w:ascii="Arial" w:hAnsi="Arial" w:cs="Arial"/>
                <w:lang w:val="en"/>
              </w:rPr>
            </w:pPr>
            <w:r w:rsidRPr="00A05552">
              <w:rPr>
                <w:rFonts w:ascii="Arial" w:hAnsi="Arial" w:cs="Arial"/>
                <w:lang w:val="en"/>
              </w:rPr>
              <w:t>5, 10, 20, 25, 15</w:t>
            </w:r>
          </w:p>
        </w:tc>
        <w:tc>
          <w:tcPr>
            <w:tcW w:w="0" w:type="auto"/>
            <w:tcBorders>
              <w:top w:val="single" w:sz="10" w:space="0" w:color="000000"/>
              <w:left w:val="single" w:sz="10" w:space="0" w:color="000000"/>
              <w:bottom w:val="single" w:sz="10" w:space="0" w:color="000000"/>
              <w:right w:val="single" w:sz="10" w:space="0" w:color="000000"/>
            </w:tcBorders>
          </w:tcPr>
          <w:p w14:paraId="513F631A" w14:textId="77777777" w:rsidR="00F75588" w:rsidRPr="00A05552" w:rsidRDefault="00F75588" w:rsidP="00F75588">
            <w:pPr>
              <w:rPr>
                <w:rFonts w:ascii="Arial" w:hAnsi="Arial" w:cs="Arial"/>
                <w:lang w:val="en"/>
              </w:rPr>
            </w:pPr>
            <w:r w:rsidRPr="00A05552">
              <w:rPr>
                <w:rFonts w:ascii="Arial" w:hAnsi="Arial" w:cs="Arial"/>
                <w:lang w:val="en"/>
              </w:rPr>
              <w:t>10</w:t>
            </w:r>
          </w:p>
        </w:tc>
        <w:tc>
          <w:tcPr>
            <w:tcW w:w="0" w:type="auto"/>
            <w:tcBorders>
              <w:top w:val="single" w:sz="10" w:space="0" w:color="000000"/>
              <w:left w:val="single" w:sz="10" w:space="0" w:color="000000"/>
              <w:bottom w:val="single" w:sz="10" w:space="0" w:color="000000"/>
              <w:right w:val="single" w:sz="10" w:space="0" w:color="000000"/>
            </w:tcBorders>
          </w:tcPr>
          <w:p w14:paraId="07C9C799" w14:textId="77777777" w:rsidR="00F75588" w:rsidRPr="00A05552" w:rsidRDefault="00F75588" w:rsidP="00F75588">
            <w:pPr>
              <w:rPr>
                <w:rFonts w:ascii="Arial" w:hAnsi="Arial" w:cs="Arial"/>
                <w:lang w:val="en"/>
              </w:rPr>
            </w:pPr>
            <w:r w:rsidRPr="00A05552">
              <w:rPr>
                <w:rFonts w:ascii="Arial" w:hAnsi="Arial" w:cs="Arial"/>
                <w:lang w:val="en"/>
              </w:rPr>
              <w:t>−5, 0, 10, 15, 5</w:t>
            </w:r>
          </w:p>
        </w:tc>
        <w:tc>
          <w:tcPr>
            <w:tcW w:w="0" w:type="auto"/>
            <w:tcBorders>
              <w:top w:val="single" w:sz="10" w:space="0" w:color="000000"/>
              <w:left w:val="single" w:sz="10" w:space="0" w:color="000000"/>
              <w:bottom w:val="single" w:sz="10" w:space="0" w:color="000000"/>
              <w:right w:val="single" w:sz="10" w:space="0" w:color="000000"/>
            </w:tcBorders>
          </w:tcPr>
          <w:p w14:paraId="62FAE251" w14:textId="77777777" w:rsidR="00F75588" w:rsidRPr="00A05552" w:rsidRDefault="00F75588" w:rsidP="00F75588">
            <w:pPr>
              <w:rPr>
                <w:rFonts w:ascii="Arial" w:hAnsi="Arial" w:cs="Arial"/>
                <w:lang w:val="en"/>
              </w:rPr>
            </w:pPr>
            <w:r w:rsidRPr="00A05552">
              <w:rPr>
                <w:rFonts w:ascii="Arial" w:hAnsi="Arial" w:cs="Arial"/>
                <w:lang w:val="en"/>
              </w:rPr>
              <w:t>(−5+0+10+15+5)/5 = 5</w:t>
            </w:r>
          </w:p>
        </w:tc>
        <w:tc>
          <w:tcPr>
            <w:tcW w:w="0" w:type="auto"/>
            <w:tcBorders>
              <w:top w:val="single" w:sz="10" w:space="0" w:color="000000"/>
              <w:left w:val="single" w:sz="10" w:space="0" w:color="000000"/>
              <w:bottom w:val="single" w:sz="10" w:space="0" w:color="000000"/>
              <w:right w:val="single" w:sz="10" w:space="0" w:color="000000"/>
            </w:tcBorders>
          </w:tcPr>
          <w:p w14:paraId="4DC91DEF" w14:textId="77777777" w:rsidR="00F75588" w:rsidRPr="00A05552" w:rsidRDefault="00F75588" w:rsidP="00F75588">
            <w:pPr>
              <w:rPr>
                <w:rFonts w:ascii="Arial" w:hAnsi="Arial" w:cs="Arial"/>
                <w:lang w:val="en"/>
              </w:rPr>
            </w:pPr>
            <w:r w:rsidRPr="00A05552">
              <w:rPr>
                <w:rFonts w:ascii="Arial" w:hAnsi="Arial" w:cs="Arial"/>
                <w:lang w:val="en"/>
              </w:rPr>
              <w:t xml:space="preserve">5 ÷ 50 = </w:t>
            </w:r>
            <w:r w:rsidRPr="00A05552">
              <w:rPr>
                <w:rFonts w:ascii="Arial" w:hAnsi="Arial" w:cs="Arial"/>
                <w:b/>
                <w:bCs/>
                <w:lang w:val="en"/>
              </w:rPr>
              <w:t>10%</w:t>
            </w:r>
          </w:p>
        </w:tc>
      </w:tr>
    </w:tbl>
    <w:p w14:paraId="651BD588" w14:textId="65E8C8C5" w:rsidR="00F75588" w:rsidRPr="00A05552" w:rsidRDefault="00F75588" w:rsidP="00F75588">
      <w:pPr>
        <w:rPr>
          <w:rFonts w:ascii="Arial" w:hAnsi="Arial" w:cs="Arial"/>
          <w:lang w:val="en"/>
        </w:rPr>
      </w:pPr>
    </w:p>
    <w:p w14:paraId="77DBB1F9" w14:textId="77777777" w:rsidR="00F75588" w:rsidRPr="00A05552" w:rsidRDefault="00F75588" w:rsidP="00F75588">
      <w:pPr>
        <w:rPr>
          <w:rFonts w:ascii="Arial" w:hAnsi="Arial" w:cs="Arial"/>
          <w:lang w:val="en"/>
        </w:rPr>
      </w:pPr>
      <w:r w:rsidRPr="00A05552">
        <w:rPr>
          <w:rFonts w:ascii="Arial" w:hAnsi="Arial" w:cs="Arial"/>
          <w:b/>
          <w:bCs/>
          <w:lang w:val="en"/>
        </w:rPr>
        <w:t>A5. IRR Calculations (Corrected, with Interpolation)</w:t>
      </w:r>
    </w:p>
    <w:p w14:paraId="4247890E" w14:textId="77777777" w:rsidR="00F75588" w:rsidRPr="00A05552" w:rsidRDefault="00F75588" w:rsidP="00F75588">
      <w:pPr>
        <w:rPr>
          <w:rFonts w:ascii="Arial" w:hAnsi="Arial" w:cs="Arial"/>
          <w:lang w:val="en"/>
        </w:rPr>
      </w:pPr>
      <w:r w:rsidRPr="00A05552">
        <w:rPr>
          <w:rFonts w:ascii="Arial" w:hAnsi="Arial" w:cs="Arial"/>
          <w:lang w:val="en"/>
        </w:rPr>
        <w:t>IRR is found where NPV = 0. We use two nearby discount rates and linearly interpolate.</w:t>
      </w:r>
    </w:p>
    <w:p w14:paraId="4D61B1A1" w14:textId="77777777" w:rsidR="00F75588" w:rsidRPr="00A05552" w:rsidRDefault="00F75588" w:rsidP="00F75588">
      <w:pPr>
        <w:rPr>
          <w:rFonts w:ascii="Arial" w:hAnsi="Arial" w:cs="Arial"/>
          <w:lang w:val="en"/>
        </w:rPr>
      </w:pPr>
      <w:r w:rsidRPr="00A05552">
        <w:rPr>
          <w:rFonts w:ascii="Arial" w:hAnsi="Arial" w:cs="Arial"/>
          <w:b/>
          <w:bCs/>
          <w:lang w:val="en"/>
        </w:rPr>
        <w:t>Project A – IRR</w:t>
      </w:r>
    </w:p>
    <w:p w14:paraId="37E85BA2" w14:textId="77777777" w:rsidR="00F75588" w:rsidRPr="00A05552" w:rsidRDefault="00F75588" w:rsidP="00F75588">
      <w:pPr>
        <w:rPr>
          <w:rFonts w:ascii="Arial" w:hAnsi="Arial" w:cs="Arial"/>
          <w:lang w:val="en"/>
        </w:rPr>
      </w:pPr>
      <w:r w:rsidRPr="00A05552">
        <w:rPr>
          <w:rFonts w:ascii="Arial" w:hAnsi="Arial" w:cs="Arial"/>
          <w:lang w:val="en"/>
        </w:rPr>
        <w:t>Cash flows: −40, 10, 12, 14, 10, 8</w:t>
      </w:r>
    </w:p>
    <w:p w14:paraId="68103023" w14:textId="77777777" w:rsidR="00F75588" w:rsidRPr="00A05552" w:rsidRDefault="00F75588" w:rsidP="00F75588">
      <w:pPr>
        <w:rPr>
          <w:rFonts w:ascii="Arial" w:hAnsi="Arial" w:cs="Arial"/>
          <w:lang w:val="en"/>
        </w:rPr>
      </w:pPr>
      <w:r w:rsidRPr="00A05552">
        <w:rPr>
          <w:rFonts w:ascii="Arial" w:hAnsi="Arial" w:cs="Arial"/>
          <w:lang w:val="en"/>
        </w:rPr>
        <w:t>NPVs:</w:t>
      </w:r>
    </w:p>
    <w:tbl>
      <w:tblPr>
        <w:tblW w:w="0" w:type="auto"/>
        <w:tblLook w:val="0020" w:firstRow="1" w:lastRow="0" w:firstColumn="0" w:lastColumn="0" w:noHBand="0" w:noVBand="0"/>
      </w:tblPr>
      <w:tblGrid>
        <w:gridCol w:w="723"/>
        <w:gridCol w:w="1091"/>
      </w:tblGrid>
      <w:tr w:rsidR="00F75588" w:rsidRPr="00A05552" w14:paraId="326D5346" w14:textId="77777777" w:rsidTr="00227CD9">
        <w:trPr>
          <w:tblHeader/>
        </w:trPr>
        <w:tc>
          <w:tcPr>
            <w:tcW w:w="0" w:type="auto"/>
            <w:tcBorders>
              <w:top w:val="single" w:sz="10" w:space="0" w:color="000000"/>
              <w:left w:val="single" w:sz="10" w:space="0" w:color="000000"/>
              <w:bottom w:val="single" w:sz="10" w:space="0" w:color="000000"/>
              <w:right w:val="single" w:sz="10" w:space="0" w:color="000000"/>
            </w:tcBorders>
            <w:vAlign w:val="center"/>
          </w:tcPr>
          <w:p w14:paraId="5013AA32" w14:textId="77777777" w:rsidR="00F75588" w:rsidRPr="00A05552" w:rsidRDefault="00F75588" w:rsidP="00F75588">
            <w:pPr>
              <w:rPr>
                <w:rFonts w:ascii="Arial" w:hAnsi="Arial" w:cs="Arial"/>
                <w:lang w:val="en"/>
              </w:rPr>
            </w:pPr>
            <w:r w:rsidRPr="00A05552">
              <w:rPr>
                <w:rFonts w:ascii="Arial" w:hAnsi="Arial" w:cs="Arial"/>
                <w:lang w:val="en"/>
              </w:rPr>
              <w:t>Rate</w:t>
            </w:r>
          </w:p>
        </w:tc>
        <w:tc>
          <w:tcPr>
            <w:tcW w:w="0" w:type="auto"/>
            <w:tcBorders>
              <w:top w:val="single" w:sz="10" w:space="0" w:color="000000"/>
              <w:left w:val="single" w:sz="10" w:space="0" w:color="000000"/>
              <w:bottom w:val="single" w:sz="10" w:space="0" w:color="000000"/>
              <w:right w:val="single" w:sz="10" w:space="0" w:color="000000"/>
            </w:tcBorders>
            <w:vAlign w:val="center"/>
          </w:tcPr>
          <w:p w14:paraId="1D752731" w14:textId="77777777" w:rsidR="00F75588" w:rsidRPr="00A05552" w:rsidRDefault="00F75588" w:rsidP="00F75588">
            <w:pPr>
              <w:rPr>
                <w:rFonts w:ascii="Arial" w:hAnsi="Arial" w:cs="Arial"/>
                <w:lang w:val="en"/>
              </w:rPr>
            </w:pPr>
            <w:r w:rsidRPr="00A05552">
              <w:rPr>
                <w:rFonts w:ascii="Arial" w:hAnsi="Arial" w:cs="Arial"/>
                <w:lang w:val="en"/>
              </w:rPr>
              <w:t>NPV(A)</w:t>
            </w:r>
          </w:p>
        </w:tc>
      </w:tr>
      <w:tr w:rsidR="00F75588" w:rsidRPr="00A05552" w14:paraId="31990175"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2720816B" w14:textId="77777777" w:rsidR="00F75588" w:rsidRPr="00A05552" w:rsidRDefault="00F75588" w:rsidP="00F75588">
            <w:pPr>
              <w:rPr>
                <w:rFonts w:ascii="Arial" w:hAnsi="Arial" w:cs="Arial"/>
                <w:lang w:val="en"/>
              </w:rPr>
            </w:pPr>
            <w:r w:rsidRPr="00A05552">
              <w:rPr>
                <w:rFonts w:ascii="Arial" w:hAnsi="Arial" w:cs="Arial"/>
                <w:lang w:val="en"/>
              </w:rPr>
              <w:t>11%</w:t>
            </w:r>
          </w:p>
        </w:tc>
        <w:tc>
          <w:tcPr>
            <w:tcW w:w="0" w:type="auto"/>
            <w:tcBorders>
              <w:top w:val="single" w:sz="10" w:space="0" w:color="000000"/>
              <w:left w:val="single" w:sz="10" w:space="0" w:color="000000"/>
              <w:bottom w:val="single" w:sz="10" w:space="0" w:color="000000"/>
              <w:right w:val="single" w:sz="10" w:space="0" w:color="000000"/>
            </w:tcBorders>
          </w:tcPr>
          <w:p w14:paraId="2511A94F" w14:textId="77777777" w:rsidR="00F75588" w:rsidRPr="00A05552" w:rsidRDefault="00F75588" w:rsidP="00F75588">
            <w:pPr>
              <w:rPr>
                <w:rFonts w:ascii="Arial" w:hAnsi="Arial" w:cs="Arial"/>
                <w:lang w:val="en"/>
              </w:rPr>
            </w:pPr>
            <w:r w:rsidRPr="00A05552">
              <w:rPr>
                <w:rFonts w:ascii="Arial" w:hAnsi="Arial" w:cs="Arial"/>
                <w:lang w:val="en"/>
              </w:rPr>
              <w:t>0.3201</w:t>
            </w:r>
          </w:p>
        </w:tc>
      </w:tr>
      <w:tr w:rsidR="00F75588" w:rsidRPr="00A05552" w14:paraId="2BD880F5"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55D9C377" w14:textId="77777777" w:rsidR="00F75588" w:rsidRPr="00A05552" w:rsidRDefault="00F75588" w:rsidP="00F75588">
            <w:pPr>
              <w:rPr>
                <w:rFonts w:ascii="Arial" w:hAnsi="Arial" w:cs="Arial"/>
                <w:lang w:val="en"/>
              </w:rPr>
            </w:pPr>
            <w:r w:rsidRPr="00A05552">
              <w:rPr>
                <w:rFonts w:ascii="Arial" w:hAnsi="Arial" w:cs="Arial"/>
                <w:lang w:val="en"/>
              </w:rPr>
              <w:t>12%</w:t>
            </w:r>
          </w:p>
        </w:tc>
        <w:tc>
          <w:tcPr>
            <w:tcW w:w="0" w:type="auto"/>
            <w:tcBorders>
              <w:top w:val="single" w:sz="10" w:space="0" w:color="000000"/>
              <w:left w:val="single" w:sz="10" w:space="0" w:color="000000"/>
              <w:bottom w:val="single" w:sz="10" w:space="0" w:color="000000"/>
              <w:right w:val="single" w:sz="10" w:space="0" w:color="000000"/>
            </w:tcBorders>
          </w:tcPr>
          <w:p w14:paraId="1E2C7D88" w14:textId="77777777" w:rsidR="00F75588" w:rsidRPr="00A05552" w:rsidRDefault="00F75588" w:rsidP="00F75588">
            <w:pPr>
              <w:rPr>
                <w:rFonts w:ascii="Arial" w:hAnsi="Arial" w:cs="Arial"/>
                <w:lang w:val="en"/>
              </w:rPr>
            </w:pPr>
            <w:r w:rsidRPr="00A05552">
              <w:rPr>
                <w:rFonts w:ascii="Arial" w:hAnsi="Arial" w:cs="Arial"/>
                <w:lang w:val="en"/>
              </w:rPr>
              <w:t>−0.6456</w:t>
            </w:r>
          </w:p>
        </w:tc>
      </w:tr>
    </w:tbl>
    <w:p w14:paraId="2BD7F379" w14:textId="77777777" w:rsidR="00F75588" w:rsidRPr="00A05552" w:rsidRDefault="00F75588" w:rsidP="00F75588">
      <w:pPr>
        <w:rPr>
          <w:rFonts w:ascii="Arial" w:hAnsi="Arial" w:cs="Arial"/>
          <w:lang w:val="en"/>
        </w:rPr>
      </w:pPr>
      <w:r w:rsidRPr="00A05552">
        <w:rPr>
          <w:rFonts w:ascii="Arial" w:hAnsi="Arial" w:cs="Arial"/>
          <w:lang w:val="en"/>
        </w:rPr>
        <w:t>Interpolation:</w:t>
      </w:r>
    </w:p>
    <w:p w14:paraId="343F1954" w14:textId="445537B7" w:rsidR="00F75588" w:rsidRPr="00A05552" w:rsidRDefault="00F75588" w:rsidP="00F75588">
      <w:pPr>
        <w:rPr>
          <w:rFonts w:ascii="Arial" w:hAnsi="Arial" w:cs="Arial"/>
          <w:lang w:val="en"/>
        </w:rPr>
      </w:pPr>
      <m:oMath>
        <m:r>
          <w:rPr>
            <w:rFonts w:ascii="Cambria Math" w:hAnsi="Cambria Math" w:cs="Arial"/>
            <w:lang w:val="en"/>
          </w:rPr>
          <w:lastRenderedPageBreak/>
          <m:t>IR</m:t>
        </m:r>
        <m:sSub>
          <m:sSubPr>
            <m:ctrlPr>
              <w:rPr>
                <w:rFonts w:ascii="Cambria Math" w:hAnsi="Cambria Math" w:cs="Arial"/>
                <w:lang w:val="en"/>
              </w:rPr>
            </m:ctrlPr>
          </m:sSubPr>
          <m:e>
            <m:r>
              <w:rPr>
                <w:rFonts w:ascii="Cambria Math" w:hAnsi="Cambria Math" w:cs="Arial"/>
                <w:lang w:val="en"/>
              </w:rPr>
              <m:t>R</m:t>
            </m:r>
          </m:e>
          <m:sub>
            <m:r>
              <w:rPr>
                <w:rFonts w:ascii="Cambria Math" w:hAnsi="Cambria Math" w:cs="Arial"/>
                <w:lang w:val="en"/>
              </w:rPr>
              <m:t>A</m:t>
            </m:r>
          </m:sub>
        </m:sSub>
        <m:r>
          <m:rPr>
            <m:sty m:val="p"/>
          </m:rPr>
          <w:rPr>
            <w:rFonts w:ascii="Cambria Math" w:hAnsi="Cambria Math" w:cs="Arial"/>
            <w:lang w:val="en"/>
          </w:rPr>
          <m:t>=</m:t>
        </m:r>
        <m:r>
          <w:rPr>
            <w:rFonts w:ascii="Cambria Math" w:hAnsi="Cambria Math" w:cs="Arial"/>
            <w:lang w:val="en"/>
          </w:rPr>
          <m:t>11</m:t>
        </m:r>
        <m:r>
          <m:rPr>
            <m:sty m:val="p"/>
          </m:rPr>
          <w:rPr>
            <w:rFonts w:ascii="Cambria Math" w:hAnsi="Cambria Math" w:cs="Arial"/>
            <w:lang w:val="en"/>
          </w:rPr>
          <m:t>%+</m:t>
        </m:r>
        <m:f>
          <m:fPr>
            <m:ctrlPr>
              <w:rPr>
                <w:rFonts w:ascii="Cambria Math" w:hAnsi="Cambria Math" w:cs="Arial"/>
                <w:lang w:val="en"/>
              </w:rPr>
            </m:ctrlPr>
          </m:fPr>
          <m:num>
            <m:r>
              <w:rPr>
                <w:rFonts w:ascii="Cambria Math" w:hAnsi="Cambria Math" w:cs="Arial"/>
                <w:lang w:val="en"/>
              </w:rPr>
              <m:t>0.3201</m:t>
            </m:r>
          </m:num>
          <m:den>
            <m:r>
              <w:rPr>
                <w:rFonts w:ascii="Cambria Math" w:hAnsi="Cambria Math" w:cs="Arial"/>
                <w:lang w:val="en"/>
              </w:rPr>
              <m:t>0.3201</m:t>
            </m:r>
            <m:r>
              <m:rPr>
                <m:sty m:val="p"/>
              </m:rPr>
              <w:rPr>
                <w:rFonts w:ascii="Cambria Math" w:hAnsi="Cambria Math" w:cs="Arial"/>
                <w:lang w:val="en"/>
              </w:rPr>
              <m:t>-</m:t>
            </m:r>
            <m:d>
              <m:dPr>
                <m:ctrlPr>
                  <w:rPr>
                    <w:rFonts w:ascii="Cambria Math" w:hAnsi="Cambria Math" w:cs="Arial"/>
                    <w:lang w:val="en"/>
                  </w:rPr>
                </m:ctrlPr>
              </m:dPr>
              <m:e>
                <m:r>
                  <m:rPr>
                    <m:sty m:val="p"/>
                  </m:rPr>
                  <w:rPr>
                    <w:rFonts w:ascii="Cambria Math" w:hAnsi="Cambria Math" w:cs="Arial"/>
                    <w:lang w:val="en"/>
                  </w:rPr>
                  <m:t>-</m:t>
                </m:r>
                <m:r>
                  <w:rPr>
                    <w:rFonts w:ascii="Cambria Math" w:hAnsi="Cambria Math" w:cs="Arial"/>
                    <w:lang w:val="en"/>
                  </w:rPr>
                  <m:t>0.6456</m:t>
                </m:r>
              </m:e>
            </m:d>
          </m:den>
        </m:f>
        <m:r>
          <m:rPr>
            <m:sty m:val="p"/>
          </m:rPr>
          <w:rPr>
            <w:rFonts w:ascii="Cambria Math" w:hAnsi="Cambria Math" w:cs="Arial"/>
            <w:lang w:val="en"/>
          </w:rPr>
          <m:t>×</m:t>
        </m:r>
        <m:d>
          <m:dPr>
            <m:ctrlPr>
              <w:rPr>
                <w:rFonts w:ascii="Cambria Math" w:hAnsi="Cambria Math" w:cs="Arial"/>
                <w:lang w:val="en"/>
              </w:rPr>
            </m:ctrlPr>
          </m:dPr>
          <m:e>
            <m:r>
              <w:rPr>
                <w:rFonts w:ascii="Cambria Math" w:hAnsi="Cambria Math" w:cs="Arial"/>
                <w:lang w:val="en"/>
              </w:rPr>
              <m:t>12</m:t>
            </m:r>
            <m:r>
              <m:rPr>
                <m:sty m:val="p"/>
              </m:rPr>
              <w:rPr>
                <w:rFonts w:ascii="Cambria Math" w:hAnsi="Cambria Math" w:cs="Arial"/>
                <w:lang w:val="en"/>
              </w:rPr>
              <m:t>%-</m:t>
            </m:r>
            <m:r>
              <w:rPr>
                <w:rFonts w:ascii="Cambria Math" w:hAnsi="Cambria Math" w:cs="Arial"/>
                <w:lang w:val="en"/>
              </w:rPr>
              <m:t>11</m:t>
            </m:r>
            <m:r>
              <m:rPr>
                <m:sty m:val="p"/>
              </m:rPr>
              <w:rPr>
                <w:rFonts w:ascii="Cambria Math" w:hAnsi="Cambria Math" w:cs="Arial"/>
                <w:lang w:val="en"/>
              </w:rPr>
              <m:t>%</m:t>
            </m:r>
          </m:e>
        </m:d>
      </m:oMath>
      <w:r w:rsidRPr="00A05552">
        <w:rPr>
          <w:rFonts w:ascii="Arial" w:hAnsi="Arial" w:cs="Arial"/>
          <w:lang w:val="en"/>
        </w:rPr>
        <w:t xml:space="preserve"> </w:t>
      </w:r>
      <m:oMath>
        <m:r>
          <w:rPr>
            <w:rFonts w:ascii="Cambria Math" w:hAnsi="Cambria Math" w:cs="Arial"/>
            <w:lang w:val="en"/>
          </w:rPr>
          <m:t>IR</m:t>
        </m:r>
        <m:sSub>
          <m:sSubPr>
            <m:ctrlPr>
              <w:rPr>
                <w:rFonts w:ascii="Cambria Math" w:hAnsi="Cambria Math" w:cs="Arial"/>
                <w:lang w:val="en"/>
              </w:rPr>
            </m:ctrlPr>
          </m:sSubPr>
          <m:e>
            <m:r>
              <w:rPr>
                <w:rFonts w:ascii="Cambria Math" w:hAnsi="Cambria Math" w:cs="Arial"/>
                <w:lang w:val="en"/>
              </w:rPr>
              <m:t>R</m:t>
            </m:r>
          </m:e>
          <m:sub>
            <m:r>
              <w:rPr>
                <w:rFonts w:ascii="Cambria Math" w:hAnsi="Cambria Math" w:cs="Arial"/>
                <w:lang w:val="en"/>
              </w:rPr>
              <m:t>A</m:t>
            </m:r>
          </m:sub>
        </m:sSub>
        <m:r>
          <m:rPr>
            <m:sty m:val="p"/>
          </m:rPr>
          <w:rPr>
            <w:rFonts w:ascii="Cambria Math" w:hAnsi="Cambria Math" w:cs="Arial"/>
            <w:lang w:val="en"/>
          </w:rPr>
          <m:t>=</m:t>
        </m:r>
        <m:r>
          <w:rPr>
            <w:rFonts w:ascii="Cambria Math" w:hAnsi="Cambria Math" w:cs="Arial"/>
            <w:lang w:val="en"/>
          </w:rPr>
          <m:t>11</m:t>
        </m:r>
        <m:r>
          <m:rPr>
            <m:sty m:val="p"/>
          </m:rPr>
          <w:rPr>
            <w:rFonts w:ascii="Cambria Math" w:hAnsi="Cambria Math" w:cs="Arial"/>
            <w:lang w:val="en"/>
          </w:rPr>
          <m:t>%+</m:t>
        </m:r>
        <m:f>
          <m:fPr>
            <m:ctrlPr>
              <w:rPr>
                <w:rFonts w:ascii="Cambria Math" w:hAnsi="Cambria Math" w:cs="Arial"/>
                <w:lang w:val="en"/>
              </w:rPr>
            </m:ctrlPr>
          </m:fPr>
          <m:num>
            <m:r>
              <w:rPr>
                <w:rFonts w:ascii="Cambria Math" w:hAnsi="Cambria Math" w:cs="Arial"/>
                <w:lang w:val="en"/>
              </w:rPr>
              <m:t>0.3201</m:t>
            </m:r>
          </m:num>
          <m:den>
            <m:r>
              <w:rPr>
                <w:rFonts w:ascii="Cambria Math" w:hAnsi="Cambria Math" w:cs="Arial"/>
                <w:lang w:val="en"/>
              </w:rPr>
              <m:t>0.9657</m:t>
            </m:r>
          </m:den>
        </m:f>
        <m:r>
          <m:rPr>
            <m:sty m:val="p"/>
          </m:rPr>
          <w:rPr>
            <w:rFonts w:ascii="Cambria Math" w:hAnsi="Cambria Math" w:cs="Arial"/>
            <w:lang w:val="en"/>
          </w:rPr>
          <m:t>×</m:t>
        </m:r>
        <m:r>
          <w:rPr>
            <w:rFonts w:ascii="Cambria Math" w:hAnsi="Cambria Math" w:cs="Arial"/>
            <w:lang w:val="en"/>
          </w:rPr>
          <m:t>1</m:t>
        </m:r>
        <m:r>
          <m:rPr>
            <m:sty m:val="p"/>
          </m:rPr>
          <w:rPr>
            <w:rFonts w:ascii="Cambria Math" w:hAnsi="Cambria Math" w:cs="Arial"/>
            <w:lang w:val="en"/>
          </w:rPr>
          <m:t>%≈</m:t>
        </m:r>
        <m:r>
          <w:rPr>
            <w:rFonts w:ascii="Cambria Math" w:hAnsi="Cambria Math" w:cs="Arial"/>
            <w:lang w:val="en"/>
          </w:rPr>
          <m:t>11</m:t>
        </m:r>
        <m:r>
          <m:rPr>
            <m:sty m:val="p"/>
          </m:rPr>
          <w:rPr>
            <w:rFonts w:ascii="Cambria Math" w:hAnsi="Cambria Math" w:cs="Arial"/>
            <w:lang w:val="en"/>
          </w:rPr>
          <m:t>%+</m:t>
        </m:r>
        <m:r>
          <w:rPr>
            <w:rFonts w:ascii="Cambria Math" w:hAnsi="Cambria Math" w:cs="Arial"/>
            <w:lang w:val="en"/>
          </w:rPr>
          <m:t>0.33</m:t>
        </m:r>
        <m:r>
          <m:rPr>
            <m:sty m:val="p"/>
          </m:rPr>
          <w:rPr>
            <w:rFonts w:ascii="Cambria Math" w:hAnsi="Cambria Math" w:cs="Arial"/>
            <w:lang w:val="en"/>
          </w:rPr>
          <m:t>%=</m:t>
        </m:r>
        <m:r>
          <m:rPr>
            <m:sty m:val="b"/>
          </m:rPr>
          <w:rPr>
            <w:rFonts w:ascii="Cambria Math" w:hAnsi="Cambria Math" w:cs="Arial"/>
            <w:lang w:val="en"/>
          </w:rPr>
          <m:t>11.3%</m:t>
        </m:r>
      </m:oMath>
    </w:p>
    <w:p w14:paraId="73BB8055" w14:textId="77777777" w:rsidR="00F75588" w:rsidRPr="00A05552" w:rsidRDefault="00F75588" w:rsidP="00F75588">
      <w:pPr>
        <w:rPr>
          <w:rFonts w:ascii="Arial" w:hAnsi="Arial" w:cs="Arial"/>
          <w:lang w:val="en"/>
        </w:rPr>
      </w:pPr>
      <w:r w:rsidRPr="00A05552">
        <w:rPr>
          <w:rFonts w:ascii="Arial" w:hAnsi="Arial" w:cs="Arial"/>
          <w:b/>
          <w:bCs/>
          <w:lang w:val="en"/>
        </w:rPr>
        <w:t>Project B – IRR</w:t>
      </w:r>
    </w:p>
    <w:p w14:paraId="7B372E64" w14:textId="77777777" w:rsidR="00F75588" w:rsidRPr="00A05552" w:rsidRDefault="00F75588" w:rsidP="00F75588">
      <w:pPr>
        <w:rPr>
          <w:rFonts w:ascii="Arial" w:hAnsi="Arial" w:cs="Arial"/>
          <w:lang w:val="en"/>
        </w:rPr>
      </w:pPr>
      <w:r w:rsidRPr="00A05552">
        <w:rPr>
          <w:rFonts w:ascii="Arial" w:hAnsi="Arial" w:cs="Arial"/>
          <w:lang w:val="en"/>
        </w:rPr>
        <w:t>Cash flows: −30, 6, 6, 6, 6, 6</w:t>
      </w:r>
    </w:p>
    <w:p w14:paraId="6A10D0BC" w14:textId="17CD2027" w:rsidR="00F75588" w:rsidRPr="00A05552" w:rsidRDefault="00F75588" w:rsidP="00F75588">
      <w:pPr>
        <w:rPr>
          <w:rFonts w:ascii="Arial" w:hAnsi="Arial" w:cs="Arial"/>
          <w:lang w:val="en"/>
        </w:rPr>
      </w:pPr>
      <w:r w:rsidRPr="00A05552">
        <w:rPr>
          <w:rFonts w:ascii="Arial" w:hAnsi="Arial" w:cs="Arial"/>
          <w:lang w:val="en"/>
        </w:rPr>
        <w:t xml:space="preserve">At 0%: NPV = 6+6+6+6+6 − 30 = 0 → IRR exactly </w:t>
      </w:r>
      <w:r w:rsidRPr="00A05552">
        <w:rPr>
          <w:rFonts w:ascii="Arial" w:hAnsi="Arial" w:cs="Arial"/>
          <w:b/>
          <w:bCs/>
          <w:lang w:val="en"/>
        </w:rPr>
        <w:t>0%</w:t>
      </w:r>
      <w:r w:rsidRPr="00A05552">
        <w:rPr>
          <w:rFonts w:ascii="Arial" w:hAnsi="Arial" w:cs="Arial"/>
          <w:lang w:val="en"/>
        </w:rPr>
        <w:t>.</w:t>
      </w:r>
      <w:r w:rsidRPr="00A05552">
        <w:rPr>
          <w:rFonts w:ascii="Arial" w:hAnsi="Arial" w:cs="Arial"/>
          <w:lang w:val="en"/>
        </w:rPr>
        <w:br/>
        <w:t xml:space="preserve">At any positive rate NPV &lt; 0, so IRR = </w:t>
      </w:r>
      <w:r w:rsidRPr="00A05552">
        <w:rPr>
          <w:rFonts w:ascii="Arial" w:hAnsi="Arial" w:cs="Arial"/>
          <w:b/>
          <w:bCs/>
          <w:lang w:val="en"/>
        </w:rPr>
        <w:t>0%</w:t>
      </w:r>
      <w:r w:rsidRPr="00A05552">
        <w:rPr>
          <w:rFonts w:ascii="Arial" w:hAnsi="Arial" w:cs="Arial"/>
          <w:lang w:val="en"/>
        </w:rPr>
        <w:t>.</w:t>
      </w:r>
    </w:p>
    <w:p w14:paraId="2224B708" w14:textId="77777777" w:rsidR="00F75588" w:rsidRPr="00A05552" w:rsidRDefault="00F75588" w:rsidP="00F75588">
      <w:pPr>
        <w:rPr>
          <w:rFonts w:ascii="Arial" w:hAnsi="Arial" w:cs="Arial"/>
          <w:lang w:val="en"/>
        </w:rPr>
      </w:pPr>
      <w:r w:rsidRPr="00A05552">
        <w:rPr>
          <w:rFonts w:ascii="Arial" w:hAnsi="Arial" w:cs="Arial"/>
          <w:b/>
          <w:bCs/>
          <w:lang w:val="en"/>
        </w:rPr>
        <w:t>Project C – IRR</w:t>
      </w:r>
    </w:p>
    <w:p w14:paraId="758E759C" w14:textId="77777777" w:rsidR="00F75588" w:rsidRPr="00A05552" w:rsidRDefault="00F75588" w:rsidP="00F75588">
      <w:pPr>
        <w:rPr>
          <w:rFonts w:ascii="Arial" w:hAnsi="Arial" w:cs="Arial"/>
          <w:lang w:val="en"/>
        </w:rPr>
      </w:pPr>
      <w:r w:rsidRPr="00A05552">
        <w:rPr>
          <w:rFonts w:ascii="Arial" w:hAnsi="Arial" w:cs="Arial"/>
          <w:lang w:val="en"/>
        </w:rPr>
        <w:t>Cash flows: −50, 5, 10, 20, 25, 15</w:t>
      </w:r>
    </w:p>
    <w:p w14:paraId="7542DB5A" w14:textId="77777777" w:rsidR="00F75588" w:rsidRPr="00A05552" w:rsidRDefault="00F75588" w:rsidP="00F75588">
      <w:pPr>
        <w:rPr>
          <w:rFonts w:ascii="Arial" w:hAnsi="Arial" w:cs="Arial"/>
          <w:lang w:val="en"/>
        </w:rPr>
      </w:pPr>
      <w:r w:rsidRPr="00A05552">
        <w:rPr>
          <w:rFonts w:ascii="Arial" w:hAnsi="Arial" w:cs="Arial"/>
          <w:lang w:val="en"/>
        </w:rPr>
        <w:t>NPVs:</w:t>
      </w:r>
    </w:p>
    <w:tbl>
      <w:tblPr>
        <w:tblW w:w="0" w:type="auto"/>
        <w:tblLook w:val="0020" w:firstRow="1" w:lastRow="0" w:firstColumn="0" w:lastColumn="0" w:noHBand="0" w:noVBand="0"/>
      </w:tblPr>
      <w:tblGrid>
        <w:gridCol w:w="723"/>
        <w:gridCol w:w="1091"/>
      </w:tblGrid>
      <w:tr w:rsidR="00F75588" w:rsidRPr="00A05552" w14:paraId="6DA64334" w14:textId="77777777" w:rsidTr="00227CD9">
        <w:trPr>
          <w:tblHeader/>
        </w:trPr>
        <w:tc>
          <w:tcPr>
            <w:tcW w:w="0" w:type="auto"/>
            <w:tcBorders>
              <w:top w:val="single" w:sz="10" w:space="0" w:color="000000"/>
              <w:left w:val="single" w:sz="10" w:space="0" w:color="000000"/>
              <w:bottom w:val="single" w:sz="10" w:space="0" w:color="000000"/>
              <w:right w:val="single" w:sz="10" w:space="0" w:color="000000"/>
            </w:tcBorders>
            <w:vAlign w:val="center"/>
          </w:tcPr>
          <w:p w14:paraId="20E60B4D" w14:textId="77777777" w:rsidR="00F75588" w:rsidRPr="00A05552" w:rsidRDefault="00F75588" w:rsidP="00F75588">
            <w:pPr>
              <w:rPr>
                <w:rFonts w:ascii="Arial" w:hAnsi="Arial" w:cs="Arial"/>
                <w:lang w:val="en"/>
              </w:rPr>
            </w:pPr>
            <w:r w:rsidRPr="00A05552">
              <w:rPr>
                <w:rFonts w:ascii="Arial" w:hAnsi="Arial" w:cs="Arial"/>
                <w:lang w:val="en"/>
              </w:rPr>
              <w:t>Rate</w:t>
            </w:r>
          </w:p>
        </w:tc>
        <w:tc>
          <w:tcPr>
            <w:tcW w:w="0" w:type="auto"/>
            <w:tcBorders>
              <w:top w:val="single" w:sz="10" w:space="0" w:color="000000"/>
              <w:left w:val="single" w:sz="10" w:space="0" w:color="000000"/>
              <w:bottom w:val="single" w:sz="10" w:space="0" w:color="000000"/>
              <w:right w:val="single" w:sz="10" w:space="0" w:color="000000"/>
            </w:tcBorders>
            <w:vAlign w:val="center"/>
          </w:tcPr>
          <w:p w14:paraId="344C4956" w14:textId="77777777" w:rsidR="00F75588" w:rsidRPr="00A05552" w:rsidRDefault="00F75588" w:rsidP="00F75588">
            <w:pPr>
              <w:rPr>
                <w:rFonts w:ascii="Arial" w:hAnsi="Arial" w:cs="Arial"/>
                <w:lang w:val="en"/>
              </w:rPr>
            </w:pPr>
            <w:r w:rsidRPr="00A05552">
              <w:rPr>
                <w:rFonts w:ascii="Arial" w:hAnsi="Arial" w:cs="Arial"/>
                <w:lang w:val="en"/>
              </w:rPr>
              <w:t>NPV(C)</w:t>
            </w:r>
          </w:p>
        </w:tc>
      </w:tr>
      <w:tr w:rsidR="00F75588" w:rsidRPr="00A05552" w14:paraId="02D780ED"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1E6D0F5D" w14:textId="77777777" w:rsidR="00F75588" w:rsidRPr="00A05552" w:rsidRDefault="00F75588" w:rsidP="00F75588">
            <w:pPr>
              <w:rPr>
                <w:rFonts w:ascii="Arial" w:hAnsi="Arial" w:cs="Arial"/>
                <w:lang w:val="en"/>
              </w:rPr>
            </w:pPr>
            <w:r w:rsidRPr="00A05552">
              <w:rPr>
                <w:rFonts w:ascii="Arial" w:hAnsi="Arial" w:cs="Arial"/>
                <w:lang w:val="en"/>
              </w:rPr>
              <w:t>12%</w:t>
            </w:r>
          </w:p>
        </w:tc>
        <w:tc>
          <w:tcPr>
            <w:tcW w:w="0" w:type="auto"/>
            <w:tcBorders>
              <w:top w:val="single" w:sz="10" w:space="0" w:color="000000"/>
              <w:left w:val="single" w:sz="10" w:space="0" w:color="000000"/>
              <w:bottom w:val="single" w:sz="10" w:space="0" w:color="000000"/>
              <w:right w:val="single" w:sz="10" w:space="0" w:color="000000"/>
            </w:tcBorders>
          </w:tcPr>
          <w:p w14:paraId="58F324CC" w14:textId="77777777" w:rsidR="00F75588" w:rsidRPr="00A05552" w:rsidRDefault="00F75588" w:rsidP="00F75588">
            <w:pPr>
              <w:rPr>
                <w:rFonts w:ascii="Arial" w:hAnsi="Arial" w:cs="Arial"/>
                <w:lang w:val="en"/>
              </w:rPr>
            </w:pPr>
            <w:r w:rsidRPr="00A05552">
              <w:rPr>
                <w:rFonts w:ascii="Arial" w:hAnsi="Arial" w:cs="Arial"/>
                <w:lang w:val="en"/>
              </w:rPr>
              <w:t>1.0712</w:t>
            </w:r>
          </w:p>
        </w:tc>
      </w:tr>
      <w:tr w:rsidR="00F75588" w:rsidRPr="00A05552" w14:paraId="4481BCFC" w14:textId="77777777" w:rsidTr="00227CD9">
        <w:tc>
          <w:tcPr>
            <w:tcW w:w="0" w:type="auto"/>
            <w:tcBorders>
              <w:top w:val="single" w:sz="10" w:space="0" w:color="000000"/>
              <w:left w:val="single" w:sz="10" w:space="0" w:color="000000"/>
              <w:bottom w:val="single" w:sz="10" w:space="0" w:color="000000"/>
              <w:right w:val="single" w:sz="10" w:space="0" w:color="000000"/>
            </w:tcBorders>
          </w:tcPr>
          <w:p w14:paraId="2079BD45" w14:textId="77777777" w:rsidR="00F75588" w:rsidRPr="00A05552" w:rsidRDefault="00F75588" w:rsidP="00F75588">
            <w:pPr>
              <w:rPr>
                <w:rFonts w:ascii="Arial" w:hAnsi="Arial" w:cs="Arial"/>
                <w:lang w:val="en"/>
              </w:rPr>
            </w:pPr>
            <w:r w:rsidRPr="00A05552">
              <w:rPr>
                <w:rFonts w:ascii="Arial" w:hAnsi="Arial" w:cs="Arial"/>
                <w:lang w:val="en"/>
              </w:rPr>
              <w:t>13%</w:t>
            </w:r>
          </w:p>
        </w:tc>
        <w:tc>
          <w:tcPr>
            <w:tcW w:w="0" w:type="auto"/>
            <w:tcBorders>
              <w:top w:val="single" w:sz="10" w:space="0" w:color="000000"/>
              <w:left w:val="single" w:sz="10" w:space="0" w:color="000000"/>
              <w:bottom w:val="single" w:sz="10" w:space="0" w:color="000000"/>
              <w:right w:val="single" w:sz="10" w:space="0" w:color="000000"/>
            </w:tcBorders>
          </w:tcPr>
          <w:p w14:paraId="795ECA3F" w14:textId="77777777" w:rsidR="00F75588" w:rsidRPr="00A05552" w:rsidRDefault="00F75588" w:rsidP="00F75588">
            <w:pPr>
              <w:rPr>
                <w:rFonts w:ascii="Arial" w:hAnsi="Arial" w:cs="Arial"/>
                <w:lang w:val="en"/>
              </w:rPr>
            </w:pPr>
            <w:r w:rsidRPr="00A05552">
              <w:rPr>
                <w:rFonts w:ascii="Arial" w:hAnsi="Arial" w:cs="Arial"/>
                <w:lang w:val="en"/>
              </w:rPr>
              <w:t>−0.4084</w:t>
            </w:r>
          </w:p>
        </w:tc>
      </w:tr>
    </w:tbl>
    <w:p w14:paraId="403BF12E" w14:textId="77777777" w:rsidR="00F75588" w:rsidRPr="00A05552" w:rsidRDefault="00F75588" w:rsidP="00F75588">
      <w:pPr>
        <w:rPr>
          <w:rFonts w:ascii="Arial" w:hAnsi="Arial" w:cs="Arial"/>
          <w:lang w:val="en"/>
        </w:rPr>
      </w:pPr>
      <w:r w:rsidRPr="00A05552">
        <w:rPr>
          <w:rFonts w:ascii="Arial" w:hAnsi="Arial" w:cs="Arial"/>
          <w:lang w:val="en"/>
        </w:rPr>
        <w:t>Interpolation:</w:t>
      </w:r>
    </w:p>
    <w:p w14:paraId="5CA4E73B" w14:textId="6320DCFA" w:rsidR="00F75588" w:rsidRPr="00A05552" w:rsidRDefault="00F75588" w:rsidP="00F75588">
      <w:pPr>
        <w:rPr>
          <w:rFonts w:ascii="Arial" w:hAnsi="Arial" w:cs="Arial"/>
          <w:lang w:val="en"/>
        </w:rPr>
      </w:pPr>
      <m:oMath>
        <m:r>
          <w:rPr>
            <w:rFonts w:ascii="Cambria Math" w:hAnsi="Cambria Math" w:cs="Arial"/>
            <w:lang w:val="en"/>
          </w:rPr>
          <m:t>IR</m:t>
        </m:r>
        <m:sSub>
          <m:sSubPr>
            <m:ctrlPr>
              <w:rPr>
                <w:rFonts w:ascii="Cambria Math" w:hAnsi="Cambria Math" w:cs="Arial"/>
                <w:lang w:val="en"/>
              </w:rPr>
            </m:ctrlPr>
          </m:sSubPr>
          <m:e>
            <m:r>
              <w:rPr>
                <w:rFonts w:ascii="Cambria Math" w:hAnsi="Cambria Math" w:cs="Arial"/>
                <w:lang w:val="en"/>
              </w:rPr>
              <m:t>R</m:t>
            </m:r>
          </m:e>
          <m:sub>
            <m:r>
              <w:rPr>
                <w:rFonts w:ascii="Cambria Math" w:hAnsi="Cambria Math" w:cs="Arial"/>
                <w:lang w:val="en"/>
              </w:rPr>
              <m:t>C</m:t>
            </m:r>
          </m:sub>
        </m:sSub>
        <m:r>
          <m:rPr>
            <m:sty m:val="p"/>
          </m:rPr>
          <w:rPr>
            <w:rFonts w:ascii="Cambria Math" w:hAnsi="Cambria Math" w:cs="Arial"/>
            <w:lang w:val="en"/>
          </w:rPr>
          <m:t>=</m:t>
        </m:r>
        <m:r>
          <w:rPr>
            <w:rFonts w:ascii="Cambria Math" w:hAnsi="Cambria Math" w:cs="Arial"/>
            <w:lang w:val="en"/>
          </w:rPr>
          <m:t>12</m:t>
        </m:r>
        <m:r>
          <m:rPr>
            <m:sty m:val="p"/>
          </m:rPr>
          <w:rPr>
            <w:rFonts w:ascii="Cambria Math" w:hAnsi="Cambria Math" w:cs="Arial"/>
            <w:lang w:val="en"/>
          </w:rPr>
          <m:t>%+</m:t>
        </m:r>
        <m:f>
          <m:fPr>
            <m:ctrlPr>
              <w:rPr>
                <w:rFonts w:ascii="Cambria Math" w:hAnsi="Cambria Math" w:cs="Arial"/>
                <w:lang w:val="en"/>
              </w:rPr>
            </m:ctrlPr>
          </m:fPr>
          <m:num>
            <m:r>
              <w:rPr>
                <w:rFonts w:ascii="Cambria Math" w:hAnsi="Cambria Math" w:cs="Arial"/>
                <w:lang w:val="en"/>
              </w:rPr>
              <m:t>1.0712</m:t>
            </m:r>
          </m:num>
          <m:den>
            <m:r>
              <w:rPr>
                <w:rFonts w:ascii="Cambria Math" w:hAnsi="Cambria Math" w:cs="Arial"/>
                <w:lang w:val="en"/>
              </w:rPr>
              <m:t>1.0712</m:t>
            </m:r>
            <m:r>
              <m:rPr>
                <m:sty m:val="p"/>
              </m:rPr>
              <w:rPr>
                <w:rFonts w:ascii="Cambria Math" w:hAnsi="Cambria Math" w:cs="Arial"/>
                <w:lang w:val="en"/>
              </w:rPr>
              <m:t>-</m:t>
            </m:r>
            <m:d>
              <m:dPr>
                <m:ctrlPr>
                  <w:rPr>
                    <w:rFonts w:ascii="Cambria Math" w:hAnsi="Cambria Math" w:cs="Arial"/>
                    <w:lang w:val="en"/>
                  </w:rPr>
                </m:ctrlPr>
              </m:dPr>
              <m:e>
                <m:r>
                  <m:rPr>
                    <m:sty m:val="p"/>
                  </m:rPr>
                  <w:rPr>
                    <w:rFonts w:ascii="Cambria Math" w:hAnsi="Cambria Math" w:cs="Arial"/>
                    <w:lang w:val="en"/>
                  </w:rPr>
                  <m:t>-</m:t>
                </m:r>
                <m:r>
                  <w:rPr>
                    <w:rFonts w:ascii="Cambria Math" w:hAnsi="Cambria Math" w:cs="Arial"/>
                    <w:lang w:val="en"/>
                  </w:rPr>
                  <m:t>0.4084</m:t>
                </m:r>
              </m:e>
            </m:d>
          </m:den>
        </m:f>
        <m:r>
          <m:rPr>
            <m:sty m:val="p"/>
          </m:rPr>
          <w:rPr>
            <w:rFonts w:ascii="Cambria Math" w:hAnsi="Cambria Math" w:cs="Arial"/>
            <w:lang w:val="en"/>
          </w:rPr>
          <m:t>×</m:t>
        </m:r>
        <m:d>
          <m:dPr>
            <m:ctrlPr>
              <w:rPr>
                <w:rFonts w:ascii="Cambria Math" w:hAnsi="Cambria Math" w:cs="Arial"/>
                <w:lang w:val="en"/>
              </w:rPr>
            </m:ctrlPr>
          </m:dPr>
          <m:e>
            <m:r>
              <w:rPr>
                <w:rFonts w:ascii="Cambria Math" w:hAnsi="Cambria Math" w:cs="Arial"/>
                <w:lang w:val="en"/>
              </w:rPr>
              <m:t>13</m:t>
            </m:r>
            <m:r>
              <m:rPr>
                <m:sty m:val="p"/>
              </m:rPr>
              <w:rPr>
                <w:rFonts w:ascii="Cambria Math" w:hAnsi="Cambria Math" w:cs="Arial"/>
                <w:lang w:val="en"/>
              </w:rPr>
              <m:t>%-</m:t>
            </m:r>
            <m:r>
              <w:rPr>
                <w:rFonts w:ascii="Cambria Math" w:hAnsi="Cambria Math" w:cs="Arial"/>
                <w:lang w:val="en"/>
              </w:rPr>
              <m:t>12</m:t>
            </m:r>
            <m:r>
              <m:rPr>
                <m:sty m:val="p"/>
              </m:rPr>
              <w:rPr>
                <w:rFonts w:ascii="Cambria Math" w:hAnsi="Cambria Math" w:cs="Arial"/>
                <w:lang w:val="en"/>
              </w:rPr>
              <m:t>%</m:t>
            </m:r>
          </m:e>
        </m:d>
      </m:oMath>
      <w:r w:rsidRPr="00A05552">
        <w:rPr>
          <w:rFonts w:ascii="Arial" w:hAnsi="Arial" w:cs="Arial"/>
          <w:lang w:val="en"/>
        </w:rPr>
        <w:t xml:space="preserve"> </w:t>
      </w:r>
      <m:oMath>
        <m:r>
          <w:rPr>
            <w:rFonts w:ascii="Cambria Math" w:hAnsi="Cambria Math" w:cs="Arial"/>
            <w:lang w:val="en"/>
          </w:rPr>
          <m:t>IR</m:t>
        </m:r>
        <m:sSub>
          <m:sSubPr>
            <m:ctrlPr>
              <w:rPr>
                <w:rFonts w:ascii="Cambria Math" w:hAnsi="Cambria Math" w:cs="Arial"/>
                <w:lang w:val="en"/>
              </w:rPr>
            </m:ctrlPr>
          </m:sSubPr>
          <m:e>
            <m:r>
              <w:rPr>
                <w:rFonts w:ascii="Cambria Math" w:hAnsi="Cambria Math" w:cs="Arial"/>
                <w:lang w:val="en"/>
              </w:rPr>
              <m:t>R</m:t>
            </m:r>
          </m:e>
          <m:sub>
            <m:r>
              <w:rPr>
                <w:rFonts w:ascii="Cambria Math" w:hAnsi="Cambria Math" w:cs="Arial"/>
                <w:lang w:val="en"/>
              </w:rPr>
              <m:t>C</m:t>
            </m:r>
          </m:sub>
        </m:sSub>
        <m:r>
          <m:rPr>
            <m:sty m:val="p"/>
          </m:rPr>
          <w:rPr>
            <w:rFonts w:ascii="Cambria Math" w:hAnsi="Cambria Math" w:cs="Arial"/>
            <w:lang w:val="en"/>
          </w:rPr>
          <m:t>=</m:t>
        </m:r>
        <m:r>
          <w:rPr>
            <w:rFonts w:ascii="Cambria Math" w:hAnsi="Cambria Math" w:cs="Arial"/>
            <w:lang w:val="en"/>
          </w:rPr>
          <m:t>12</m:t>
        </m:r>
        <m:r>
          <m:rPr>
            <m:sty m:val="p"/>
          </m:rPr>
          <w:rPr>
            <w:rFonts w:ascii="Cambria Math" w:hAnsi="Cambria Math" w:cs="Arial"/>
            <w:lang w:val="en"/>
          </w:rPr>
          <m:t>%+</m:t>
        </m:r>
        <m:f>
          <m:fPr>
            <m:ctrlPr>
              <w:rPr>
                <w:rFonts w:ascii="Cambria Math" w:hAnsi="Cambria Math" w:cs="Arial"/>
                <w:lang w:val="en"/>
              </w:rPr>
            </m:ctrlPr>
          </m:fPr>
          <m:num>
            <m:r>
              <w:rPr>
                <w:rFonts w:ascii="Cambria Math" w:hAnsi="Cambria Math" w:cs="Arial"/>
                <w:lang w:val="en"/>
              </w:rPr>
              <m:t>1.0712</m:t>
            </m:r>
          </m:num>
          <m:den>
            <m:r>
              <w:rPr>
                <w:rFonts w:ascii="Cambria Math" w:hAnsi="Cambria Math" w:cs="Arial"/>
                <w:lang w:val="en"/>
              </w:rPr>
              <m:t>1.4796</m:t>
            </m:r>
          </m:den>
        </m:f>
        <m:r>
          <m:rPr>
            <m:sty m:val="p"/>
          </m:rPr>
          <w:rPr>
            <w:rFonts w:ascii="Cambria Math" w:hAnsi="Cambria Math" w:cs="Arial"/>
            <w:lang w:val="en"/>
          </w:rPr>
          <m:t>×</m:t>
        </m:r>
        <m:r>
          <w:rPr>
            <w:rFonts w:ascii="Cambria Math" w:hAnsi="Cambria Math" w:cs="Arial"/>
            <w:lang w:val="en"/>
          </w:rPr>
          <m:t>1</m:t>
        </m:r>
        <m:r>
          <m:rPr>
            <m:sty m:val="p"/>
          </m:rPr>
          <w:rPr>
            <w:rFonts w:ascii="Cambria Math" w:hAnsi="Cambria Math" w:cs="Arial"/>
            <w:lang w:val="en"/>
          </w:rPr>
          <m:t>%≈</m:t>
        </m:r>
        <m:r>
          <w:rPr>
            <w:rFonts w:ascii="Cambria Math" w:hAnsi="Cambria Math" w:cs="Arial"/>
            <w:lang w:val="en"/>
          </w:rPr>
          <m:t>12</m:t>
        </m:r>
        <m:r>
          <m:rPr>
            <m:sty m:val="p"/>
          </m:rPr>
          <w:rPr>
            <w:rFonts w:ascii="Cambria Math" w:hAnsi="Cambria Math" w:cs="Arial"/>
            <w:lang w:val="en"/>
          </w:rPr>
          <m:t>%+</m:t>
        </m:r>
        <m:r>
          <w:rPr>
            <w:rFonts w:ascii="Cambria Math" w:hAnsi="Cambria Math" w:cs="Arial"/>
            <w:lang w:val="en"/>
          </w:rPr>
          <m:t>0.72</m:t>
        </m:r>
        <m:r>
          <m:rPr>
            <m:sty m:val="p"/>
          </m:rPr>
          <w:rPr>
            <w:rFonts w:ascii="Cambria Math" w:hAnsi="Cambria Math" w:cs="Arial"/>
            <w:lang w:val="en"/>
          </w:rPr>
          <m:t>%=</m:t>
        </m:r>
        <m:r>
          <m:rPr>
            <m:sty m:val="b"/>
          </m:rPr>
          <w:rPr>
            <w:rFonts w:ascii="Cambria Math" w:hAnsi="Cambria Math" w:cs="Arial"/>
            <w:lang w:val="en"/>
          </w:rPr>
          <m:t>12.7%</m:t>
        </m:r>
      </m:oMath>
    </w:p>
    <w:p w14:paraId="21CE0AEE" w14:textId="77777777" w:rsidR="00DD2F40" w:rsidRPr="00A05552" w:rsidRDefault="00DD2F40">
      <w:pPr>
        <w:rPr>
          <w:rFonts w:ascii="Arial" w:hAnsi="Arial" w:cs="Arial"/>
          <w:b/>
          <w:bCs/>
          <w:lang w:val="en-US"/>
        </w:rPr>
      </w:pPr>
    </w:p>
    <w:sectPr w:rsidR="00DD2F40" w:rsidRPr="00A05552" w:rsidSect="00EE664C">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F0C34F" w14:textId="77777777" w:rsidR="00747714" w:rsidRDefault="00747714" w:rsidP="00615401">
      <w:pPr>
        <w:spacing w:after="0" w:line="240" w:lineRule="auto"/>
      </w:pPr>
      <w:r>
        <w:separator/>
      </w:r>
    </w:p>
  </w:endnote>
  <w:endnote w:type="continuationSeparator" w:id="0">
    <w:p w14:paraId="21CC2436" w14:textId="77777777" w:rsidR="00747714" w:rsidRDefault="00747714" w:rsidP="00615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D78A3B" w14:textId="77777777" w:rsidR="00227CD9" w:rsidRDefault="00227CD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9305158"/>
      <w:docPartObj>
        <w:docPartGallery w:val="Page Numbers (Bottom of Page)"/>
        <w:docPartUnique/>
      </w:docPartObj>
    </w:sdtPr>
    <w:sdtEndPr/>
    <w:sdtContent>
      <w:p w14:paraId="6B49E105" w14:textId="1C0A1EFD" w:rsidR="00227CD9" w:rsidRDefault="00227CD9">
        <w:pPr>
          <w:pStyle w:val="Footer"/>
          <w:jc w:val="right"/>
        </w:pPr>
        <w:r>
          <w:t xml:space="preserve">Page | </w:t>
        </w:r>
        <w:r>
          <w:fldChar w:fldCharType="begin"/>
        </w:r>
        <w:r>
          <w:instrText xml:space="preserve"> PAGE   \* MERGEFORMAT </w:instrText>
        </w:r>
        <w:r>
          <w:fldChar w:fldCharType="separate"/>
        </w:r>
        <w:r w:rsidR="00EE664C">
          <w:rPr>
            <w:noProof/>
          </w:rPr>
          <w:t>20</w:t>
        </w:r>
        <w:r>
          <w:rPr>
            <w:noProof/>
          </w:rPr>
          <w:fldChar w:fldCharType="end"/>
        </w:r>
        <w:r>
          <w:t xml:space="preserve"> </w:t>
        </w:r>
      </w:p>
    </w:sdtContent>
  </w:sdt>
  <w:p w14:paraId="689A71D2" w14:textId="77777777" w:rsidR="00227CD9" w:rsidRDefault="00227CD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D11830" w14:textId="77777777" w:rsidR="00227CD9" w:rsidRDefault="00227C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1D0294" w14:textId="77777777" w:rsidR="00747714" w:rsidRDefault="00747714" w:rsidP="00615401">
      <w:pPr>
        <w:spacing w:after="0" w:line="240" w:lineRule="auto"/>
      </w:pPr>
      <w:r>
        <w:separator/>
      </w:r>
    </w:p>
  </w:footnote>
  <w:footnote w:type="continuationSeparator" w:id="0">
    <w:p w14:paraId="769201BD" w14:textId="77777777" w:rsidR="00747714" w:rsidRDefault="00747714" w:rsidP="0061540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FD68C6" w14:textId="77777777" w:rsidR="00227CD9" w:rsidRDefault="00227CD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09A3DB" w14:textId="4F99D170" w:rsidR="00227CD9" w:rsidRDefault="00227CD9" w:rsidP="00615401">
    <w:pPr>
      <w:pStyle w:val="Header"/>
      <w:jc w:val="righ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B1AFB1" w14:textId="77777777" w:rsidR="00227CD9" w:rsidRDefault="00227CD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A991"/>
    <w:multiLevelType w:val="multilevel"/>
    <w:tmpl w:val="4CF818B8"/>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03A0367A"/>
    <w:multiLevelType w:val="multilevel"/>
    <w:tmpl w:val="5F5CC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A1B7A"/>
    <w:multiLevelType w:val="multilevel"/>
    <w:tmpl w:val="85F8F48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E700275"/>
    <w:multiLevelType w:val="multilevel"/>
    <w:tmpl w:val="DDCA1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8A6282"/>
    <w:multiLevelType w:val="multilevel"/>
    <w:tmpl w:val="A5E24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4C7A3F"/>
    <w:multiLevelType w:val="multilevel"/>
    <w:tmpl w:val="38A2F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570B8D"/>
    <w:multiLevelType w:val="multilevel"/>
    <w:tmpl w:val="C8C6042C"/>
    <w:lvl w:ilvl="0">
      <w:start w:val="1"/>
      <w:numFmt w:val="decimal"/>
      <w:lvlText w:val="%1"/>
      <w:lvlJc w:val="left"/>
      <w:pPr>
        <w:ind w:left="360" w:hanging="360"/>
      </w:pPr>
      <w:rPr>
        <w:rFonts w:hint="default"/>
      </w:rPr>
    </w:lvl>
    <w:lvl w:ilvl="1">
      <w:start w:val="3"/>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7" w15:restartNumberingAfterBreak="0">
    <w:nsid w:val="2C770AF7"/>
    <w:multiLevelType w:val="multilevel"/>
    <w:tmpl w:val="89087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35395B"/>
    <w:multiLevelType w:val="multilevel"/>
    <w:tmpl w:val="439AF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DC1995"/>
    <w:multiLevelType w:val="multilevel"/>
    <w:tmpl w:val="5BE84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2E39C7"/>
    <w:multiLevelType w:val="multilevel"/>
    <w:tmpl w:val="B386C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C5073B"/>
    <w:multiLevelType w:val="multilevel"/>
    <w:tmpl w:val="39700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787836"/>
    <w:multiLevelType w:val="multilevel"/>
    <w:tmpl w:val="0F384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26006D"/>
    <w:multiLevelType w:val="multilevel"/>
    <w:tmpl w:val="F29CE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AE2D71"/>
    <w:multiLevelType w:val="multilevel"/>
    <w:tmpl w:val="1248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7471D1"/>
    <w:multiLevelType w:val="multilevel"/>
    <w:tmpl w:val="58960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9B3E24"/>
    <w:multiLevelType w:val="multilevel"/>
    <w:tmpl w:val="622A41E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9215AEF"/>
    <w:multiLevelType w:val="multilevel"/>
    <w:tmpl w:val="77B25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FD6B4F"/>
    <w:multiLevelType w:val="multilevel"/>
    <w:tmpl w:val="F7CE1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3A007D"/>
    <w:multiLevelType w:val="multilevel"/>
    <w:tmpl w:val="F1B65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B17F54"/>
    <w:multiLevelType w:val="hybridMultilevel"/>
    <w:tmpl w:val="3F9A6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634318"/>
    <w:multiLevelType w:val="multilevel"/>
    <w:tmpl w:val="78C6B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E35BFE"/>
    <w:multiLevelType w:val="multilevel"/>
    <w:tmpl w:val="B13E4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60197D"/>
    <w:multiLevelType w:val="multilevel"/>
    <w:tmpl w:val="30BE5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FE342C"/>
    <w:multiLevelType w:val="multilevel"/>
    <w:tmpl w:val="6C7E971A"/>
    <w:lvl w:ilvl="0">
      <w:start w:val="1"/>
      <w:numFmt w:val="decimal"/>
      <w:lvlText w:val="%1"/>
      <w:lvlJc w:val="left"/>
      <w:pPr>
        <w:ind w:left="360" w:hanging="360"/>
      </w:pPr>
      <w:rPr>
        <w:rFonts w:hint="default"/>
      </w:rPr>
    </w:lvl>
    <w:lvl w:ilvl="1">
      <w:start w:val="3"/>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16"/>
  </w:num>
  <w:num w:numId="2">
    <w:abstractNumId w:val="6"/>
  </w:num>
  <w:num w:numId="3">
    <w:abstractNumId w:val="24"/>
  </w:num>
  <w:num w:numId="4">
    <w:abstractNumId w:val="2"/>
  </w:num>
  <w:num w:numId="5">
    <w:abstractNumId w:val="19"/>
  </w:num>
  <w:num w:numId="6">
    <w:abstractNumId w:val="5"/>
  </w:num>
  <w:num w:numId="7">
    <w:abstractNumId w:val="17"/>
  </w:num>
  <w:num w:numId="8">
    <w:abstractNumId w:val="13"/>
  </w:num>
  <w:num w:numId="9">
    <w:abstractNumId w:val="4"/>
  </w:num>
  <w:num w:numId="10">
    <w:abstractNumId w:val="8"/>
  </w:num>
  <w:num w:numId="11">
    <w:abstractNumId w:val="14"/>
  </w:num>
  <w:num w:numId="12">
    <w:abstractNumId w:val="18"/>
  </w:num>
  <w:num w:numId="13">
    <w:abstractNumId w:val="23"/>
  </w:num>
  <w:num w:numId="14">
    <w:abstractNumId w:val="10"/>
  </w:num>
  <w:num w:numId="15">
    <w:abstractNumId w:val="21"/>
  </w:num>
  <w:num w:numId="16">
    <w:abstractNumId w:val="22"/>
  </w:num>
  <w:num w:numId="17">
    <w:abstractNumId w:val="11"/>
  </w:num>
  <w:num w:numId="18">
    <w:abstractNumId w:val="15"/>
  </w:num>
  <w:num w:numId="19">
    <w:abstractNumId w:val="12"/>
  </w:num>
  <w:num w:numId="20">
    <w:abstractNumId w:val="7"/>
  </w:num>
  <w:num w:numId="21">
    <w:abstractNumId w:val="3"/>
  </w:num>
  <w:num w:numId="22">
    <w:abstractNumId w:val="9"/>
  </w:num>
  <w:num w:numId="23">
    <w:abstractNumId w:val="1"/>
  </w:num>
  <w:num w:numId="24">
    <w:abstractNumId w:val="0"/>
  </w:num>
  <w:num w:numId="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TSwsDQwNDM2NDU3NzZR0lEKTi0uzszPAykwqwUAjh5cICwAAAA="/>
  </w:docVars>
  <w:rsids>
    <w:rsidRoot w:val="007C645A"/>
    <w:rsid w:val="000123FE"/>
    <w:rsid w:val="00031136"/>
    <w:rsid w:val="000526BA"/>
    <w:rsid w:val="00063C75"/>
    <w:rsid w:val="000F7DAE"/>
    <w:rsid w:val="001170A0"/>
    <w:rsid w:val="00124C67"/>
    <w:rsid w:val="001340E3"/>
    <w:rsid w:val="001E7758"/>
    <w:rsid w:val="002015A6"/>
    <w:rsid w:val="00227CD9"/>
    <w:rsid w:val="00234AA8"/>
    <w:rsid w:val="00284B2C"/>
    <w:rsid w:val="002A4489"/>
    <w:rsid w:val="002C5CF4"/>
    <w:rsid w:val="002E60CC"/>
    <w:rsid w:val="00331E02"/>
    <w:rsid w:val="00341438"/>
    <w:rsid w:val="003B76BC"/>
    <w:rsid w:val="00427895"/>
    <w:rsid w:val="0043145C"/>
    <w:rsid w:val="004818B4"/>
    <w:rsid w:val="004D65E3"/>
    <w:rsid w:val="00504CE9"/>
    <w:rsid w:val="0054235C"/>
    <w:rsid w:val="005515EB"/>
    <w:rsid w:val="005C0E6A"/>
    <w:rsid w:val="005E1468"/>
    <w:rsid w:val="00615401"/>
    <w:rsid w:val="00646D11"/>
    <w:rsid w:val="006668AB"/>
    <w:rsid w:val="006B6F45"/>
    <w:rsid w:val="00721253"/>
    <w:rsid w:val="007256B5"/>
    <w:rsid w:val="00735F9B"/>
    <w:rsid w:val="00747714"/>
    <w:rsid w:val="007C645A"/>
    <w:rsid w:val="007E7EC6"/>
    <w:rsid w:val="00837D15"/>
    <w:rsid w:val="008A1A31"/>
    <w:rsid w:val="008F15A0"/>
    <w:rsid w:val="008F32BA"/>
    <w:rsid w:val="009308EA"/>
    <w:rsid w:val="009B2F79"/>
    <w:rsid w:val="009B3759"/>
    <w:rsid w:val="00A05552"/>
    <w:rsid w:val="00A77CB4"/>
    <w:rsid w:val="00A9260C"/>
    <w:rsid w:val="00B54831"/>
    <w:rsid w:val="00B5531C"/>
    <w:rsid w:val="00B94E97"/>
    <w:rsid w:val="00BE71B3"/>
    <w:rsid w:val="00C01280"/>
    <w:rsid w:val="00CF17CC"/>
    <w:rsid w:val="00DD2F40"/>
    <w:rsid w:val="00E36B00"/>
    <w:rsid w:val="00EB2361"/>
    <w:rsid w:val="00EE58AD"/>
    <w:rsid w:val="00EE664C"/>
    <w:rsid w:val="00EF1834"/>
    <w:rsid w:val="00F75588"/>
    <w:rsid w:val="00F77262"/>
    <w:rsid w:val="00F93C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909353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6D11"/>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6B6F45"/>
    <w:pPr>
      <w:keepNext/>
      <w:keepLines/>
      <w:spacing w:after="0"/>
      <w:outlineLvl w:val="0"/>
    </w:pPr>
    <w:rPr>
      <w:rFonts w:ascii="Arial" w:eastAsiaTheme="majorEastAsia" w:hAnsi="Arial" w:cs="Arial"/>
      <w:b/>
      <w:sz w:val="32"/>
      <w:szCs w:val="24"/>
    </w:rPr>
  </w:style>
  <w:style w:type="paragraph" w:styleId="Heading2">
    <w:name w:val="heading 2"/>
    <w:basedOn w:val="Normal"/>
    <w:next w:val="Normal"/>
    <w:link w:val="Heading2Char"/>
    <w:autoRedefine/>
    <w:uiPriority w:val="9"/>
    <w:unhideWhenUsed/>
    <w:qFormat/>
    <w:rsid w:val="006B6F45"/>
    <w:pPr>
      <w:keepNext/>
      <w:keepLines/>
      <w:spacing w:before="40" w:after="0"/>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6B6F45"/>
    <w:pPr>
      <w:keepNext/>
      <w:keepLines/>
      <w:spacing w:before="40" w:after="0"/>
      <w:outlineLvl w:val="2"/>
    </w:pPr>
    <w:rPr>
      <w:rFonts w:ascii="Arial" w:eastAsiaTheme="majorEastAsia" w:hAnsi="Arial" w:cstheme="majorBidi"/>
      <w:b/>
      <w:szCs w:val="24"/>
    </w:rPr>
  </w:style>
  <w:style w:type="paragraph" w:styleId="Heading4">
    <w:name w:val="heading 4"/>
    <w:basedOn w:val="Normal"/>
    <w:next w:val="Normal"/>
    <w:link w:val="Heading4Char"/>
    <w:uiPriority w:val="9"/>
    <w:semiHidden/>
    <w:unhideWhenUsed/>
    <w:qFormat/>
    <w:rsid w:val="00B5483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F45"/>
    <w:rPr>
      <w:rFonts w:ascii="Arial" w:eastAsiaTheme="majorEastAsia" w:hAnsi="Arial" w:cs="Arial"/>
      <w:b/>
      <w:kern w:val="0"/>
      <w:sz w:val="32"/>
      <w:szCs w:val="24"/>
      <w:lang w:val="en-GB"/>
      <w14:ligatures w14:val="none"/>
    </w:rPr>
  </w:style>
  <w:style w:type="character" w:customStyle="1" w:styleId="Heading2Char">
    <w:name w:val="Heading 2 Char"/>
    <w:basedOn w:val="DefaultParagraphFont"/>
    <w:link w:val="Heading2"/>
    <w:uiPriority w:val="9"/>
    <w:rsid w:val="006B6F45"/>
    <w:rPr>
      <w:rFonts w:ascii="Arial" w:eastAsiaTheme="majorEastAsia" w:hAnsi="Arial" w:cstheme="majorBidi"/>
      <w:b/>
      <w:kern w:val="0"/>
      <w:sz w:val="28"/>
      <w:szCs w:val="26"/>
      <w:lang w:val="en-GB"/>
      <w14:ligatures w14:val="none"/>
    </w:rPr>
  </w:style>
  <w:style w:type="character" w:customStyle="1" w:styleId="Heading3Char">
    <w:name w:val="Heading 3 Char"/>
    <w:basedOn w:val="DefaultParagraphFont"/>
    <w:link w:val="Heading3"/>
    <w:uiPriority w:val="9"/>
    <w:rsid w:val="006B6F45"/>
    <w:rPr>
      <w:rFonts w:ascii="Arial" w:eastAsiaTheme="majorEastAsia" w:hAnsi="Arial" w:cstheme="majorBidi"/>
      <w:b/>
      <w:kern w:val="0"/>
      <w:sz w:val="24"/>
      <w:szCs w:val="24"/>
      <w:lang w:val="en-GB"/>
      <w14:ligatures w14:val="none"/>
    </w:rPr>
  </w:style>
  <w:style w:type="paragraph" w:styleId="ListParagraph">
    <w:name w:val="List Paragraph"/>
    <w:basedOn w:val="Normal"/>
    <w:uiPriority w:val="34"/>
    <w:qFormat/>
    <w:rsid w:val="005C0E6A"/>
    <w:pPr>
      <w:ind w:left="720"/>
      <w:contextualSpacing/>
    </w:pPr>
  </w:style>
  <w:style w:type="table" w:styleId="TableGrid">
    <w:name w:val="Table Grid"/>
    <w:basedOn w:val="TableNormal"/>
    <w:uiPriority w:val="39"/>
    <w:rsid w:val="006154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1540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15401"/>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15401"/>
    <w:pPr>
      <w:spacing w:after="100"/>
    </w:pPr>
  </w:style>
  <w:style w:type="paragraph" w:styleId="TOC2">
    <w:name w:val="toc 2"/>
    <w:basedOn w:val="Normal"/>
    <w:next w:val="Normal"/>
    <w:autoRedefine/>
    <w:uiPriority w:val="39"/>
    <w:unhideWhenUsed/>
    <w:rsid w:val="00615401"/>
    <w:pPr>
      <w:spacing w:after="100"/>
      <w:ind w:left="240"/>
    </w:pPr>
  </w:style>
  <w:style w:type="paragraph" w:styleId="TOC3">
    <w:name w:val="toc 3"/>
    <w:basedOn w:val="Normal"/>
    <w:next w:val="Normal"/>
    <w:autoRedefine/>
    <w:uiPriority w:val="39"/>
    <w:unhideWhenUsed/>
    <w:rsid w:val="00615401"/>
    <w:pPr>
      <w:spacing w:after="100"/>
      <w:ind w:left="480"/>
    </w:pPr>
  </w:style>
  <w:style w:type="character" w:styleId="Hyperlink">
    <w:name w:val="Hyperlink"/>
    <w:basedOn w:val="DefaultParagraphFont"/>
    <w:uiPriority w:val="99"/>
    <w:unhideWhenUsed/>
    <w:rsid w:val="00615401"/>
    <w:rPr>
      <w:color w:val="0563C1" w:themeColor="hyperlink"/>
      <w:u w:val="single"/>
    </w:rPr>
  </w:style>
  <w:style w:type="paragraph" w:styleId="Header">
    <w:name w:val="header"/>
    <w:basedOn w:val="Normal"/>
    <w:link w:val="HeaderChar"/>
    <w:uiPriority w:val="99"/>
    <w:unhideWhenUsed/>
    <w:rsid w:val="006154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5401"/>
    <w:rPr>
      <w:rFonts w:ascii="Times New Roman" w:hAnsi="Times New Roman"/>
      <w:kern w:val="0"/>
      <w:sz w:val="24"/>
      <w:lang w:val="en-GB"/>
      <w14:ligatures w14:val="none"/>
    </w:rPr>
  </w:style>
  <w:style w:type="paragraph" w:styleId="Footer">
    <w:name w:val="footer"/>
    <w:basedOn w:val="Normal"/>
    <w:link w:val="FooterChar"/>
    <w:uiPriority w:val="99"/>
    <w:unhideWhenUsed/>
    <w:rsid w:val="006154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5401"/>
    <w:rPr>
      <w:rFonts w:ascii="Times New Roman" w:hAnsi="Times New Roman"/>
      <w:kern w:val="0"/>
      <w:sz w:val="24"/>
      <w:lang w:val="en-GB"/>
      <w14:ligatures w14:val="none"/>
    </w:rPr>
  </w:style>
  <w:style w:type="paragraph" w:styleId="NormalWeb">
    <w:name w:val="Normal (Web)"/>
    <w:basedOn w:val="Normal"/>
    <w:uiPriority w:val="99"/>
    <w:semiHidden/>
    <w:unhideWhenUsed/>
    <w:rsid w:val="00615401"/>
    <w:pPr>
      <w:spacing w:before="100" w:beforeAutospacing="1" w:after="100" w:afterAutospacing="1" w:line="240" w:lineRule="auto"/>
      <w:jc w:val="left"/>
    </w:pPr>
    <w:rPr>
      <w:rFonts w:eastAsia="Times New Roman" w:cs="Times New Roman"/>
      <w:szCs w:val="24"/>
      <w:lang w:val="en-US"/>
    </w:rPr>
  </w:style>
  <w:style w:type="character" w:customStyle="1" w:styleId="UnresolvedMention">
    <w:name w:val="Unresolved Mention"/>
    <w:basedOn w:val="DefaultParagraphFont"/>
    <w:uiPriority w:val="99"/>
    <w:semiHidden/>
    <w:unhideWhenUsed/>
    <w:rsid w:val="00234AA8"/>
    <w:rPr>
      <w:color w:val="605E5C"/>
      <w:shd w:val="clear" w:color="auto" w:fill="E1DFDD"/>
    </w:rPr>
  </w:style>
  <w:style w:type="character" w:customStyle="1" w:styleId="Heading4Char">
    <w:name w:val="Heading 4 Char"/>
    <w:basedOn w:val="DefaultParagraphFont"/>
    <w:link w:val="Heading4"/>
    <w:uiPriority w:val="9"/>
    <w:semiHidden/>
    <w:rsid w:val="00B54831"/>
    <w:rPr>
      <w:rFonts w:asciiTheme="majorHAnsi" w:eastAsiaTheme="majorEastAsia" w:hAnsiTheme="majorHAnsi" w:cstheme="majorBidi"/>
      <w:i/>
      <w:iCs/>
      <w:color w:val="2F5496" w:themeColor="accent1" w:themeShade="BF"/>
      <w:kern w:val="0"/>
      <w:sz w:val="24"/>
      <w:lang w:val="en-GB"/>
      <w14:ligatures w14:val="none"/>
    </w:rPr>
  </w:style>
  <w:style w:type="table" w:styleId="GridTable5Dark-Accent2">
    <w:name w:val="Grid Table 5 Dark Accent 2"/>
    <w:basedOn w:val="TableNormal"/>
    <w:uiPriority w:val="50"/>
    <w:rsid w:val="002C5CF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2C5CF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2C5CF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B94E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5">
    <w:name w:val="Grid Table 4 Accent 5"/>
    <w:basedOn w:val="TableNormal"/>
    <w:uiPriority w:val="49"/>
    <w:rsid w:val="004818B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ableofFigures">
    <w:name w:val="table of figures"/>
    <w:basedOn w:val="Normal"/>
    <w:next w:val="Normal"/>
    <w:uiPriority w:val="99"/>
    <w:unhideWhenUsed/>
    <w:rsid w:val="00EF183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6962">
      <w:bodyDiv w:val="1"/>
      <w:marLeft w:val="0"/>
      <w:marRight w:val="0"/>
      <w:marTop w:val="0"/>
      <w:marBottom w:val="0"/>
      <w:divBdr>
        <w:top w:val="none" w:sz="0" w:space="0" w:color="auto"/>
        <w:left w:val="none" w:sz="0" w:space="0" w:color="auto"/>
        <w:bottom w:val="none" w:sz="0" w:space="0" w:color="auto"/>
        <w:right w:val="none" w:sz="0" w:space="0" w:color="auto"/>
      </w:divBdr>
    </w:div>
    <w:div w:id="3561177">
      <w:bodyDiv w:val="1"/>
      <w:marLeft w:val="0"/>
      <w:marRight w:val="0"/>
      <w:marTop w:val="0"/>
      <w:marBottom w:val="0"/>
      <w:divBdr>
        <w:top w:val="none" w:sz="0" w:space="0" w:color="auto"/>
        <w:left w:val="none" w:sz="0" w:space="0" w:color="auto"/>
        <w:bottom w:val="none" w:sz="0" w:space="0" w:color="auto"/>
        <w:right w:val="none" w:sz="0" w:space="0" w:color="auto"/>
      </w:divBdr>
    </w:div>
    <w:div w:id="39060220">
      <w:bodyDiv w:val="1"/>
      <w:marLeft w:val="0"/>
      <w:marRight w:val="0"/>
      <w:marTop w:val="0"/>
      <w:marBottom w:val="0"/>
      <w:divBdr>
        <w:top w:val="none" w:sz="0" w:space="0" w:color="auto"/>
        <w:left w:val="none" w:sz="0" w:space="0" w:color="auto"/>
        <w:bottom w:val="none" w:sz="0" w:space="0" w:color="auto"/>
        <w:right w:val="none" w:sz="0" w:space="0" w:color="auto"/>
      </w:divBdr>
      <w:divsChild>
        <w:div w:id="352457259">
          <w:marLeft w:val="-720"/>
          <w:marRight w:val="0"/>
          <w:marTop w:val="0"/>
          <w:marBottom w:val="0"/>
          <w:divBdr>
            <w:top w:val="none" w:sz="0" w:space="0" w:color="auto"/>
            <w:left w:val="none" w:sz="0" w:space="0" w:color="auto"/>
            <w:bottom w:val="none" w:sz="0" w:space="0" w:color="auto"/>
            <w:right w:val="none" w:sz="0" w:space="0" w:color="auto"/>
          </w:divBdr>
        </w:div>
      </w:divsChild>
    </w:div>
    <w:div w:id="44448434">
      <w:bodyDiv w:val="1"/>
      <w:marLeft w:val="0"/>
      <w:marRight w:val="0"/>
      <w:marTop w:val="0"/>
      <w:marBottom w:val="0"/>
      <w:divBdr>
        <w:top w:val="none" w:sz="0" w:space="0" w:color="auto"/>
        <w:left w:val="none" w:sz="0" w:space="0" w:color="auto"/>
        <w:bottom w:val="none" w:sz="0" w:space="0" w:color="auto"/>
        <w:right w:val="none" w:sz="0" w:space="0" w:color="auto"/>
      </w:divBdr>
      <w:divsChild>
        <w:div w:id="1995990035">
          <w:marLeft w:val="0"/>
          <w:marRight w:val="0"/>
          <w:marTop w:val="0"/>
          <w:marBottom w:val="0"/>
          <w:divBdr>
            <w:top w:val="none" w:sz="0" w:space="0" w:color="auto"/>
            <w:left w:val="none" w:sz="0" w:space="0" w:color="auto"/>
            <w:bottom w:val="none" w:sz="0" w:space="0" w:color="auto"/>
            <w:right w:val="none" w:sz="0" w:space="0" w:color="auto"/>
          </w:divBdr>
          <w:divsChild>
            <w:div w:id="1859349701">
              <w:marLeft w:val="0"/>
              <w:marRight w:val="0"/>
              <w:marTop w:val="0"/>
              <w:marBottom w:val="0"/>
              <w:divBdr>
                <w:top w:val="none" w:sz="0" w:space="0" w:color="auto"/>
                <w:left w:val="none" w:sz="0" w:space="0" w:color="auto"/>
                <w:bottom w:val="none" w:sz="0" w:space="0" w:color="auto"/>
                <w:right w:val="none" w:sz="0" w:space="0" w:color="auto"/>
              </w:divBdr>
            </w:div>
          </w:divsChild>
        </w:div>
        <w:div w:id="273220388">
          <w:marLeft w:val="0"/>
          <w:marRight w:val="0"/>
          <w:marTop w:val="0"/>
          <w:marBottom w:val="0"/>
          <w:divBdr>
            <w:top w:val="none" w:sz="0" w:space="0" w:color="auto"/>
            <w:left w:val="none" w:sz="0" w:space="0" w:color="auto"/>
            <w:bottom w:val="none" w:sz="0" w:space="0" w:color="auto"/>
            <w:right w:val="none" w:sz="0" w:space="0" w:color="auto"/>
          </w:divBdr>
          <w:divsChild>
            <w:div w:id="447969619">
              <w:marLeft w:val="0"/>
              <w:marRight w:val="0"/>
              <w:marTop w:val="0"/>
              <w:marBottom w:val="0"/>
              <w:divBdr>
                <w:top w:val="none" w:sz="0" w:space="0" w:color="auto"/>
                <w:left w:val="none" w:sz="0" w:space="0" w:color="auto"/>
                <w:bottom w:val="none" w:sz="0" w:space="0" w:color="auto"/>
                <w:right w:val="none" w:sz="0" w:space="0" w:color="auto"/>
              </w:divBdr>
            </w:div>
          </w:divsChild>
        </w:div>
        <w:div w:id="947007497">
          <w:marLeft w:val="0"/>
          <w:marRight w:val="0"/>
          <w:marTop w:val="0"/>
          <w:marBottom w:val="0"/>
          <w:divBdr>
            <w:top w:val="none" w:sz="0" w:space="0" w:color="auto"/>
            <w:left w:val="none" w:sz="0" w:space="0" w:color="auto"/>
            <w:bottom w:val="none" w:sz="0" w:space="0" w:color="auto"/>
            <w:right w:val="none" w:sz="0" w:space="0" w:color="auto"/>
          </w:divBdr>
          <w:divsChild>
            <w:div w:id="555237936">
              <w:marLeft w:val="0"/>
              <w:marRight w:val="0"/>
              <w:marTop w:val="0"/>
              <w:marBottom w:val="0"/>
              <w:divBdr>
                <w:top w:val="none" w:sz="0" w:space="0" w:color="auto"/>
                <w:left w:val="none" w:sz="0" w:space="0" w:color="auto"/>
                <w:bottom w:val="none" w:sz="0" w:space="0" w:color="auto"/>
                <w:right w:val="none" w:sz="0" w:space="0" w:color="auto"/>
              </w:divBdr>
            </w:div>
          </w:divsChild>
        </w:div>
        <w:div w:id="1332486369">
          <w:marLeft w:val="0"/>
          <w:marRight w:val="0"/>
          <w:marTop w:val="0"/>
          <w:marBottom w:val="0"/>
          <w:divBdr>
            <w:top w:val="none" w:sz="0" w:space="0" w:color="auto"/>
            <w:left w:val="none" w:sz="0" w:space="0" w:color="auto"/>
            <w:bottom w:val="none" w:sz="0" w:space="0" w:color="auto"/>
            <w:right w:val="none" w:sz="0" w:space="0" w:color="auto"/>
          </w:divBdr>
          <w:divsChild>
            <w:div w:id="1780949340">
              <w:marLeft w:val="0"/>
              <w:marRight w:val="0"/>
              <w:marTop w:val="0"/>
              <w:marBottom w:val="0"/>
              <w:divBdr>
                <w:top w:val="none" w:sz="0" w:space="0" w:color="auto"/>
                <w:left w:val="none" w:sz="0" w:space="0" w:color="auto"/>
                <w:bottom w:val="none" w:sz="0" w:space="0" w:color="auto"/>
                <w:right w:val="none" w:sz="0" w:space="0" w:color="auto"/>
              </w:divBdr>
            </w:div>
          </w:divsChild>
        </w:div>
        <w:div w:id="1678194837">
          <w:marLeft w:val="0"/>
          <w:marRight w:val="0"/>
          <w:marTop w:val="0"/>
          <w:marBottom w:val="0"/>
          <w:divBdr>
            <w:top w:val="none" w:sz="0" w:space="0" w:color="auto"/>
            <w:left w:val="none" w:sz="0" w:space="0" w:color="auto"/>
            <w:bottom w:val="none" w:sz="0" w:space="0" w:color="auto"/>
            <w:right w:val="none" w:sz="0" w:space="0" w:color="auto"/>
          </w:divBdr>
          <w:divsChild>
            <w:div w:id="1843157868">
              <w:marLeft w:val="0"/>
              <w:marRight w:val="0"/>
              <w:marTop w:val="0"/>
              <w:marBottom w:val="0"/>
              <w:divBdr>
                <w:top w:val="none" w:sz="0" w:space="0" w:color="auto"/>
                <w:left w:val="none" w:sz="0" w:space="0" w:color="auto"/>
                <w:bottom w:val="none" w:sz="0" w:space="0" w:color="auto"/>
                <w:right w:val="none" w:sz="0" w:space="0" w:color="auto"/>
              </w:divBdr>
            </w:div>
          </w:divsChild>
        </w:div>
        <w:div w:id="221253656">
          <w:marLeft w:val="0"/>
          <w:marRight w:val="0"/>
          <w:marTop w:val="0"/>
          <w:marBottom w:val="0"/>
          <w:divBdr>
            <w:top w:val="none" w:sz="0" w:space="0" w:color="auto"/>
            <w:left w:val="none" w:sz="0" w:space="0" w:color="auto"/>
            <w:bottom w:val="none" w:sz="0" w:space="0" w:color="auto"/>
            <w:right w:val="none" w:sz="0" w:space="0" w:color="auto"/>
          </w:divBdr>
          <w:divsChild>
            <w:div w:id="552229424">
              <w:marLeft w:val="0"/>
              <w:marRight w:val="0"/>
              <w:marTop w:val="0"/>
              <w:marBottom w:val="0"/>
              <w:divBdr>
                <w:top w:val="none" w:sz="0" w:space="0" w:color="auto"/>
                <w:left w:val="none" w:sz="0" w:space="0" w:color="auto"/>
                <w:bottom w:val="none" w:sz="0" w:space="0" w:color="auto"/>
                <w:right w:val="none" w:sz="0" w:space="0" w:color="auto"/>
              </w:divBdr>
            </w:div>
          </w:divsChild>
        </w:div>
        <w:div w:id="1137992845">
          <w:marLeft w:val="0"/>
          <w:marRight w:val="0"/>
          <w:marTop w:val="0"/>
          <w:marBottom w:val="0"/>
          <w:divBdr>
            <w:top w:val="none" w:sz="0" w:space="0" w:color="auto"/>
            <w:left w:val="none" w:sz="0" w:space="0" w:color="auto"/>
            <w:bottom w:val="none" w:sz="0" w:space="0" w:color="auto"/>
            <w:right w:val="none" w:sz="0" w:space="0" w:color="auto"/>
          </w:divBdr>
          <w:divsChild>
            <w:div w:id="1923222527">
              <w:marLeft w:val="0"/>
              <w:marRight w:val="0"/>
              <w:marTop w:val="0"/>
              <w:marBottom w:val="0"/>
              <w:divBdr>
                <w:top w:val="none" w:sz="0" w:space="0" w:color="auto"/>
                <w:left w:val="none" w:sz="0" w:space="0" w:color="auto"/>
                <w:bottom w:val="none" w:sz="0" w:space="0" w:color="auto"/>
                <w:right w:val="none" w:sz="0" w:space="0" w:color="auto"/>
              </w:divBdr>
            </w:div>
          </w:divsChild>
        </w:div>
        <w:div w:id="313144790">
          <w:marLeft w:val="0"/>
          <w:marRight w:val="0"/>
          <w:marTop w:val="0"/>
          <w:marBottom w:val="0"/>
          <w:divBdr>
            <w:top w:val="none" w:sz="0" w:space="0" w:color="auto"/>
            <w:left w:val="none" w:sz="0" w:space="0" w:color="auto"/>
            <w:bottom w:val="none" w:sz="0" w:space="0" w:color="auto"/>
            <w:right w:val="none" w:sz="0" w:space="0" w:color="auto"/>
          </w:divBdr>
          <w:divsChild>
            <w:div w:id="1628849004">
              <w:marLeft w:val="0"/>
              <w:marRight w:val="0"/>
              <w:marTop w:val="0"/>
              <w:marBottom w:val="0"/>
              <w:divBdr>
                <w:top w:val="none" w:sz="0" w:space="0" w:color="auto"/>
                <w:left w:val="none" w:sz="0" w:space="0" w:color="auto"/>
                <w:bottom w:val="none" w:sz="0" w:space="0" w:color="auto"/>
                <w:right w:val="none" w:sz="0" w:space="0" w:color="auto"/>
              </w:divBdr>
            </w:div>
          </w:divsChild>
        </w:div>
        <w:div w:id="1224827994">
          <w:marLeft w:val="0"/>
          <w:marRight w:val="0"/>
          <w:marTop w:val="0"/>
          <w:marBottom w:val="0"/>
          <w:divBdr>
            <w:top w:val="none" w:sz="0" w:space="0" w:color="auto"/>
            <w:left w:val="none" w:sz="0" w:space="0" w:color="auto"/>
            <w:bottom w:val="none" w:sz="0" w:space="0" w:color="auto"/>
            <w:right w:val="none" w:sz="0" w:space="0" w:color="auto"/>
          </w:divBdr>
          <w:divsChild>
            <w:div w:id="1870605984">
              <w:marLeft w:val="0"/>
              <w:marRight w:val="0"/>
              <w:marTop w:val="0"/>
              <w:marBottom w:val="0"/>
              <w:divBdr>
                <w:top w:val="none" w:sz="0" w:space="0" w:color="auto"/>
                <w:left w:val="none" w:sz="0" w:space="0" w:color="auto"/>
                <w:bottom w:val="none" w:sz="0" w:space="0" w:color="auto"/>
                <w:right w:val="none" w:sz="0" w:space="0" w:color="auto"/>
              </w:divBdr>
            </w:div>
          </w:divsChild>
        </w:div>
        <w:div w:id="98065584">
          <w:marLeft w:val="0"/>
          <w:marRight w:val="0"/>
          <w:marTop w:val="0"/>
          <w:marBottom w:val="0"/>
          <w:divBdr>
            <w:top w:val="none" w:sz="0" w:space="0" w:color="auto"/>
            <w:left w:val="none" w:sz="0" w:space="0" w:color="auto"/>
            <w:bottom w:val="none" w:sz="0" w:space="0" w:color="auto"/>
            <w:right w:val="none" w:sz="0" w:space="0" w:color="auto"/>
          </w:divBdr>
          <w:divsChild>
            <w:div w:id="43524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87310">
      <w:bodyDiv w:val="1"/>
      <w:marLeft w:val="0"/>
      <w:marRight w:val="0"/>
      <w:marTop w:val="0"/>
      <w:marBottom w:val="0"/>
      <w:divBdr>
        <w:top w:val="none" w:sz="0" w:space="0" w:color="auto"/>
        <w:left w:val="none" w:sz="0" w:space="0" w:color="auto"/>
        <w:bottom w:val="none" w:sz="0" w:space="0" w:color="auto"/>
        <w:right w:val="none" w:sz="0" w:space="0" w:color="auto"/>
      </w:divBdr>
    </w:div>
    <w:div w:id="58139192">
      <w:bodyDiv w:val="1"/>
      <w:marLeft w:val="0"/>
      <w:marRight w:val="0"/>
      <w:marTop w:val="0"/>
      <w:marBottom w:val="0"/>
      <w:divBdr>
        <w:top w:val="none" w:sz="0" w:space="0" w:color="auto"/>
        <w:left w:val="none" w:sz="0" w:space="0" w:color="auto"/>
        <w:bottom w:val="none" w:sz="0" w:space="0" w:color="auto"/>
        <w:right w:val="none" w:sz="0" w:space="0" w:color="auto"/>
      </w:divBdr>
    </w:div>
    <w:div w:id="75641167">
      <w:bodyDiv w:val="1"/>
      <w:marLeft w:val="0"/>
      <w:marRight w:val="0"/>
      <w:marTop w:val="0"/>
      <w:marBottom w:val="0"/>
      <w:divBdr>
        <w:top w:val="none" w:sz="0" w:space="0" w:color="auto"/>
        <w:left w:val="none" w:sz="0" w:space="0" w:color="auto"/>
        <w:bottom w:val="none" w:sz="0" w:space="0" w:color="auto"/>
        <w:right w:val="none" w:sz="0" w:space="0" w:color="auto"/>
      </w:divBdr>
    </w:div>
    <w:div w:id="131027631">
      <w:bodyDiv w:val="1"/>
      <w:marLeft w:val="0"/>
      <w:marRight w:val="0"/>
      <w:marTop w:val="0"/>
      <w:marBottom w:val="0"/>
      <w:divBdr>
        <w:top w:val="none" w:sz="0" w:space="0" w:color="auto"/>
        <w:left w:val="none" w:sz="0" w:space="0" w:color="auto"/>
        <w:bottom w:val="none" w:sz="0" w:space="0" w:color="auto"/>
        <w:right w:val="none" w:sz="0" w:space="0" w:color="auto"/>
      </w:divBdr>
    </w:div>
    <w:div w:id="157035592">
      <w:bodyDiv w:val="1"/>
      <w:marLeft w:val="0"/>
      <w:marRight w:val="0"/>
      <w:marTop w:val="0"/>
      <w:marBottom w:val="0"/>
      <w:divBdr>
        <w:top w:val="none" w:sz="0" w:space="0" w:color="auto"/>
        <w:left w:val="none" w:sz="0" w:space="0" w:color="auto"/>
        <w:bottom w:val="none" w:sz="0" w:space="0" w:color="auto"/>
        <w:right w:val="none" w:sz="0" w:space="0" w:color="auto"/>
      </w:divBdr>
    </w:div>
    <w:div w:id="172260093">
      <w:bodyDiv w:val="1"/>
      <w:marLeft w:val="0"/>
      <w:marRight w:val="0"/>
      <w:marTop w:val="0"/>
      <w:marBottom w:val="0"/>
      <w:divBdr>
        <w:top w:val="none" w:sz="0" w:space="0" w:color="auto"/>
        <w:left w:val="none" w:sz="0" w:space="0" w:color="auto"/>
        <w:bottom w:val="none" w:sz="0" w:space="0" w:color="auto"/>
        <w:right w:val="none" w:sz="0" w:space="0" w:color="auto"/>
      </w:divBdr>
    </w:div>
    <w:div w:id="186404774">
      <w:bodyDiv w:val="1"/>
      <w:marLeft w:val="0"/>
      <w:marRight w:val="0"/>
      <w:marTop w:val="0"/>
      <w:marBottom w:val="0"/>
      <w:divBdr>
        <w:top w:val="none" w:sz="0" w:space="0" w:color="auto"/>
        <w:left w:val="none" w:sz="0" w:space="0" w:color="auto"/>
        <w:bottom w:val="none" w:sz="0" w:space="0" w:color="auto"/>
        <w:right w:val="none" w:sz="0" w:space="0" w:color="auto"/>
      </w:divBdr>
    </w:div>
    <w:div w:id="191457423">
      <w:bodyDiv w:val="1"/>
      <w:marLeft w:val="0"/>
      <w:marRight w:val="0"/>
      <w:marTop w:val="0"/>
      <w:marBottom w:val="0"/>
      <w:divBdr>
        <w:top w:val="none" w:sz="0" w:space="0" w:color="auto"/>
        <w:left w:val="none" w:sz="0" w:space="0" w:color="auto"/>
        <w:bottom w:val="none" w:sz="0" w:space="0" w:color="auto"/>
        <w:right w:val="none" w:sz="0" w:space="0" w:color="auto"/>
      </w:divBdr>
    </w:div>
    <w:div w:id="218053869">
      <w:bodyDiv w:val="1"/>
      <w:marLeft w:val="0"/>
      <w:marRight w:val="0"/>
      <w:marTop w:val="0"/>
      <w:marBottom w:val="0"/>
      <w:divBdr>
        <w:top w:val="none" w:sz="0" w:space="0" w:color="auto"/>
        <w:left w:val="none" w:sz="0" w:space="0" w:color="auto"/>
        <w:bottom w:val="none" w:sz="0" w:space="0" w:color="auto"/>
        <w:right w:val="none" w:sz="0" w:space="0" w:color="auto"/>
      </w:divBdr>
    </w:div>
    <w:div w:id="229310865">
      <w:bodyDiv w:val="1"/>
      <w:marLeft w:val="0"/>
      <w:marRight w:val="0"/>
      <w:marTop w:val="0"/>
      <w:marBottom w:val="0"/>
      <w:divBdr>
        <w:top w:val="none" w:sz="0" w:space="0" w:color="auto"/>
        <w:left w:val="none" w:sz="0" w:space="0" w:color="auto"/>
        <w:bottom w:val="none" w:sz="0" w:space="0" w:color="auto"/>
        <w:right w:val="none" w:sz="0" w:space="0" w:color="auto"/>
      </w:divBdr>
    </w:div>
    <w:div w:id="271208562">
      <w:bodyDiv w:val="1"/>
      <w:marLeft w:val="0"/>
      <w:marRight w:val="0"/>
      <w:marTop w:val="0"/>
      <w:marBottom w:val="0"/>
      <w:divBdr>
        <w:top w:val="none" w:sz="0" w:space="0" w:color="auto"/>
        <w:left w:val="none" w:sz="0" w:space="0" w:color="auto"/>
        <w:bottom w:val="none" w:sz="0" w:space="0" w:color="auto"/>
        <w:right w:val="none" w:sz="0" w:space="0" w:color="auto"/>
      </w:divBdr>
      <w:divsChild>
        <w:div w:id="2127194423">
          <w:marLeft w:val="-720"/>
          <w:marRight w:val="0"/>
          <w:marTop w:val="0"/>
          <w:marBottom w:val="0"/>
          <w:divBdr>
            <w:top w:val="none" w:sz="0" w:space="0" w:color="auto"/>
            <w:left w:val="none" w:sz="0" w:space="0" w:color="auto"/>
            <w:bottom w:val="none" w:sz="0" w:space="0" w:color="auto"/>
            <w:right w:val="none" w:sz="0" w:space="0" w:color="auto"/>
          </w:divBdr>
        </w:div>
      </w:divsChild>
    </w:div>
    <w:div w:id="275018933">
      <w:bodyDiv w:val="1"/>
      <w:marLeft w:val="0"/>
      <w:marRight w:val="0"/>
      <w:marTop w:val="0"/>
      <w:marBottom w:val="0"/>
      <w:divBdr>
        <w:top w:val="none" w:sz="0" w:space="0" w:color="auto"/>
        <w:left w:val="none" w:sz="0" w:space="0" w:color="auto"/>
        <w:bottom w:val="none" w:sz="0" w:space="0" w:color="auto"/>
        <w:right w:val="none" w:sz="0" w:space="0" w:color="auto"/>
      </w:divBdr>
    </w:div>
    <w:div w:id="285086891">
      <w:bodyDiv w:val="1"/>
      <w:marLeft w:val="0"/>
      <w:marRight w:val="0"/>
      <w:marTop w:val="0"/>
      <w:marBottom w:val="0"/>
      <w:divBdr>
        <w:top w:val="none" w:sz="0" w:space="0" w:color="auto"/>
        <w:left w:val="none" w:sz="0" w:space="0" w:color="auto"/>
        <w:bottom w:val="none" w:sz="0" w:space="0" w:color="auto"/>
        <w:right w:val="none" w:sz="0" w:space="0" w:color="auto"/>
      </w:divBdr>
    </w:div>
    <w:div w:id="296683281">
      <w:bodyDiv w:val="1"/>
      <w:marLeft w:val="0"/>
      <w:marRight w:val="0"/>
      <w:marTop w:val="0"/>
      <w:marBottom w:val="0"/>
      <w:divBdr>
        <w:top w:val="none" w:sz="0" w:space="0" w:color="auto"/>
        <w:left w:val="none" w:sz="0" w:space="0" w:color="auto"/>
        <w:bottom w:val="none" w:sz="0" w:space="0" w:color="auto"/>
        <w:right w:val="none" w:sz="0" w:space="0" w:color="auto"/>
      </w:divBdr>
    </w:div>
    <w:div w:id="297152963">
      <w:bodyDiv w:val="1"/>
      <w:marLeft w:val="0"/>
      <w:marRight w:val="0"/>
      <w:marTop w:val="0"/>
      <w:marBottom w:val="0"/>
      <w:divBdr>
        <w:top w:val="none" w:sz="0" w:space="0" w:color="auto"/>
        <w:left w:val="none" w:sz="0" w:space="0" w:color="auto"/>
        <w:bottom w:val="none" w:sz="0" w:space="0" w:color="auto"/>
        <w:right w:val="none" w:sz="0" w:space="0" w:color="auto"/>
      </w:divBdr>
    </w:div>
    <w:div w:id="298001703">
      <w:bodyDiv w:val="1"/>
      <w:marLeft w:val="0"/>
      <w:marRight w:val="0"/>
      <w:marTop w:val="0"/>
      <w:marBottom w:val="0"/>
      <w:divBdr>
        <w:top w:val="none" w:sz="0" w:space="0" w:color="auto"/>
        <w:left w:val="none" w:sz="0" w:space="0" w:color="auto"/>
        <w:bottom w:val="none" w:sz="0" w:space="0" w:color="auto"/>
        <w:right w:val="none" w:sz="0" w:space="0" w:color="auto"/>
      </w:divBdr>
    </w:div>
    <w:div w:id="304967014">
      <w:bodyDiv w:val="1"/>
      <w:marLeft w:val="0"/>
      <w:marRight w:val="0"/>
      <w:marTop w:val="0"/>
      <w:marBottom w:val="0"/>
      <w:divBdr>
        <w:top w:val="none" w:sz="0" w:space="0" w:color="auto"/>
        <w:left w:val="none" w:sz="0" w:space="0" w:color="auto"/>
        <w:bottom w:val="none" w:sz="0" w:space="0" w:color="auto"/>
        <w:right w:val="none" w:sz="0" w:space="0" w:color="auto"/>
      </w:divBdr>
    </w:div>
    <w:div w:id="363100978">
      <w:bodyDiv w:val="1"/>
      <w:marLeft w:val="0"/>
      <w:marRight w:val="0"/>
      <w:marTop w:val="0"/>
      <w:marBottom w:val="0"/>
      <w:divBdr>
        <w:top w:val="none" w:sz="0" w:space="0" w:color="auto"/>
        <w:left w:val="none" w:sz="0" w:space="0" w:color="auto"/>
        <w:bottom w:val="none" w:sz="0" w:space="0" w:color="auto"/>
        <w:right w:val="none" w:sz="0" w:space="0" w:color="auto"/>
      </w:divBdr>
    </w:div>
    <w:div w:id="368998642">
      <w:bodyDiv w:val="1"/>
      <w:marLeft w:val="0"/>
      <w:marRight w:val="0"/>
      <w:marTop w:val="0"/>
      <w:marBottom w:val="0"/>
      <w:divBdr>
        <w:top w:val="none" w:sz="0" w:space="0" w:color="auto"/>
        <w:left w:val="none" w:sz="0" w:space="0" w:color="auto"/>
        <w:bottom w:val="none" w:sz="0" w:space="0" w:color="auto"/>
        <w:right w:val="none" w:sz="0" w:space="0" w:color="auto"/>
      </w:divBdr>
    </w:div>
    <w:div w:id="375547844">
      <w:bodyDiv w:val="1"/>
      <w:marLeft w:val="0"/>
      <w:marRight w:val="0"/>
      <w:marTop w:val="0"/>
      <w:marBottom w:val="0"/>
      <w:divBdr>
        <w:top w:val="none" w:sz="0" w:space="0" w:color="auto"/>
        <w:left w:val="none" w:sz="0" w:space="0" w:color="auto"/>
        <w:bottom w:val="none" w:sz="0" w:space="0" w:color="auto"/>
        <w:right w:val="none" w:sz="0" w:space="0" w:color="auto"/>
      </w:divBdr>
    </w:div>
    <w:div w:id="395131886">
      <w:bodyDiv w:val="1"/>
      <w:marLeft w:val="0"/>
      <w:marRight w:val="0"/>
      <w:marTop w:val="0"/>
      <w:marBottom w:val="0"/>
      <w:divBdr>
        <w:top w:val="none" w:sz="0" w:space="0" w:color="auto"/>
        <w:left w:val="none" w:sz="0" w:space="0" w:color="auto"/>
        <w:bottom w:val="none" w:sz="0" w:space="0" w:color="auto"/>
        <w:right w:val="none" w:sz="0" w:space="0" w:color="auto"/>
      </w:divBdr>
    </w:div>
    <w:div w:id="401027832">
      <w:bodyDiv w:val="1"/>
      <w:marLeft w:val="0"/>
      <w:marRight w:val="0"/>
      <w:marTop w:val="0"/>
      <w:marBottom w:val="0"/>
      <w:divBdr>
        <w:top w:val="none" w:sz="0" w:space="0" w:color="auto"/>
        <w:left w:val="none" w:sz="0" w:space="0" w:color="auto"/>
        <w:bottom w:val="none" w:sz="0" w:space="0" w:color="auto"/>
        <w:right w:val="none" w:sz="0" w:space="0" w:color="auto"/>
      </w:divBdr>
    </w:div>
    <w:div w:id="402525785">
      <w:bodyDiv w:val="1"/>
      <w:marLeft w:val="0"/>
      <w:marRight w:val="0"/>
      <w:marTop w:val="0"/>
      <w:marBottom w:val="0"/>
      <w:divBdr>
        <w:top w:val="none" w:sz="0" w:space="0" w:color="auto"/>
        <w:left w:val="none" w:sz="0" w:space="0" w:color="auto"/>
        <w:bottom w:val="none" w:sz="0" w:space="0" w:color="auto"/>
        <w:right w:val="none" w:sz="0" w:space="0" w:color="auto"/>
      </w:divBdr>
    </w:div>
    <w:div w:id="403527403">
      <w:bodyDiv w:val="1"/>
      <w:marLeft w:val="0"/>
      <w:marRight w:val="0"/>
      <w:marTop w:val="0"/>
      <w:marBottom w:val="0"/>
      <w:divBdr>
        <w:top w:val="none" w:sz="0" w:space="0" w:color="auto"/>
        <w:left w:val="none" w:sz="0" w:space="0" w:color="auto"/>
        <w:bottom w:val="none" w:sz="0" w:space="0" w:color="auto"/>
        <w:right w:val="none" w:sz="0" w:space="0" w:color="auto"/>
      </w:divBdr>
    </w:div>
    <w:div w:id="406267980">
      <w:bodyDiv w:val="1"/>
      <w:marLeft w:val="0"/>
      <w:marRight w:val="0"/>
      <w:marTop w:val="0"/>
      <w:marBottom w:val="0"/>
      <w:divBdr>
        <w:top w:val="none" w:sz="0" w:space="0" w:color="auto"/>
        <w:left w:val="none" w:sz="0" w:space="0" w:color="auto"/>
        <w:bottom w:val="none" w:sz="0" w:space="0" w:color="auto"/>
        <w:right w:val="none" w:sz="0" w:space="0" w:color="auto"/>
      </w:divBdr>
    </w:div>
    <w:div w:id="411705799">
      <w:bodyDiv w:val="1"/>
      <w:marLeft w:val="0"/>
      <w:marRight w:val="0"/>
      <w:marTop w:val="0"/>
      <w:marBottom w:val="0"/>
      <w:divBdr>
        <w:top w:val="none" w:sz="0" w:space="0" w:color="auto"/>
        <w:left w:val="none" w:sz="0" w:space="0" w:color="auto"/>
        <w:bottom w:val="none" w:sz="0" w:space="0" w:color="auto"/>
        <w:right w:val="none" w:sz="0" w:space="0" w:color="auto"/>
      </w:divBdr>
    </w:div>
    <w:div w:id="546185333">
      <w:bodyDiv w:val="1"/>
      <w:marLeft w:val="0"/>
      <w:marRight w:val="0"/>
      <w:marTop w:val="0"/>
      <w:marBottom w:val="0"/>
      <w:divBdr>
        <w:top w:val="none" w:sz="0" w:space="0" w:color="auto"/>
        <w:left w:val="none" w:sz="0" w:space="0" w:color="auto"/>
        <w:bottom w:val="none" w:sz="0" w:space="0" w:color="auto"/>
        <w:right w:val="none" w:sz="0" w:space="0" w:color="auto"/>
      </w:divBdr>
    </w:div>
    <w:div w:id="550387211">
      <w:bodyDiv w:val="1"/>
      <w:marLeft w:val="0"/>
      <w:marRight w:val="0"/>
      <w:marTop w:val="0"/>
      <w:marBottom w:val="0"/>
      <w:divBdr>
        <w:top w:val="none" w:sz="0" w:space="0" w:color="auto"/>
        <w:left w:val="none" w:sz="0" w:space="0" w:color="auto"/>
        <w:bottom w:val="none" w:sz="0" w:space="0" w:color="auto"/>
        <w:right w:val="none" w:sz="0" w:space="0" w:color="auto"/>
      </w:divBdr>
    </w:div>
    <w:div w:id="586614281">
      <w:bodyDiv w:val="1"/>
      <w:marLeft w:val="0"/>
      <w:marRight w:val="0"/>
      <w:marTop w:val="0"/>
      <w:marBottom w:val="0"/>
      <w:divBdr>
        <w:top w:val="none" w:sz="0" w:space="0" w:color="auto"/>
        <w:left w:val="none" w:sz="0" w:space="0" w:color="auto"/>
        <w:bottom w:val="none" w:sz="0" w:space="0" w:color="auto"/>
        <w:right w:val="none" w:sz="0" w:space="0" w:color="auto"/>
      </w:divBdr>
    </w:div>
    <w:div w:id="594554860">
      <w:bodyDiv w:val="1"/>
      <w:marLeft w:val="0"/>
      <w:marRight w:val="0"/>
      <w:marTop w:val="0"/>
      <w:marBottom w:val="0"/>
      <w:divBdr>
        <w:top w:val="none" w:sz="0" w:space="0" w:color="auto"/>
        <w:left w:val="none" w:sz="0" w:space="0" w:color="auto"/>
        <w:bottom w:val="none" w:sz="0" w:space="0" w:color="auto"/>
        <w:right w:val="none" w:sz="0" w:space="0" w:color="auto"/>
      </w:divBdr>
    </w:div>
    <w:div w:id="664867886">
      <w:bodyDiv w:val="1"/>
      <w:marLeft w:val="0"/>
      <w:marRight w:val="0"/>
      <w:marTop w:val="0"/>
      <w:marBottom w:val="0"/>
      <w:divBdr>
        <w:top w:val="none" w:sz="0" w:space="0" w:color="auto"/>
        <w:left w:val="none" w:sz="0" w:space="0" w:color="auto"/>
        <w:bottom w:val="none" w:sz="0" w:space="0" w:color="auto"/>
        <w:right w:val="none" w:sz="0" w:space="0" w:color="auto"/>
      </w:divBdr>
    </w:div>
    <w:div w:id="673916842">
      <w:bodyDiv w:val="1"/>
      <w:marLeft w:val="0"/>
      <w:marRight w:val="0"/>
      <w:marTop w:val="0"/>
      <w:marBottom w:val="0"/>
      <w:divBdr>
        <w:top w:val="none" w:sz="0" w:space="0" w:color="auto"/>
        <w:left w:val="none" w:sz="0" w:space="0" w:color="auto"/>
        <w:bottom w:val="none" w:sz="0" w:space="0" w:color="auto"/>
        <w:right w:val="none" w:sz="0" w:space="0" w:color="auto"/>
      </w:divBdr>
    </w:div>
    <w:div w:id="692725620">
      <w:bodyDiv w:val="1"/>
      <w:marLeft w:val="0"/>
      <w:marRight w:val="0"/>
      <w:marTop w:val="0"/>
      <w:marBottom w:val="0"/>
      <w:divBdr>
        <w:top w:val="none" w:sz="0" w:space="0" w:color="auto"/>
        <w:left w:val="none" w:sz="0" w:space="0" w:color="auto"/>
        <w:bottom w:val="none" w:sz="0" w:space="0" w:color="auto"/>
        <w:right w:val="none" w:sz="0" w:space="0" w:color="auto"/>
      </w:divBdr>
    </w:div>
    <w:div w:id="708913767">
      <w:bodyDiv w:val="1"/>
      <w:marLeft w:val="0"/>
      <w:marRight w:val="0"/>
      <w:marTop w:val="0"/>
      <w:marBottom w:val="0"/>
      <w:divBdr>
        <w:top w:val="none" w:sz="0" w:space="0" w:color="auto"/>
        <w:left w:val="none" w:sz="0" w:space="0" w:color="auto"/>
        <w:bottom w:val="none" w:sz="0" w:space="0" w:color="auto"/>
        <w:right w:val="none" w:sz="0" w:space="0" w:color="auto"/>
      </w:divBdr>
    </w:div>
    <w:div w:id="730886432">
      <w:bodyDiv w:val="1"/>
      <w:marLeft w:val="0"/>
      <w:marRight w:val="0"/>
      <w:marTop w:val="0"/>
      <w:marBottom w:val="0"/>
      <w:divBdr>
        <w:top w:val="none" w:sz="0" w:space="0" w:color="auto"/>
        <w:left w:val="none" w:sz="0" w:space="0" w:color="auto"/>
        <w:bottom w:val="none" w:sz="0" w:space="0" w:color="auto"/>
        <w:right w:val="none" w:sz="0" w:space="0" w:color="auto"/>
      </w:divBdr>
    </w:div>
    <w:div w:id="739016627">
      <w:bodyDiv w:val="1"/>
      <w:marLeft w:val="0"/>
      <w:marRight w:val="0"/>
      <w:marTop w:val="0"/>
      <w:marBottom w:val="0"/>
      <w:divBdr>
        <w:top w:val="none" w:sz="0" w:space="0" w:color="auto"/>
        <w:left w:val="none" w:sz="0" w:space="0" w:color="auto"/>
        <w:bottom w:val="none" w:sz="0" w:space="0" w:color="auto"/>
        <w:right w:val="none" w:sz="0" w:space="0" w:color="auto"/>
      </w:divBdr>
    </w:div>
    <w:div w:id="744841596">
      <w:bodyDiv w:val="1"/>
      <w:marLeft w:val="0"/>
      <w:marRight w:val="0"/>
      <w:marTop w:val="0"/>
      <w:marBottom w:val="0"/>
      <w:divBdr>
        <w:top w:val="none" w:sz="0" w:space="0" w:color="auto"/>
        <w:left w:val="none" w:sz="0" w:space="0" w:color="auto"/>
        <w:bottom w:val="none" w:sz="0" w:space="0" w:color="auto"/>
        <w:right w:val="none" w:sz="0" w:space="0" w:color="auto"/>
      </w:divBdr>
    </w:div>
    <w:div w:id="759061784">
      <w:bodyDiv w:val="1"/>
      <w:marLeft w:val="0"/>
      <w:marRight w:val="0"/>
      <w:marTop w:val="0"/>
      <w:marBottom w:val="0"/>
      <w:divBdr>
        <w:top w:val="none" w:sz="0" w:space="0" w:color="auto"/>
        <w:left w:val="none" w:sz="0" w:space="0" w:color="auto"/>
        <w:bottom w:val="none" w:sz="0" w:space="0" w:color="auto"/>
        <w:right w:val="none" w:sz="0" w:space="0" w:color="auto"/>
      </w:divBdr>
    </w:div>
    <w:div w:id="766392400">
      <w:bodyDiv w:val="1"/>
      <w:marLeft w:val="0"/>
      <w:marRight w:val="0"/>
      <w:marTop w:val="0"/>
      <w:marBottom w:val="0"/>
      <w:divBdr>
        <w:top w:val="none" w:sz="0" w:space="0" w:color="auto"/>
        <w:left w:val="none" w:sz="0" w:space="0" w:color="auto"/>
        <w:bottom w:val="none" w:sz="0" w:space="0" w:color="auto"/>
        <w:right w:val="none" w:sz="0" w:space="0" w:color="auto"/>
      </w:divBdr>
    </w:div>
    <w:div w:id="796216765">
      <w:bodyDiv w:val="1"/>
      <w:marLeft w:val="0"/>
      <w:marRight w:val="0"/>
      <w:marTop w:val="0"/>
      <w:marBottom w:val="0"/>
      <w:divBdr>
        <w:top w:val="none" w:sz="0" w:space="0" w:color="auto"/>
        <w:left w:val="none" w:sz="0" w:space="0" w:color="auto"/>
        <w:bottom w:val="none" w:sz="0" w:space="0" w:color="auto"/>
        <w:right w:val="none" w:sz="0" w:space="0" w:color="auto"/>
      </w:divBdr>
    </w:div>
    <w:div w:id="839152308">
      <w:bodyDiv w:val="1"/>
      <w:marLeft w:val="0"/>
      <w:marRight w:val="0"/>
      <w:marTop w:val="0"/>
      <w:marBottom w:val="0"/>
      <w:divBdr>
        <w:top w:val="none" w:sz="0" w:space="0" w:color="auto"/>
        <w:left w:val="none" w:sz="0" w:space="0" w:color="auto"/>
        <w:bottom w:val="none" w:sz="0" w:space="0" w:color="auto"/>
        <w:right w:val="none" w:sz="0" w:space="0" w:color="auto"/>
      </w:divBdr>
    </w:div>
    <w:div w:id="886061829">
      <w:bodyDiv w:val="1"/>
      <w:marLeft w:val="0"/>
      <w:marRight w:val="0"/>
      <w:marTop w:val="0"/>
      <w:marBottom w:val="0"/>
      <w:divBdr>
        <w:top w:val="none" w:sz="0" w:space="0" w:color="auto"/>
        <w:left w:val="none" w:sz="0" w:space="0" w:color="auto"/>
        <w:bottom w:val="none" w:sz="0" w:space="0" w:color="auto"/>
        <w:right w:val="none" w:sz="0" w:space="0" w:color="auto"/>
      </w:divBdr>
    </w:div>
    <w:div w:id="894312632">
      <w:bodyDiv w:val="1"/>
      <w:marLeft w:val="0"/>
      <w:marRight w:val="0"/>
      <w:marTop w:val="0"/>
      <w:marBottom w:val="0"/>
      <w:divBdr>
        <w:top w:val="none" w:sz="0" w:space="0" w:color="auto"/>
        <w:left w:val="none" w:sz="0" w:space="0" w:color="auto"/>
        <w:bottom w:val="none" w:sz="0" w:space="0" w:color="auto"/>
        <w:right w:val="none" w:sz="0" w:space="0" w:color="auto"/>
      </w:divBdr>
    </w:div>
    <w:div w:id="897865384">
      <w:bodyDiv w:val="1"/>
      <w:marLeft w:val="0"/>
      <w:marRight w:val="0"/>
      <w:marTop w:val="0"/>
      <w:marBottom w:val="0"/>
      <w:divBdr>
        <w:top w:val="none" w:sz="0" w:space="0" w:color="auto"/>
        <w:left w:val="none" w:sz="0" w:space="0" w:color="auto"/>
        <w:bottom w:val="none" w:sz="0" w:space="0" w:color="auto"/>
        <w:right w:val="none" w:sz="0" w:space="0" w:color="auto"/>
      </w:divBdr>
    </w:div>
    <w:div w:id="897934324">
      <w:bodyDiv w:val="1"/>
      <w:marLeft w:val="0"/>
      <w:marRight w:val="0"/>
      <w:marTop w:val="0"/>
      <w:marBottom w:val="0"/>
      <w:divBdr>
        <w:top w:val="none" w:sz="0" w:space="0" w:color="auto"/>
        <w:left w:val="none" w:sz="0" w:space="0" w:color="auto"/>
        <w:bottom w:val="none" w:sz="0" w:space="0" w:color="auto"/>
        <w:right w:val="none" w:sz="0" w:space="0" w:color="auto"/>
      </w:divBdr>
    </w:div>
    <w:div w:id="906497854">
      <w:bodyDiv w:val="1"/>
      <w:marLeft w:val="0"/>
      <w:marRight w:val="0"/>
      <w:marTop w:val="0"/>
      <w:marBottom w:val="0"/>
      <w:divBdr>
        <w:top w:val="none" w:sz="0" w:space="0" w:color="auto"/>
        <w:left w:val="none" w:sz="0" w:space="0" w:color="auto"/>
        <w:bottom w:val="none" w:sz="0" w:space="0" w:color="auto"/>
        <w:right w:val="none" w:sz="0" w:space="0" w:color="auto"/>
      </w:divBdr>
    </w:div>
    <w:div w:id="927033912">
      <w:bodyDiv w:val="1"/>
      <w:marLeft w:val="0"/>
      <w:marRight w:val="0"/>
      <w:marTop w:val="0"/>
      <w:marBottom w:val="0"/>
      <w:divBdr>
        <w:top w:val="none" w:sz="0" w:space="0" w:color="auto"/>
        <w:left w:val="none" w:sz="0" w:space="0" w:color="auto"/>
        <w:bottom w:val="none" w:sz="0" w:space="0" w:color="auto"/>
        <w:right w:val="none" w:sz="0" w:space="0" w:color="auto"/>
      </w:divBdr>
      <w:divsChild>
        <w:div w:id="1462770460">
          <w:marLeft w:val="0"/>
          <w:marRight w:val="0"/>
          <w:marTop w:val="0"/>
          <w:marBottom w:val="0"/>
          <w:divBdr>
            <w:top w:val="none" w:sz="0" w:space="0" w:color="auto"/>
            <w:left w:val="none" w:sz="0" w:space="0" w:color="auto"/>
            <w:bottom w:val="none" w:sz="0" w:space="0" w:color="auto"/>
            <w:right w:val="none" w:sz="0" w:space="0" w:color="auto"/>
          </w:divBdr>
          <w:divsChild>
            <w:div w:id="267279832">
              <w:marLeft w:val="0"/>
              <w:marRight w:val="0"/>
              <w:marTop w:val="0"/>
              <w:marBottom w:val="0"/>
              <w:divBdr>
                <w:top w:val="none" w:sz="0" w:space="0" w:color="auto"/>
                <w:left w:val="none" w:sz="0" w:space="0" w:color="auto"/>
                <w:bottom w:val="none" w:sz="0" w:space="0" w:color="auto"/>
                <w:right w:val="none" w:sz="0" w:space="0" w:color="auto"/>
              </w:divBdr>
            </w:div>
          </w:divsChild>
        </w:div>
        <w:div w:id="663822543">
          <w:marLeft w:val="0"/>
          <w:marRight w:val="0"/>
          <w:marTop w:val="0"/>
          <w:marBottom w:val="0"/>
          <w:divBdr>
            <w:top w:val="none" w:sz="0" w:space="0" w:color="auto"/>
            <w:left w:val="none" w:sz="0" w:space="0" w:color="auto"/>
            <w:bottom w:val="none" w:sz="0" w:space="0" w:color="auto"/>
            <w:right w:val="none" w:sz="0" w:space="0" w:color="auto"/>
          </w:divBdr>
          <w:divsChild>
            <w:div w:id="138313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799615">
      <w:bodyDiv w:val="1"/>
      <w:marLeft w:val="0"/>
      <w:marRight w:val="0"/>
      <w:marTop w:val="0"/>
      <w:marBottom w:val="0"/>
      <w:divBdr>
        <w:top w:val="none" w:sz="0" w:space="0" w:color="auto"/>
        <w:left w:val="none" w:sz="0" w:space="0" w:color="auto"/>
        <w:bottom w:val="none" w:sz="0" w:space="0" w:color="auto"/>
        <w:right w:val="none" w:sz="0" w:space="0" w:color="auto"/>
      </w:divBdr>
    </w:div>
    <w:div w:id="979919739">
      <w:bodyDiv w:val="1"/>
      <w:marLeft w:val="0"/>
      <w:marRight w:val="0"/>
      <w:marTop w:val="0"/>
      <w:marBottom w:val="0"/>
      <w:divBdr>
        <w:top w:val="none" w:sz="0" w:space="0" w:color="auto"/>
        <w:left w:val="none" w:sz="0" w:space="0" w:color="auto"/>
        <w:bottom w:val="none" w:sz="0" w:space="0" w:color="auto"/>
        <w:right w:val="none" w:sz="0" w:space="0" w:color="auto"/>
      </w:divBdr>
    </w:div>
    <w:div w:id="1089810504">
      <w:bodyDiv w:val="1"/>
      <w:marLeft w:val="0"/>
      <w:marRight w:val="0"/>
      <w:marTop w:val="0"/>
      <w:marBottom w:val="0"/>
      <w:divBdr>
        <w:top w:val="none" w:sz="0" w:space="0" w:color="auto"/>
        <w:left w:val="none" w:sz="0" w:space="0" w:color="auto"/>
        <w:bottom w:val="none" w:sz="0" w:space="0" w:color="auto"/>
        <w:right w:val="none" w:sz="0" w:space="0" w:color="auto"/>
      </w:divBdr>
      <w:divsChild>
        <w:div w:id="2008897168">
          <w:marLeft w:val="0"/>
          <w:marRight w:val="0"/>
          <w:marTop w:val="0"/>
          <w:marBottom w:val="0"/>
          <w:divBdr>
            <w:top w:val="none" w:sz="0" w:space="0" w:color="auto"/>
            <w:left w:val="none" w:sz="0" w:space="0" w:color="auto"/>
            <w:bottom w:val="none" w:sz="0" w:space="0" w:color="auto"/>
            <w:right w:val="none" w:sz="0" w:space="0" w:color="auto"/>
          </w:divBdr>
          <w:divsChild>
            <w:div w:id="1087845169">
              <w:marLeft w:val="0"/>
              <w:marRight w:val="0"/>
              <w:marTop w:val="0"/>
              <w:marBottom w:val="0"/>
              <w:divBdr>
                <w:top w:val="none" w:sz="0" w:space="0" w:color="auto"/>
                <w:left w:val="none" w:sz="0" w:space="0" w:color="auto"/>
                <w:bottom w:val="none" w:sz="0" w:space="0" w:color="auto"/>
                <w:right w:val="none" w:sz="0" w:space="0" w:color="auto"/>
              </w:divBdr>
            </w:div>
          </w:divsChild>
        </w:div>
        <w:div w:id="1716810751">
          <w:marLeft w:val="0"/>
          <w:marRight w:val="0"/>
          <w:marTop w:val="0"/>
          <w:marBottom w:val="0"/>
          <w:divBdr>
            <w:top w:val="none" w:sz="0" w:space="0" w:color="auto"/>
            <w:left w:val="none" w:sz="0" w:space="0" w:color="auto"/>
            <w:bottom w:val="none" w:sz="0" w:space="0" w:color="auto"/>
            <w:right w:val="none" w:sz="0" w:space="0" w:color="auto"/>
          </w:divBdr>
          <w:divsChild>
            <w:div w:id="1359623901">
              <w:marLeft w:val="0"/>
              <w:marRight w:val="0"/>
              <w:marTop w:val="0"/>
              <w:marBottom w:val="0"/>
              <w:divBdr>
                <w:top w:val="none" w:sz="0" w:space="0" w:color="auto"/>
                <w:left w:val="none" w:sz="0" w:space="0" w:color="auto"/>
                <w:bottom w:val="none" w:sz="0" w:space="0" w:color="auto"/>
                <w:right w:val="none" w:sz="0" w:space="0" w:color="auto"/>
              </w:divBdr>
            </w:div>
          </w:divsChild>
        </w:div>
        <w:div w:id="802583550">
          <w:marLeft w:val="0"/>
          <w:marRight w:val="0"/>
          <w:marTop w:val="0"/>
          <w:marBottom w:val="0"/>
          <w:divBdr>
            <w:top w:val="none" w:sz="0" w:space="0" w:color="auto"/>
            <w:left w:val="none" w:sz="0" w:space="0" w:color="auto"/>
            <w:bottom w:val="none" w:sz="0" w:space="0" w:color="auto"/>
            <w:right w:val="none" w:sz="0" w:space="0" w:color="auto"/>
          </w:divBdr>
          <w:divsChild>
            <w:div w:id="1228148555">
              <w:marLeft w:val="0"/>
              <w:marRight w:val="0"/>
              <w:marTop w:val="0"/>
              <w:marBottom w:val="0"/>
              <w:divBdr>
                <w:top w:val="none" w:sz="0" w:space="0" w:color="auto"/>
                <w:left w:val="none" w:sz="0" w:space="0" w:color="auto"/>
                <w:bottom w:val="none" w:sz="0" w:space="0" w:color="auto"/>
                <w:right w:val="none" w:sz="0" w:space="0" w:color="auto"/>
              </w:divBdr>
            </w:div>
          </w:divsChild>
        </w:div>
        <w:div w:id="92825074">
          <w:marLeft w:val="0"/>
          <w:marRight w:val="0"/>
          <w:marTop w:val="0"/>
          <w:marBottom w:val="0"/>
          <w:divBdr>
            <w:top w:val="none" w:sz="0" w:space="0" w:color="auto"/>
            <w:left w:val="none" w:sz="0" w:space="0" w:color="auto"/>
            <w:bottom w:val="none" w:sz="0" w:space="0" w:color="auto"/>
            <w:right w:val="none" w:sz="0" w:space="0" w:color="auto"/>
          </w:divBdr>
          <w:divsChild>
            <w:div w:id="1352681090">
              <w:marLeft w:val="0"/>
              <w:marRight w:val="0"/>
              <w:marTop w:val="0"/>
              <w:marBottom w:val="0"/>
              <w:divBdr>
                <w:top w:val="none" w:sz="0" w:space="0" w:color="auto"/>
                <w:left w:val="none" w:sz="0" w:space="0" w:color="auto"/>
                <w:bottom w:val="none" w:sz="0" w:space="0" w:color="auto"/>
                <w:right w:val="none" w:sz="0" w:space="0" w:color="auto"/>
              </w:divBdr>
            </w:div>
          </w:divsChild>
        </w:div>
        <w:div w:id="679312803">
          <w:marLeft w:val="0"/>
          <w:marRight w:val="0"/>
          <w:marTop w:val="0"/>
          <w:marBottom w:val="0"/>
          <w:divBdr>
            <w:top w:val="none" w:sz="0" w:space="0" w:color="auto"/>
            <w:left w:val="none" w:sz="0" w:space="0" w:color="auto"/>
            <w:bottom w:val="none" w:sz="0" w:space="0" w:color="auto"/>
            <w:right w:val="none" w:sz="0" w:space="0" w:color="auto"/>
          </w:divBdr>
          <w:divsChild>
            <w:div w:id="1025255688">
              <w:marLeft w:val="0"/>
              <w:marRight w:val="0"/>
              <w:marTop w:val="0"/>
              <w:marBottom w:val="0"/>
              <w:divBdr>
                <w:top w:val="none" w:sz="0" w:space="0" w:color="auto"/>
                <w:left w:val="none" w:sz="0" w:space="0" w:color="auto"/>
                <w:bottom w:val="none" w:sz="0" w:space="0" w:color="auto"/>
                <w:right w:val="none" w:sz="0" w:space="0" w:color="auto"/>
              </w:divBdr>
            </w:div>
          </w:divsChild>
        </w:div>
        <w:div w:id="959606413">
          <w:marLeft w:val="0"/>
          <w:marRight w:val="0"/>
          <w:marTop w:val="0"/>
          <w:marBottom w:val="0"/>
          <w:divBdr>
            <w:top w:val="none" w:sz="0" w:space="0" w:color="auto"/>
            <w:left w:val="none" w:sz="0" w:space="0" w:color="auto"/>
            <w:bottom w:val="none" w:sz="0" w:space="0" w:color="auto"/>
            <w:right w:val="none" w:sz="0" w:space="0" w:color="auto"/>
          </w:divBdr>
          <w:divsChild>
            <w:div w:id="2984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829511">
      <w:bodyDiv w:val="1"/>
      <w:marLeft w:val="0"/>
      <w:marRight w:val="0"/>
      <w:marTop w:val="0"/>
      <w:marBottom w:val="0"/>
      <w:divBdr>
        <w:top w:val="none" w:sz="0" w:space="0" w:color="auto"/>
        <w:left w:val="none" w:sz="0" w:space="0" w:color="auto"/>
        <w:bottom w:val="none" w:sz="0" w:space="0" w:color="auto"/>
        <w:right w:val="none" w:sz="0" w:space="0" w:color="auto"/>
      </w:divBdr>
    </w:div>
    <w:div w:id="1101796186">
      <w:bodyDiv w:val="1"/>
      <w:marLeft w:val="0"/>
      <w:marRight w:val="0"/>
      <w:marTop w:val="0"/>
      <w:marBottom w:val="0"/>
      <w:divBdr>
        <w:top w:val="none" w:sz="0" w:space="0" w:color="auto"/>
        <w:left w:val="none" w:sz="0" w:space="0" w:color="auto"/>
        <w:bottom w:val="none" w:sz="0" w:space="0" w:color="auto"/>
        <w:right w:val="none" w:sz="0" w:space="0" w:color="auto"/>
      </w:divBdr>
    </w:div>
    <w:div w:id="1106194316">
      <w:bodyDiv w:val="1"/>
      <w:marLeft w:val="0"/>
      <w:marRight w:val="0"/>
      <w:marTop w:val="0"/>
      <w:marBottom w:val="0"/>
      <w:divBdr>
        <w:top w:val="none" w:sz="0" w:space="0" w:color="auto"/>
        <w:left w:val="none" w:sz="0" w:space="0" w:color="auto"/>
        <w:bottom w:val="none" w:sz="0" w:space="0" w:color="auto"/>
        <w:right w:val="none" w:sz="0" w:space="0" w:color="auto"/>
      </w:divBdr>
    </w:div>
    <w:div w:id="1121993721">
      <w:bodyDiv w:val="1"/>
      <w:marLeft w:val="0"/>
      <w:marRight w:val="0"/>
      <w:marTop w:val="0"/>
      <w:marBottom w:val="0"/>
      <w:divBdr>
        <w:top w:val="none" w:sz="0" w:space="0" w:color="auto"/>
        <w:left w:val="none" w:sz="0" w:space="0" w:color="auto"/>
        <w:bottom w:val="none" w:sz="0" w:space="0" w:color="auto"/>
        <w:right w:val="none" w:sz="0" w:space="0" w:color="auto"/>
      </w:divBdr>
    </w:div>
    <w:div w:id="1203979409">
      <w:bodyDiv w:val="1"/>
      <w:marLeft w:val="0"/>
      <w:marRight w:val="0"/>
      <w:marTop w:val="0"/>
      <w:marBottom w:val="0"/>
      <w:divBdr>
        <w:top w:val="none" w:sz="0" w:space="0" w:color="auto"/>
        <w:left w:val="none" w:sz="0" w:space="0" w:color="auto"/>
        <w:bottom w:val="none" w:sz="0" w:space="0" w:color="auto"/>
        <w:right w:val="none" w:sz="0" w:space="0" w:color="auto"/>
      </w:divBdr>
    </w:div>
    <w:div w:id="1209683094">
      <w:bodyDiv w:val="1"/>
      <w:marLeft w:val="0"/>
      <w:marRight w:val="0"/>
      <w:marTop w:val="0"/>
      <w:marBottom w:val="0"/>
      <w:divBdr>
        <w:top w:val="none" w:sz="0" w:space="0" w:color="auto"/>
        <w:left w:val="none" w:sz="0" w:space="0" w:color="auto"/>
        <w:bottom w:val="none" w:sz="0" w:space="0" w:color="auto"/>
        <w:right w:val="none" w:sz="0" w:space="0" w:color="auto"/>
      </w:divBdr>
    </w:div>
    <w:div w:id="1215196949">
      <w:bodyDiv w:val="1"/>
      <w:marLeft w:val="0"/>
      <w:marRight w:val="0"/>
      <w:marTop w:val="0"/>
      <w:marBottom w:val="0"/>
      <w:divBdr>
        <w:top w:val="none" w:sz="0" w:space="0" w:color="auto"/>
        <w:left w:val="none" w:sz="0" w:space="0" w:color="auto"/>
        <w:bottom w:val="none" w:sz="0" w:space="0" w:color="auto"/>
        <w:right w:val="none" w:sz="0" w:space="0" w:color="auto"/>
      </w:divBdr>
    </w:div>
    <w:div w:id="1248996152">
      <w:bodyDiv w:val="1"/>
      <w:marLeft w:val="0"/>
      <w:marRight w:val="0"/>
      <w:marTop w:val="0"/>
      <w:marBottom w:val="0"/>
      <w:divBdr>
        <w:top w:val="none" w:sz="0" w:space="0" w:color="auto"/>
        <w:left w:val="none" w:sz="0" w:space="0" w:color="auto"/>
        <w:bottom w:val="none" w:sz="0" w:space="0" w:color="auto"/>
        <w:right w:val="none" w:sz="0" w:space="0" w:color="auto"/>
      </w:divBdr>
    </w:div>
    <w:div w:id="1250506405">
      <w:bodyDiv w:val="1"/>
      <w:marLeft w:val="0"/>
      <w:marRight w:val="0"/>
      <w:marTop w:val="0"/>
      <w:marBottom w:val="0"/>
      <w:divBdr>
        <w:top w:val="none" w:sz="0" w:space="0" w:color="auto"/>
        <w:left w:val="none" w:sz="0" w:space="0" w:color="auto"/>
        <w:bottom w:val="none" w:sz="0" w:space="0" w:color="auto"/>
        <w:right w:val="none" w:sz="0" w:space="0" w:color="auto"/>
      </w:divBdr>
      <w:divsChild>
        <w:div w:id="839928622">
          <w:marLeft w:val="0"/>
          <w:marRight w:val="0"/>
          <w:marTop w:val="0"/>
          <w:marBottom w:val="0"/>
          <w:divBdr>
            <w:top w:val="none" w:sz="0" w:space="0" w:color="auto"/>
            <w:left w:val="none" w:sz="0" w:space="0" w:color="auto"/>
            <w:bottom w:val="none" w:sz="0" w:space="0" w:color="auto"/>
            <w:right w:val="none" w:sz="0" w:space="0" w:color="auto"/>
          </w:divBdr>
          <w:divsChild>
            <w:div w:id="164720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507325">
      <w:bodyDiv w:val="1"/>
      <w:marLeft w:val="0"/>
      <w:marRight w:val="0"/>
      <w:marTop w:val="0"/>
      <w:marBottom w:val="0"/>
      <w:divBdr>
        <w:top w:val="none" w:sz="0" w:space="0" w:color="auto"/>
        <w:left w:val="none" w:sz="0" w:space="0" w:color="auto"/>
        <w:bottom w:val="none" w:sz="0" w:space="0" w:color="auto"/>
        <w:right w:val="none" w:sz="0" w:space="0" w:color="auto"/>
      </w:divBdr>
      <w:divsChild>
        <w:div w:id="2081561644">
          <w:marLeft w:val="0"/>
          <w:marRight w:val="0"/>
          <w:marTop w:val="0"/>
          <w:marBottom w:val="0"/>
          <w:divBdr>
            <w:top w:val="none" w:sz="0" w:space="0" w:color="auto"/>
            <w:left w:val="none" w:sz="0" w:space="0" w:color="auto"/>
            <w:bottom w:val="none" w:sz="0" w:space="0" w:color="auto"/>
            <w:right w:val="none" w:sz="0" w:space="0" w:color="auto"/>
          </w:divBdr>
          <w:divsChild>
            <w:div w:id="91424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836376">
      <w:bodyDiv w:val="1"/>
      <w:marLeft w:val="0"/>
      <w:marRight w:val="0"/>
      <w:marTop w:val="0"/>
      <w:marBottom w:val="0"/>
      <w:divBdr>
        <w:top w:val="none" w:sz="0" w:space="0" w:color="auto"/>
        <w:left w:val="none" w:sz="0" w:space="0" w:color="auto"/>
        <w:bottom w:val="none" w:sz="0" w:space="0" w:color="auto"/>
        <w:right w:val="none" w:sz="0" w:space="0" w:color="auto"/>
      </w:divBdr>
    </w:div>
    <w:div w:id="1266771667">
      <w:bodyDiv w:val="1"/>
      <w:marLeft w:val="0"/>
      <w:marRight w:val="0"/>
      <w:marTop w:val="0"/>
      <w:marBottom w:val="0"/>
      <w:divBdr>
        <w:top w:val="none" w:sz="0" w:space="0" w:color="auto"/>
        <w:left w:val="none" w:sz="0" w:space="0" w:color="auto"/>
        <w:bottom w:val="none" w:sz="0" w:space="0" w:color="auto"/>
        <w:right w:val="none" w:sz="0" w:space="0" w:color="auto"/>
      </w:divBdr>
    </w:div>
    <w:div w:id="1294018457">
      <w:bodyDiv w:val="1"/>
      <w:marLeft w:val="0"/>
      <w:marRight w:val="0"/>
      <w:marTop w:val="0"/>
      <w:marBottom w:val="0"/>
      <w:divBdr>
        <w:top w:val="none" w:sz="0" w:space="0" w:color="auto"/>
        <w:left w:val="none" w:sz="0" w:space="0" w:color="auto"/>
        <w:bottom w:val="none" w:sz="0" w:space="0" w:color="auto"/>
        <w:right w:val="none" w:sz="0" w:space="0" w:color="auto"/>
      </w:divBdr>
    </w:div>
    <w:div w:id="1298876338">
      <w:bodyDiv w:val="1"/>
      <w:marLeft w:val="0"/>
      <w:marRight w:val="0"/>
      <w:marTop w:val="0"/>
      <w:marBottom w:val="0"/>
      <w:divBdr>
        <w:top w:val="none" w:sz="0" w:space="0" w:color="auto"/>
        <w:left w:val="none" w:sz="0" w:space="0" w:color="auto"/>
        <w:bottom w:val="none" w:sz="0" w:space="0" w:color="auto"/>
        <w:right w:val="none" w:sz="0" w:space="0" w:color="auto"/>
      </w:divBdr>
    </w:div>
    <w:div w:id="1305696465">
      <w:bodyDiv w:val="1"/>
      <w:marLeft w:val="0"/>
      <w:marRight w:val="0"/>
      <w:marTop w:val="0"/>
      <w:marBottom w:val="0"/>
      <w:divBdr>
        <w:top w:val="none" w:sz="0" w:space="0" w:color="auto"/>
        <w:left w:val="none" w:sz="0" w:space="0" w:color="auto"/>
        <w:bottom w:val="none" w:sz="0" w:space="0" w:color="auto"/>
        <w:right w:val="none" w:sz="0" w:space="0" w:color="auto"/>
      </w:divBdr>
    </w:div>
    <w:div w:id="1329401543">
      <w:bodyDiv w:val="1"/>
      <w:marLeft w:val="0"/>
      <w:marRight w:val="0"/>
      <w:marTop w:val="0"/>
      <w:marBottom w:val="0"/>
      <w:divBdr>
        <w:top w:val="none" w:sz="0" w:space="0" w:color="auto"/>
        <w:left w:val="none" w:sz="0" w:space="0" w:color="auto"/>
        <w:bottom w:val="none" w:sz="0" w:space="0" w:color="auto"/>
        <w:right w:val="none" w:sz="0" w:space="0" w:color="auto"/>
      </w:divBdr>
    </w:div>
    <w:div w:id="1338456141">
      <w:bodyDiv w:val="1"/>
      <w:marLeft w:val="0"/>
      <w:marRight w:val="0"/>
      <w:marTop w:val="0"/>
      <w:marBottom w:val="0"/>
      <w:divBdr>
        <w:top w:val="none" w:sz="0" w:space="0" w:color="auto"/>
        <w:left w:val="none" w:sz="0" w:space="0" w:color="auto"/>
        <w:bottom w:val="none" w:sz="0" w:space="0" w:color="auto"/>
        <w:right w:val="none" w:sz="0" w:space="0" w:color="auto"/>
      </w:divBdr>
    </w:div>
    <w:div w:id="1340230465">
      <w:bodyDiv w:val="1"/>
      <w:marLeft w:val="0"/>
      <w:marRight w:val="0"/>
      <w:marTop w:val="0"/>
      <w:marBottom w:val="0"/>
      <w:divBdr>
        <w:top w:val="none" w:sz="0" w:space="0" w:color="auto"/>
        <w:left w:val="none" w:sz="0" w:space="0" w:color="auto"/>
        <w:bottom w:val="none" w:sz="0" w:space="0" w:color="auto"/>
        <w:right w:val="none" w:sz="0" w:space="0" w:color="auto"/>
      </w:divBdr>
      <w:divsChild>
        <w:div w:id="117839510">
          <w:marLeft w:val="0"/>
          <w:marRight w:val="0"/>
          <w:marTop w:val="0"/>
          <w:marBottom w:val="0"/>
          <w:divBdr>
            <w:top w:val="none" w:sz="0" w:space="0" w:color="auto"/>
            <w:left w:val="none" w:sz="0" w:space="0" w:color="auto"/>
            <w:bottom w:val="none" w:sz="0" w:space="0" w:color="auto"/>
            <w:right w:val="none" w:sz="0" w:space="0" w:color="auto"/>
          </w:divBdr>
          <w:divsChild>
            <w:div w:id="983579412">
              <w:marLeft w:val="0"/>
              <w:marRight w:val="0"/>
              <w:marTop w:val="0"/>
              <w:marBottom w:val="0"/>
              <w:divBdr>
                <w:top w:val="none" w:sz="0" w:space="0" w:color="auto"/>
                <w:left w:val="none" w:sz="0" w:space="0" w:color="auto"/>
                <w:bottom w:val="none" w:sz="0" w:space="0" w:color="auto"/>
                <w:right w:val="none" w:sz="0" w:space="0" w:color="auto"/>
              </w:divBdr>
            </w:div>
          </w:divsChild>
        </w:div>
        <w:div w:id="2090734859">
          <w:marLeft w:val="0"/>
          <w:marRight w:val="0"/>
          <w:marTop w:val="0"/>
          <w:marBottom w:val="0"/>
          <w:divBdr>
            <w:top w:val="none" w:sz="0" w:space="0" w:color="auto"/>
            <w:left w:val="none" w:sz="0" w:space="0" w:color="auto"/>
            <w:bottom w:val="none" w:sz="0" w:space="0" w:color="auto"/>
            <w:right w:val="none" w:sz="0" w:space="0" w:color="auto"/>
          </w:divBdr>
          <w:divsChild>
            <w:div w:id="1333679683">
              <w:marLeft w:val="0"/>
              <w:marRight w:val="0"/>
              <w:marTop w:val="0"/>
              <w:marBottom w:val="0"/>
              <w:divBdr>
                <w:top w:val="none" w:sz="0" w:space="0" w:color="auto"/>
                <w:left w:val="none" w:sz="0" w:space="0" w:color="auto"/>
                <w:bottom w:val="none" w:sz="0" w:space="0" w:color="auto"/>
                <w:right w:val="none" w:sz="0" w:space="0" w:color="auto"/>
              </w:divBdr>
            </w:div>
          </w:divsChild>
        </w:div>
        <w:div w:id="1702238605">
          <w:marLeft w:val="0"/>
          <w:marRight w:val="0"/>
          <w:marTop w:val="0"/>
          <w:marBottom w:val="0"/>
          <w:divBdr>
            <w:top w:val="none" w:sz="0" w:space="0" w:color="auto"/>
            <w:left w:val="none" w:sz="0" w:space="0" w:color="auto"/>
            <w:bottom w:val="none" w:sz="0" w:space="0" w:color="auto"/>
            <w:right w:val="none" w:sz="0" w:space="0" w:color="auto"/>
          </w:divBdr>
          <w:divsChild>
            <w:div w:id="850724033">
              <w:marLeft w:val="0"/>
              <w:marRight w:val="0"/>
              <w:marTop w:val="0"/>
              <w:marBottom w:val="0"/>
              <w:divBdr>
                <w:top w:val="none" w:sz="0" w:space="0" w:color="auto"/>
                <w:left w:val="none" w:sz="0" w:space="0" w:color="auto"/>
                <w:bottom w:val="none" w:sz="0" w:space="0" w:color="auto"/>
                <w:right w:val="none" w:sz="0" w:space="0" w:color="auto"/>
              </w:divBdr>
            </w:div>
          </w:divsChild>
        </w:div>
        <w:div w:id="1786266683">
          <w:marLeft w:val="0"/>
          <w:marRight w:val="0"/>
          <w:marTop w:val="0"/>
          <w:marBottom w:val="0"/>
          <w:divBdr>
            <w:top w:val="none" w:sz="0" w:space="0" w:color="auto"/>
            <w:left w:val="none" w:sz="0" w:space="0" w:color="auto"/>
            <w:bottom w:val="none" w:sz="0" w:space="0" w:color="auto"/>
            <w:right w:val="none" w:sz="0" w:space="0" w:color="auto"/>
          </w:divBdr>
          <w:divsChild>
            <w:div w:id="339354376">
              <w:marLeft w:val="0"/>
              <w:marRight w:val="0"/>
              <w:marTop w:val="0"/>
              <w:marBottom w:val="0"/>
              <w:divBdr>
                <w:top w:val="none" w:sz="0" w:space="0" w:color="auto"/>
                <w:left w:val="none" w:sz="0" w:space="0" w:color="auto"/>
                <w:bottom w:val="none" w:sz="0" w:space="0" w:color="auto"/>
                <w:right w:val="none" w:sz="0" w:space="0" w:color="auto"/>
              </w:divBdr>
            </w:div>
          </w:divsChild>
        </w:div>
        <w:div w:id="376590803">
          <w:marLeft w:val="0"/>
          <w:marRight w:val="0"/>
          <w:marTop w:val="0"/>
          <w:marBottom w:val="0"/>
          <w:divBdr>
            <w:top w:val="none" w:sz="0" w:space="0" w:color="auto"/>
            <w:left w:val="none" w:sz="0" w:space="0" w:color="auto"/>
            <w:bottom w:val="none" w:sz="0" w:space="0" w:color="auto"/>
            <w:right w:val="none" w:sz="0" w:space="0" w:color="auto"/>
          </w:divBdr>
          <w:divsChild>
            <w:div w:id="315190260">
              <w:marLeft w:val="0"/>
              <w:marRight w:val="0"/>
              <w:marTop w:val="0"/>
              <w:marBottom w:val="0"/>
              <w:divBdr>
                <w:top w:val="none" w:sz="0" w:space="0" w:color="auto"/>
                <w:left w:val="none" w:sz="0" w:space="0" w:color="auto"/>
                <w:bottom w:val="none" w:sz="0" w:space="0" w:color="auto"/>
                <w:right w:val="none" w:sz="0" w:space="0" w:color="auto"/>
              </w:divBdr>
            </w:div>
          </w:divsChild>
        </w:div>
        <w:div w:id="900480952">
          <w:marLeft w:val="0"/>
          <w:marRight w:val="0"/>
          <w:marTop w:val="0"/>
          <w:marBottom w:val="0"/>
          <w:divBdr>
            <w:top w:val="none" w:sz="0" w:space="0" w:color="auto"/>
            <w:left w:val="none" w:sz="0" w:space="0" w:color="auto"/>
            <w:bottom w:val="none" w:sz="0" w:space="0" w:color="auto"/>
            <w:right w:val="none" w:sz="0" w:space="0" w:color="auto"/>
          </w:divBdr>
          <w:divsChild>
            <w:div w:id="1411269565">
              <w:marLeft w:val="0"/>
              <w:marRight w:val="0"/>
              <w:marTop w:val="0"/>
              <w:marBottom w:val="0"/>
              <w:divBdr>
                <w:top w:val="none" w:sz="0" w:space="0" w:color="auto"/>
                <w:left w:val="none" w:sz="0" w:space="0" w:color="auto"/>
                <w:bottom w:val="none" w:sz="0" w:space="0" w:color="auto"/>
                <w:right w:val="none" w:sz="0" w:space="0" w:color="auto"/>
              </w:divBdr>
            </w:div>
          </w:divsChild>
        </w:div>
        <w:div w:id="504244467">
          <w:marLeft w:val="0"/>
          <w:marRight w:val="0"/>
          <w:marTop w:val="0"/>
          <w:marBottom w:val="0"/>
          <w:divBdr>
            <w:top w:val="none" w:sz="0" w:space="0" w:color="auto"/>
            <w:left w:val="none" w:sz="0" w:space="0" w:color="auto"/>
            <w:bottom w:val="none" w:sz="0" w:space="0" w:color="auto"/>
            <w:right w:val="none" w:sz="0" w:space="0" w:color="auto"/>
          </w:divBdr>
          <w:divsChild>
            <w:div w:id="99767566">
              <w:marLeft w:val="0"/>
              <w:marRight w:val="0"/>
              <w:marTop w:val="0"/>
              <w:marBottom w:val="0"/>
              <w:divBdr>
                <w:top w:val="none" w:sz="0" w:space="0" w:color="auto"/>
                <w:left w:val="none" w:sz="0" w:space="0" w:color="auto"/>
                <w:bottom w:val="none" w:sz="0" w:space="0" w:color="auto"/>
                <w:right w:val="none" w:sz="0" w:space="0" w:color="auto"/>
              </w:divBdr>
            </w:div>
          </w:divsChild>
        </w:div>
        <w:div w:id="605969053">
          <w:marLeft w:val="0"/>
          <w:marRight w:val="0"/>
          <w:marTop w:val="0"/>
          <w:marBottom w:val="0"/>
          <w:divBdr>
            <w:top w:val="none" w:sz="0" w:space="0" w:color="auto"/>
            <w:left w:val="none" w:sz="0" w:space="0" w:color="auto"/>
            <w:bottom w:val="none" w:sz="0" w:space="0" w:color="auto"/>
            <w:right w:val="none" w:sz="0" w:space="0" w:color="auto"/>
          </w:divBdr>
          <w:divsChild>
            <w:div w:id="656108119">
              <w:marLeft w:val="0"/>
              <w:marRight w:val="0"/>
              <w:marTop w:val="0"/>
              <w:marBottom w:val="0"/>
              <w:divBdr>
                <w:top w:val="none" w:sz="0" w:space="0" w:color="auto"/>
                <w:left w:val="none" w:sz="0" w:space="0" w:color="auto"/>
                <w:bottom w:val="none" w:sz="0" w:space="0" w:color="auto"/>
                <w:right w:val="none" w:sz="0" w:space="0" w:color="auto"/>
              </w:divBdr>
            </w:div>
          </w:divsChild>
        </w:div>
        <w:div w:id="451901947">
          <w:marLeft w:val="0"/>
          <w:marRight w:val="0"/>
          <w:marTop w:val="0"/>
          <w:marBottom w:val="0"/>
          <w:divBdr>
            <w:top w:val="none" w:sz="0" w:space="0" w:color="auto"/>
            <w:left w:val="none" w:sz="0" w:space="0" w:color="auto"/>
            <w:bottom w:val="none" w:sz="0" w:space="0" w:color="auto"/>
            <w:right w:val="none" w:sz="0" w:space="0" w:color="auto"/>
          </w:divBdr>
          <w:divsChild>
            <w:div w:id="1072695808">
              <w:marLeft w:val="0"/>
              <w:marRight w:val="0"/>
              <w:marTop w:val="0"/>
              <w:marBottom w:val="0"/>
              <w:divBdr>
                <w:top w:val="none" w:sz="0" w:space="0" w:color="auto"/>
                <w:left w:val="none" w:sz="0" w:space="0" w:color="auto"/>
                <w:bottom w:val="none" w:sz="0" w:space="0" w:color="auto"/>
                <w:right w:val="none" w:sz="0" w:space="0" w:color="auto"/>
              </w:divBdr>
            </w:div>
          </w:divsChild>
        </w:div>
        <w:div w:id="1784880322">
          <w:marLeft w:val="0"/>
          <w:marRight w:val="0"/>
          <w:marTop w:val="0"/>
          <w:marBottom w:val="0"/>
          <w:divBdr>
            <w:top w:val="none" w:sz="0" w:space="0" w:color="auto"/>
            <w:left w:val="none" w:sz="0" w:space="0" w:color="auto"/>
            <w:bottom w:val="none" w:sz="0" w:space="0" w:color="auto"/>
            <w:right w:val="none" w:sz="0" w:space="0" w:color="auto"/>
          </w:divBdr>
          <w:divsChild>
            <w:div w:id="127050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336182">
      <w:bodyDiv w:val="1"/>
      <w:marLeft w:val="0"/>
      <w:marRight w:val="0"/>
      <w:marTop w:val="0"/>
      <w:marBottom w:val="0"/>
      <w:divBdr>
        <w:top w:val="none" w:sz="0" w:space="0" w:color="auto"/>
        <w:left w:val="none" w:sz="0" w:space="0" w:color="auto"/>
        <w:bottom w:val="none" w:sz="0" w:space="0" w:color="auto"/>
        <w:right w:val="none" w:sz="0" w:space="0" w:color="auto"/>
      </w:divBdr>
      <w:divsChild>
        <w:div w:id="207494875">
          <w:marLeft w:val="-720"/>
          <w:marRight w:val="0"/>
          <w:marTop w:val="0"/>
          <w:marBottom w:val="0"/>
          <w:divBdr>
            <w:top w:val="none" w:sz="0" w:space="0" w:color="auto"/>
            <w:left w:val="none" w:sz="0" w:space="0" w:color="auto"/>
            <w:bottom w:val="none" w:sz="0" w:space="0" w:color="auto"/>
            <w:right w:val="none" w:sz="0" w:space="0" w:color="auto"/>
          </w:divBdr>
        </w:div>
      </w:divsChild>
    </w:div>
    <w:div w:id="1391271185">
      <w:bodyDiv w:val="1"/>
      <w:marLeft w:val="0"/>
      <w:marRight w:val="0"/>
      <w:marTop w:val="0"/>
      <w:marBottom w:val="0"/>
      <w:divBdr>
        <w:top w:val="none" w:sz="0" w:space="0" w:color="auto"/>
        <w:left w:val="none" w:sz="0" w:space="0" w:color="auto"/>
        <w:bottom w:val="none" w:sz="0" w:space="0" w:color="auto"/>
        <w:right w:val="none" w:sz="0" w:space="0" w:color="auto"/>
      </w:divBdr>
    </w:div>
    <w:div w:id="1396970744">
      <w:bodyDiv w:val="1"/>
      <w:marLeft w:val="0"/>
      <w:marRight w:val="0"/>
      <w:marTop w:val="0"/>
      <w:marBottom w:val="0"/>
      <w:divBdr>
        <w:top w:val="none" w:sz="0" w:space="0" w:color="auto"/>
        <w:left w:val="none" w:sz="0" w:space="0" w:color="auto"/>
        <w:bottom w:val="none" w:sz="0" w:space="0" w:color="auto"/>
        <w:right w:val="none" w:sz="0" w:space="0" w:color="auto"/>
      </w:divBdr>
    </w:div>
    <w:div w:id="1406033297">
      <w:bodyDiv w:val="1"/>
      <w:marLeft w:val="0"/>
      <w:marRight w:val="0"/>
      <w:marTop w:val="0"/>
      <w:marBottom w:val="0"/>
      <w:divBdr>
        <w:top w:val="none" w:sz="0" w:space="0" w:color="auto"/>
        <w:left w:val="none" w:sz="0" w:space="0" w:color="auto"/>
        <w:bottom w:val="none" w:sz="0" w:space="0" w:color="auto"/>
        <w:right w:val="none" w:sz="0" w:space="0" w:color="auto"/>
      </w:divBdr>
    </w:div>
    <w:div w:id="1409302716">
      <w:bodyDiv w:val="1"/>
      <w:marLeft w:val="0"/>
      <w:marRight w:val="0"/>
      <w:marTop w:val="0"/>
      <w:marBottom w:val="0"/>
      <w:divBdr>
        <w:top w:val="none" w:sz="0" w:space="0" w:color="auto"/>
        <w:left w:val="none" w:sz="0" w:space="0" w:color="auto"/>
        <w:bottom w:val="none" w:sz="0" w:space="0" w:color="auto"/>
        <w:right w:val="none" w:sz="0" w:space="0" w:color="auto"/>
      </w:divBdr>
    </w:div>
    <w:div w:id="1447240115">
      <w:bodyDiv w:val="1"/>
      <w:marLeft w:val="0"/>
      <w:marRight w:val="0"/>
      <w:marTop w:val="0"/>
      <w:marBottom w:val="0"/>
      <w:divBdr>
        <w:top w:val="none" w:sz="0" w:space="0" w:color="auto"/>
        <w:left w:val="none" w:sz="0" w:space="0" w:color="auto"/>
        <w:bottom w:val="none" w:sz="0" w:space="0" w:color="auto"/>
        <w:right w:val="none" w:sz="0" w:space="0" w:color="auto"/>
      </w:divBdr>
    </w:div>
    <w:div w:id="1454792148">
      <w:bodyDiv w:val="1"/>
      <w:marLeft w:val="0"/>
      <w:marRight w:val="0"/>
      <w:marTop w:val="0"/>
      <w:marBottom w:val="0"/>
      <w:divBdr>
        <w:top w:val="none" w:sz="0" w:space="0" w:color="auto"/>
        <w:left w:val="none" w:sz="0" w:space="0" w:color="auto"/>
        <w:bottom w:val="none" w:sz="0" w:space="0" w:color="auto"/>
        <w:right w:val="none" w:sz="0" w:space="0" w:color="auto"/>
      </w:divBdr>
      <w:divsChild>
        <w:div w:id="614752646">
          <w:marLeft w:val="0"/>
          <w:marRight w:val="0"/>
          <w:marTop w:val="0"/>
          <w:marBottom w:val="0"/>
          <w:divBdr>
            <w:top w:val="none" w:sz="0" w:space="0" w:color="auto"/>
            <w:left w:val="none" w:sz="0" w:space="0" w:color="auto"/>
            <w:bottom w:val="none" w:sz="0" w:space="0" w:color="auto"/>
            <w:right w:val="none" w:sz="0" w:space="0" w:color="auto"/>
          </w:divBdr>
          <w:divsChild>
            <w:div w:id="1701202933">
              <w:marLeft w:val="0"/>
              <w:marRight w:val="0"/>
              <w:marTop w:val="0"/>
              <w:marBottom w:val="0"/>
              <w:divBdr>
                <w:top w:val="none" w:sz="0" w:space="0" w:color="auto"/>
                <w:left w:val="none" w:sz="0" w:space="0" w:color="auto"/>
                <w:bottom w:val="none" w:sz="0" w:space="0" w:color="auto"/>
                <w:right w:val="none" w:sz="0" w:space="0" w:color="auto"/>
              </w:divBdr>
            </w:div>
          </w:divsChild>
        </w:div>
        <w:div w:id="23556193">
          <w:marLeft w:val="0"/>
          <w:marRight w:val="0"/>
          <w:marTop w:val="0"/>
          <w:marBottom w:val="0"/>
          <w:divBdr>
            <w:top w:val="none" w:sz="0" w:space="0" w:color="auto"/>
            <w:left w:val="none" w:sz="0" w:space="0" w:color="auto"/>
            <w:bottom w:val="none" w:sz="0" w:space="0" w:color="auto"/>
            <w:right w:val="none" w:sz="0" w:space="0" w:color="auto"/>
          </w:divBdr>
          <w:divsChild>
            <w:div w:id="30115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180897">
      <w:bodyDiv w:val="1"/>
      <w:marLeft w:val="0"/>
      <w:marRight w:val="0"/>
      <w:marTop w:val="0"/>
      <w:marBottom w:val="0"/>
      <w:divBdr>
        <w:top w:val="none" w:sz="0" w:space="0" w:color="auto"/>
        <w:left w:val="none" w:sz="0" w:space="0" w:color="auto"/>
        <w:bottom w:val="none" w:sz="0" w:space="0" w:color="auto"/>
        <w:right w:val="none" w:sz="0" w:space="0" w:color="auto"/>
      </w:divBdr>
    </w:div>
    <w:div w:id="1495028656">
      <w:bodyDiv w:val="1"/>
      <w:marLeft w:val="0"/>
      <w:marRight w:val="0"/>
      <w:marTop w:val="0"/>
      <w:marBottom w:val="0"/>
      <w:divBdr>
        <w:top w:val="none" w:sz="0" w:space="0" w:color="auto"/>
        <w:left w:val="none" w:sz="0" w:space="0" w:color="auto"/>
        <w:bottom w:val="none" w:sz="0" w:space="0" w:color="auto"/>
        <w:right w:val="none" w:sz="0" w:space="0" w:color="auto"/>
      </w:divBdr>
    </w:div>
    <w:div w:id="1512839020">
      <w:bodyDiv w:val="1"/>
      <w:marLeft w:val="0"/>
      <w:marRight w:val="0"/>
      <w:marTop w:val="0"/>
      <w:marBottom w:val="0"/>
      <w:divBdr>
        <w:top w:val="none" w:sz="0" w:space="0" w:color="auto"/>
        <w:left w:val="none" w:sz="0" w:space="0" w:color="auto"/>
        <w:bottom w:val="none" w:sz="0" w:space="0" w:color="auto"/>
        <w:right w:val="none" w:sz="0" w:space="0" w:color="auto"/>
      </w:divBdr>
    </w:div>
    <w:div w:id="1542130723">
      <w:bodyDiv w:val="1"/>
      <w:marLeft w:val="0"/>
      <w:marRight w:val="0"/>
      <w:marTop w:val="0"/>
      <w:marBottom w:val="0"/>
      <w:divBdr>
        <w:top w:val="none" w:sz="0" w:space="0" w:color="auto"/>
        <w:left w:val="none" w:sz="0" w:space="0" w:color="auto"/>
        <w:bottom w:val="none" w:sz="0" w:space="0" w:color="auto"/>
        <w:right w:val="none" w:sz="0" w:space="0" w:color="auto"/>
      </w:divBdr>
    </w:div>
    <w:div w:id="1554727960">
      <w:bodyDiv w:val="1"/>
      <w:marLeft w:val="0"/>
      <w:marRight w:val="0"/>
      <w:marTop w:val="0"/>
      <w:marBottom w:val="0"/>
      <w:divBdr>
        <w:top w:val="none" w:sz="0" w:space="0" w:color="auto"/>
        <w:left w:val="none" w:sz="0" w:space="0" w:color="auto"/>
        <w:bottom w:val="none" w:sz="0" w:space="0" w:color="auto"/>
        <w:right w:val="none" w:sz="0" w:space="0" w:color="auto"/>
      </w:divBdr>
    </w:div>
    <w:div w:id="1555503760">
      <w:bodyDiv w:val="1"/>
      <w:marLeft w:val="0"/>
      <w:marRight w:val="0"/>
      <w:marTop w:val="0"/>
      <w:marBottom w:val="0"/>
      <w:divBdr>
        <w:top w:val="none" w:sz="0" w:space="0" w:color="auto"/>
        <w:left w:val="none" w:sz="0" w:space="0" w:color="auto"/>
        <w:bottom w:val="none" w:sz="0" w:space="0" w:color="auto"/>
        <w:right w:val="none" w:sz="0" w:space="0" w:color="auto"/>
      </w:divBdr>
    </w:div>
    <w:div w:id="1561674796">
      <w:bodyDiv w:val="1"/>
      <w:marLeft w:val="0"/>
      <w:marRight w:val="0"/>
      <w:marTop w:val="0"/>
      <w:marBottom w:val="0"/>
      <w:divBdr>
        <w:top w:val="none" w:sz="0" w:space="0" w:color="auto"/>
        <w:left w:val="none" w:sz="0" w:space="0" w:color="auto"/>
        <w:bottom w:val="none" w:sz="0" w:space="0" w:color="auto"/>
        <w:right w:val="none" w:sz="0" w:space="0" w:color="auto"/>
      </w:divBdr>
    </w:div>
    <w:div w:id="1572739124">
      <w:bodyDiv w:val="1"/>
      <w:marLeft w:val="0"/>
      <w:marRight w:val="0"/>
      <w:marTop w:val="0"/>
      <w:marBottom w:val="0"/>
      <w:divBdr>
        <w:top w:val="none" w:sz="0" w:space="0" w:color="auto"/>
        <w:left w:val="none" w:sz="0" w:space="0" w:color="auto"/>
        <w:bottom w:val="none" w:sz="0" w:space="0" w:color="auto"/>
        <w:right w:val="none" w:sz="0" w:space="0" w:color="auto"/>
      </w:divBdr>
    </w:div>
    <w:div w:id="1593473019">
      <w:bodyDiv w:val="1"/>
      <w:marLeft w:val="0"/>
      <w:marRight w:val="0"/>
      <w:marTop w:val="0"/>
      <w:marBottom w:val="0"/>
      <w:divBdr>
        <w:top w:val="none" w:sz="0" w:space="0" w:color="auto"/>
        <w:left w:val="none" w:sz="0" w:space="0" w:color="auto"/>
        <w:bottom w:val="none" w:sz="0" w:space="0" w:color="auto"/>
        <w:right w:val="none" w:sz="0" w:space="0" w:color="auto"/>
      </w:divBdr>
    </w:div>
    <w:div w:id="1594123304">
      <w:bodyDiv w:val="1"/>
      <w:marLeft w:val="0"/>
      <w:marRight w:val="0"/>
      <w:marTop w:val="0"/>
      <w:marBottom w:val="0"/>
      <w:divBdr>
        <w:top w:val="none" w:sz="0" w:space="0" w:color="auto"/>
        <w:left w:val="none" w:sz="0" w:space="0" w:color="auto"/>
        <w:bottom w:val="none" w:sz="0" w:space="0" w:color="auto"/>
        <w:right w:val="none" w:sz="0" w:space="0" w:color="auto"/>
      </w:divBdr>
    </w:div>
    <w:div w:id="1613978048">
      <w:bodyDiv w:val="1"/>
      <w:marLeft w:val="0"/>
      <w:marRight w:val="0"/>
      <w:marTop w:val="0"/>
      <w:marBottom w:val="0"/>
      <w:divBdr>
        <w:top w:val="none" w:sz="0" w:space="0" w:color="auto"/>
        <w:left w:val="none" w:sz="0" w:space="0" w:color="auto"/>
        <w:bottom w:val="none" w:sz="0" w:space="0" w:color="auto"/>
        <w:right w:val="none" w:sz="0" w:space="0" w:color="auto"/>
      </w:divBdr>
    </w:div>
    <w:div w:id="1627852982">
      <w:bodyDiv w:val="1"/>
      <w:marLeft w:val="0"/>
      <w:marRight w:val="0"/>
      <w:marTop w:val="0"/>
      <w:marBottom w:val="0"/>
      <w:divBdr>
        <w:top w:val="none" w:sz="0" w:space="0" w:color="auto"/>
        <w:left w:val="none" w:sz="0" w:space="0" w:color="auto"/>
        <w:bottom w:val="none" w:sz="0" w:space="0" w:color="auto"/>
        <w:right w:val="none" w:sz="0" w:space="0" w:color="auto"/>
      </w:divBdr>
    </w:div>
    <w:div w:id="1632857360">
      <w:bodyDiv w:val="1"/>
      <w:marLeft w:val="0"/>
      <w:marRight w:val="0"/>
      <w:marTop w:val="0"/>
      <w:marBottom w:val="0"/>
      <w:divBdr>
        <w:top w:val="none" w:sz="0" w:space="0" w:color="auto"/>
        <w:left w:val="none" w:sz="0" w:space="0" w:color="auto"/>
        <w:bottom w:val="none" w:sz="0" w:space="0" w:color="auto"/>
        <w:right w:val="none" w:sz="0" w:space="0" w:color="auto"/>
      </w:divBdr>
    </w:div>
    <w:div w:id="1663001695">
      <w:bodyDiv w:val="1"/>
      <w:marLeft w:val="0"/>
      <w:marRight w:val="0"/>
      <w:marTop w:val="0"/>
      <w:marBottom w:val="0"/>
      <w:divBdr>
        <w:top w:val="none" w:sz="0" w:space="0" w:color="auto"/>
        <w:left w:val="none" w:sz="0" w:space="0" w:color="auto"/>
        <w:bottom w:val="none" w:sz="0" w:space="0" w:color="auto"/>
        <w:right w:val="none" w:sz="0" w:space="0" w:color="auto"/>
      </w:divBdr>
    </w:div>
    <w:div w:id="1677802893">
      <w:bodyDiv w:val="1"/>
      <w:marLeft w:val="0"/>
      <w:marRight w:val="0"/>
      <w:marTop w:val="0"/>
      <w:marBottom w:val="0"/>
      <w:divBdr>
        <w:top w:val="none" w:sz="0" w:space="0" w:color="auto"/>
        <w:left w:val="none" w:sz="0" w:space="0" w:color="auto"/>
        <w:bottom w:val="none" w:sz="0" w:space="0" w:color="auto"/>
        <w:right w:val="none" w:sz="0" w:space="0" w:color="auto"/>
      </w:divBdr>
    </w:div>
    <w:div w:id="1685010652">
      <w:bodyDiv w:val="1"/>
      <w:marLeft w:val="0"/>
      <w:marRight w:val="0"/>
      <w:marTop w:val="0"/>
      <w:marBottom w:val="0"/>
      <w:divBdr>
        <w:top w:val="none" w:sz="0" w:space="0" w:color="auto"/>
        <w:left w:val="none" w:sz="0" w:space="0" w:color="auto"/>
        <w:bottom w:val="none" w:sz="0" w:space="0" w:color="auto"/>
        <w:right w:val="none" w:sz="0" w:space="0" w:color="auto"/>
      </w:divBdr>
    </w:div>
    <w:div w:id="1713385698">
      <w:bodyDiv w:val="1"/>
      <w:marLeft w:val="0"/>
      <w:marRight w:val="0"/>
      <w:marTop w:val="0"/>
      <w:marBottom w:val="0"/>
      <w:divBdr>
        <w:top w:val="none" w:sz="0" w:space="0" w:color="auto"/>
        <w:left w:val="none" w:sz="0" w:space="0" w:color="auto"/>
        <w:bottom w:val="none" w:sz="0" w:space="0" w:color="auto"/>
        <w:right w:val="none" w:sz="0" w:space="0" w:color="auto"/>
      </w:divBdr>
    </w:div>
    <w:div w:id="1722051497">
      <w:bodyDiv w:val="1"/>
      <w:marLeft w:val="0"/>
      <w:marRight w:val="0"/>
      <w:marTop w:val="0"/>
      <w:marBottom w:val="0"/>
      <w:divBdr>
        <w:top w:val="none" w:sz="0" w:space="0" w:color="auto"/>
        <w:left w:val="none" w:sz="0" w:space="0" w:color="auto"/>
        <w:bottom w:val="none" w:sz="0" w:space="0" w:color="auto"/>
        <w:right w:val="none" w:sz="0" w:space="0" w:color="auto"/>
      </w:divBdr>
    </w:div>
    <w:div w:id="1751998493">
      <w:bodyDiv w:val="1"/>
      <w:marLeft w:val="0"/>
      <w:marRight w:val="0"/>
      <w:marTop w:val="0"/>
      <w:marBottom w:val="0"/>
      <w:divBdr>
        <w:top w:val="none" w:sz="0" w:space="0" w:color="auto"/>
        <w:left w:val="none" w:sz="0" w:space="0" w:color="auto"/>
        <w:bottom w:val="none" w:sz="0" w:space="0" w:color="auto"/>
        <w:right w:val="none" w:sz="0" w:space="0" w:color="auto"/>
      </w:divBdr>
    </w:div>
    <w:div w:id="1760250150">
      <w:bodyDiv w:val="1"/>
      <w:marLeft w:val="0"/>
      <w:marRight w:val="0"/>
      <w:marTop w:val="0"/>
      <w:marBottom w:val="0"/>
      <w:divBdr>
        <w:top w:val="none" w:sz="0" w:space="0" w:color="auto"/>
        <w:left w:val="none" w:sz="0" w:space="0" w:color="auto"/>
        <w:bottom w:val="none" w:sz="0" w:space="0" w:color="auto"/>
        <w:right w:val="none" w:sz="0" w:space="0" w:color="auto"/>
      </w:divBdr>
      <w:divsChild>
        <w:div w:id="474571095">
          <w:marLeft w:val="0"/>
          <w:marRight w:val="0"/>
          <w:marTop w:val="0"/>
          <w:marBottom w:val="0"/>
          <w:divBdr>
            <w:top w:val="none" w:sz="0" w:space="0" w:color="auto"/>
            <w:left w:val="none" w:sz="0" w:space="0" w:color="auto"/>
            <w:bottom w:val="none" w:sz="0" w:space="0" w:color="auto"/>
            <w:right w:val="none" w:sz="0" w:space="0" w:color="auto"/>
          </w:divBdr>
          <w:divsChild>
            <w:div w:id="1467620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489683">
      <w:bodyDiv w:val="1"/>
      <w:marLeft w:val="0"/>
      <w:marRight w:val="0"/>
      <w:marTop w:val="0"/>
      <w:marBottom w:val="0"/>
      <w:divBdr>
        <w:top w:val="none" w:sz="0" w:space="0" w:color="auto"/>
        <w:left w:val="none" w:sz="0" w:space="0" w:color="auto"/>
        <w:bottom w:val="none" w:sz="0" w:space="0" w:color="auto"/>
        <w:right w:val="none" w:sz="0" w:space="0" w:color="auto"/>
      </w:divBdr>
    </w:div>
    <w:div w:id="1766801870">
      <w:bodyDiv w:val="1"/>
      <w:marLeft w:val="0"/>
      <w:marRight w:val="0"/>
      <w:marTop w:val="0"/>
      <w:marBottom w:val="0"/>
      <w:divBdr>
        <w:top w:val="none" w:sz="0" w:space="0" w:color="auto"/>
        <w:left w:val="none" w:sz="0" w:space="0" w:color="auto"/>
        <w:bottom w:val="none" w:sz="0" w:space="0" w:color="auto"/>
        <w:right w:val="none" w:sz="0" w:space="0" w:color="auto"/>
      </w:divBdr>
    </w:div>
    <w:div w:id="1772889969">
      <w:bodyDiv w:val="1"/>
      <w:marLeft w:val="0"/>
      <w:marRight w:val="0"/>
      <w:marTop w:val="0"/>
      <w:marBottom w:val="0"/>
      <w:divBdr>
        <w:top w:val="none" w:sz="0" w:space="0" w:color="auto"/>
        <w:left w:val="none" w:sz="0" w:space="0" w:color="auto"/>
        <w:bottom w:val="none" w:sz="0" w:space="0" w:color="auto"/>
        <w:right w:val="none" w:sz="0" w:space="0" w:color="auto"/>
      </w:divBdr>
    </w:div>
    <w:div w:id="1804620634">
      <w:bodyDiv w:val="1"/>
      <w:marLeft w:val="0"/>
      <w:marRight w:val="0"/>
      <w:marTop w:val="0"/>
      <w:marBottom w:val="0"/>
      <w:divBdr>
        <w:top w:val="none" w:sz="0" w:space="0" w:color="auto"/>
        <w:left w:val="none" w:sz="0" w:space="0" w:color="auto"/>
        <w:bottom w:val="none" w:sz="0" w:space="0" w:color="auto"/>
        <w:right w:val="none" w:sz="0" w:space="0" w:color="auto"/>
      </w:divBdr>
      <w:divsChild>
        <w:div w:id="170410351">
          <w:marLeft w:val="0"/>
          <w:marRight w:val="0"/>
          <w:marTop w:val="0"/>
          <w:marBottom w:val="0"/>
          <w:divBdr>
            <w:top w:val="none" w:sz="0" w:space="0" w:color="auto"/>
            <w:left w:val="none" w:sz="0" w:space="0" w:color="auto"/>
            <w:bottom w:val="none" w:sz="0" w:space="0" w:color="auto"/>
            <w:right w:val="none" w:sz="0" w:space="0" w:color="auto"/>
          </w:divBdr>
          <w:divsChild>
            <w:div w:id="142272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632476">
      <w:bodyDiv w:val="1"/>
      <w:marLeft w:val="0"/>
      <w:marRight w:val="0"/>
      <w:marTop w:val="0"/>
      <w:marBottom w:val="0"/>
      <w:divBdr>
        <w:top w:val="none" w:sz="0" w:space="0" w:color="auto"/>
        <w:left w:val="none" w:sz="0" w:space="0" w:color="auto"/>
        <w:bottom w:val="none" w:sz="0" w:space="0" w:color="auto"/>
        <w:right w:val="none" w:sz="0" w:space="0" w:color="auto"/>
      </w:divBdr>
    </w:div>
    <w:div w:id="1842355280">
      <w:bodyDiv w:val="1"/>
      <w:marLeft w:val="0"/>
      <w:marRight w:val="0"/>
      <w:marTop w:val="0"/>
      <w:marBottom w:val="0"/>
      <w:divBdr>
        <w:top w:val="none" w:sz="0" w:space="0" w:color="auto"/>
        <w:left w:val="none" w:sz="0" w:space="0" w:color="auto"/>
        <w:bottom w:val="none" w:sz="0" w:space="0" w:color="auto"/>
        <w:right w:val="none" w:sz="0" w:space="0" w:color="auto"/>
      </w:divBdr>
      <w:divsChild>
        <w:div w:id="546919846">
          <w:marLeft w:val="-720"/>
          <w:marRight w:val="0"/>
          <w:marTop w:val="0"/>
          <w:marBottom w:val="0"/>
          <w:divBdr>
            <w:top w:val="none" w:sz="0" w:space="0" w:color="auto"/>
            <w:left w:val="none" w:sz="0" w:space="0" w:color="auto"/>
            <w:bottom w:val="none" w:sz="0" w:space="0" w:color="auto"/>
            <w:right w:val="none" w:sz="0" w:space="0" w:color="auto"/>
          </w:divBdr>
        </w:div>
      </w:divsChild>
    </w:div>
    <w:div w:id="1852138849">
      <w:bodyDiv w:val="1"/>
      <w:marLeft w:val="0"/>
      <w:marRight w:val="0"/>
      <w:marTop w:val="0"/>
      <w:marBottom w:val="0"/>
      <w:divBdr>
        <w:top w:val="none" w:sz="0" w:space="0" w:color="auto"/>
        <w:left w:val="none" w:sz="0" w:space="0" w:color="auto"/>
        <w:bottom w:val="none" w:sz="0" w:space="0" w:color="auto"/>
        <w:right w:val="none" w:sz="0" w:space="0" w:color="auto"/>
      </w:divBdr>
    </w:div>
    <w:div w:id="1861160612">
      <w:bodyDiv w:val="1"/>
      <w:marLeft w:val="0"/>
      <w:marRight w:val="0"/>
      <w:marTop w:val="0"/>
      <w:marBottom w:val="0"/>
      <w:divBdr>
        <w:top w:val="none" w:sz="0" w:space="0" w:color="auto"/>
        <w:left w:val="none" w:sz="0" w:space="0" w:color="auto"/>
        <w:bottom w:val="none" w:sz="0" w:space="0" w:color="auto"/>
        <w:right w:val="none" w:sz="0" w:space="0" w:color="auto"/>
      </w:divBdr>
    </w:div>
    <w:div w:id="1882399096">
      <w:bodyDiv w:val="1"/>
      <w:marLeft w:val="0"/>
      <w:marRight w:val="0"/>
      <w:marTop w:val="0"/>
      <w:marBottom w:val="0"/>
      <w:divBdr>
        <w:top w:val="none" w:sz="0" w:space="0" w:color="auto"/>
        <w:left w:val="none" w:sz="0" w:space="0" w:color="auto"/>
        <w:bottom w:val="none" w:sz="0" w:space="0" w:color="auto"/>
        <w:right w:val="none" w:sz="0" w:space="0" w:color="auto"/>
      </w:divBdr>
    </w:div>
    <w:div w:id="1894389709">
      <w:bodyDiv w:val="1"/>
      <w:marLeft w:val="0"/>
      <w:marRight w:val="0"/>
      <w:marTop w:val="0"/>
      <w:marBottom w:val="0"/>
      <w:divBdr>
        <w:top w:val="none" w:sz="0" w:space="0" w:color="auto"/>
        <w:left w:val="none" w:sz="0" w:space="0" w:color="auto"/>
        <w:bottom w:val="none" w:sz="0" w:space="0" w:color="auto"/>
        <w:right w:val="none" w:sz="0" w:space="0" w:color="auto"/>
      </w:divBdr>
    </w:div>
    <w:div w:id="1917861944">
      <w:bodyDiv w:val="1"/>
      <w:marLeft w:val="0"/>
      <w:marRight w:val="0"/>
      <w:marTop w:val="0"/>
      <w:marBottom w:val="0"/>
      <w:divBdr>
        <w:top w:val="none" w:sz="0" w:space="0" w:color="auto"/>
        <w:left w:val="none" w:sz="0" w:space="0" w:color="auto"/>
        <w:bottom w:val="none" w:sz="0" w:space="0" w:color="auto"/>
        <w:right w:val="none" w:sz="0" w:space="0" w:color="auto"/>
      </w:divBdr>
    </w:div>
    <w:div w:id="1979414519">
      <w:bodyDiv w:val="1"/>
      <w:marLeft w:val="0"/>
      <w:marRight w:val="0"/>
      <w:marTop w:val="0"/>
      <w:marBottom w:val="0"/>
      <w:divBdr>
        <w:top w:val="none" w:sz="0" w:space="0" w:color="auto"/>
        <w:left w:val="none" w:sz="0" w:space="0" w:color="auto"/>
        <w:bottom w:val="none" w:sz="0" w:space="0" w:color="auto"/>
        <w:right w:val="none" w:sz="0" w:space="0" w:color="auto"/>
      </w:divBdr>
    </w:div>
    <w:div w:id="1982496707">
      <w:bodyDiv w:val="1"/>
      <w:marLeft w:val="0"/>
      <w:marRight w:val="0"/>
      <w:marTop w:val="0"/>
      <w:marBottom w:val="0"/>
      <w:divBdr>
        <w:top w:val="none" w:sz="0" w:space="0" w:color="auto"/>
        <w:left w:val="none" w:sz="0" w:space="0" w:color="auto"/>
        <w:bottom w:val="none" w:sz="0" w:space="0" w:color="auto"/>
        <w:right w:val="none" w:sz="0" w:space="0" w:color="auto"/>
      </w:divBdr>
    </w:div>
    <w:div w:id="2004697173">
      <w:bodyDiv w:val="1"/>
      <w:marLeft w:val="0"/>
      <w:marRight w:val="0"/>
      <w:marTop w:val="0"/>
      <w:marBottom w:val="0"/>
      <w:divBdr>
        <w:top w:val="none" w:sz="0" w:space="0" w:color="auto"/>
        <w:left w:val="none" w:sz="0" w:space="0" w:color="auto"/>
        <w:bottom w:val="none" w:sz="0" w:space="0" w:color="auto"/>
        <w:right w:val="none" w:sz="0" w:space="0" w:color="auto"/>
      </w:divBdr>
    </w:div>
    <w:div w:id="2025470423">
      <w:bodyDiv w:val="1"/>
      <w:marLeft w:val="0"/>
      <w:marRight w:val="0"/>
      <w:marTop w:val="0"/>
      <w:marBottom w:val="0"/>
      <w:divBdr>
        <w:top w:val="none" w:sz="0" w:space="0" w:color="auto"/>
        <w:left w:val="none" w:sz="0" w:space="0" w:color="auto"/>
        <w:bottom w:val="none" w:sz="0" w:space="0" w:color="auto"/>
        <w:right w:val="none" w:sz="0" w:space="0" w:color="auto"/>
      </w:divBdr>
    </w:div>
    <w:div w:id="2060125197">
      <w:bodyDiv w:val="1"/>
      <w:marLeft w:val="0"/>
      <w:marRight w:val="0"/>
      <w:marTop w:val="0"/>
      <w:marBottom w:val="0"/>
      <w:divBdr>
        <w:top w:val="none" w:sz="0" w:space="0" w:color="auto"/>
        <w:left w:val="none" w:sz="0" w:space="0" w:color="auto"/>
        <w:bottom w:val="none" w:sz="0" w:space="0" w:color="auto"/>
        <w:right w:val="none" w:sz="0" w:space="0" w:color="auto"/>
      </w:divBdr>
    </w:div>
    <w:div w:id="2062362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evernova.com/investors/annual-report" TargetMode="External"/><Relationship Id="rId18" Type="http://schemas.openxmlformats.org/officeDocument/2006/relationships/hyperlink" Target="https://www.ge.com/about-u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ge.com/investor-relations/annual-repor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e.com/investor-relations/annual-repor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ge.com/investor-relations/annual-report" TargetMode="External"/><Relationship Id="rId23" Type="http://schemas.openxmlformats.org/officeDocument/2006/relationships/header" Target="header3.xml"/><Relationship Id="rId10" Type="http://schemas.openxmlformats.org/officeDocument/2006/relationships/chart" Target="charts/chart2.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ge.com/investor-relations/annual-report" TargetMode="External"/><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Current assets and liabilities (£m)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iqbal!$D$3</c:f>
              <c:strCache>
                <c:ptCount val="1"/>
                <c:pt idx="0">
                  <c:v>Current Assets</c:v>
                </c:pt>
              </c:strCache>
            </c:strRef>
          </c:tx>
          <c:spPr>
            <a:solidFill>
              <a:schemeClr val="accent1"/>
            </a:solidFill>
            <a:ln>
              <a:noFill/>
            </a:ln>
            <a:effectLst/>
          </c:spPr>
          <c:invertIfNegative val="0"/>
          <c:cat>
            <c:numRef>
              <c:f>iqbal!$C$4:$C$8</c:f>
              <c:numCache>
                <c:formatCode>General</c:formatCode>
                <c:ptCount val="5"/>
                <c:pt idx="0">
                  <c:v>2020</c:v>
                </c:pt>
                <c:pt idx="1">
                  <c:v>2021</c:v>
                </c:pt>
                <c:pt idx="2">
                  <c:v>2022</c:v>
                </c:pt>
                <c:pt idx="3">
                  <c:v>2023</c:v>
                </c:pt>
                <c:pt idx="4">
                  <c:v>2024</c:v>
                </c:pt>
              </c:numCache>
            </c:numRef>
          </c:cat>
          <c:val>
            <c:numRef>
              <c:f>iqbal!$D$4:$D$8</c:f>
              <c:numCache>
                <c:formatCode>#,##0</c:formatCode>
                <c:ptCount val="5"/>
                <c:pt idx="0">
                  <c:v>326843</c:v>
                </c:pt>
                <c:pt idx="1">
                  <c:v>337146</c:v>
                </c:pt>
                <c:pt idx="2">
                  <c:v>338040</c:v>
                </c:pt>
                <c:pt idx="3">
                  <c:v>258851</c:v>
                </c:pt>
                <c:pt idx="4">
                  <c:v>242494</c:v>
                </c:pt>
              </c:numCache>
            </c:numRef>
          </c:val>
          <c:extLst xmlns:c16r2="http://schemas.microsoft.com/office/drawing/2015/06/chart">
            <c:ext xmlns:c16="http://schemas.microsoft.com/office/drawing/2014/chart" uri="{C3380CC4-5D6E-409C-BE32-E72D297353CC}">
              <c16:uniqueId val="{00000000-0537-4263-9A6D-8DEFBDE43B7A}"/>
            </c:ext>
          </c:extLst>
        </c:ser>
        <c:ser>
          <c:idx val="1"/>
          <c:order val="1"/>
          <c:tx>
            <c:strRef>
              <c:f>iqbal!$E$3</c:f>
              <c:strCache>
                <c:ptCount val="1"/>
                <c:pt idx="0">
                  <c:v>Current Liabilities</c:v>
                </c:pt>
              </c:strCache>
            </c:strRef>
          </c:tx>
          <c:spPr>
            <a:solidFill>
              <a:schemeClr val="accent3"/>
            </a:solidFill>
            <a:ln>
              <a:noFill/>
            </a:ln>
            <a:effectLst/>
          </c:spPr>
          <c:invertIfNegative val="0"/>
          <c:cat>
            <c:numRef>
              <c:f>iqbal!$C$4:$C$8</c:f>
              <c:numCache>
                <c:formatCode>General</c:formatCode>
                <c:ptCount val="5"/>
                <c:pt idx="0">
                  <c:v>2020</c:v>
                </c:pt>
                <c:pt idx="1">
                  <c:v>2021</c:v>
                </c:pt>
                <c:pt idx="2">
                  <c:v>2022</c:v>
                </c:pt>
                <c:pt idx="3">
                  <c:v>2023</c:v>
                </c:pt>
                <c:pt idx="4">
                  <c:v>2024</c:v>
                </c:pt>
              </c:numCache>
            </c:numRef>
          </c:cat>
          <c:val>
            <c:numRef>
              <c:f>iqbal!$E$4:$E$8</c:f>
              <c:numCache>
                <c:formatCode>#,##0</c:formatCode>
                <c:ptCount val="5"/>
                <c:pt idx="0">
                  <c:v>179510</c:v>
                </c:pt>
                <c:pt idx="1">
                  <c:v>216787</c:v>
                </c:pt>
                <c:pt idx="2">
                  <c:v>216473</c:v>
                </c:pt>
                <c:pt idx="3">
                  <c:v>161148</c:v>
                </c:pt>
                <c:pt idx="4">
                  <c:v>158291</c:v>
                </c:pt>
              </c:numCache>
            </c:numRef>
          </c:val>
          <c:extLst xmlns:c16r2="http://schemas.microsoft.com/office/drawing/2015/06/chart">
            <c:ext xmlns:c16="http://schemas.microsoft.com/office/drawing/2014/chart" uri="{C3380CC4-5D6E-409C-BE32-E72D297353CC}">
              <c16:uniqueId val="{00000001-0537-4263-9A6D-8DEFBDE43B7A}"/>
            </c:ext>
          </c:extLst>
        </c:ser>
        <c:dLbls>
          <c:showLegendKey val="0"/>
          <c:showVal val="0"/>
          <c:showCatName val="0"/>
          <c:showSerName val="0"/>
          <c:showPercent val="0"/>
          <c:showBubbleSize val="0"/>
        </c:dLbls>
        <c:gapWidth val="219"/>
        <c:overlap val="-27"/>
        <c:axId val="-1700504848"/>
        <c:axId val="-1700497232"/>
      </c:barChart>
      <c:catAx>
        <c:axId val="-1700504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0497232"/>
        <c:crosses val="autoZero"/>
        <c:auto val="1"/>
        <c:lblAlgn val="ctr"/>
        <c:lblOffset val="100"/>
        <c:noMultiLvlLbl val="0"/>
      </c:catAx>
      <c:valAx>
        <c:axId val="-170049723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0504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cap="all" normalizeH="0" baseline="0">
                <a:effectLst/>
              </a:rPr>
              <a:t>gearing trend(Liability and equity)</a:t>
            </a:r>
            <a:endParaRPr lang="en-GB" sz="1400"/>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iqbal!$D$22</c:f>
              <c:strCache>
                <c:ptCount val="1"/>
                <c:pt idx="0">
                  <c:v>Liabilities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iqbal!$C$23:$C$27</c:f>
              <c:numCache>
                <c:formatCode>General</c:formatCode>
                <c:ptCount val="5"/>
                <c:pt idx="0">
                  <c:v>2020</c:v>
                </c:pt>
                <c:pt idx="1">
                  <c:v>2021</c:v>
                </c:pt>
                <c:pt idx="2">
                  <c:v>2022</c:v>
                </c:pt>
                <c:pt idx="3">
                  <c:v>2023</c:v>
                </c:pt>
                <c:pt idx="4">
                  <c:v>2024</c:v>
                </c:pt>
              </c:numCache>
            </c:numRef>
          </c:cat>
          <c:val>
            <c:numRef>
              <c:f>iqbal!$D$23:$D$27</c:f>
              <c:numCache>
                <c:formatCode>#,##0</c:formatCode>
                <c:ptCount val="5"/>
                <c:pt idx="0">
                  <c:v>196989</c:v>
                </c:pt>
                <c:pt idx="1">
                  <c:v>234399</c:v>
                </c:pt>
                <c:pt idx="2">
                  <c:v>235757</c:v>
                </c:pt>
                <c:pt idx="3">
                  <c:v>176952</c:v>
                </c:pt>
                <c:pt idx="4">
                  <c:v>170249</c:v>
                </c:pt>
              </c:numCache>
            </c:numRef>
          </c:val>
          <c:extLst xmlns:c16r2="http://schemas.microsoft.com/office/drawing/2015/06/chart">
            <c:ext xmlns:c16="http://schemas.microsoft.com/office/drawing/2014/chart" uri="{C3380CC4-5D6E-409C-BE32-E72D297353CC}">
              <c16:uniqueId val="{00000000-38DA-47AA-966E-B3588ABAB933}"/>
            </c:ext>
          </c:extLst>
        </c:ser>
        <c:ser>
          <c:idx val="1"/>
          <c:order val="1"/>
          <c:tx>
            <c:strRef>
              <c:f>iqbal!$E$22</c:f>
              <c:strCache>
                <c:ptCount val="1"/>
                <c:pt idx="0">
                  <c:v>Equity</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iqbal!$C$23:$C$27</c:f>
              <c:numCache>
                <c:formatCode>General</c:formatCode>
                <c:ptCount val="5"/>
                <c:pt idx="0">
                  <c:v>2020</c:v>
                </c:pt>
                <c:pt idx="1">
                  <c:v>2021</c:v>
                </c:pt>
                <c:pt idx="2">
                  <c:v>2022</c:v>
                </c:pt>
                <c:pt idx="3">
                  <c:v>2023</c:v>
                </c:pt>
                <c:pt idx="4">
                  <c:v>2024</c:v>
                </c:pt>
              </c:numCache>
            </c:numRef>
          </c:cat>
          <c:val>
            <c:numRef>
              <c:f>iqbal!$E$23:$E$27</c:f>
              <c:numCache>
                <c:formatCode>#,##0</c:formatCode>
                <c:ptCount val="5"/>
                <c:pt idx="0">
                  <c:v>313301</c:v>
                </c:pt>
                <c:pt idx="1">
                  <c:v>275949</c:v>
                </c:pt>
                <c:pt idx="2">
                  <c:v>268406</c:v>
                </c:pt>
                <c:pt idx="3">
                  <c:v>178920</c:v>
                </c:pt>
                <c:pt idx="4">
                  <c:v>153105</c:v>
                </c:pt>
              </c:numCache>
            </c:numRef>
          </c:val>
          <c:extLst xmlns:c16r2="http://schemas.microsoft.com/office/drawing/2015/06/chart">
            <c:ext xmlns:c16="http://schemas.microsoft.com/office/drawing/2014/chart" uri="{C3380CC4-5D6E-409C-BE32-E72D297353CC}">
              <c16:uniqueId val="{00000001-38DA-47AA-966E-B3588ABAB933}"/>
            </c:ext>
          </c:extLst>
        </c:ser>
        <c:dLbls>
          <c:dLblPos val="outEnd"/>
          <c:showLegendKey val="0"/>
          <c:showVal val="1"/>
          <c:showCatName val="0"/>
          <c:showSerName val="0"/>
          <c:showPercent val="0"/>
          <c:showBubbleSize val="0"/>
        </c:dLbls>
        <c:gapWidth val="444"/>
        <c:overlap val="-90"/>
        <c:axId val="-1700496688"/>
        <c:axId val="-1700495600"/>
      </c:barChart>
      <c:catAx>
        <c:axId val="-17004966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700495600"/>
        <c:crosses val="autoZero"/>
        <c:auto val="1"/>
        <c:lblAlgn val="ctr"/>
        <c:lblOffset val="100"/>
        <c:noMultiLvlLbl val="0"/>
      </c:catAx>
      <c:valAx>
        <c:axId val="-1700495600"/>
        <c:scaling>
          <c:orientation val="minMax"/>
        </c:scaling>
        <c:delete val="1"/>
        <c:axPos val="l"/>
        <c:numFmt formatCode="#,##0" sourceLinked="1"/>
        <c:majorTickMark val="none"/>
        <c:minorTickMark val="none"/>
        <c:tickLblPos val="nextTo"/>
        <c:crossAx val="-17004966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no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r>
              <a:rPr lang="en-GB" sz="1440" b="1" i="0" u="none" strike="noStrike" cap="all" baseline="0">
                <a:effectLst/>
              </a:rPr>
              <a:t>gearing trend (</a:t>
            </a:r>
            <a:r>
              <a:rPr lang="en-US" b="1"/>
              <a:t>D/E)</a:t>
            </a:r>
          </a:p>
        </c:rich>
      </c:tx>
      <c:overlay val="0"/>
      <c:spPr>
        <a:noFill/>
        <a:ln>
          <a:noFill/>
        </a:ln>
        <a:effectLst/>
      </c:spPr>
      <c:txPr>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en-US"/>
        </a:p>
      </c:txPr>
    </c:title>
    <c:autoTitleDeleted val="0"/>
    <c:plotArea>
      <c:layout/>
      <c:lineChart>
        <c:grouping val="standard"/>
        <c:varyColors val="0"/>
        <c:ser>
          <c:idx val="0"/>
          <c:order val="0"/>
          <c:tx>
            <c:strRef>
              <c:f>iqbal!$D$34</c:f>
              <c:strCache>
                <c:ptCount val="1"/>
                <c:pt idx="0">
                  <c:v>D/E</c:v>
                </c:pt>
              </c:strCache>
            </c:strRef>
          </c:tx>
          <c:spPr>
            <a:ln w="19050" cap="rnd" cmpd="sng" algn="ctr">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iqbal!$C$35:$C$39</c:f>
              <c:numCache>
                <c:formatCode>General</c:formatCode>
                <c:ptCount val="5"/>
                <c:pt idx="0">
                  <c:v>2020</c:v>
                </c:pt>
                <c:pt idx="1">
                  <c:v>2021</c:v>
                </c:pt>
                <c:pt idx="2">
                  <c:v>2022</c:v>
                </c:pt>
                <c:pt idx="3">
                  <c:v>2023</c:v>
                </c:pt>
                <c:pt idx="4">
                  <c:v>2024</c:v>
                </c:pt>
              </c:numCache>
            </c:numRef>
          </c:cat>
          <c:val>
            <c:numRef>
              <c:f>iqbal!$D$35:$D$39</c:f>
              <c:numCache>
                <c:formatCode>General</c:formatCode>
                <c:ptCount val="5"/>
                <c:pt idx="0">
                  <c:v>0.63</c:v>
                </c:pt>
                <c:pt idx="1">
                  <c:v>0.85</c:v>
                </c:pt>
                <c:pt idx="2">
                  <c:v>0.88</c:v>
                </c:pt>
                <c:pt idx="3">
                  <c:v>0.99</c:v>
                </c:pt>
                <c:pt idx="4">
                  <c:v>1.1100000000000001</c:v>
                </c:pt>
              </c:numCache>
            </c:numRef>
          </c:val>
          <c:smooth val="0"/>
          <c:extLst xmlns:c16r2="http://schemas.microsoft.com/office/drawing/2015/06/chart">
            <c:ext xmlns:c16="http://schemas.microsoft.com/office/drawing/2014/chart" uri="{C3380CC4-5D6E-409C-BE32-E72D297353CC}">
              <c16:uniqueId val="{00000000-2F44-43E9-9F7A-6C4F5B69DBA9}"/>
            </c:ext>
          </c:extLst>
        </c:ser>
        <c:dLbls>
          <c:dLblPos val="ctr"/>
          <c:showLegendKey val="0"/>
          <c:showVal val="1"/>
          <c:showCatName val="0"/>
          <c:showSerName val="0"/>
          <c:showPercent val="0"/>
          <c:showBubbleSize val="0"/>
        </c:dLbls>
        <c:marker val="1"/>
        <c:smooth val="0"/>
        <c:axId val="-1700492336"/>
        <c:axId val="-1700494512"/>
      </c:lineChart>
      <c:catAx>
        <c:axId val="-1700492336"/>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mn-lt"/>
                <a:ea typeface="+mn-ea"/>
                <a:cs typeface="+mn-cs"/>
              </a:defRPr>
            </a:pPr>
            <a:endParaRPr lang="en-US"/>
          </a:p>
        </c:txPr>
        <c:crossAx val="-1700494512"/>
        <c:crosses val="autoZero"/>
        <c:auto val="1"/>
        <c:lblAlgn val="ctr"/>
        <c:lblOffset val="100"/>
        <c:noMultiLvlLbl val="0"/>
      </c:catAx>
      <c:valAx>
        <c:axId val="-1700494512"/>
        <c:scaling>
          <c:orientation val="minMax"/>
        </c:scaling>
        <c:delete val="1"/>
        <c:axPos val="l"/>
        <c:numFmt formatCode="General" sourceLinked="1"/>
        <c:majorTickMark val="none"/>
        <c:minorTickMark val="none"/>
        <c:tickLblPos val="nextTo"/>
        <c:crossAx val="-1700492336"/>
        <c:crosses val="autoZero"/>
        <c:crossBetween val="between"/>
      </c:valAx>
      <c:spPr>
        <a:noFill/>
        <a:ln>
          <a:noFill/>
        </a:ln>
        <a:effectLst/>
      </c:spPr>
    </c:plotArea>
    <c:plotVisOnly val="1"/>
    <c:dispBlanksAs val="gap"/>
    <c:showDLblsOverMax val="0"/>
  </c:chart>
  <c:spPr>
    <a:solidFill>
      <a:schemeClr val="lt1"/>
    </a:solidFill>
    <a:ln w="9525" cap="flat" cmpd="sng" algn="ctr">
      <a:no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PV inflows vs initial cost</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tx>
            <c:strRef>
              <c:f>iqbal!$D$48</c:f>
              <c:strCache>
                <c:ptCount val="1"/>
                <c:pt idx="0">
                  <c:v>Initial cost (£m)</c:v>
                </c:pt>
              </c:strCache>
            </c:strRef>
          </c:tx>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iqbal!$C$49:$C$51</c:f>
              <c:strCache>
                <c:ptCount val="3"/>
                <c:pt idx="0">
                  <c:v>A</c:v>
                </c:pt>
                <c:pt idx="1">
                  <c:v>B</c:v>
                </c:pt>
                <c:pt idx="2">
                  <c:v>C</c:v>
                </c:pt>
              </c:strCache>
            </c:strRef>
          </c:cat>
          <c:val>
            <c:numRef>
              <c:f>iqbal!$D$49:$D$51</c:f>
              <c:numCache>
                <c:formatCode>General</c:formatCode>
                <c:ptCount val="3"/>
                <c:pt idx="0">
                  <c:v>40</c:v>
                </c:pt>
                <c:pt idx="1">
                  <c:v>30</c:v>
                </c:pt>
                <c:pt idx="2">
                  <c:v>50</c:v>
                </c:pt>
              </c:numCache>
            </c:numRef>
          </c:val>
          <c:extLst xmlns:c16r2="http://schemas.microsoft.com/office/drawing/2015/06/chart">
            <c:ext xmlns:c16="http://schemas.microsoft.com/office/drawing/2014/chart" uri="{C3380CC4-5D6E-409C-BE32-E72D297353CC}">
              <c16:uniqueId val="{00000000-C777-4902-BC62-4ABE04097037}"/>
            </c:ext>
          </c:extLst>
        </c:ser>
        <c:ser>
          <c:idx val="1"/>
          <c:order val="1"/>
          <c:tx>
            <c:strRef>
              <c:f>iqbal!$E$48</c:f>
              <c:strCache>
                <c:ptCount val="1"/>
                <c:pt idx="0">
                  <c:v>PV inflows (£m)</c:v>
                </c:pt>
              </c:strCache>
            </c:strRef>
          </c:tx>
          <c:spPr>
            <a:pattFill prst="narVert">
              <a:fgClr>
                <a:schemeClr val="accent3"/>
              </a:fgClr>
              <a:bgClr>
                <a:schemeClr val="accent3">
                  <a:lumMod val="20000"/>
                  <a:lumOff val="80000"/>
                </a:schemeClr>
              </a:bgClr>
            </a:pattFill>
            <a:ln>
              <a:noFill/>
            </a:ln>
            <a:effectLst>
              <a:innerShdw blurRad="114300">
                <a:schemeClr val="accent3"/>
              </a:innerShdw>
            </a:effectLst>
          </c:spPr>
          <c:invertIfNegative val="0"/>
          <c:cat>
            <c:strRef>
              <c:f>iqbal!$C$49:$C$51</c:f>
              <c:strCache>
                <c:ptCount val="3"/>
                <c:pt idx="0">
                  <c:v>A</c:v>
                </c:pt>
                <c:pt idx="1">
                  <c:v>B</c:v>
                </c:pt>
                <c:pt idx="2">
                  <c:v>C</c:v>
                </c:pt>
              </c:strCache>
            </c:strRef>
          </c:cat>
          <c:val>
            <c:numRef>
              <c:f>iqbal!$E$49:$E$51</c:f>
              <c:numCache>
                <c:formatCode>0</c:formatCode>
                <c:ptCount val="3"/>
                <c:pt idx="0">
                  <c:v>41.323</c:v>
                </c:pt>
                <c:pt idx="1">
                  <c:v>22.744</c:v>
                </c:pt>
                <c:pt idx="2">
                  <c:v>54.223999999999997</c:v>
                </c:pt>
              </c:numCache>
            </c:numRef>
          </c:val>
          <c:extLst xmlns:c16r2="http://schemas.microsoft.com/office/drawing/2015/06/chart">
            <c:ext xmlns:c16="http://schemas.microsoft.com/office/drawing/2014/chart" uri="{C3380CC4-5D6E-409C-BE32-E72D297353CC}">
              <c16:uniqueId val="{00000001-C777-4902-BC62-4ABE04097037}"/>
            </c:ext>
          </c:extLst>
        </c:ser>
        <c:dLbls>
          <c:showLegendKey val="0"/>
          <c:showVal val="0"/>
          <c:showCatName val="0"/>
          <c:showSerName val="0"/>
          <c:showPercent val="0"/>
          <c:showBubbleSize val="0"/>
        </c:dLbls>
        <c:gapWidth val="227"/>
        <c:overlap val="-48"/>
        <c:axId val="-1700493424"/>
        <c:axId val="-1700492880"/>
      </c:barChart>
      <c:catAx>
        <c:axId val="-1700493424"/>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0492880"/>
        <c:crosses val="autoZero"/>
        <c:auto val="1"/>
        <c:lblAlgn val="ctr"/>
        <c:lblOffset val="100"/>
        <c:noMultiLvlLbl val="0"/>
      </c:catAx>
      <c:valAx>
        <c:axId val="-17004928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04934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cmpd="sng" algn="ctr">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97DCC-6D38-4BC2-9709-4A2027A7B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7212</Words>
  <Characters>41115</Characters>
  <Application>Microsoft Office Word</Application>
  <DocSecurity>0</DocSecurity>
  <Lines>342</Lines>
  <Paragraphs>96</Paragraphs>
  <ScaleCrop>false</ScaleCrop>
  <Company/>
  <LinksUpToDate>false</LinksUpToDate>
  <CharactersWithSpaces>48231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2025-12-21T16:21:00Z</dcterms:created>
  <dcterms:modified xsi:type="dcterms:W3CDTF">2025-12-21T18:41:00Z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f0f39127-96f6-453e-9e40-fb37798055df</vt:lpwstr>
  </property>
</Properties>
</file>