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cs="Times New Roman"/>
          <w:color w:val="2E74B5" w:themeColor="accent1" w:themeShade="BF"/>
          <w:sz w:val="24"/>
          <w:szCs w:val="24"/>
          <w:lang w:val="en-GB"/>
        </w:rPr>
        <w:id w:val="-1522475554"/>
        <w:docPartObj>
          <w:docPartGallery w:val="Cover Pages"/>
          <w:docPartUnique/>
        </w:docPartObj>
      </w:sdtPr>
      <w:sdtEndPr>
        <w:rPr>
          <w:rFonts w:eastAsiaTheme="majorEastAsia"/>
        </w:rPr>
      </w:sdtEndPr>
      <w:sdtContent>
        <w:p w14:paraId="3D11FE6E" w14:textId="3335EBE5" w:rsidR="007D1947" w:rsidRPr="0040327B" w:rsidRDefault="007D1947" w:rsidP="0040327B">
          <w:pPr>
            <w:pStyle w:val="Frspaiere"/>
            <w:spacing w:line="480" w:lineRule="auto"/>
            <w:contextualSpacing/>
            <w:jc w:val="center"/>
            <w:rPr>
              <w:rFonts w:ascii="Times New Roman" w:eastAsiaTheme="minorHAnsi" w:hAnsi="Times New Roman" w:cs="Times New Roman"/>
              <w:sz w:val="24"/>
              <w:szCs w:val="24"/>
              <w:lang w:val="en-GB"/>
            </w:rPr>
          </w:pPr>
        </w:p>
        <w:p w14:paraId="36A79040" w14:textId="52CB0ADB" w:rsidR="0040327B" w:rsidRPr="0040327B" w:rsidRDefault="0040327B" w:rsidP="0040327B">
          <w:pPr>
            <w:pStyle w:val="Frspaiere"/>
            <w:spacing w:line="480" w:lineRule="auto"/>
            <w:contextualSpacing/>
            <w:jc w:val="center"/>
            <w:rPr>
              <w:rFonts w:ascii="Times New Roman" w:eastAsiaTheme="minorHAnsi" w:hAnsi="Times New Roman" w:cs="Times New Roman"/>
              <w:sz w:val="24"/>
              <w:szCs w:val="24"/>
              <w:lang w:val="en-GB"/>
            </w:rPr>
          </w:pPr>
        </w:p>
        <w:p w14:paraId="526C4FA5" w14:textId="20385B50" w:rsidR="0040327B" w:rsidRPr="0040327B" w:rsidRDefault="0040327B" w:rsidP="0040327B">
          <w:pPr>
            <w:pStyle w:val="Frspaiere"/>
            <w:spacing w:line="480" w:lineRule="auto"/>
            <w:contextualSpacing/>
            <w:jc w:val="center"/>
            <w:rPr>
              <w:rFonts w:ascii="Times New Roman" w:eastAsiaTheme="minorHAnsi" w:hAnsi="Times New Roman" w:cs="Times New Roman"/>
              <w:sz w:val="24"/>
              <w:szCs w:val="24"/>
              <w:lang w:val="en-GB"/>
            </w:rPr>
          </w:pPr>
        </w:p>
        <w:p w14:paraId="2D13D4E5" w14:textId="6CDB1DF2" w:rsidR="0040327B" w:rsidRPr="0040327B" w:rsidRDefault="0040327B" w:rsidP="0040327B">
          <w:pPr>
            <w:pStyle w:val="Frspaiere"/>
            <w:spacing w:line="480" w:lineRule="auto"/>
            <w:contextualSpacing/>
            <w:jc w:val="center"/>
            <w:rPr>
              <w:rFonts w:ascii="Times New Roman" w:eastAsiaTheme="minorHAnsi" w:hAnsi="Times New Roman" w:cs="Times New Roman"/>
              <w:sz w:val="24"/>
              <w:szCs w:val="24"/>
              <w:lang w:val="en-GB"/>
            </w:rPr>
          </w:pPr>
        </w:p>
        <w:p w14:paraId="2D18B511" w14:textId="27E7133C" w:rsidR="0040327B" w:rsidRPr="0040327B" w:rsidRDefault="0040327B" w:rsidP="0040327B">
          <w:pPr>
            <w:pStyle w:val="Frspaiere"/>
            <w:spacing w:line="480" w:lineRule="auto"/>
            <w:contextualSpacing/>
            <w:jc w:val="center"/>
            <w:rPr>
              <w:rFonts w:ascii="Times New Roman" w:eastAsiaTheme="minorHAnsi" w:hAnsi="Times New Roman" w:cs="Times New Roman"/>
              <w:sz w:val="24"/>
              <w:szCs w:val="24"/>
              <w:lang w:val="en-GB"/>
            </w:rPr>
          </w:pPr>
        </w:p>
        <w:p w14:paraId="66D9B844" w14:textId="497EEFE1" w:rsidR="0040327B" w:rsidRPr="0040327B" w:rsidRDefault="0040327B" w:rsidP="0040327B">
          <w:pPr>
            <w:pStyle w:val="Frspaiere"/>
            <w:spacing w:line="480" w:lineRule="auto"/>
            <w:contextualSpacing/>
            <w:jc w:val="center"/>
            <w:rPr>
              <w:rFonts w:ascii="Times New Roman" w:eastAsiaTheme="minorHAnsi" w:hAnsi="Times New Roman" w:cs="Times New Roman"/>
              <w:sz w:val="24"/>
              <w:szCs w:val="24"/>
              <w:lang w:val="en-GB"/>
            </w:rPr>
          </w:pPr>
        </w:p>
        <w:p w14:paraId="25C56926" w14:textId="1E971D43" w:rsidR="0040327B" w:rsidRPr="0054324F" w:rsidRDefault="0040327B" w:rsidP="0040327B">
          <w:pPr>
            <w:pStyle w:val="Antet"/>
            <w:spacing w:line="480" w:lineRule="auto"/>
            <w:contextualSpacing/>
            <w:jc w:val="center"/>
            <w:rPr>
              <w:rFonts w:ascii="Times New Roman" w:hAnsi="Times New Roman" w:cs="Times New Roman"/>
              <w:b/>
              <w:sz w:val="24"/>
              <w:szCs w:val="24"/>
            </w:rPr>
          </w:pPr>
          <w:r w:rsidRPr="0054324F">
            <w:rPr>
              <w:rFonts w:ascii="Times New Roman" w:hAnsi="Times New Roman" w:cs="Times New Roman"/>
              <w:b/>
              <w:sz w:val="24"/>
              <w:szCs w:val="24"/>
            </w:rPr>
            <w:t>Analysis of the Financial Statements of Hilton Worldwide Holdings Inc</w:t>
          </w:r>
        </w:p>
        <w:p w14:paraId="28E7DBF3" w14:textId="77777777" w:rsidR="0040327B" w:rsidRPr="0040327B" w:rsidRDefault="0040327B" w:rsidP="0040327B">
          <w:pPr>
            <w:jc w:val="center"/>
            <w:rPr>
              <w:rFonts w:ascii="Times New Roman" w:hAnsi="Times New Roman" w:cs="Times New Roman"/>
              <w:sz w:val="24"/>
              <w:szCs w:val="24"/>
            </w:rPr>
          </w:pPr>
        </w:p>
        <w:p w14:paraId="7CC06AA3" w14:textId="7A299937" w:rsidR="0040327B" w:rsidRPr="0040327B" w:rsidRDefault="0040327B" w:rsidP="0040327B">
          <w:pPr>
            <w:jc w:val="center"/>
            <w:rPr>
              <w:rFonts w:ascii="Times New Roman" w:hAnsi="Times New Roman" w:cs="Times New Roman"/>
              <w:sz w:val="24"/>
              <w:szCs w:val="24"/>
            </w:rPr>
          </w:pPr>
          <w:r w:rsidRPr="0040327B">
            <w:rPr>
              <w:rFonts w:ascii="Times New Roman" w:hAnsi="Times New Roman" w:cs="Times New Roman"/>
              <w:sz w:val="24"/>
              <w:szCs w:val="24"/>
            </w:rPr>
            <w:t>Student Radu Gabriel Ghirvu</w:t>
          </w:r>
        </w:p>
        <w:p w14:paraId="7CC7F9C1" w14:textId="2BE41BE0" w:rsidR="0040327B" w:rsidRPr="0040327B" w:rsidRDefault="0040327B" w:rsidP="0040327B">
          <w:pPr>
            <w:jc w:val="center"/>
            <w:rPr>
              <w:rFonts w:ascii="Times New Roman" w:hAnsi="Times New Roman" w:cs="Times New Roman"/>
              <w:sz w:val="24"/>
              <w:szCs w:val="24"/>
            </w:rPr>
          </w:pPr>
          <w:r w:rsidRPr="0040327B">
            <w:rPr>
              <w:rFonts w:ascii="Times New Roman" w:hAnsi="Times New Roman" w:cs="Times New Roman"/>
              <w:sz w:val="24"/>
              <w:szCs w:val="24"/>
            </w:rPr>
            <w:t>2019891</w:t>
          </w:r>
        </w:p>
        <w:p w14:paraId="690E1B32" w14:textId="77777777" w:rsidR="0040327B" w:rsidRPr="0040327B" w:rsidRDefault="0040327B" w:rsidP="0040327B">
          <w:pPr>
            <w:jc w:val="center"/>
            <w:rPr>
              <w:rFonts w:ascii="Times New Roman" w:hAnsi="Times New Roman" w:cs="Times New Roman"/>
              <w:sz w:val="24"/>
              <w:szCs w:val="24"/>
            </w:rPr>
          </w:pPr>
        </w:p>
        <w:p w14:paraId="1EC55BC6" w14:textId="07731AB4" w:rsidR="0040327B" w:rsidRPr="0040327B" w:rsidRDefault="0040327B" w:rsidP="0040327B">
          <w:pPr>
            <w:jc w:val="center"/>
            <w:rPr>
              <w:rFonts w:ascii="Times New Roman" w:hAnsi="Times New Roman" w:cs="Times New Roman"/>
              <w:sz w:val="24"/>
              <w:szCs w:val="24"/>
            </w:rPr>
          </w:pPr>
          <w:r w:rsidRPr="0040327B">
            <w:rPr>
              <w:rFonts w:ascii="Times New Roman" w:hAnsi="Times New Roman" w:cs="Times New Roman"/>
              <w:b/>
              <w:sz w:val="24"/>
              <w:szCs w:val="24"/>
            </w:rPr>
            <w:t>Financial Management for the Hotel Industry</w:t>
          </w:r>
        </w:p>
        <w:p w14:paraId="07BE0670" w14:textId="01F4EAE6" w:rsidR="0040327B" w:rsidRPr="0040327B" w:rsidRDefault="0040327B" w:rsidP="0040327B">
          <w:pPr>
            <w:jc w:val="center"/>
            <w:rPr>
              <w:rFonts w:ascii="Times New Roman" w:hAnsi="Times New Roman" w:cs="Times New Roman"/>
              <w:sz w:val="24"/>
              <w:szCs w:val="24"/>
            </w:rPr>
          </w:pPr>
          <w:r w:rsidRPr="0040327B">
            <w:rPr>
              <w:rFonts w:ascii="Times New Roman" w:hAnsi="Times New Roman" w:cs="Times New Roman"/>
              <w:sz w:val="24"/>
              <w:szCs w:val="24"/>
            </w:rPr>
            <w:t>BMIH5007</w:t>
          </w:r>
        </w:p>
        <w:p w14:paraId="2009A512" w14:textId="15AE2B93" w:rsidR="0040327B" w:rsidRPr="0040327B" w:rsidRDefault="0040327B" w:rsidP="0040327B">
          <w:pPr>
            <w:jc w:val="center"/>
            <w:rPr>
              <w:rFonts w:ascii="Times New Roman" w:hAnsi="Times New Roman" w:cs="Times New Roman"/>
              <w:sz w:val="24"/>
              <w:szCs w:val="24"/>
            </w:rPr>
          </w:pPr>
          <w:r w:rsidRPr="0040327B">
            <w:rPr>
              <w:rFonts w:ascii="Times New Roman" w:hAnsi="Times New Roman" w:cs="Times New Roman"/>
              <w:sz w:val="24"/>
              <w:szCs w:val="24"/>
            </w:rPr>
            <w:t>Lecturer Dale Clarke</w:t>
          </w:r>
        </w:p>
        <w:p w14:paraId="2D0E67BA" w14:textId="77777777" w:rsidR="0040327B" w:rsidRPr="0040327B" w:rsidRDefault="0040327B" w:rsidP="0040327B">
          <w:pPr>
            <w:jc w:val="center"/>
            <w:rPr>
              <w:rFonts w:ascii="Times New Roman" w:hAnsi="Times New Roman" w:cs="Times New Roman"/>
              <w:sz w:val="24"/>
              <w:szCs w:val="24"/>
            </w:rPr>
          </w:pPr>
        </w:p>
        <w:p w14:paraId="1CAE094A" w14:textId="44215AF0" w:rsidR="0040327B" w:rsidRPr="0040327B" w:rsidRDefault="00B10CD7" w:rsidP="0040327B">
          <w:pPr>
            <w:jc w:val="center"/>
            <w:rPr>
              <w:rFonts w:ascii="Times New Roman" w:hAnsi="Times New Roman" w:cs="Times New Roman"/>
              <w:sz w:val="24"/>
              <w:szCs w:val="24"/>
            </w:rPr>
          </w:pPr>
          <w:r>
            <w:rPr>
              <w:rFonts w:ascii="Times New Roman" w:hAnsi="Times New Roman" w:cs="Times New Roman"/>
              <w:sz w:val="24"/>
              <w:szCs w:val="24"/>
            </w:rPr>
            <w:t>30</w:t>
          </w:r>
          <w:r w:rsidR="0040327B" w:rsidRPr="0040327B">
            <w:rPr>
              <w:rFonts w:ascii="Times New Roman" w:hAnsi="Times New Roman" w:cs="Times New Roman"/>
              <w:sz w:val="24"/>
              <w:szCs w:val="24"/>
            </w:rPr>
            <w:t>/05/2022</w:t>
          </w:r>
        </w:p>
        <w:p w14:paraId="0A37FA41" w14:textId="20A8FB56" w:rsidR="007D1947" w:rsidRPr="0040327B" w:rsidRDefault="007D1947" w:rsidP="0040327B">
          <w:pPr>
            <w:jc w:val="both"/>
            <w:rPr>
              <w:rFonts w:ascii="Times New Roman" w:hAnsi="Times New Roman" w:cs="Times New Roman"/>
              <w:sz w:val="24"/>
              <w:szCs w:val="24"/>
            </w:rPr>
          </w:pPr>
          <w:r w:rsidRPr="0040327B">
            <w:rPr>
              <w:rFonts w:ascii="Times New Roman" w:hAnsi="Times New Roman" w:cs="Times New Roman"/>
              <w:sz w:val="24"/>
              <w:szCs w:val="24"/>
            </w:rPr>
            <w:br w:type="page"/>
          </w:r>
          <w:bookmarkStart w:id="0" w:name="_Toc104055414"/>
          <w:r w:rsidRPr="0040327B">
            <w:rPr>
              <w:rFonts w:ascii="Times New Roman" w:hAnsi="Times New Roman" w:cs="Times New Roman"/>
              <w:sz w:val="24"/>
              <w:szCs w:val="24"/>
            </w:rPr>
            <w:lastRenderedPageBreak/>
            <w:t>Executive Summary</w:t>
          </w:r>
          <w:bookmarkEnd w:id="0"/>
        </w:p>
        <w:p w14:paraId="4614825B" w14:textId="77777777" w:rsidR="00C45334" w:rsidRPr="0040327B" w:rsidRDefault="00C45334" w:rsidP="0054324F">
          <w:pPr>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The purpose of this report is to analyse the financial information of Hilton Worldwide Holdings Inc. The report will demonstrate how to use ratio analysis to aid decision making. This is a well-known approach to analyse financial information in order to obtain insights and inform management decisions. Hilton is a global company that has numerous hotels in many different countries and it is easy to see how ratios could be useful for this type of company.</w:t>
          </w:r>
        </w:p>
        <w:p w14:paraId="0C547626" w14:textId="1BD9B507" w:rsidR="007D1947" w:rsidRPr="0040327B" w:rsidRDefault="00C45334" w:rsidP="0054324F">
          <w:pPr>
            <w:spacing w:after="0" w:line="480" w:lineRule="auto"/>
            <w:contextualSpacing/>
            <w:jc w:val="both"/>
            <w:rPr>
              <w:rFonts w:ascii="Times New Roman" w:hAnsi="Times New Roman" w:cs="Times New Roman"/>
              <w:sz w:val="24"/>
              <w:szCs w:val="24"/>
            </w:rPr>
          </w:pPr>
          <w:r w:rsidRPr="0040327B">
            <w:rPr>
              <w:rFonts w:ascii="Times New Roman" w:hAnsi="Times New Roman" w:cs="Times New Roman"/>
              <w:sz w:val="24"/>
              <w:szCs w:val="24"/>
            </w:rPr>
            <w:t>The financial ratios that were calculated and analysed were the horizontal, trend, vertical and cyclical ratios. Tables and graphs were used to show the results of the analysis. These ratios gave us a good indication of whether or not Hilton Worldwide Holdings was performing well. From these analyses we found that there was a lot of reasons why Hilton shouldn't be expanding its Hotel business as there was too much debt, it wasn't able to generate enough cash from their operations, it didn't have enough working capital and the return on assets wasn't great either.</w:t>
          </w:r>
        </w:p>
        <w:p w14:paraId="1F455677" w14:textId="77777777" w:rsidR="007D1947" w:rsidRPr="0040327B" w:rsidRDefault="007D1947" w:rsidP="00DD567C">
          <w:pPr>
            <w:spacing w:after="0" w:line="480" w:lineRule="auto"/>
            <w:contextualSpacing/>
            <w:rPr>
              <w:rFonts w:ascii="Times New Roman" w:hAnsi="Times New Roman" w:cs="Times New Roman"/>
              <w:sz w:val="24"/>
              <w:szCs w:val="24"/>
            </w:rPr>
          </w:pPr>
        </w:p>
        <w:p w14:paraId="4212D1B9" w14:textId="77777777" w:rsidR="007D1947" w:rsidRPr="0040327B" w:rsidRDefault="007D1947" w:rsidP="00DD567C">
          <w:pPr>
            <w:spacing w:after="0" w:line="480" w:lineRule="auto"/>
            <w:contextualSpacing/>
            <w:rPr>
              <w:rFonts w:ascii="Times New Roman" w:hAnsi="Times New Roman" w:cs="Times New Roman"/>
              <w:sz w:val="24"/>
              <w:szCs w:val="24"/>
            </w:rPr>
          </w:pPr>
        </w:p>
        <w:p w14:paraId="67046C6A" w14:textId="77777777" w:rsidR="007D1947" w:rsidRPr="0040327B" w:rsidRDefault="007D1947" w:rsidP="00DD567C">
          <w:pPr>
            <w:spacing w:after="0" w:line="480" w:lineRule="auto"/>
            <w:contextualSpacing/>
            <w:rPr>
              <w:rFonts w:ascii="Times New Roman" w:hAnsi="Times New Roman" w:cs="Times New Roman"/>
              <w:sz w:val="24"/>
              <w:szCs w:val="24"/>
            </w:rPr>
          </w:pPr>
        </w:p>
        <w:p w14:paraId="2FBFFFEA" w14:textId="77777777" w:rsidR="007D1947" w:rsidRPr="0040327B" w:rsidRDefault="007D1947" w:rsidP="00DD567C">
          <w:pPr>
            <w:spacing w:after="0" w:line="480" w:lineRule="auto"/>
            <w:contextualSpacing/>
            <w:rPr>
              <w:rFonts w:ascii="Times New Roman" w:hAnsi="Times New Roman" w:cs="Times New Roman"/>
              <w:sz w:val="24"/>
              <w:szCs w:val="24"/>
            </w:rPr>
          </w:pPr>
        </w:p>
        <w:p w14:paraId="73C992F0" w14:textId="77777777" w:rsidR="007D1947" w:rsidRPr="0040327B" w:rsidRDefault="007D1947" w:rsidP="00DD567C">
          <w:pPr>
            <w:spacing w:after="0" w:line="480" w:lineRule="auto"/>
            <w:contextualSpacing/>
            <w:rPr>
              <w:rFonts w:ascii="Times New Roman" w:hAnsi="Times New Roman" w:cs="Times New Roman"/>
              <w:sz w:val="24"/>
              <w:szCs w:val="24"/>
            </w:rPr>
          </w:pPr>
        </w:p>
        <w:p w14:paraId="171706B6" w14:textId="77777777" w:rsidR="007D1947" w:rsidRPr="0040327B" w:rsidRDefault="007D1947" w:rsidP="00DD567C">
          <w:pPr>
            <w:spacing w:after="0" w:line="480" w:lineRule="auto"/>
            <w:contextualSpacing/>
            <w:rPr>
              <w:rFonts w:ascii="Times New Roman" w:hAnsi="Times New Roman" w:cs="Times New Roman"/>
              <w:sz w:val="24"/>
              <w:szCs w:val="24"/>
            </w:rPr>
          </w:pPr>
        </w:p>
        <w:p w14:paraId="696941F7" w14:textId="77777777" w:rsidR="007D1947" w:rsidRPr="0040327B" w:rsidRDefault="007D1947" w:rsidP="00DD567C">
          <w:pPr>
            <w:spacing w:after="0" w:line="480" w:lineRule="auto"/>
            <w:contextualSpacing/>
            <w:rPr>
              <w:rFonts w:ascii="Times New Roman" w:hAnsi="Times New Roman" w:cs="Times New Roman"/>
              <w:sz w:val="24"/>
              <w:szCs w:val="24"/>
            </w:rPr>
          </w:pPr>
        </w:p>
        <w:p w14:paraId="0614965F" w14:textId="77777777" w:rsidR="007D1947" w:rsidRPr="0040327B" w:rsidRDefault="007D1947" w:rsidP="00DD567C">
          <w:pPr>
            <w:spacing w:after="0" w:line="480" w:lineRule="auto"/>
            <w:contextualSpacing/>
            <w:rPr>
              <w:rFonts w:ascii="Times New Roman" w:hAnsi="Times New Roman" w:cs="Times New Roman"/>
              <w:sz w:val="24"/>
              <w:szCs w:val="24"/>
            </w:rPr>
          </w:pPr>
        </w:p>
        <w:p w14:paraId="5ED974BB" w14:textId="77777777" w:rsidR="007D1947" w:rsidRPr="0040327B" w:rsidRDefault="007D1947" w:rsidP="00DD567C">
          <w:pPr>
            <w:spacing w:after="0" w:line="480" w:lineRule="auto"/>
            <w:contextualSpacing/>
            <w:rPr>
              <w:rFonts w:ascii="Times New Roman" w:hAnsi="Times New Roman" w:cs="Times New Roman"/>
              <w:sz w:val="24"/>
              <w:szCs w:val="24"/>
            </w:rPr>
          </w:pPr>
        </w:p>
        <w:p w14:paraId="13B1C7C4" w14:textId="7BD6EEAA" w:rsidR="007D1947" w:rsidRPr="0040327B" w:rsidRDefault="007D1947" w:rsidP="00DD567C">
          <w:pPr>
            <w:spacing w:after="0" w:line="480" w:lineRule="auto"/>
            <w:contextualSpacing/>
            <w:rPr>
              <w:rFonts w:ascii="Times New Roman" w:hAnsi="Times New Roman" w:cs="Times New Roman"/>
              <w:sz w:val="24"/>
              <w:szCs w:val="24"/>
            </w:rPr>
          </w:pPr>
        </w:p>
        <w:p w14:paraId="26495A02" w14:textId="77777777" w:rsidR="007D1947" w:rsidRPr="0040327B" w:rsidRDefault="007D1947" w:rsidP="00DD567C">
          <w:pPr>
            <w:spacing w:after="0" w:line="480" w:lineRule="auto"/>
            <w:contextualSpacing/>
            <w:rPr>
              <w:rFonts w:ascii="Times New Roman" w:hAnsi="Times New Roman" w:cs="Times New Roman"/>
              <w:sz w:val="24"/>
              <w:szCs w:val="24"/>
            </w:rPr>
          </w:pPr>
        </w:p>
        <w:p w14:paraId="670ED438" w14:textId="77777777" w:rsidR="007D1947" w:rsidRPr="0040327B" w:rsidRDefault="007D1947" w:rsidP="00DD567C">
          <w:pPr>
            <w:spacing w:after="0" w:line="480" w:lineRule="auto"/>
            <w:contextualSpacing/>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297214018"/>
            <w:docPartObj>
              <w:docPartGallery w:val="Table of Contents"/>
              <w:docPartUnique/>
            </w:docPartObj>
          </w:sdtPr>
          <w:sdtEndPr>
            <w:rPr>
              <w:b/>
              <w:bCs/>
              <w:noProof/>
            </w:rPr>
          </w:sdtEndPr>
          <w:sdtContent>
            <w:p w14:paraId="3EF04BD9" w14:textId="77777777" w:rsidR="007D1947" w:rsidRPr="0040327B" w:rsidRDefault="007D1947" w:rsidP="00DD567C">
              <w:pPr>
                <w:pStyle w:val="Titlucuprins"/>
                <w:spacing w:before="0" w:line="480" w:lineRule="auto"/>
                <w:contextualSpacing/>
                <w:rPr>
                  <w:rFonts w:ascii="Times New Roman" w:hAnsi="Times New Roman" w:cs="Times New Roman"/>
                  <w:color w:val="auto"/>
                  <w:sz w:val="24"/>
                  <w:szCs w:val="24"/>
                </w:rPr>
              </w:pPr>
              <w:r w:rsidRPr="0040327B">
                <w:rPr>
                  <w:rFonts w:ascii="Times New Roman" w:hAnsi="Times New Roman" w:cs="Times New Roman"/>
                  <w:color w:val="auto"/>
                  <w:sz w:val="24"/>
                  <w:szCs w:val="24"/>
                </w:rPr>
                <w:t>Table of Contents</w:t>
              </w:r>
            </w:p>
            <w:p w14:paraId="25EAA269" w14:textId="4AB4EF41" w:rsidR="00956E91" w:rsidRPr="0040327B" w:rsidRDefault="007D1947">
              <w:pPr>
                <w:pStyle w:val="Cuprins1"/>
                <w:tabs>
                  <w:tab w:val="right" w:leader="dot" w:pos="9016"/>
                </w:tabs>
                <w:rPr>
                  <w:rFonts w:eastAsiaTheme="minorEastAsia"/>
                  <w:noProof/>
                  <w:lang w:val="en-US"/>
                </w:rPr>
              </w:pPr>
              <w:r w:rsidRPr="0040327B">
                <w:rPr>
                  <w:rFonts w:ascii="Times New Roman" w:hAnsi="Times New Roman" w:cs="Times New Roman"/>
                  <w:sz w:val="24"/>
                  <w:szCs w:val="24"/>
                </w:rPr>
                <w:fldChar w:fldCharType="begin"/>
              </w:r>
              <w:r w:rsidRPr="0040327B">
                <w:rPr>
                  <w:rFonts w:ascii="Times New Roman" w:hAnsi="Times New Roman" w:cs="Times New Roman"/>
                  <w:sz w:val="24"/>
                  <w:szCs w:val="24"/>
                </w:rPr>
                <w:instrText xml:space="preserve"> TOC \o "1-3" \h \z \u </w:instrText>
              </w:r>
              <w:r w:rsidRPr="0040327B">
                <w:rPr>
                  <w:rFonts w:ascii="Times New Roman" w:hAnsi="Times New Roman" w:cs="Times New Roman"/>
                  <w:sz w:val="24"/>
                  <w:szCs w:val="24"/>
                </w:rPr>
                <w:fldChar w:fldCharType="separate"/>
              </w:r>
              <w:hyperlink w:anchor="_Toc104055414" w:history="1">
                <w:r w:rsidR="00956E91" w:rsidRPr="0040327B">
                  <w:rPr>
                    <w:rStyle w:val="Hyperlink"/>
                    <w:rFonts w:ascii="Times New Roman" w:hAnsi="Times New Roman" w:cs="Times New Roman"/>
                    <w:noProof/>
                    <w:color w:val="auto"/>
                  </w:rPr>
                  <w:t>Executive Summary</w:t>
                </w:r>
                <w:r w:rsidR="00956E91" w:rsidRPr="0040327B">
                  <w:rPr>
                    <w:noProof/>
                    <w:webHidden/>
                  </w:rPr>
                  <w:tab/>
                </w:r>
                <w:r w:rsidR="00956E91" w:rsidRPr="0040327B">
                  <w:rPr>
                    <w:noProof/>
                    <w:webHidden/>
                  </w:rPr>
                  <w:fldChar w:fldCharType="begin"/>
                </w:r>
                <w:r w:rsidR="00956E91" w:rsidRPr="0040327B">
                  <w:rPr>
                    <w:noProof/>
                    <w:webHidden/>
                  </w:rPr>
                  <w:instrText xml:space="preserve"> PAGEREF _Toc104055414 \h </w:instrText>
                </w:r>
                <w:r w:rsidR="00956E91" w:rsidRPr="0040327B">
                  <w:rPr>
                    <w:noProof/>
                    <w:webHidden/>
                  </w:rPr>
                </w:r>
                <w:r w:rsidR="00956E91" w:rsidRPr="0040327B">
                  <w:rPr>
                    <w:noProof/>
                    <w:webHidden/>
                  </w:rPr>
                  <w:fldChar w:fldCharType="separate"/>
                </w:r>
                <w:r w:rsidR="00956E91" w:rsidRPr="0040327B">
                  <w:rPr>
                    <w:noProof/>
                    <w:webHidden/>
                  </w:rPr>
                  <w:t>1</w:t>
                </w:r>
                <w:r w:rsidR="00956E91" w:rsidRPr="0040327B">
                  <w:rPr>
                    <w:noProof/>
                    <w:webHidden/>
                  </w:rPr>
                  <w:fldChar w:fldCharType="end"/>
                </w:r>
              </w:hyperlink>
            </w:p>
            <w:p w14:paraId="35656DBD" w14:textId="5D3C8255" w:rsidR="00956E91" w:rsidRPr="0040327B" w:rsidRDefault="004A0906">
              <w:pPr>
                <w:pStyle w:val="Cuprins1"/>
                <w:tabs>
                  <w:tab w:val="right" w:leader="dot" w:pos="9016"/>
                </w:tabs>
                <w:rPr>
                  <w:rFonts w:eastAsiaTheme="minorEastAsia"/>
                  <w:noProof/>
                  <w:lang w:val="en-US"/>
                </w:rPr>
              </w:pPr>
              <w:hyperlink w:anchor="_Toc104055415" w:history="1">
                <w:r w:rsidR="00956E91" w:rsidRPr="0040327B">
                  <w:rPr>
                    <w:rStyle w:val="Hyperlink"/>
                    <w:rFonts w:ascii="Times New Roman" w:hAnsi="Times New Roman" w:cs="Times New Roman"/>
                    <w:noProof/>
                    <w:color w:val="auto"/>
                  </w:rPr>
                  <w:t>Introduction</w:t>
                </w:r>
                <w:r w:rsidR="00956E91" w:rsidRPr="0040327B">
                  <w:rPr>
                    <w:noProof/>
                    <w:webHidden/>
                  </w:rPr>
                  <w:tab/>
                </w:r>
                <w:r w:rsidR="00956E91" w:rsidRPr="0040327B">
                  <w:rPr>
                    <w:noProof/>
                    <w:webHidden/>
                  </w:rPr>
                  <w:fldChar w:fldCharType="begin"/>
                </w:r>
                <w:r w:rsidR="00956E91" w:rsidRPr="0040327B">
                  <w:rPr>
                    <w:noProof/>
                    <w:webHidden/>
                  </w:rPr>
                  <w:instrText xml:space="preserve"> PAGEREF _Toc104055415 \h </w:instrText>
                </w:r>
                <w:r w:rsidR="00956E91" w:rsidRPr="0040327B">
                  <w:rPr>
                    <w:noProof/>
                    <w:webHidden/>
                  </w:rPr>
                </w:r>
                <w:r w:rsidR="00956E91" w:rsidRPr="0040327B">
                  <w:rPr>
                    <w:noProof/>
                    <w:webHidden/>
                  </w:rPr>
                  <w:fldChar w:fldCharType="separate"/>
                </w:r>
                <w:r w:rsidR="00956E91" w:rsidRPr="0040327B">
                  <w:rPr>
                    <w:noProof/>
                    <w:webHidden/>
                  </w:rPr>
                  <w:t>3</w:t>
                </w:r>
                <w:r w:rsidR="00956E91" w:rsidRPr="0040327B">
                  <w:rPr>
                    <w:noProof/>
                    <w:webHidden/>
                  </w:rPr>
                  <w:fldChar w:fldCharType="end"/>
                </w:r>
              </w:hyperlink>
            </w:p>
            <w:p w14:paraId="0F2FAC1A" w14:textId="6B14AD5C" w:rsidR="00956E91" w:rsidRPr="0040327B" w:rsidRDefault="004A0906">
              <w:pPr>
                <w:pStyle w:val="Cuprins1"/>
                <w:tabs>
                  <w:tab w:val="right" w:leader="dot" w:pos="9016"/>
                </w:tabs>
                <w:rPr>
                  <w:rFonts w:eastAsiaTheme="minorEastAsia"/>
                  <w:noProof/>
                  <w:lang w:val="en-US"/>
                </w:rPr>
              </w:pPr>
              <w:hyperlink w:anchor="_Toc104055416" w:history="1">
                <w:r w:rsidR="00956E91" w:rsidRPr="0040327B">
                  <w:rPr>
                    <w:rStyle w:val="Hyperlink"/>
                    <w:rFonts w:ascii="Times New Roman" w:hAnsi="Times New Roman" w:cs="Times New Roman"/>
                    <w:noProof/>
                    <w:color w:val="auto"/>
                  </w:rPr>
                  <w:t>Financial Analysis</w:t>
                </w:r>
                <w:r w:rsidR="00956E91" w:rsidRPr="0040327B">
                  <w:rPr>
                    <w:noProof/>
                    <w:webHidden/>
                  </w:rPr>
                  <w:tab/>
                </w:r>
                <w:r w:rsidR="00956E91" w:rsidRPr="0040327B">
                  <w:rPr>
                    <w:noProof/>
                    <w:webHidden/>
                  </w:rPr>
                  <w:fldChar w:fldCharType="begin"/>
                </w:r>
                <w:r w:rsidR="00956E91" w:rsidRPr="0040327B">
                  <w:rPr>
                    <w:noProof/>
                    <w:webHidden/>
                  </w:rPr>
                  <w:instrText xml:space="preserve"> PAGEREF _Toc104055416 \h </w:instrText>
                </w:r>
                <w:r w:rsidR="00956E91" w:rsidRPr="0040327B">
                  <w:rPr>
                    <w:noProof/>
                    <w:webHidden/>
                  </w:rPr>
                </w:r>
                <w:r w:rsidR="00956E91" w:rsidRPr="0040327B">
                  <w:rPr>
                    <w:noProof/>
                    <w:webHidden/>
                  </w:rPr>
                  <w:fldChar w:fldCharType="separate"/>
                </w:r>
                <w:r w:rsidR="00956E91" w:rsidRPr="0040327B">
                  <w:rPr>
                    <w:noProof/>
                    <w:webHidden/>
                  </w:rPr>
                  <w:t>4</w:t>
                </w:r>
                <w:r w:rsidR="00956E91" w:rsidRPr="0040327B">
                  <w:rPr>
                    <w:noProof/>
                    <w:webHidden/>
                  </w:rPr>
                  <w:fldChar w:fldCharType="end"/>
                </w:r>
              </w:hyperlink>
            </w:p>
            <w:p w14:paraId="32EA1D04" w14:textId="626D92FD" w:rsidR="00956E91" w:rsidRPr="0040327B" w:rsidRDefault="004A0906">
              <w:pPr>
                <w:pStyle w:val="Cuprins1"/>
                <w:tabs>
                  <w:tab w:val="right" w:leader="dot" w:pos="9016"/>
                </w:tabs>
                <w:rPr>
                  <w:rFonts w:eastAsiaTheme="minorEastAsia"/>
                  <w:noProof/>
                  <w:lang w:val="en-US"/>
                </w:rPr>
              </w:pPr>
              <w:hyperlink w:anchor="_Toc104055417" w:history="1">
                <w:r w:rsidR="00956E91" w:rsidRPr="0040327B">
                  <w:rPr>
                    <w:rStyle w:val="Hyperlink"/>
                    <w:rFonts w:ascii="Times New Roman" w:hAnsi="Times New Roman" w:cs="Times New Roman"/>
                    <w:noProof/>
                    <w:color w:val="auto"/>
                  </w:rPr>
                  <w:t>Financial Analysis Trends</w:t>
                </w:r>
                <w:r w:rsidR="00956E91" w:rsidRPr="0040327B">
                  <w:rPr>
                    <w:noProof/>
                    <w:webHidden/>
                  </w:rPr>
                  <w:tab/>
                </w:r>
                <w:r w:rsidR="00956E91" w:rsidRPr="0040327B">
                  <w:rPr>
                    <w:noProof/>
                    <w:webHidden/>
                  </w:rPr>
                  <w:fldChar w:fldCharType="begin"/>
                </w:r>
                <w:r w:rsidR="00956E91" w:rsidRPr="0040327B">
                  <w:rPr>
                    <w:noProof/>
                    <w:webHidden/>
                  </w:rPr>
                  <w:instrText xml:space="preserve"> PAGEREF _Toc104055417 \h </w:instrText>
                </w:r>
                <w:r w:rsidR="00956E91" w:rsidRPr="0040327B">
                  <w:rPr>
                    <w:noProof/>
                    <w:webHidden/>
                  </w:rPr>
                </w:r>
                <w:r w:rsidR="00956E91" w:rsidRPr="0040327B">
                  <w:rPr>
                    <w:noProof/>
                    <w:webHidden/>
                  </w:rPr>
                  <w:fldChar w:fldCharType="separate"/>
                </w:r>
                <w:r w:rsidR="00956E91" w:rsidRPr="0040327B">
                  <w:rPr>
                    <w:noProof/>
                    <w:webHidden/>
                  </w:rPr>
                  <w:t>6</w:t>
                </w:r>
                <w:r w:rsidR="00956E91" w:rsidRPr="0040327B">
                  <w:rPr>
                    <w:noProof/>
                    <w:webHidden/>
                  </w:rPr>
                  <w:fldChar w:fldCharType="end"/>
                </w:r>
              </w:hyperlink>
            </w:p>
            <w:p w14:paraId="5A67E570" w14:textId="79E30296" w:rsidR="00956E91" w:rsidRPr="0040327B" w:rsidRDefault="004A0906">
              <w:pPr>
                <w:pStyle w:val="Cuprins1"/>
                <w:tabs>
                  <w:tab w:val="right" w:leader="dot" w:pos="9016"/>
                </w:tabs>
                <w:rPr>
                  <w:rFonts w:eastAsiaTheme="minorEastAsia"/>
                  <w:noProof/>
                  <w:lang w:val="en-US"/>
                </w:rPr>
              </w:pPr>
              <w:hyperlink w:anchor="_Toc104055418" w:history="1">
                <w:r w:rsidR="00956E91" w:rsidRPr="0040327B">
                  <w:rPr>
                    <w:rStyle w:val="Hyperlink"/>
                    <w:rFonts w:ascii="Times New Roman" w:hAnsi="Times New Roman" w:cs="Times New Roman"/>
                    <w:noProof/>
                    <w:color w:val="auto"/>
                  </w:rPr>
                  <w:t>Ratio Analysis Tool for Decision Making</w:t>
                </w:r>
                <w:r w:rsidR="00956E91" w:rsidRPr="0040327B">
                  <w:rPr>
                    <w:noProof/>
                    <w:webHidden/>
                  </w:rPr>
                  <w:tab/>
                </w:r>
                <w:r w:rsidR="00956E91" w:rsidRPr="0040327B">
                  <w:rPr>
                    <w:noProof/>
                    <w:webHidden/>
                  </w:rPr>
                  <w:fldChar w:fldCharType="begin"/>
                </w:r>
                <w:r w:rsidR="00956E91" w:rsidRPr="0040327B">
                  <w:rPr>
                    <w:noProof/>
                    <w:webHidden/>
                  </w:rPr>
                  <w:instrText xml:space="preserve"> PAGEREF _Toc104055418 \h </w:instrText>
                </w:r>
                <w:r w:rsidR="00956E91" w:rsidRPr="0040327B">
                  <w:rPr>
                    <w:noProof/>
                    <w:webHidden/>
                  </w:rPr>
                </w:r>
                <w:r w:rsidR="00956E91" w:rsidRPr="0040327B">
                  <w:rPr>
                    <w:noProof/>
                    <w:webHidden/>
                  </w:rPr>
                  <w:fldChar w:fldCharType="separate"/>
                </w:r>
                <w:r w:rsidR="00956E91" w:rsidRPr="0040327B">
                  <w:rPr>
                    <w:noProof/>
                    <w:webHidden/>
                  </w:rPr>
                  <w:t>10</w:t>
                </w:r>
                <w:r w:rsidR="00956E91" w:rsidRPr="0040327B">
                  <w:rPr>
                    <w:noProof/>
                    <w:webHidden/>
                  </w:rPr>
                  <w:fldChar w:fldCharType="end"/>
                </w:r>
              </w:hyperlink>
            </w:p>
            <w:p w14:paraId="5ED9E25C" w14:textId="120563DC" w:rsidR="00956E91" w:rsidRPr="0040327B" w:rsidRDefault="004A0906">
              <w:pPr>
                <w:pStyle w:val="Cuprins1"/>
                <w:tabs>
                  <w:tab w:val="right" w:leader="dot" w:pos="9016"/>
                </w:tabs>
                <w:rPr>
                  <w:rFonts w:eastAsiaTheme="minorEastAsia"/>
                  <w:noProof/>
                  <w:lang w:val="en-US"/>
                </w:rPr>
              </w:pPr>
              <w:hyperlink w:anchor="_Toc104055419" w:history="1">
                <w:r w:rsidR="00956E91" w:rsidRPr="0040327B">
                  <w:rPr>
                    <w:rStyle w:val="Hyperlink"/>
                    <w:rFonts w:ascii="Times New Roman" w:hAnsi="Times New Roman" w:cs="Times New Roman"/>
                    <w:noProof/>
                    <w:color w:val="auto"/>
                  </w:rPr>
                  <w:t>Limitation of Ratio Analysis</w:t>
                </w:r>
                <w:r w:rsidR="00956E91" w:rsidRPr="0040327B">
                  <w:rPr>
                    <w:noProof/>
                    <w:webHidden/>
                  </w:rPr>
                  <w:tab/>
                </w:r>
                <w:r w:rsidR="00956E91" w:rsidRPr="0040327B">
                  <w:rPr>
                    <w:noProof/>
                    <w:webHidden/>
                  </w:rPr>
                  <w:fldChar w:fldCharType="begin"/>
                </w:r>
                <w:r w:rsidR="00956E91" w:rsidRPr="0040327B">
                  <w:rPr>
                    <w:noProof/>
                    <w:webHidden/>
                  </w:rPr>
                  <w:instrText xml:space="preserve"> PAGEREF _Toc104055419 \h </w:instrText>
                </w:r>
                <w:r w:rsidR="00956E91" w:rsidRPr="0040327B">
                  <w:rPr>
                    <w:noProof/>
                    <w:webHidden/>
                  </w:rPr>
                </w:r>
                <w:r w:rsidR="00956E91" w:rsidRPr="0040327B">
                  <w:rPr>
                    <w:noProof/>
                    <w:webHidden/>
                  </w:rPr>
                  <w:fldChar w:fldCharType="separate"/>
                </w:r>
                <w:r w:rsidR="00956E91" w:rsidRPr="0040327B">
                  <w:rPr>
                    <w:noProof/>
                    <w:webHidden/>
                  </w:rPr>
                  <w:t>13</w:t>
                </w:r>
                <w:r w:rsidR="00956E91" w:rsidRPr="0040327B">
                  <w:rPr>
                    <w:noProof/>
                    <w:webHidden/>
                  </w:rPr>
                  <w:fldChar w:fldCharType="end"/>
                </w:r>
              </w:hyperlink>
            </w:p>
            <w:p w14:paraId="67CDDA1B" w14:textId="3D31732C" w:rsidR="00956E91" w:rsidRPr="0040327B" w:rsidRDefault="004A0906">
              <w:pPr>
                <w:pStyle w:val="Cuprins1"/>
                <w:tabs>
                  <w:tab w:val="right" w:leader="dot" w:pos="9016"/>
                </w:tabs>
                <w:rPr>
                  <w:rFonts w:eastAsiaTheme="minorEastAsia"/>
                  <w:noProof/>
                  <w:lang w:val="en-US"/>
                </w:rPr>
              </w:pPr>
              <w:hyperlink w:anchor="_Toc104055420" w:history="1">
                <w:r w:rsidR="00956E91" w:rsidRPr="0040327B">
                  <w:rPr>
                    <w:rStyle w:val="Hyperlink"/>
                    <w:rFonts w:ascii="Times New Roman" w:hAnsi="Times New Roman" w:cs="Times New Roman"/>
                    <w:noProof/>
                    <w:color w:val="auto"/>
                  </w:rPr>
                  <w:t>Conclusion</w:t>
                </w:r>
                <w:r w:rsidR="00956E91" w:rsidRPr="0040327B">
                  <w:rPr>
                    <w:noProof/>
                    <w:webHidden/>
                  </w:rPr>
                  <w:tab/>
                </w:r>
                <w:r w:rsidR="00956E91" w:rsidRPr="0040327B">
                  <w:rPr>
                    <w:noProof/>
                    <w:webHidden/>
                  </w:rPr>
                  <w:fldChar w:fldCharType="begin"/>
                </w:r>
                <w:r w:rsidR="00956E91" w:rsidRPr="0040327B">
                  <w:rPr>
                    <w:noProof/>
                    <w:webHidden/>
                  </w:rPr>
                  <w:instrText xml:space="preserve"> PAGEREF _Toc104055420 \h </w:instrText>
                </w:r>
                <w:r w:rsidR="00956E91" w:rsidRPr="0040327B">
                  <w:rPr>
                    <w:noProof/>
                    <w:webHidden/>
                  </w:rPr>
                </w:r>
                <w:r w:rsidR="00956E91" w:rsidRPr="0040327B">
                  <w:rPr>
                    <w:noProof/>
                    <w:webHidden/>
                  </w:rPr>
                  <w:fldChar w:fldCharType="separate"/>
                </w:r>
                <w:r w:rsidR="00956E91" w:rsidRPr="0040327B">
                  <w:rPr>
                    <w:noProof/>
                    <w:webHidden/>
                  </w:rPr>
                  <w:t>14</w:t>
                </w:r>
                <w:r w:rsidR="00956E91" w:rsidRPr="0040327B">
                  <w:rPr>
                    <w:noProof/>
                    <w:webHidden/>
                  </w:rPr>
                  <w:fldChar w:fldCharType="end"/>
                </w:r>
              </w:hyperlink>
            </w:p>
            <w:p w14:paraId="5F353338" w14:textId="7FB6A3AD" w:rsidR="00956E91" w:rsidRPr="0040327B" w:rsidRDefault="004A0906">
              <w:pPr>
                <w:pStyle w:val="Cuprins1"/>
                <w:tabs>
                  <w:tab w:val="right" w:leader="dot" w:pos="9016"/>
                </w:tabs>
                <w:rPr>
                  <w:rFonts w:eastAsiaTheme="minorEastAsia"/>
                  <w:noProof/>
                  <w:lang w:val="en-US"/>
                </w:rPr>
              </w:pPr>
              <w:hyperlink w:anchor="_Toc104055421" w:history="1">
                <w:r w:rsidR="00956E91" w:rsidRPr="0040327B">
                  <w:rPr>
                    <w:rStyle w:val="Hyperlink"/>
                    <w:rFonts w:ascii="Times New Roman" w:hAnsi="Times New Roman" w:cs="Times New Roman"/>
                    <w:noProof/>
                    <w:color w:val="auto"/>
                  </w:rPr>
                  <w:t>Bibliography</w:t>
                </w:r>
                <w:r w:rsidR="00956E91" w:rsidRPr="0040327B">
                  <w:rPr>
                    <w:noProof/>
                    <w:webHidden/>
                  </w:rPr>
                  <w:tab/>
                </w:r>
                <w:r w:rsidR="00956E91" w:rsidRPr="0040327B">
                  <w:rPr>
                    <w:noProof/>
                    <w:webHidden/>
                  </w:rPr>
                  <w:fldChar w:fldCharType="begin"/>
                </w:r>
                <w:r w:rsidR="00956E91" w:rsidRPr="0040327B">
                  <w:rPr>
                    <w:noProof/>
                    <w:webHidden/>
                  </w:rPr>
                  <w:instrText xml:space="preserve"> PAGEREF _Toc104055421 \h </w:instrText>
                </w:r>
                <w:r w:rsidR="00956E91" w:rsidRPr="0040327B">
                  <w:rPr>
                    <w:noProof/>
                    <w:webHidden/>
                  </w:rPr>
                </w:r>
                <w:r w:rsidR="00956E91" w:rsidRPr="0040327B">
                  <w:rPr>
                    <w:noProof/>
                    <w:webHidden/>
                  </w:rPr>
                  <w:fldChar w:fldCharType="separate"/>
                </w:r>
                <w:r w:rsidR="00956E91" w:rsidRPr="0040327B">
                  <w:rPr>
                    <w:noProof/>
                    <w:webHidden/>
                  </w:rPr>
                  <w:t>15</w:t>
                </w:r>
                <w:r w:rsidR="00956E91" w:rsidRPr="0040327B">
                  <w:rPr>
                    <w:noProof/>
                    <w:webHidden/>
                  </w:rPr>
                  <w:fldChar w:fldCharType="end"/>
                </w:r>
              </w:hyperlink>
            </w:p>
            <w:p w14:paraId="3BC68F25" w14:textId="54AA5779" w:rsidR="007D1947" w:rsidRPr="0040327B" w:rsidRDefault="007D1947" w:rsidP="00DD567C">
              <w:pPr>
                <w:spacing w:after="0" w:line="480" w:lineRule="auto"/>
                <w:contextualSpacing/>
                <w:rPr>
                  <w:rFonts w:ascii="Times New Roman" w:hAnsi="Times New Roman" w:cs="Times New Roman"/>
                  <w:sz w:val="24"/>
                  <w:szCs w:val="24"/>
                </w:rPr>
              </w:pPr>
              <w:r w:rsidRPr="0040327B">
                <w:rPr>
                  <w:rFonts w:ascii="Times New Roman" w:hAnsi="Times New Roman" w:cs="Times New Roman"/>
                  <w:b/>
                  <w:bCs/>
                  <w:noProof/>
                  <w:sz w:val="24"/>
                  <w:szCs w:val="24"/>
                </w:rPr>
                <w:fldChar w:fldCharType="end"/>
              </w:r>
              <w:r w:rsidR="00094594" w:rsidRPr="0040327B">
                <w:rPr>
                  <w:rFonts w:ascii="Times New Roman" w:hAnsi="Times New Roman" w:cs="Times New Roman"/>
                  <w:b/>
                  <w:bCs/>
                  <w:noProof/>
                  <w:sz w:val="24"/>
                  <w:szCs w:val="24"/>
                </w:rPr>
                <w:t xml:space="preserve"> </w:t>
              </w:r>
            </w:p>
          </w:sdtContent>
        </w:sdt>
        <w:p w14:paraId="4B6E43C0" w14:textId="77777777" w:rsidR="007D1947" w:rsidRPr="0040327B" w:rsidRDefault="007D1947" w:rsidP="00DD567C">
          <w:pPr>
            <w:spacing w:after="0" w:line="480" w:lineRule="auto"/>
            <w:contextualSpacing/>
            <w:rPr>
              <w:rFonts w:ascii="Times New Roman" w:hAnsi="Times New Roman" w:cs="Times New Roman"/>
              <w:sz w:val="24"/>
              <w:szCs w:val="24"/>
            </w:rPr>
          </w:pPr>
        </w:p>
        <w:p w14:paraId="4642D6F9" w14:textId="77777777" w:rsidR="003578A1" w:rsidRPr="0040327B" w:rsidRDefault="003578A1">
          <w:pPr>
            <w:rPr>
              <w:rFonts w:ascii="Times New Roman" w:eastAsiaTheme="majorEastAsia" w:hAnsi="Times New Roman" w:cs="Times New Roman"/>
              <w:sz w:val="24"/>
              <w:szCs w:val="24"/>
            </w:rPr>
          </w:pPr>
          <w:r w:rsidRPr="0040327B">
            <w:rPr>
              <w:rFonts w:ascii="Times New Roman" w:hAnsi="Times New Roman" w:cs="Times New Roman"/>
              <w:sz w:val="24"/>
              <w:szCs w:val="24"/>
            </w:rPr>
            <w:br w:type="page"/>
          </w:r>
        </w:p>
        <w:p w14:paraId="33FC2C21" w14:textId="6A0E6B9A" w:rsidR="007D1947" w:rsidRPr="0040327B" w:rsidRDefault="007D1947" w:rsidP="0040327B">
          <w:pPr>
            <w:pStyle w:val="Titlu1"/>
            <w:spacing w:before="0" w:line="480" w:lineRule="auto"/>
            <w:contextualSpacing/>
            <w:jc w:val="both"/>
            <w:rPr>
              <w:rFonts w:ascii="Times New Roman" w:hAnsi="Times New Roman" w:cs="Times New Roman"/>
              <w:color w:val="auto"/>
              <w:sz w:val="24"/>
              <w:szCs w:val="24"/>
            </w:rPr>
          </w:pPr>
          <w:bookmarkStart w:id="1" w:name="_Toc104055415"/>
          <w:r w:rsidRPr="0040327B">
            <w:rPr>
              <w:rFonts w:ascii="Times New Roman" w:hAnsi="Times New Roman" w:cs="Times New Roman"/>
              <w:color w:val="auto"/>
              <w:sz w:val="24"/>
              <w:szCs w:val="24"/>
            </w:rPr>
            <w:lastRenderedPageBreak/>
            <w:t>Introduction</w:t>
          </w:r>
          <w:bookmarkEnd w:id="1"/>
        </w:p>
        <w:p w14:paraId="2C684020" w14:textId="50A8D623" w:rsidR="009726AA" w:rsidRPr="0040327B" w:rsidRDefault="00D15D1F" w:rsidP="0040327B">
          <w:pPr>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 xml:space="preserve">Hilton is a Global company with thousands of hotels around the world. This report analyses the financial statements of Hilton Worldwide Holdings Inc. The company composes of two main subsidiaries; Hilton Grand Vacations </w:t>
          </w:r>
          <w:r w:rsidR="00AA7063" w:rsidRPr="0040327B">
            <w:rPr>
              <w:rFonts w:ascii="Times New Roman" w:hAnsi="Times New Roman" w:cs="Times New Roman"/>
              <w:sz w:val="24"/>
              <w:szCs w:val="24"/>
            </w:rPr>
            <w:t>Inc.</w:t>
          </w:r>
          <w:r w:rsidRPr="0040327B">
            <w:rPr>
              <w:rFonts w:ascii="Times New Roman" w:hAnsi="Times New Roman" w:cs="Times New Roman"/>
              <w:sz w:val="24"/>
              <w:szCs w:val="24"/>
            </w:rPr>
            <w:t xml:space="preserve"> and Hilton Hotels Corporation. This paper will analyse the Horizontal Analysis of the financial statements prepared by a senior manager for the Chief Executive Officer. The financial statements were taken from the company’s website. In order to analyse Hilton's financial statements, common ratios are used such as: debt ratio, net profit margin and Return on Assets (ROA). The debt ratio is one of the most important ratios that are usually used when analysing a company's financial performance, especially when analysing its financial position or profitability.</w:t>
          </w:r>
        </w:p>
        <w:p w14:paraId="3605F746" w14:textId="77777777" w:rsidR="009726AA" w:rsidRPr="0040327B" w:rsidRDefault="00D15D1F" w:rsidP="0040327B">
          <w:pPr>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These financial ratios are important to Hilton's management as this could affect future operations and final decisions. The working capital ratio, for example, will be used to evaluate Hilton's ability to operate as a going concern. This has a lot of importance as the company has many hotels in different countries, it is not profitable and in the long run it will not be able to operate as a going concern.</w:t>
          </w:r>
        </w:p>
        <w:p w14:paraId="308280B1" w14:textId="77777777" w:rsidR="009A62ED" w:rsidRPr="0040327B" w:rsidRDefault="00D15D1F" w:rsidP="0040327B">
          <w:pPr>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 xml:space="preserve">The report aims to demonstrate how the financial statements can be analysed using ratios, in order to provide management with good insights into the business. This report will also evidence how they are used to inform management decisions, which is an important part of the job as a financial controller or </w:t>
          </w:r>
          <w:bookmarkStart w:id="2" w:name="_GoBack"/>
          <w:bookmarkEnd w:id="2"/>
          <w:r w:rsidRPr="0040327B">
            <w:rPr>
              <w:rFonts w:ascii="Times New Roman" w:hAnsi="Times New Roman" w:cs="Times New Roman"/>
              <w:sz w:val="24"/>
              <w:szCs w:val="24"/>
            </w:rPr>
            <w:t>chief executive officer. Horizontal Analysis gives us the tendency of Hilton's income, assets and liabilities over the last two years (2019 and 2020).  This shows us that Hilton has been expanding their hotel business while they have not been able to maintain their assets, as they have invested on a lot of assets (for example build new hotels; acquire or franchised hotels).  As Hilton has invested a lot in growth which is shown by the trend ratio, letting them move forward and achieve good results.</w:t>
          </w:r>
        </w:p>
        <w:p w14:paraId="6A723824" w14:textId="01EBFE7E" w:rsidR="00594595" w:rsidRPr="0040327B" w:rsidRDefault="00D15D1F" w:rsidP="0040327B">
          <w:pPr>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lastRenderedPageBreak/>
            <w:t>Horizontal analysis is used in accounting to evaluate the financial performance of a company by comparing the current period with another period (such as prior year)</w:t>
          </w:r>
          <w:r w:rsidR="003D35B4" w:rsidRPr="0040327B">
            <w:rPr>
              <w:rFonts w:ascii="Times New Roman" w:hAnsi="Times New Roman" w:cs="Times New Roman"/>
              <w:sz w:val="24"/>
              <w:szCs w:val="24"/>
            </w:rPr>
            <w:t xml:space="preserve"> (Schlag &amp; Zeng, 2019)</w:t>
          </w:r>
          <w:r w:rsidRPr="0040327B">
            <w:rPr>
              <w:rFonts w:ascii="Times New Roman" w:hAnsi="Times New Roman" w:cs="Times New Roman"/>
              <w:sz w:val="24"/>
              <w:szCs w:val="24"/>
            </w:rPr>
            <w:t>. This type of analysis is important for decision-making as it allows a comparison of both current and prior performance and may highlight any changes. A horizontal analysis evaluates how efficiently the business is run, where cost savings could be made, whether more staff are needed, and if their skills need upgrading to represent their jobs effectively</w:t>
          </w:r>
          <w:r w:rsidR="003D35B4" w:rsidRPr="0040327B">
            <w:rPr>
              <w:rFonts w:ascii="Times New Roman" w:hAnsi="Times New Roman" w:cs="Times New Roman"/>
              <w:sz w:val="24"/>
              <w:szCs w:val="24"/>
            </w:rPr>
            <w:t xml:space="preserve"> (Shakatreh, 2021)</w:t>
          </w:r>
          <w:r w:rsidRPr="0040327B">
            <w:rPr>
              <w:rFonts w:ascii="Times New Roman" w:hAnsi="Times New Roman" w:cs="Times New Roman"/>
              <w:sz w:val="24"/>
              <w:szCs w:val="24"/>
            </w:rPr>
            <w:t>. It also looks at how effective a company's sales strategy has been over time, whether products are developing well or not increasing market share and whether certain regions/stores are doing better than others</w:t>
          </w:r>
          <w:r w:rsidR="003D35B4" w:rsidRPr="0040327B">
            <w:rPr>
              <w:rFonts w:ascii="Times New Roman" w:hAnsi="Times New Roman" w:cs="Times New Roman"/>
              <w:sz w:val="24"/>
              <w:szCs w:val="24"/>
            </w:rPr>
            <w:t xml:space="preserve"> (Velez-Pareja, 2012)</w:t>
          </w:r>
          <w:r w:rsidRPr="0040327B">
            <w:rPr>
              <w:rFonts w:ascii="Times New Roman" w:hAnsi="Times New Roman" w:cs="Times New Roman"/>
              <w:sz w:val="24"/>
              <w:szCs w:val="24"/>
            </w:rPr>
            <w:t xml:space="preserve">. Hilton Inc. may use horizontal analysis for various different reasons, such as to monitor financial ratios over time and to monitor how changing business conditions impact key financial measures such as profitability. </w:t>
          </w:r>
        </w:p>
        <w:p w14:paraId="57F8277E" w14:textId="26BAE1B9" w:rsidR="004A11F6" w:rsidRPr="0040327B" w:rsidRDefault="00D15D1F" w:rsidP="0040327B">
          <w:pPr>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Horizontal analysis is considered more useful than comparing the ratios of one period with industry averages because it allows you to view trends and other factors that may have a significant effect on the business, such as seasonal impacts on sales or changes in tax or consulting regulations.</w:t>
          </w:r>
        </w:p>
        <w:p w14:paraId="660FF286" w14:textId="3E522A3F" w:rsidR="004A11F6" w:rsidRPr="0040327B" w:rsidRDefault="004A11F6" w:rsidP="00B617A1">
          <w:pPr>
            <w:pStyle w:val="Titlu1"/>
            <w:spacing w:before="0" w:line="480" w:lineRule="auto"/>
            <w:contextualSpacing/>
            <w:jc w:val="center"/>
            <w:rPr>
              <w:rFonts w:ascii="Times New Roman" w:hAnsi="Times New Roman" w:cs="Times New Roman"/>
              <w:color w:val="auto"/>
              <w:sz w:val="24"/>
              <w:szCs w:val="24"/>
            </w:rPr>
          </w:pPr>
          <w:bookmarkStart w:id="3" w:name="_Toc104055416"/>
          <w:r w:rsidRPr="0040327B">
            <w:rPr>
              <w:rFonts w:ascii="Times New Roman" w:hAnsi="Times New Roman" w:cs="Times New Roman"/>
              <w:color w:val="auto"/>
              <w:sz w:val="24"/>
              <w:szCs w:val="24"/>
            </w:rPr>
            <w:t>Financial Analysis</w:t>
          </w:r>
          <w:bookmarkEnd w:id="3"/>
        </w:p>
        <w:tbl>
          <w:tblPr>
            <w:tblW w:w="87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05"/>
            <w:gridCol w:w="1835"/>
            <w:gridCol w:w="1310"/>
            <w:gridCol w:w="1176"/>
            <w:gridCol w:w="1076"/>
          </w:tblGrid>
          <w:tr w:rsidR="0040327B" w:rsidRPr="0040327B" w14:paraId="2027C20B" w14:textId="77777777" w:rsidTr="005E711B">
            <w:trPr>
              <w:trHeight w:val="300"/>
            </w:trPr>
            <w:tc>
              <w:tcPr>
                <w:tcW w:w="3505" w:type="dxa"/>
                <w:shd w:val="clear" w:color="auto" w:fill="auto"/>
                <w:noWrap/>
                <w:vAlign w:val="center"/>
                <w:hideMark/>
              </w:tcPr>
              <w:p w14:paraId="6AF73197" w14:textId="77777777" w:rsidR="005E711B" w:rsidRPr="0040327B" w:rsidRDefault="005E711B" w:rsidP="00CE1D98">
                <w:pPr>
                  <w:spacing w:after="0" w:line="240" w:lineRule="auto"/>
                  <w:contextualSpacing/>
                  <w:rPr>
                    <w:rFonts w:ascii="Times New Roman" w:eastAsia="Times New Roman" w:hAnsi="Times New Roman" w:cs="Times New Roman"/>
                    <w:b/>
                    <w:bCs/>
                    <w:sz w:val="24"/>
                    <w:szCs w:val="24"/>
                    <w:lang w:val="en-US"/>
                  </w:rPr>
                </w:pPr>
                <w:r w:rsidRPr="0040327B">
                  <w:rPr>
                    <w:rFonts w:ascii="Times New Roman" w:eastAsia="Times New Roman" w:hAnsi="Times New Roman" w:cs="Times New Roman"/>
                    <w:b/>
                    <w:bCs/>
                    <w:sz w:val="24"/>
                    <w:szCs w:val="24"/>
                  </w:rPr>
                  <w:t>Income Statement</w:t>
                </w:r>
              </w:p>
            </w:tc>
            <w:tc>
              <w:tcPr>
                <w:tcW w:w="4220" w:type="dxa"/>
                <w:gridSpan w:val="3"/>
                <w:shd w:val="clear" w:color="auto" w:fill="auto"/>
                <w:noWrap/>
                <w:vAlign w:val="center"/>
                <w:hideMark/>
              </w:tcPr>
              <w:p w14:paraId="28365509" w14:textId="77777777" w:rsidR="005E711B" w:rsidRPr="0040327B" w:rsidRDefault="005E711B" w:rsidP="00CE1D98">
                <w:pPr>
                  <w:spacing w:after="0" w:line="240" w:lineRule="auto"/>
                  <w:contextualSpacing/>
                  <w:rPr>
                    <w:rFonts w:ascii="Times New Roman" w:eastAsia="Times New Roman" w:hAnsi="Times New Roman" w:cs="Times New Roman"/>
                    <w:b/>
                    <w:bCs/>
                    <w:sz w:val="24"/>
                    <w:szCs w:val="24"/>
                    <w:lang w:val="en-US"/>
                  </w:rPr>
                </w:pPr>
                <w:r w:rsidRPr="0040327B">
                  <w:rPr>
                    <w:rFonts w:ascii="Times New Roman" w:eastAsia="Times New Roman" w:hAnsi="Times New Roman" w:cs="Times New Roman"/>
                    <w:b/>
                    <w:bCs/>
                    <w:sz w:val="24"/>
                    <w:szCs w:val="24"/>
                  </w:rPr>
                  <w:t>Hilton Worldwide Holdings Inc. (HLT)</w:t>
                </w:r>
              </w:p>
            </w:tc>
            <w:tc>
              <w:tcPr>
                <w:tcW w:w="1060" w:type="dxa"/>
                <w:shd w:val="clear" w:color="auto" w:fill="auto"/>
                <w:noWrap/>
                <w:vAlign w:val="bottom"/>
                <w:hideMark/>
              </w:tcPr>
              <w:p w14:paraId="4768F264" w14:textId="77777777" w:rsidR="005E711B" w:rsidRPr="0040327B" w:rsidRDefault="005E711B" w:rsidP="00CE1D98">
                <w:pPr>
                  <w:spacing w:after="0" w:line="240" w:lineRule="auto"/>
                  <w:contextualSpacing/>
                  <w:rPr>
                    <w:rFonts w:ascii="Times New Roman" w:eastAsia="Times New Roman" w:hAnsi="Times New Roman" w:cs="Times New Roman"/>
                    <w:b/>
                    <w:bCs/>
                    <w:sz w:val="24"/>
                    <w:szCs w:val="24"/>
                    <w:lang w:val="en-US"/>
                  </w:rPr>
                </w:pPr>
              </w:p>
            </w:tc>
          </w:tr>
          <w:tr w:rsidR="0040327B" w:rsidRPr="0040327B" w14:paraId="3B35804F" w14:textId="77777777" w:rsidTr="005E711B">
            <w:trPr>
              <w:trHeight w:val="300"/>
            </w:trPr>
            <w:tc>
              <w:tcPr>
                <w:tcW w:w="3505" w:type="dxa"/>
                <w:shd w:val="clear" w:color="auto" w:fill="auto"/>
                <w:noWrap/>
                <w:vAlign w:val="bottom"/>
                <w:hideMark/>
              </w:tcPr>
              <w:p w14:paraId="304BE010" w14:textId="77777777" w:rsidR="005E711B" w:rsidRPr="0040327B" w:rsidRDefault="005E711B" w:rsidP="00CE1D98">
                <w:pPr>
                  <w:spacing w:after="0" w:line="240" w:lineRule="auto"/>
                  <w:contextualSpacing/>
                  <w:rPr>
                    <w:rFonts w:ascii="Times New Roman" w:eastAsia="Times New Roman" w:hAnsi="Times New Roman" w:cs="Times New Roman"/>
                    <w:sz w:val="24"/>
                    <w:szCs w:val="24"/>
                    <w:lang w:val="en-US"/>
                  </w:rPr>
                </w:pPr>
              </w:p>
            </w:tc>
            <w:tc>
              <w:tcPr>
                <w:tcW w:w="1835" w:type="dxa"/>
                <w:shd w:val="clear" w:color="auto" w:fill="auto"/>
                <w:noWrap/>
                <w:vAlign w:val="center"/>
                <w:hideMark/>
              </w:tcPr>
              <w:p w14:paraId="69DF84E6"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2020</w:t>
                </w:r>
              </w:p>
            </w:tc>
            <w:tc>
              <w:tcPr>
                <w:tcW w:w="1278" w:type="dxa"/>
                <w:shd w:val="clear" w:color="auto" w:fill="auto"/>
                <w:noWrap/>
                <w:vAlign w:val="center"/>
                <w:hideMark/>
              </w:tcPr>
              <w:p w14:paraId="3EFA6982"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2019</w:t>
                </w:r>
              </w:p>
            </w:tc>
            <w:tc>
              <w:tcPr>
                <w:tcW w:w="1107" w:type="dxa"/>
                <w:shd w:val="clear" w:color="auto" w:fill="auto"/>
                <w:noWrap/>
                <w:vAlign w:val="center"/>
                <w:hideMark/>
              </w:tcPr>
              <w:p w14:paraId="27AE8708" w14:textId="77777777" w:rsidR="005E711B" w:rsidRPr="0040327B" w:rsidRDefault="005E711B" w:rsidP="00CE1D98">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Change</w:t>
                </w:r>
              </w:p>
            </w:tc>
            <w:tc>
              <w:tcPr>
                <w:tcW w:w="1060" w:type="dxa"/>
                <w:shd w:val="clear" w:color="auto" w:fill="auto"/>
                <w:noWrap/>
                <w:vAlign w:val="center"/>
                <w:hideMark/>
              </w:tcPr>
              <w:p w14:paraId="6D7EF979" w14:textId="77777777" w:rsidR="005E711B" w:rsidRPr="0040327B" w:rsidRDefault="005E711B" w:rsidP="00CE1D98">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 Change</w:t>
                </w:r>
              </w:p>
            </w:tc>
          </w:tr>
          <w:tr w:rsidR="0040327B" w:rsidRPr="0040327B" w14:paraId="2040B208" w14:textId="77777777" w:rsidTr="005E711B">
            <w:trPr>
              <w:trHeight w:val="300"/>
            </w:trPr>
            <w:tc>
              <w:tcPr>
                <w:tcW w:w="3505" w:type="dxa"/>
                <w:shd w:val="clear" w:color="auto" w:fill="auto"/>
                <w:noWrap/>
                <w:vAlign w:val="center"/>
                <w:hideMark/>
              </w:tcPr>
              <w:p w14:paraId="0E88192A" w14:textId="77777777" w:rsidR="005E711B" w:rsidRPr="0040327B" w:rsidRDefault="005E711B" w:rsidP="00CE1D98">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Fiscal Year Ends</w:t>
                </w:r>
              </w:p>
            </w:tc>
            <w:tc>
              <w:tcPr>
                <w:tcW w:w="1835" w:type="dxa"/>
                <w:shd w:val="clear" w:color="auto" w:fill="auto"/>
                <w:noWrap/>
                <w:vAlign w:val="center"/>
                <w:hideMark/>
              </w:tcPr>
              <w:p w14:paraId="163A1828"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31/12/2021</w:t>
                </w:r>
              </w:p>
            </w:tc>
            <w:tc>
              <w:tcPr>
                <w:tcW w:w="1278" w:type="dxa"/>
                <w:shd w:val="clear" w:color="auto" w:fill="auto"/>
                <w:noWrap/>
                <w:vAlign w:val="center"/>
                <w:hideMark/>
              </w:tcPr>
              <w:p w14:paraId="4DBD7D57"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31/12/2020</w:t>
                </w:r>
              </w:p>
            </w:tc>
            <w:tc>
              <w:tcPr>
                <w:tcW w:w="1107" w:type="dxa"/>
                <w:shd w:val="clear" w:color="auto" w:fill="auto"/>
                <w:noWrap/>
                <w:vAlign w:val="bottom"/>
                <w:hideMark/>
              </w:tcPr>
              <w:p w14:paraId="797E3F07"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p>
            </w:tc>
            <w:tc>
              <w:tcPr>
                <w:tcW w:w="1060" w:type="dxa"/>
                <w:shd w:val="clear" w:color="auto" w:fill="auto"/>
                <w:noWrap/>
                <w:vAlign w:val="bottom"/>
                <w:hideMark/>
              </w:tcPr>
              <w:p w14:paraId="7B44FA3B" w14:textId="77777777" w:rsidR="005E711B" w:rsidRPr="0040327B" w:rsidRDefault="005E711B" w:rsidP="00CE1D98">
                <w:pPr>
                  <w:spacing w:after="0" w:line="240" w:lineRule="auto"/>
                  <w:contextualSpacing/>
                  <w:rPr>
                    <w:rFonts w:ascii="Times New Roman" w:eastAsia="Times New Roman" w:hAnsi="Times New Roman" w:cs="Times New Roman"/>
                    <w:sz w:val="24"/>
                    <w:szCs w:val="24"/>
                    <w:lang w:val="en-US"/>
                  </w:rPr>
                </w:pPr>
              </w:p>
            </w:tc>
          </w:tr>
          <w:tr w:rsidR="0040327B" w:rsidRPr="0040327B" w14:paraId="09B9FDC7" w14:textId="77777777" w:rsidTr="005E711B">
            <w:trPr>
              <w:trHeight w:val="300"/>
            </w:trPr>
            <w:tc>
              <w:tcPr>
                <w:tcW w:w="3505" w:type="dxa"/>
                <w:shd w:val="clear" w:color="auto" w:fill="auto"/>
                <w:noWrap/>
                <w:vAlign w:val="center"/>
                <w:hideMark/>
              </w:tcPr>
              <w:p w14:paraId="6CFA957A" w14:textId="77777777" w:rsidR="005E711B" w:rsidRPr="0040327B" w:rsidRDefault="005E711B" w:rsidP="00CE1D98">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Sales</w:t>
                </w:r>
              </w:p>
            </w:tc>
            <w:tc>
              <w:tcPr>
                <w:tcW w:w="1835" w:type="dxa"/>
                <w:shd w:val="clear" w:color="auto" w:fill="auto"/>
                <w:noWrap/>
                <w:vAlign w:val="center"/>
                <w:hideMark/>
              </w:tcPr>
              <w:p w14:paraId="6445487A"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4,307,000</w:t>
                </w:r>
              </w:p>
            </w:tc>
            <w:tc>
              <w:tcPr>
                <w:tcW w:w="1278" w:type="dxa"/>
                <w:shd w:val="clear" w:color="auto" w:fill="auto"/>
                <w:noWrap/>
                <w:vAlign w:val="center"/>
                <w:hideMark/>
              </w:tcPr>
              <w:p w14:paraId="50FA6489"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9,452,000</w:t>
                </w:r>
              </w:p>
            </w:tc>
            <w:tc>
              <w:tcPr>
                <w:tcW w:w="1107" w:type="dxa"/>
                <w:shd w:val="clear" w:color="auto" w:fill="auto"/>
                <w:noWrap/>
                <w:vAlign w:val="bottom"/>
                <w:hideMark/>
              </w:tcPr>
              <w:p w14:paraId="30EFAB0B"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-5,145,000</w:t>
                </w:r>
              </w:p>
            </w:tc>
            <w:tc>
              <w:tcPr>
                <w:tcW w:w="1060" w:type="dxa"/>
                <w:shd w:val="clear" w:color="auto" w:fill="auto"/>
                <w:noWrap/>
                <w:vAlign w:val="bottom"/>
                <w:hideMark/>
              </w:tcPr>
              <w:p w14:paraId="7581A593"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-54.43%</w:t>
                </w:r>
              </w:p>
            </w:tc>
          </w:tr>
          <w:tr w:rsidR="0040327B" w:rsidRPr="0040327B" w14:paraId="13D0D642" w14:textId="77777777" w:rsidTr="005E711B">
            <w:trPr>
              <w:trHeight w:val="300"/>
            </w:trPr>
            <w:tc>
              <w:tcPr>
                <w:tcW w:w="3505" w:type="dxa"/>
                <w:shd w:val="clear" w:color="auto" w:fill="auto"/>
                <w:noWrap/>
                <w:vAlign w:val="center"/>
                <w:hideMark/>
              </w:tcPr>
              <w:p w14:paraId="3F497B0F" w14:textId="77777777" w:rsidR="005E711B" w:rsidRPr="0040327B" w:rsidRDefault="005E711B" w:rsidP="00CE1D98">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Cost of goods sold</w:t>
                </w:r>
              </w:p>
            </w:tc>
            <w:tc>
              <w:tcPr>
                <w:tcW w:w="1835" w:type="dxa"/>
                <w:shd w:val="clear" w:color="auto" w:fill="auto"/>
                <w:noWrap/>
                <w:vAlign w:val="center"/>
                <w:hideMark/>
              </w:tcPr>
              <w:p w14:paraId="0102B808"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3,724,000</w:t>
                </w:r>
              </w:p>
            </w:tc>
            <w:tc>
              <w:tcPr>
                <w:tcW w:w="1278" w:type="dxa"/>
                <w:shd w:val="clear" w:color="auto" w:fill="auto"/>
                <w:noWrap/>
                <w:vAlign w:val="center"/>
                <w:hideMark/>
              </w:tcPr>
              <w:p w14:paraId="605ACC9E"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7,017,000</w:t>
                </w:r>
              </w:p>
            </w:tc>
            <w:tc>
              <w:tcPr>
                <w:tcW w:w="1107" w:type="dxa"/>
                <w:shd w:val="clear" w:color="auto" w:fill="auto"/>
                <w:noWrap/>
                <w:vAlign w:val="bottom"/>
                <w:hideMark/>
              </w:tcPr>
              <w:p w14:paraId="1668AEB5"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-3,293,000</w:t>
                </w:r>
              </w:p>
            </w:tc>
            <w:tc>
              <w:tcPr>
                <w:tcW w:w="1060" w:type="dxa"/>
                <w:shd w:val="clear" w:color="auto" w:fill="auto"/>
                <w:noWrap/>
                <w:vAlign w:val="bottom"/>
                <w:hideMark/>
              </w:tcPr>
              <w:p w14:paraId="49030482"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-46.93%</w:t>
                </w:r>
              </w:p>
            </w:tc>
          </w:tr>
          <w:tr w:rsidR="0040327B" w:rsidRPr="0040327B" w14:paraId="5EAD9617" w14:textId="77777777" w:rsidTr="005E711B">
            <w:trPr>
              <w:trHeight w:val="300"/>
            </w:trPr>
            <w:tc>
              <w:tcPr>
                <w:tcW w:w="3505" w:type="dxa"/>
                <w:shd w:val="clear" w:color="auto" w:fill="auto"/>
                <w:noWrap/>
                <w:vAlign w:val="center"/>
                <w:hideMark/>
              </w:tcPr>
              <w:p w14:paraId="4DB84C16" w14:textId="77777777" w:rsidR="005E711B" w:rsidRPr="0040327B" w:rsidRDefault="005E711B" w:rsidP="00CE1D98">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Gross profit</w:t>
                </w:r>
              </w:p>
            </w:tc>
            <w:tc>
              <w:tcPr>
                <w:tcW w:w="1835" w:type="dxa"/>
                <w:shd w:val="clear" w:color="auto" w:fill="auto"/>
                <w:noWrap/>
                <w:vAlign w:val="center"/>
                <w:hideMark/>
              </w:tcPr>
              <w:p w14:paraId="324BC4FB"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583,000</w:t>
                </w:r>
              </w:p>
            </w:tc>
            <w:tc>
              <w:tcPr>
                <w:tcW w:w="1278" w:type="dxa"/>
                <w:shd w:val="clear" w:color="auto" w:fill="auto"/>
                <w:noWrap/>
                <w:vAlign w:val="center"/>
                <w:hideMark/>
              </w:tcPr>
              <w:p w14:paraId="1FD0949F"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2,435,000</w:t>
                </w:r>
              </w:p>
            </w:tc>
            <w:tc>
              <w:tcPr>
                <w:tcW w:w="1107" w:type="dxa"/>
                <w:shd w:val="clear" w:color="auto" w:fill="auto"/>
                <w:noWrap/>
                <w:vAlign w:val="bottom"/>
                <w:hideMark/>
              </w:tcPr>
              <w:p w14:paraId="1FE25D86"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-1,852,000</w:t>
                </w:r>
              </w:p>
            </w:tc>
            <w:tc>
              <w:tcPr>
                <w:tcW w:w="1060" w:type="dxa"/>
                <w:shd w:val="clear" w:color="auto" w:fill="auto"/>
                <w:noWrap/>
                <w:vAlign w:val="bottom"/>
                <w:hideMark/>
              </w:tcPr>
              <w:p w14:paraId="4A2A9547"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-76.06%</w:t>
                </w:r>
              </w:p>
            </w:tc>
          </w:tr>
          <w:tr w:rsidR="0040327B" w:rsidRPr="0040327B" w14:paraId="2E979476" w14:textId="77777777" w:rsidTr="005E711B">
            <w:trPr>
              <w:trHeight w:val="300"/>
            </w:trPr>
            <w:tc>
              <w:tcPr>
                <w:tcW w:w="3505" w:type="dxa"/>
                <w:shd w:val="clear" w:color="auto" w:fill="auto"/>
                <w:noWrap/>
                <w:vAlign w:val="center"/>
                <w:hideMark/>
              </w:tcPr>
              <w:p w14:paraId="4463CD44" w14:textId="77777777" w:rsidR="005E711B" w:rsidRPr="0040327B" w:rsidRDefault="005E711B" w:rsidP="00CE1D98">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Operating Expenses</w:t>
                </w:r>
              </w:p>
            </w:tc>
            <w:tc>
              <w:tcPr>
                <w:tcW w:w="1835" w:type="dxa"/>
                <w:shd w:val="clear" w:color="auto" w:fill="auto"/>
                <w:noWrap/>
                <w:vAlign w:val="center"/>
                <w:hideMark/>
              </w:tcPr>
              <w:p w14:paraId="43C68C89"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702,000</w:t>
                </w:r>
              </w:p>
            </w:tc>
            <w:tc>
              <w:tcPr>
                <w:tcW w:w="1278" w:type="dxa"/>
                <w:shd w:val="clear" w:color="auto" w:fill="auto"/>
                <w:noWrap/>
                <w:vAlign w:val="center"/>
                <w:hideMark/>
              </w:tcPr>
              <w:p w14:paraId="330A2DA6"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859,000</w:t>
                </w:r>
              </w:p>
            </w:tc>
            <w:tc>
              <w:tcPr>
                <w:tcW w:w="1107" w:type="dxa"/>
                <w:shd w:val="clear" w:color="auto" w:fill="auto"/>
                <w:noWrap/>
                <w:vAlign w:val="bottom"/>
                <w:hideMark/>
              </w:tcPr>
              <w:p w14:paraId="288616E4"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-157,000</w:t>
                </w:r>
              </w:p>
            </w:tc>
            <w:tc>
              <w:tcPr>
                <w:tcW w:w="1060" w:type="dxa"/>
                <w:shd w:val="clear" w:color="auto" w:fill="auto"/>
                <w:noWrap/>
                <w:vAlign w:val="bottom"/>
                <w:hideMark/>
              </w:tcPr>
              <w:p w14:paraId="3B28FDA6"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-18.28%</w:t>
                </w:r>
              </w:p>
            </w:tc>
          </w:tr>
          <w:tr w:rsidR="0040327B" w:rsidRPr="0040327B" w14:paraId="6F85E895" w14:textId="77777777" w:rsidTr="005E711B">
            <w:trPr>
              <w:trHeight w:val="300"/>
            </w:trPr>
            <w:tc>
              <w:tcPr>
                <w:tcW w:w="3505" w:type="dxa"/>
                <w:shd w:val="clear" w:color="auto" w:fill="auto"/>
                <w:noWrap/>
                <w:vAlign w:val="center"/>
                <w:hideMark/>
              </w:tcPr>
              <w:p w14:paraId="08272D77" w14:textId="77777777" w:rsidR="005E711B" w:rsidRPr="0040327B" w:rsidRDefault="005E711B" w:rsidP="00CE1D98">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Operating income</w:t>
                </w:r>
              </w:p>
            </w:tc>
            <w:tc>
              <w:tcPr>
                <w:tcW w:w="1835" w:type="dxa"/>
                <w:shd w:val="clear" w:color="auto" w:fill="auto"/>
                <w:noWrap/>
                <w:vAlign w:val="center"/>
                <w:hideMark/>
              </w:tcPr>
              <w:p w14:paraId="6207E35A"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-119,000</w:t>
                </w:r>
              </w:p>
            </w:tc>
            <w:tc>
              <w:tcPr>
                <w:tcW w:w="1278" w:type="dxa"/>
                <w:shd w:val="clear" w:color="auto" w:fill="auto"/>
                <w:noWrap/>
                <w:vAlign w:val="center"/>
                <w:hideMark/>
              </w:tcPr>
              <w:p w14:paraId="63A9EB94"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1,576,000</w:t>
                </w:r>
              </w:p>
            </w:tc>
            <w:tc>
              <w:tcPr>
                <w:tcW w:w="1107" w:type="dxa"/>
                <w:shd w:val="clear" w:color="auto" w:fill="auto"/>
                <w:noWrap/>
                <w:vAlign w:val="bottom"/>
                <w:hideMark/>
              </w:tcPr>
              <w:p w14:paraId="08BF7E96"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-1,695,000</w:t>
                </w:r>
              </w:p>
            </w:tc>
            <w:tc>
              <w:tcPr>
                <w:tcW w:w="1060" w:type="dxa"/>
                <w:shd w:val="clear" w:color="auto" w:fill="auto"/>
                <w:noWrap/>
                <w:vAlign w:val="bottom"/>
                <w:hideMark/>
              </w:tcPr>
              <w:p w14:paraId="3567F099"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-107.55%</w:t>
                </w:r>
              </w:p>
            </w:tc>
          </w:tr>
          <w:tr w:rsidR="0040327B" w:rsidRPr="0040327B" w14:paraId="554BA369" w14:textId="77777777" w:rsidTr="005E711B">
            <w:trPr>
              <w:trHeight w:val="300"/>
            </w:trPr>
            <w:tc>
              <w:tcPr>
                <w:tcW w:w="3505" w:type="dxa"/>
                <w:shd w:val="clear" w:color="auto" w:fill="auto"/>
                <w:noWrap/>
                <w:vAlign w:val="center"/>
                <w:hideMark/>
              </w:tcPr>
              <w:p w14:paraId="7F389582" w14:textId="77777777" w:rsidR="005E711B" w:rsidRPr="0040327B" w:rsidRDefault="005E711B" w:rsidP="00CE1D98">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Interest Expense</w:t>
                </w:r>
              </w:p>
            </w:tc>
            <w:tc>
              <w:tcPr>
                <w:tcW w:w="1835" w:type="dxa"/>
                <w:shd w:val="clear" w:color="auto" w:fill="auto"/>
                <w:noWrap/>
                <w:vAlign w:val="center"/>
                <w:hideMark/>
              </w:tcPr>
              <w:p w14:paraId="38CCA652"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429,000</w:t>
                </w:r>
              </w:p>
            </w:tc>
            <w:tc>
              <w:tcPr>
                <w:tcW w:w="1278" w:type="dxa"/>
                <w:shd w:val="clear" w:color="auto" w:fill="auto"/>
                <w:noWrap/>
                <w:vAlign w:val="center"/>
                <w:hideMark/>
              </w:tcPr>
              <w:p w14:paraId="1E1568A4"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414,000</w:t>
                </w:r>
              </w:p>
            </w:tc>
            <w:tc>
              <w:tcPr>
                <w:tcW w:w="1107" w:type="dxa"/>
                <w:shd w:val="clear" w:color="auto" w:fill="auto"/>
                <w:noWrap/>
                <w:vAlign w:val="bottom"/>
                <w:hideMark/>
              </w:tcPr>
              <w:p w14:paraId="365C0EAE"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15,000</w:t>
                </w:r>
              </w:p>
            </w:tc>
            <w:tc>
              <w:tcPr>
                <w:tcW w:w="1060" w:type="dxa"/>
                <w:shd w:val="clear" w:color="auto" w:fill="auto"/>
                <w:noWrap/>
                <w:vAlign w:val="bottom"/>
                <w:hideMark/>
              </w:tcPr>
              <w:p w14:paraId="04ABFE69"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3.62%</w:t>
                </w:r>
              </w:p>
            </w:tc>
          </w:tr>
          <w:tr w:rsidR="0040327B" w:rsidRPr="0040327B" w14:paraId="3EB18F3E" w14:textId="77777777" w:rsidTr="005E711B">
            <w:trPr>
              <w:trHeight w:val="300"/>
            </w:trPr>
            <w:tc>
              <w:tcPr>
                <w:tcW w:w="3505" w:type="dxa"/>
                <w:shd w:val="clear" w:color="auto" w:fill="auto"/>
                <w:noWrap/>
                <w:vAlign w:val="center"/>
                <w:hideMark/>
              </w:tcPr>
              <w:p w14:paraId="51C8E5DC" w14:textId="77777777" w:rsidR="005E711B" w:rsidRPr="0040327B" w:rsidRDefault="005E711B" w:rsidP="00CE1D98">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 xml:space="preserve">Total Other income/ expenses net </w:t>
                </w:r>
              </w:p>
            </w:tc>
            <w:tc>
              <w:tcPr>
                <w:tcW w:w="1835" w:type="dxa"/>
                <w:shd w:val="clear" w:color="auto" w:fill="auto"/>
                <w:noWrap/>
                <w:vAlign w:val="center"/>
                <w:hideMark/>
              </w:tcPr>
              <w:p w14:paraId="23270649"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-376,000</w:t>
                </w:r>
              </w:p>
            </w:tc>
            <w:tc>
              <w:tcPr>
                <w:tcW w:w="1278" w:type="dxa"/>
                <w:shd w:val="clear" w:color="auto" w:fill="auto"/>
                <w:noWrap/>
                <w:vAlign w:val="center"/>
                <w:hideMark/>
              </w:tcPr>
              <w:p w14:paraId="2B28DE6F"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82,000</w:t>
                </w:r>
              </w:p>
            </w:tc>
            <w:tc>
              <w:tcPr>
                <w:tcW w:w="1107" w:type="dxa"/>
                <w:shd w:val="clear" w:color="auto" w:fill="auto"/>
                <w:noWrap/>
                <w:vAlign w:val="bottom"/>
                <w:hideMark/>
              </w:tcPr>
              <w:p w14:paraId="59EA1FD7"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-458,000</w:t>
                </w:r>
              </w:p>
            </w:tc>
            <w:tc>
              <w:tcPr>
                <w:tcW w:w="1060" w:type="dxa"/>
                <w:shd w:val="clear" w:color="auto" w:fill="auto"/>
                <w:noWrap/>
                <w:vAlign w:val="bottom"/>
                <w:hideMark/>
              </w:tcPr>
              <w:p w14:paraId="05D45AF1"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-558.54%</w:t>
                </w:r>
              </w:p>
            </w:tc>
          </w:tr>
          <w:tr w:rsidR="0040327B" w:rsidRPr="0040327B" w14:paraId="0A77DD2F" w14:textId="77777777" w:rsidTr="005E711B">
            <w:trPr>
              <w:trHeight w:val="300"/>
            </w:trPr>
            <w:tc>
              <w:tcPr>
                <w:tcW w:w="3505" w:type="dxa"/>
                <w:shd w:val="clear" w:color="auto" w:fill="auto"/>
                <w:noWrap/>
                <w:vAlign w:val="center"/>
                <w:hideMark/>
              </w:tcPr>
              <w:p w14:paraId="3CD10023" w14:textId="77777777" w:rsidR="005E711B" w:rsidRPr="0040327B" w:rsidRDefault="005E711B" w:rsidP="00CE1D98">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lastRenderedPageBreak/>
                  <w:t>Income before taxes</w:t>
                </w:r>
              </w:p>
            </w:tc>
            <w:tc>
              <w:tcPr>
                <w:tcW w:w="1835" w:type="dxa"/>
                <w:shd w:val="clear" w:color="auto" w:fill="auto"/>
                <w:noWrap/>
                <w:vAlign w:val="center"/>
                <w:hideMark/>
              </w:tcPr>
              <w:p w14:paraId="38FF048C"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-924,000</w:t>
                </w:r>
              </w:p>
            </w:tc>
            <w:tc>
              <w:tcPr>
                <w:tcW w:w="1278" w:type="dxa"/>
                <w:shd w:val="clear" w:color="auto" w:fill="auto"/>
                <w:noWrap/>
                <w:vAlign w:val="center"/>
                <w:hideMark/>
              </w:tcPr>
              <w:p w14:paraId="2A5E53CA"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1,244,000</w:t>
                </w:r>
              </w:p>
            </w:tc>
            <w:tc>
              <w:tcPr>
                <w:tcW w:w="1107" w:type="dxa"/>
                <w:shd w:val="clear" w:color="auto" w:fill="auto"/>
                <w:noWrap/>
                <w:vAlign w:val="bottom"/>
                <w:hideMark/>
              </w:tcPr>
              <w:p w14:paraId="7FC1398E"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-2,168,000</w:t>
                </w:r>
              </w:p>
            </w:tc>
            <w:tc>
              <w:tcPr>
                <w:tcW w:w="1060" w:type="dxa"/>
                <w:shd w:val="clear" w:color="auto" w:fill="auto"/>
                <w:noWrap/>
                <w:vAlign w:val="bottom"/>
                <w:hideMark/>
              </w:tcPr>
              <w:p w14:paraId="32CA003C"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-174.28%</w:t>
                </w:r>
              </w:p>
            </w:tc>
          </w:tr>
          <w:tr w:rsidR="005E711B" w:rsidRPr="0040327B" w14:paraId="6CF9C63E" w14:textId="77777777" w:rsidTr="005E711B">
            <w:trPr>
              <w:trHeight w:val="300"/>
            </w:trPr>
            <w:tc>
              <w:tcPr>
                <w:tcW w:w="3505" w:type="dxa"/>
                <w:shd w:val="clear" w:color="auto" w:fill="auto"/>
                <w:noWrap/>
                <w:vAlign w:val="center"/>
                <w:hideMark/>
              </w:tcPr>
              <w:p w14:paraId="336D1051" w14:textId="77777777" w:rsidR="005E711B" w:rsidRPr="0040327B" w:rsidRDefault="005E711B" w:rsidP="00CE1D98">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Net income</w:t>
                </w:r>
              </w:p>
            </w:tc>
            <w:tc>
              <w:tcPr>
                <w:tcW w:w="1835" w:type="dxa"/>
                <w:shd w:val="clear" w:color="auto" w:fill="auto"/>
                <w:noWrap/>
                <w:vAlign w:val="center"/>
                <w:hideMark/>
              </w:tcPr>
              <w:p w14:paraId="7A17CEC3"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-715,000</w:t>
                </w:r>
              </w:p>
            </w:tc>
            <w:tc>
              <w:tcPr>
                <w:tcW w:w="1278" w:type="dxa"/>
                <w:shd w:val="clear" w:color="auto" w:fill="auto"/>
                <w:noWrap/>
                <w:vAlign w:val="center"/>
                <w:hideMark/>
              </w:tcPr>
              <w:p w14:paraId="7E63F8C9"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881,000</w:t>
                </w:r>
              </w:p>
            </w:tc>
            <w:tc>
              <w:tcPr>
                <w:tcW w:w="1107" w:type="dxa"/>
                <w:shd w:val="clear" w:color="auto" w:fill="auto"/>
                <w:noWrap/>
                <w:vAlign w:val="bottom"/>
                <w:hideMark/>
              </w:tcPr>
              <w:p w14:paraId="5C4C313A"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-1,596,000</w:t>
                </w:r>
              </w:p>
            </w:tc>
            <w:tc>
              <w:tcPr>
                <w:tcW w:w="1060" w:type="dxa"/>
                <w:shd w:val="clear" w:color="auto" w:fill="auto"/>
                <w:noWrap/>
                <w:vAlign w:val="bottom"/>
                <w:hideMark/>
              </w:tcPr>
              <w:p w14:paraId="720961CC" w14:textId="77777777" w:rsidR="005E711B" w:rsidRPr="0040327B" w:rsidRDefault="005E711B" w:rsidP="00CE1D98">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-181.16%</w:t>
                </w:r>
              </w:p>
            </w:tc>
          </w:tr>
        </w:tbl>
        <w:p w14:paraId="46B624AA" w14:textId="77777777" w:rsidR="009C1CE2" w:rsidRPr="0040327B" w:rsidRDefault="009C1CE2" w:rsidP="00DD567C">
          <w:pPr>
            <w:spacing w:after="0" w:line="480" w:lineRule="auto"/>
            <w:contextualSpacing/>
            <w:rPr>
              <w:rFonts w:ascii="Times New Roman" w:hAnsi="Times New Roman" w:cs="Times New Roman"/>
              <w:sz w:val="24"/>
              <w:szCs w:val="24"/>
            </w:rPr>
          </w:pPr>
        </w:p>
        <w:tbl>
          <w:tblPr>
            <w:tblW w:w="76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05"/>
            <w:gridCol w:w="1296"/>
            <w:gridCol w:w="1500"/>
            <w:gridCol w:w="1176"/>
            <w:gridCol w:w="1080"/>
          </w:tblGrid>
          <w:tr w:rsidR="0040327B" w:rsidRPr="0040327B" w14:paraId="5D177CCA" w14:textId="77777777" w:rsidTr="009A10B6">
            <w:trPr>
              <w:trHeight w:val="300"/>
            </w:trPr>
            <w:tc>
              <w:tcPr>
                <w:tcW w:w="2605" w:type="dxa"/>
                <w:shd w:val="clear" w:color="auto" w:fill="auto"/>
                <w:noWrap/>
                <w:vAlign w:val="bottom"/>
                <w:hideMark/>
              </w:tcPr>
              <w:p w14:paraId="1B3F8310" w14:textId="77777777" w:rsidR="005C329C" w:rsidRPr="0040327B" w:rsidRDefault="005C329C" w:rsidP="00831B7F">
                <w:pPr>
                  <w:spacing w:after="0" w:line="240" w:lineRule="auto"/>
                  <w:contextualSpacing/>
                  <w:rPr>
                    <w:rFonts w:ascii="Times New Roman" w:eastAsia="Times New Roman" w:hAnsi="Times New Roman" w:cs="Times New Roman"/>
                    <w:sz w:val="24"/>
                    <w:szCs w:val="24"/>
                    <w:lang w:val="en-US"/>
                  </w:rPr>
                </w:pPr>
              </w:p>
            </w:tc>
            <w:tc>
              <w:tcPr>
                <w:tcW w:w="1296" w:type="dxa"/>
                <w:shd w:val="clear" w:color="auto" w:fill="auto"/>
                <w:noWrap/>
                <w:vAlign w:val="center"/>
                <w:hideMark/>
              </w:tcPr>
              <w:p w14:paraId="6E93C62A"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2020</w:t>
                </w:r>
              </w:p>
            </w:tc>
            <w:tc>
              <w:tcPr>
                <w:tcW w:w="1500" w:type="dxa"/>
                <w:shd w:val="clear" w:color="auto" w:fill="auto"/>
                <w:noWrap/>
                <w:vAlign w:val="center"/>
                <w:hideMark/>
              </w:tcPr>
              <w:p w14:paraId="362632CB"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2019</w:t>
                </w:r>
              </w:p>
            </w:tc>
            <w:tc>
              <w:tcPr>
                <w:tcW w:w="1176" w:type="dxa"/>
                <w:shd w:val="clear" w:color="auto" w:fill="auto"/>
                <w:noWrap/>
                <w:vAlign w:val="center"/>
                <w:hideMark/>
              </w:tcPr>
              <w:p w14:paraId="72776132" w14:textId="77777777" w:rsidR="005C329C" w:rsidRPr="0040327B" w:rsidRDefault="005C329C" w:rsidP="00831B7F">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Change</w:t>
                </w:r>
              </w:p>
            </w:tc>
            <w:tc>
              <w:tcPr>
                <w:tcW w:w="1080" w:type="dxa"/>
                <w:shd w:val="clear" w:color="auto" w:fill="auto"/>
                <w:noWrap/>
                <w:vAlign w:val="center"/>
                <w:hideMark/>
              </w:tcPr>
              <w:p w14:paraId="68D8B7FE" w14:textId="77777777" w:rsidR="005C329C" w:rsidRPr="0040327B" w:rsidRDefault="005C329C" w:rsidP="00831B7F">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 Change</w:t>
                </w:r>
              </w:p>
            </w:tc>
          </w:tr>
          <w:tr w:rsidR="0040327B" w:rsidRPr="0040327B" w14:paraId="56F1A8E3" w14:textId="77777777" w:rsidTr="009A10B6">
            <w:trPr>
              <w:trHeight w:val="300"/>
            </w:trPr>
            <w:tc>
              <w:tcPr>
                <w:tcW w:w="2605" w:type="dxa"/>
                <w:shd w:val="clear" w:color="auto" w:fill="auto"/>
                <w:noWrap/>
                <w:vAlign w:val="center"/>
                <w:hideMark/>
              </w:tcPr>
              <w:p w14:paraId="691B3256" w14:textId="77777777" w:rsidR="005C329C" w:rsidRPr="0040327B" w:rsidRDefault="005C329C" w:rsidP="00831B7F">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Current Asset</w:t>
                </w:r>
              </w:p>
            </w:tc>
            <w:tc>
              <w:tcPr>
                <w:tcW w:w="1296" w:type="dxa"/>
                <w:shd w:val="clear" w:color="auto" w:fill="auto"/>
                <w:noWrap/>
                <w:vAlign w:val="center"/>
                <w:hideMark/>
              </w:tcPr>
              <w:p w14:paraId="53670F18"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4,202,000</w:t>
                </w:r>
              </w:p>
            </w:tc>
            <w:tc>
              <w:tcPr>
                <w:tcW w:w="1500" w:type="dxa"/>
                <w:shd w:val="clear" w:color="auto" w:fill="auto"/>
                <w:noWrap/>
                <w:vAlign w:val="center"/>
                <w:hideMark/>
              </w:tcPr>
              <w:p w14:paraId="33BADD3E"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2,093,000</w:t>
                </w:r>
              </w:p>
            </w:tc>
            <w:tc>
              <w:tcPr>
                <w:tcW w:w="1176" w:type="dxa"/>
                <w:shd w:val="clear" w:color="auto" w:fill="auto"/>
                <w:noWrap/>
                <w:vAlign w:val="bottom"/>
                <w:hideMark/>
              </w:tcPr>
              <w:p w14:paraId="22C65EFA"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2,109,000</w:t>
                </w:r>
              </w:p>
            </w:tc>
            <w:tc>
              <w:tcPr>
                <w:tcW w:w="1080" w:type="dxa"/>
                <w:shd w:val="clear" w:color="auto" w:fill="auto"/>
                <w:noWrap/>
                <w:vAlign w:val="bottom"/>
                <w:hideMark/>
              </w:tcPr>
              <w:p w14:paraId="2F36734A"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100.76%</w:t>
                </w:r>
              </w:p>
            </w:tc>
          </w:tr>
          <w:tr w:rsidR="0040327B" w:rsidRPr="0040327B" w14:paraId="18545E62" w14:textId="77777777" w:rsidTr="009A10B6">
            <w:trPr>
              <w:trHeight w:val="300"/>
            </w:trPr>
            <w:tc>
              <w:tcPr>
                <w:tcW w:w="2605" w:type="dxa"/>
                <w:shd w:val="clear" w:color="auto" w:fill="auto"/>
                <w:noWrap/>
                <w:vAlign w:val="center"/>
                <w:hideMark/>
              </w:tcPr>
              <w:p w14:paraId="0FE8DF7D" w14:textId="78E1AC3E" w:rsidR="005C329C" w:rsidRPr="0040327B" w:rsidRDefault="005C329C" w:rsidP="00831B7F">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Non-Current Asset</w:t>
                </w:r>
              </w:p>
            </w:tc>
            <w:tc>
              <w:tcPr>
                <w:tcW w:w="1296" w:type="dxa"/>
                <w:shd w:val="clear" w:color="auto" w:fill="auto"/>
                <w:noWrap/>
                <w:vAlign w:val="center"/>
                <w:hideMark/>
              </w:tcPr>
              <w:p w14:paraId="73D27BC6"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15,810,000</w:t>
                </w:r>
              </w:p>
            </w:tc>
            <w:tc>
              <w:tcPr>
                <w:tcW w:w="1500" w:type="dxa"/>
                <w:shd w:val="clear" w:color="auto" w:fill="auto"/>
                <w:noWrap/>
                <w:vAlign w:val="center"/>
                <w:hideMark/>
              </w:tcPr>
              <w:p w14:paraId="6CE35210"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12,558,000</w:t>
                </w:r>
              </w:p>
            </w:tc>
            <w:tc>
              <w:tcPr>
                <w:tcW w:w="1176" w:type="dxa"/>
                <w:shd w:val="clear" w:color="auto" w:fill="auto"/>
                <w:noWrap/>
                <w:vAlign w:val="bottom"/>
                <w:hideMark/>
              </w:tcPr>
              <w:p w14:paraId="67D028D2"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3,252,000</w:t>
                </w:r>
              </w:p>
            </w:tc>
            <w:tc>
              <w:tcPr>
                <w:tcW w:w="1080" w:type="dxa"/>
                <w:shd w:val="clear" w:color="auto" w:fill="auto"/>
                <w:noWrap/>
                <w:vAlign w:val="bottom"/>
                <w:hideMark/>
              </w:tcPr>
              <w:p w14:paraId="37BAE79E"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25.90%</w:t>
                </w:r>
              </w:p>
            </w:tc>
          </w:tr>
          <w:tr w:rsidR="0040327B" w:rsidRPr="0040327B" w14:paraId="3619D746" w14:textId="77777777" w:rsidTr="009A10B6">
            <w:trPr>
              <w:trHeight w:val="300"/>
            </w:trPr>
            <w:tc>
              <w:tcPr>
                <w:tcW w:w="2605" w:type="dxa"/>
                <w:shd w:val="clear" w:color="auto" w:fill="auto"/>
                <w:noWrap/>
                <w:vAlign w:val="center"/>
                <w:hideMark/>
              </w:tcPr>
              <w:p w14:paraId="77B5A21A" w14:textId="77777777" w:rsidR="005C329C" w:rsidRPr="0040327B" w:rsidRDefault="005C329C" w:rsidP="00831B7F">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Total Asset</w:t>
                </w:r>
              </w:p>
            </w:tc>
            <w:tc>
              <w:tcPr>
                <w:tcW w:w="1296" w:type="dxa"/>
                <w:shd w:val="clear" w:color="auto" w:fill="auto"/>
                <w:noWrap/>
                <w:vAlign w:val="center"/>
                <w:hideMark/>
              </w:tcPr>
              <w:p w14:paraId="0E18AABF"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16,755,000</w:t>
                </w:r>
              </w:p>
            </w:tc>
            <w:tc>
              <w:tcPr>
                <w:tcW w:w="1500" w:type="dxa"/>
                <w:shd w:val="clear" w:color="auto" w:fill="auto"/>
                <w:noWrap/>
                <w:vAlign w:val="center"/>
                <w:hideMark/>
              </w:tcPr>
              <w:p w14:paraId="635B190E"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14,957,000</w:t>
                </w:r>
              </w:p>
            </w:tc>
            <w:tc>
              <w:tcPr>
                <w:tcW w:w="1176" w:type="dxa"/>
                <w:shd w:val="clear" w:color="auto" w:fill="auto"/>
                <w:noWrap/>
                <w:vAlign w:val="bottom"/>
                <w:hideMark/>
              </w:tcPr>
              <w:p w14:paraId="38DD2CB7"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1,798,000</w:t>
                </w:r>
              </w:p>
            </w:tc>
            <w:tc>
              <w:tcPr>
                <w:tcW w:w="1080" w:type="dxa"/>
                <w:shd w:val="clear" w:color="auto" w:fill="auto"/>
                <w:noWrap/>
                <w:vAlign w:val="bottom"/>
                <w:hideMark/>
              </w:tcPr>
              <w:p w14:paraId="18094146"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12.02%</w:t>
                </w:r>
              </w:p>
            </w:tc>
          </w:tr>
          <w:tr w:rsidR="0040327B" w:rsidRPr="0040327B" w14:paraId="5E4E7735" w14:textId="77777777" w:rsidTr="009A10B6">
            <w:trPr>
              <w:trHeight w:val="300"/>
            </w:trPr>
            <w:tc>
              <w:tcPr>
                <w:tcW w:w="2605" w:type="dxa"/>
                <w:shd w:val="clear" w:color="auto" w:fill="auto"/>
                <w:noWrap/>
                <w:vAlign w:val="center"/>
                <w:hideMark/>
              </w:tcPr>
              <w:p w14:paraId="18645ECA" w14:textId="77777777" w:rsidR="005C329C" w:rsidRPr="0040327B" w:rsidRDefault="005C329C" w:rsidP="00831B7F">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Current Liabilities</w:t>
                </w:r>
              </w:p>
            </w:tc>
            <w:tc>
              <w:tcPr>
                <w:tcW w:w="1296" w:type="dxa"/>
                <w:shd w:val="clear" w:color="auto" w:fill="auto"/>
                <w:noWrap/>
                <w:vAlign w:val="center"/>
                <w:hideMark/>
              </w:tcPr>
              <w:p w14:paraId="5D95345D"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2,431,000</w:t>
                </w:r>
              </w:p>
            </w:tc>
            <w:tc>
              <w:tcPr>
                <w:tcW w:w="1500" w:type="dxa"/>
                <w:shd w:val="clear" w:color="auto" w:fill="auto"/>
                <w:noWrap/>
                <w:vAlign w:val="center"/>
                <w:hideMark/>
              </w:tcPr>
              <w:p w14:paraId="4006AA7A"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2,871,000</w:t>
                </w:r>
              </w:p>
            </w:tc>
            <w:tc>
              <w:tcPr>
                <w:tcW w:w="1176" w:type="dxa"/>
                <w:shd w:val="clear" w:color="auto" w:fill="auto"/>
                <w:noWrap/>
                <w:vAlign w:val="bottom"/>
                <w:hideMark/>
              </w:tcPr>
              <w:p w14:paraId="5AC6EA3A"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-440,000</w:t>
                </w:r>
              </w:p>
            </w:tc>
            <w:tc>
              <w:tcPr>
                <w:tcW w:w="1080" w:type="dxa"/>
                <w:shd w:val="clear" w:color="auto" w:fill="auto"/>
                <w:noWrap/>
                <w:vAlign w:val="bottom"/>
                <w:hideMark/>
              </w:tcPr>
              <w:p w14:paraId="1C14A018"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-15.33%</w:t>
                </w:r>
              </w:p>
            </w:tc>
          </w:tr>
          <w:tr w:rsidR="0040327B" w:rsidRPr="0040327B" w14:paraId="12B98C45" w14:textId="77777777" w:rsidTr="009A10B6">
            <w:trPr>
              <w:trHeight w:val="300"/>
            </w:trPr>
            <w:tc>
              <w:tcPr>
                <w:tcW w:w="2605" w:type="dxa"/>
                <w:shd w:val="clear" w:color="auto" w:fill="auto"/>
                <w:noWrap/>
                <w:vAlign w:val="center"/>
                <w:hideMark/>
              </w:tcPr>
              <w:p w14:paraId="034018D4" w14:textId="19A0685F" w:rsidR="005C329C" w:rsidRPr="0040327B" w:rsidRDefault="005C329C" w:rsidP="00831B7F">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Non-current Liabilities</w:t>
                </w:r>
              </w:p>
            </w:tc>
            <w:tc>
              <w:tcPr>
                <w:tcW w:w="1296" w:type="dxa"/>
                <w:shd w:val="clear" w:color="auto" w:fill="auto"/>
                <w:noWrap/>
                <w:vAlign w:val="center"/>
                <w:hideMark/>
              </w:tcPr>
              <w:p w14:paraId="4D05380F"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15,810,000</w:t>
                </w:r>
              </w:p>
            </w:tc>
            <w:tc>
              <w:tcPr>
                <w:tcW w:w="1500" w:type="dxa"/>
                <w:shd w:val="clear" w:color="auto" w:fill="auto"/>
                <w:noWrap/>
                <w:vAlign w:val="center"/>
                <w:hideMark/>
              </w:tcPr>
              <w:p w14:paraId="5C447662"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12,558,000</w:t>
                </w:r>
              </w:p>
            </w:tc>
            <w:tc>
              <w:tcPr>
                <w:tcW w:w="1176" w:type="dxa"/>
                <w:shd w:val="clear" w:color="auto" w:fill="auto"/>
                <w:noWrap/>
                <w:vAlign w:val="bottom"/>
                <w:hideMark/>
              </w:tcPr>
              <w:p w14:paraId="497E83C3"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3,252,000</w:t>
                </w:r>
              </w:p>
            </w:tc>
            <w:tc>
              <w:tcPr>
                <w:tcW w:w="1080" w:type="dxa"/>
                <w:shd w:val="clear" w:color="auto" w:fill="auto"/>
                <w:noWrap/>
                <w:vAlign w:val="bottom"/>
                <w:hideMark/>
              </w:tcPr>
              <w:p w14:paraId="1591BAD7"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25.90%</w:t>
                </w:r>
              </w:p>
            </w:tc>
          </w:tr>
          <w:tr w:rsidR="0040327B" w:rsidRPr="0040327B" w14:paraId="6F91CA45" w14:textId="77777777" w:rsidTr="009A10B6">
            <w:trPr>
              <w:trHeight w:val="300"/>
            </w:trPr>
            <w:tc>
              <w:tcPr>
                <w:tcW w:w="2605" w:type="dxa"/>
                <w:shd w:val="clear" w:color="auto" w:fill="auto"/>
                <w:noWrap/>
                <w:vAlign w:val="center"/>
                <w:hideMark/>
              </w:tcPr>
              <w:p w14:paraId="7346F573" w14:textId="77777777" w:rsidR="005C329C" w:rsidRPr="0040327B" w:rsidRDefault="005C329C" w:rsidP="00831B7F">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Total Liabilities</w:t>
                </w:r>
              </w:p>
            </w:tc>
            <w:tc>
              <w:tcPr>
                <w:tcW w:w="1296" w:type="dxa"/>
                <w:shd w:val="clear" w:color="auto" w:fill="auto"/>
                <w:noWrap/>
                <w:vAlign w:val="center"/>
                <w:hideMark/>
              </w:tcPr>
              <w:p w14:paraId="04433A70"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18,241,000</w:t>
                </w:r>
              </w:p>
            </w:tc>
            <w:tc>
              <w:tcPr>
                <w:tcW w:w="1500" w:type="dxa"/>
                <w:shd w:val="clear" w:color="auto" w:fill="auto"/>
                <w:noWrap/>
                <w:vAlign w:val="center"/>
                <w:hideMark/>
              </w:tcPr>
              <w:p w14:paraId="22257F54"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15,429,000</w:t>
                </w:r>
              </w:p>
            </w:tc>
            <w:tc>
              <w:tcPr>
                <w:tcW w:w="1176" w:type="dxa"/>
                <w:shd w:val="clear" w:color="auto" w:fill="auto"/>
                <w:noWrap/>
                <w:vAlign w:val="bottom"/>
                <w:hideMark/>
              </w:tcPr>
              <w:p w14:paraId="13928C8A"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2,812,000</w:t>
                </w:r>
              </w:p>
            </w:tc>
            <w:tc>
              <w:tcPr>
                <w:tcW w:w="1080" w:type="dxa"/>
                <w:shd w:val="clear" w:color="auto" w:fill="auto"/>
                <w:noWrap/>
                <w:vAlign w:val="bottom"/>
                <w:hideMark/>
              </w:tcPr>
              <w:p w14:paraId="7826477F"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18.23%</w:t>
                </w:r>
              </w:p>
            </w:tc>
          </w:tr>
          <w:tr w:rsidR="0040327B" w:rsidRPr="0040327B" w14:paraId="1798FD51" w14:textId="77777777" w:rsidTr="009A10B6">
            <w:trPr>
              <w:trHeight w:val="300"/>
            </w:trPr>
            <w:tc>
              <w:tcPr>
                <w:tcW w:w="2605" w:type="dxa"/>
                <w:shd w:val="clear" w:color="auto" w:fill="auto"/>
                <w:noWrap/>
                <w:vAlign w:val="center"/>
                <w:hideMark/>
              </w:tcPr>
              <w:p w14:paraId="4709B213" w14:textId="77777777" w:rsidR="005C329C" w:rsidRPr="0040327B" w:rsidRDefault="005C329C" w:rsidP="00831B7F">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Common Stock</w:t>
                </w:r>
              </w:p>
            </w:tc>
            <w:tc>
              <w:tcPr>
                <w:tcW w:w="1296" w:type="dxa"/>
                <w:shd w:val="clear" w:color="auto" w:fill="auto"/>
                <w:noWrap/>
                <w:vAlign w:val="center"/>
                <w:hideMark/>
              </w:tcPr>
              <w:p w14:paraId="5A016A3A"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3,000</w:t>
                </w:r>
              </w:p>
            </w:tc>
            <w:tc>
              <w:tcPr>
                <w:tcW w:w="1500" w:type="dxa"/>
                <w:shd w:val="clear" w:color="auto" w:fill="auto"/>
                <w:noWrap/>
                <w:vAlign w:val="center"/>
                <w:hideMark/>
              </w:tcPr>
              <w:p w14:paraId="03551F6C"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3,000</w:t>
                </w:r>
              </w:p>
            </w:tc>
            <w:tc>
              <w:tcPr>
                <w:tcW w:w="1176" w:type="dxa"/>
                <w:shd w:val="clear" w:color="auto" w:fill="auto"/>
                <w:noWrap/>
                <w:vAlign w:val="bottom"/>
                <w:hideMark/>
              </w:tcPr>
              <w:p w14:paraId="73A3185F"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0</w:t>
                </w:r>
              </w:p>
            </w:tc>
            <w:tc>
              <w:tcPr>
                <w:tcW w:w="1080" w:type="dxa"/>
                <w:shd w:val="clear" w:color="auto" w:fill="auto"/>
                <w:noWrap/>
                <w:vAlign w:val="bottom"/>
                <w:hideMark/>
              </w:tcPr>
              <w:p w14:paraId="52EADFD0"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0.00%</w:t>
                </w:r>
              </w:p>
            </w:tc>
          </w:tr>
          <w:tr w:rsidR="0040327B" w:rsidRPr="0040327B" w14:paraId="1A1C7372" w14:textId="77777777" w:rsidTr="009A10B6">
            <w:trPr>
              <w:trHeight w:val="300"/>
            </w:trPr>
            <w:tc>
              <w:tcPr>
                <w:tcW w:w="2605" w:type="dxa"/>
                <w:shd w:val="clear" w:color="auto" w:fill="auto"/>
                <w:noWrap/>
                <w:vAlign w:val="center"/>
                <w:hideMark/>
              </w:tcPr>
              <w:p w14:paraId="633ABC3A" w14:textId="77777777" w:rsidR="005C329C" w:rsidRPr="0040327B" w:rsidRDefault="005C329C" w:rsidP="00831B7F">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Retained Earnings</w:t>
                </w:r>
              </w:p>
            </w:tc>
            <w:tc>
              <w:tcPr>
                <w:tcW w:w="1296" w:type="dxa"/>
                <w:shd w:val="clear" w:color="auto" w:fill="auto"/>
                <w:noWrap/>
                <w:vAlign w:val="center"/>
                <w:hideMark/>
              </w:tcPr>
              <w:p w14:paraId="5F53F8ED"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-6,732,000</w:t>
                </w:r>
              </w:p>
            </w:tc>
            <w:tc>
              <w:tcPr>
                <w:tcW w:w="1500" w:type="dxa"/>
                <w:shd w:val="clear" w:color="auto" w:fill="auto"/>
                <w:noWrap/>
                <w:vAlign w:val="center"/>
                <w:hideMark/>
              </w:tcPr>
              <w:p w14:paraId="33817F9A"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-5,965,000</w:t>
                </w:r>
              </w:p>
            </w:tc>
            <w:tc>
              <w:tcPr>
                <w:tcW w:w="1176" w:type="dxa"/>
                <w:shd w:val="clear" w:color="auto" w:fill="auto"/>
                <w:noWrap/>
                <w:vAlign w:val="bottom"/>
                <w:hideMark/>
              </w:tcPr>
              <w:p w14:paraId="0A09192E"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-767,000</w:t>
                </w:r>
              </w:p>
            </w:tc>
            <w:tc>
              <w:tcPr>
                <w:tcW w:w="1080" w:type="dxa"/>
                <w:shd w:val="clear" w:color="auto" w:fill="auto"/>
                <w:noWrap/>
                <w:vAlign w:val="bottom"/>
                <w:hideMark/>
              </w:tcPr>
              <w:p w14:paraId="1A17B236"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12.86%</w:t>
                </w:r>
              </w:p>
            </w:tc>
          </w:tr>
          <w:tr w:rsidR="0040327B" w:rsidRPr="0040327B" w14:paraId="39705410" w14:textId="77777777" w:rsidTr="009A10B6">
            <w:trPr>
              <w:trHeight w:val="300"/>
            </w:trPr>
            <w:tc>
              <w:tcPr>
                <w:tcW w:w="2605" w:type="dxa"/>
                <w:shd w:val="clear" w:color="auto" w:fill="auto"/>
                <w:noWrap/>
                <w:vAlign w:val="center"/>
                <w:hideMark/>
              </w:tcPr>
              <w:p w14:paraId="5085AE3C" w14:textId="77777777" w:rsidR="005C329C" w:rsidRPr="0040327B" w:rsidRDefault="005C329C" w:rsidP="00831B7F">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Total Stockholders' Equity</w:t>
                </w:r>
              </w:p>
            </w:tc>
            <w:tc>
              <w:tcPr>
                <w:tcW w:w="1296" w:type="dxa"/>
                <w:shd w:val="clear" w:color="auto" w:fill="auto"/>
                <w:noWrap/>
                <w:vAlign w:val="center"/>
                <w:hideMark/>
              </w:tcPr>
              <w:p w14:paraId="337A1B20"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-1,490,000</w:t>
                </w:r>
              </w:p>
            </w:tc>
            <w:tc>
              <w:tcPr>
                <w:tcW w:w="1500" w:type="dxa"/>
                <w:shd w:val="clear" w:color="auto" w:fill="auto"/>
                <w:noWrap/>
                <w:vAlign w:val="center"/>
                <w:hideMark/>
              </w:tcPr>
              <w:p w14:paraId="6E6F609B"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-482,000</w:t>
                </w:r>
              </w:p>
            </w:tc>
            <w:tc>
              <w:tcPr>
                <w:tcW w:w="1176" w:type="dxa"/>
                <w:shd w:val="clear" w:color="auto" w:fill="auto"/>
                <w:noWrap/>
                <w:vAlign w:val="bottom"/>
                <w:hideMark/>
              </w:tcPr>
              <w:p w14:paraId="41DA0D2D"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-1,008,000</w:t>
                </w:r>
              </w:p>
            </w:tc>
            <w:tc>
              <w:tcPr>
                <w:tcW w:w="1080" w:type="dxa"/>
                <w:shd w:val="clear" w:color="auto" w:fill="auto"/>
                <w:noWrap/>
                <w:vAlign w:val="bottom"/>
                <w:hideMark/>
              </w:tcPr>
              <w:p w14:paraId="65383C5B"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209.13%</w:t>
                </w:r>
              </w:p>
            </w:tc>
          </w:tr>
          <w:tr w:rsidR="005C329C" w:rsidRPr="0040327B" w14:paraId="4D96DDB8" w14:textId="77777777" w:rsidTr="009A10B6">
            <w:trPr>
              <w:trHeight w:val="300"/>
            </w:trPr>
            <w:tc>
              <w:tcPr>
                <w:tcW w:w="2605" w:type="dxa"/>
                <w:shd w:val="clear" w:color="auto" w:fill="auto"/>
                <w:noWrap/>
                <w:vAlign w:val="center"/>
                <w:hideMark/>
              </w:tcPr>
              <w:p w14:paraId="2555BDF5" w14:textId="77777777" w:rsidR="005C329C" w:rsidRPr="0040327B" w:rsidRDefault="005C329C" w:rsidP="00831B7F">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Total Liabilities and Stockholder</w:t>
                </w:r>
              </w:p>
            </w:tc>
            <w:tc>
              <w:tcPr>
                <w:tcW w:w="1296" w:type="dxa"/>
                <w:shd w:val="clear" w:color="auto" w:fill="auto"/>
                <w:noWrap/>
                <w:vAlign w:val="center"/>
                <w:hideMark/>
              </w:tcPr>
              <w:p w14:paraId="6565392B"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16,755,000</w:t>
                </w:r>
              </w:p>
            </w:tc>
            <w:tc>
              <w:tcPr>
                <w:tcW w:w="1500" w:type="dxa"/>
                <w:shd w:val="clear" w:color="auto" w:fill="auto"/>
                <w:noWrap/>
                <w:vAlign w:val="center"/>
                <w:hideMark/>
              </w:tcPr>
              <w:p w14:paraId="774F064D"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rPr>
                  <w:t>14,957,000</w:t>
                </w:r>
              </w:p>
            </w:tc>
            <w:tc>
              <w:tcPr>
                <w:tcW w:w="1176" w:type="dxa"/>
                <w:shd w:val="clear" w:color="auto" w:fill="auto"/>
                <w:noWrap/>
                <w:vAlign w:val="bottom"/>
                <w:hideMark/>
              </w:tcPr>
              <w:p w14:paraId="2DB1B674"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1,798,000</w:t>
                </w:r>
              </w:p>
            </w:tc>
            <w:tc>
              <w:tcPr>
                <w:tcW w:w="1080" w:type="dxa"/>
                <w:shd w:val="clear" w:color="auto" w:fill="auto"/>
                <w:noWrap/>
                <w:vAlign w:val="bottom"/>
                <w:hideMark/>
              </w:tcPr>
              <w:p w14:paraId="15B14AFF" w14:textId="77777777" w:rsidR="005C329C" w:rsidRPr="0040327B" w:rsidRDefault="005C329C" w:rsidP="00831B7F">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12.02%</w:t>
                </w:r>
              </w:p>
            </w:tc>
          </w:tr>
        </w:tbl>
        <w:p w14:paraId="4EB0BDF2" w14:textId="77777777" w:rsidR="009A10B6" w:rsidRPr="0040327B" w:rsidRDefault="009A10B6" w:rsidP="00DD567C">
          <w:pPr>
            <w:spacing w:after="0" w:line="480" w:lineRule="auto"/>
            <w:contextualSpacing/>
            <w:rPr>
              <w:rFonts w:ascii="Times New Roman" w:hAnsi="Times New Roman" w:cs="Times New Roman"/>
              <w:noProof/>
              <w:lang w:val="en-US"/>
            </w:rPr>
          </w:pPr>
        </w:p>
        <w:p w14:paraId="0D57AEE4" w14:textId="77777777" w:rsidR="009A10B6" w:rsidRPr="0040327B" w:rsidRDefault="009A10B6" w:rsidP="00DD567C">
          <w:pPr>
            <w:spacing w:after="0" w:line="480" w:lineRule="auto"/>
            <w:contextualSpacing/>
            <w:rPr>
              <w:rFonts w:ascii="Times New Roman" w:hAnsi="Times New Roman" w:cs="Times New Roman"/>
              <w:noProof/>
              <w:lang w:val="en-US"/>
            </w:rPr>
          </w:pPr>
        </w:p>
        <w:p w14:paraId="0F73E235" w14:textId="07644A54" w:rsidR="009C1CE2" w:rsidRPr="0040327B" w:rsidRDefault="009A10B6" w:rsidP="00DD567C">
          <w:pPr>
            <w:spacing w:after="0" w:line="480" w:lineRule="auto"/>
            <w:contextualSpacing/>
            <w:rPr>
              <w:rFonts w:ascii="Times New Roman" w:hAnsi="Times New Roman" w:cs="Times New Roman"/>
              <w:sz w:val="24"/>
              <w:szCs w:val="24"/>
            </w:rPr>
          </w:pPr>
          <w:r w:rsidRPr="0040327B">
            <w:rPr>
              <w:rFonts w:ascii="Times New Roman" w:hAnsi="Times New Roman" w:cs="Times New Roman"/>
              <w:noProof/>
              <w:lang w:eastAsia="en-GB"/>
            </w:rPr>
            <w:drawing>
              <wp:inline distT="0" distB="0" distL="0" distR="0" wp14:anchorId="2D842ADE" wp14:editId="6242CC9A">
                <wp:extent cx="5731510" cy="34391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439160"/>
                        </a:xfrm>
                        <a:prstGeom prst="rect">
                          <a:avLst/>
                        </a:prstGeom>
                      </pic:spPr>
                    </pic:pic>
                  </a:graphicData>
                </a:graphic>
              </wp:inline>
            </w:drawing>
          </w:r>
        </w:p>
        <w:p w14:paraId="07599EB8" w14:textId="77777777" w:rsidR="009A10B6" w:rsidRPr="0040327B" w:rsidRDefault="009A10B6" w:rsidP="004C5C0F">
          <w:pPr>
            <w:pStyle w:val="Titlu1"/>
            <w:spacing w:before="0" w:line="480" w:lineRule="auto"/>
            <w:contextualSpacing/>
            <w:jc w:val="center"/>
            <w:rPr>
              <w:rFonts w:ascii="Times New Roman" w:hAnsi="Times New Roman" w:cs="Times New Roman"/>
              <w:color w:val="auto"/>
              <w:sz w:val="24"/>
              <w:szCs w:val="24"/>
            </w:rPr>
          </w:pPr>
        </w:p>
        <w:p w14:paraId="432A6295" w14:textId="77777777" w:rsidR="009A10B6" w:rsidRPr="0040327B" w:rsidRDefault="009A10B6" w:rsidP="004C5C0F">
          <w:pPr>
            <w:pStyle w:val="Titlu1"/>
            <w:spacing w:before="0" w:line="480" w:lineRule="auto"/>
            <w:contextualSpacing/>
            <w:jc w:val="center"/>
            <w:rPr>
              <w:rFonts w:ascii="Times New Roman" w:hAnsi="Times New Roman" w:cs="Times New Roman"/>
              <w:color w:val="auto"/>
              <w:sz w:val="24"/>
              <w:szCs w:val="24"/>
            </w:rPr>
          </w:pPr>
        </w:p>
        <w:p w14:paraId="530738E0" w14:textId="142AA5E1" w:rsidR="004A11F6" w:rsidRPr="0040327B" w:rsidRDefault="004D519C" w:rsidP="004C5C0F">
          <w:pPr>
            <w:pStyle w:val="Titlu1"/>
            <w:spacing w:before="0" w:line="480" w:lineRule="auto"/>
            <w:contextualSpacing/>
            <w:jc w:val="center"/>
            <w:rPr>
              <w:rFonts w:ascii="Times New Roman" w:hAnsi="Times New Roman" w:cs="Times New Roman"/>
              <w:color w:val="auto"/>
              <w:sz w:val="24"/>
              <w:szCs w:val="24"/>
            </w:rPr>
          </w:pPr>
          <w:bookmarkStart w:id="4" w:name="_Toc104055417"/>
          <w:r w:rsidRPr="0040327B">
            <w:rPr>
              <w:rFonts w:ascii="Times New Roman" w:hAnsi="Times New Roman" w:cs="Times New Roman"/>
              <w:color w:val="auto"/>
              <w:sz w:val="24"/>
              <w:szCs w:val="24"/>
            </w:rPr>
            <w:t>Financial Analysis Trends</w:t>
          </w:r>
          <w:bookmarkEnd w:id="4"/>
        </w:p>
        <w:p w14:paraId="5C57E5A0" w14:textId="77777777" w:rsidR="008E08E9" w:rsidRPr="0040327B" w:rsidRDefault="008E08E9" w:rsidP="00DD567C">
          <w:pPr>
            <w:spacing w:after="0" w:line="480" w:lineRule="auto"/>
            <w:contextualSpacing/>
            <w:rPr>
              <w:rFonts w:ascii="Times New Roman" w:hAnsi="Times New Roman" w:cs="Times New Roman"/>
              <w:b/>
              <w:sz w:val="24"/>
              <w:szCs w:val="24"/>
            </w:rPr>
          </w:pPr>
          <w:r w:rsidRPr="0040327B">
            <w:rPr>
              <w:rFonts w:ascii="Times New Roman" w:hAnsi="Times New Roman" w:cs="Times New Roman"/>
              <w:b/>
              <w:sz w:val="24"/>
              <w:szCs w:val="24"/>
            </w:rPr>
            <w:t>Profitability ratios</w:t>
          </w:r>
        </w:p>
        <w:tbl>
          <w:tblPr>
            <w:tblW w:w="88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82"/>
            <w:gridCol w:w="2064"/>
            <w:gridCol w:w="2246"/>
            <w:gridCol w:w="2424"/>
          </w:tblGrid>
          <w:tr w:rsidR="0040327B" w:rsidRPr="0040327B" w14:paraId="14567254" w14:textId="77777777" w:rsidTr="000B1A7B">
            <w:trPr>
              <w:trHeight w:val="315"/>
            </w:trPr>
            <w:tc>
              <w:tcPr>
                <w:tcW w:w="2300" w:type="dxa"/>
                <w:shd w:val="clear" w:color="auto" w:fill="auto"/>
                <w:noWrap/>
                <w:vAlign w:val="bottom"/>
                <w:hideMark/>
              </w:tcPr>
              <w:p w14:paraId="2B316411" w14:textId="77777777" w:rsidR="00186972" w:rsidRPr="0040327B" w:rsidRDefault="00186972" w:rsidP="0099024D">
                <w:pPr>
                  <w:spacing w:after="0" w:line="240" w:lineRule="auto"/>
                  <w:contextualSpacing/>
                  <w:rPr>
                    <w:rFonts w:ascii="Times New Roman" w:eastAsia="Times New Roman" w:hAnsi="Times New Roman" w:cs="Times New Roman"/>
                    <w:b/>
                    <w:sz w:val="24"/>
                    <w:szCs w:val="24"/>
                    <w:lang w:val="en-US"/>
                  </w:rPr>
                </w:pPr>
                <w:r w:rsidRPr="0040327B">
                  <w:rPr>
                    <w:rFonts w:ascii="Times New Roman" w:eastAsia="Times New Roman" w:hAnsi="Times New Roman" w:cs="Times New Roman"/>
                    <w:b/>
                    <w:sz w:val="24"/>
                    <w:szCs w:val="24"/>
                    <w:lang w:val="en-US"/>
                  </w:rPr>
                  <w:t>Profitability ratios</w:t>
                </w:r>
              </w:p>
            </w:tc>
            <w:tc>
              <w:tcPr>
                <w:tcW w:w="2080" w:type="dxa"/>
                <w:shd w:val="clear" w:color="auto" w:fill="auto"/>
                <w:noWrap/>
                <w:vAlign w:val="bottom"/>
                <w:hideMark/>
              </w:tcPr>
              <w:p w14:paraId="20D8B5D2" w14:textId="77777777" w:rsidR="00186972" w:rsidRPr="0040327B" w:rsidRDefault="00186972" w:rsidP="0099024D">
                <w:pPr>
                  <w:spacing w:after="0" w:line="240" w:lineRule="auto"/>
                  <w:contextualSpacing/>
                  <w:rPr>
                    <w:rFonts w:ascii="Times New Roman" w:eastAsia="Times New Roman" w:hAnsi="Times New Roman" w:cs="Times New Roman"/>
                    <w:b/>
                    <w:sz w:val="24"/>
                    <w:szCs w:val="24"/>
                    <w:lang w:val="en-US"/>
                  </w:rPr>
                </w:pPr>
                <w:r w:rsidRPr="0040327B">
                  <w:rPr>
                    <w:rFonts w:ascii="Times New Roman" w:eastAsia="Times New Roman" w:hAnsi="Times New Roman" w:cs="Times New Roman"/>
                    <w:b/>
                    <w:sz w:val="24"/>
                    <w:szCs w:val="24"/>
                    <w:lang w:val="en-US"/>
                  </w:rPr>
                  <w:t>Formula</w:t>
                </w:r>
              </w:p>
            </w:tc>
            <w:tc>
              <w:tcPr>
                <w:tcW w:w="2139" w:type="dxa"/>
                <w:shd w:val="clear" w:color="auto" w:fill="auto"/>
                <w:noWrap/>
                <w:vAlign w:val="bottom"/>
                <w:hideMark/>
              </w:tcPr>
              <w:p w14:paraId="34C4045E" w14:textId="77777777" w:rsidR="00186972" w:rsidRPr="0040327B" w:rsidRDefault="00186972" w:rsidP="0099024D">
                <w:pPr>
                  <w:spacing w:after="0" w:line="240" w:lineRule="auto"/>
                  <w:contextualSpacing/>
                  <w:jc w:val="right"/>
                  <w:rPr>
                    <w:rFonts w:ascii="Times New Roman" w:eastAsia="Times New Roman" w:hAnsi="Times New Roman" w:cs="Times New Roman"/>
                    <w:b/>
                    <w:sz w:val="24"/>
                    <w:szCs w:val="24"/>
                    <w:lang w:val="en-US"/>
                  </w:rPr>
                </w:pPr>
                <w:r w:rsidRPr="0040327B">
                  <w:rPr>
                    <w:rFonts w:ascii="Times New Roman" w:eastAsia="Times New Roman" w:hAnsi="Times New Roman" w:cs="Times New Roman"/>
                    <w:b/>
                    <w:sz w:val="24"/>
                    <w:szCs w:val="24"/>
                    <w:lang w:val="en-US"/>
                  </w:rPr>
                  <w:t>2020</w:t>
                </w:r>
              </w:p>
            </w:tc>
            <w:tc>
              <w:tcPr>
                <w:tcW w:w="2340" w:type="dxa"/>
                <w:shd w:val="clear" w:color="auto" w:fill="auto"/>
                <w:noWrap/>
                <w:vAlign w:val="bottom"/>
                <w:hideMark/>
              </w:tcPr>
              <w:p w14:paraId="5EE86423" w14:textId="77777777" w:rsidR="00186972" w:rsidRPr="0040327B" w:rsidRDefault="00186972" w:rsidP="0099024D">
                <w:pPr>
                  <w:spacing w:after="0" w:line="240" w:lineRule="auto"/>
                  <w:contextualSpacing/>
                  <w:jc w:val="right"/>
                  <w:rPr>
                    <w:rFonts w:ascii="Times New Roman" w:eastAsia="Times New Roman" w:hAnsi="Times New Roman" w:cs="Times New Roman"/>
                    <w:b/>
                    <w:sz w:val="24"/>
                    <w:szCs w:val="24"/>
                    <w:lang w:val="en-US"/>
                  </w:rPr>
                </w:pPr>
                <w:r w:rsidRPr="0040327B">
                  <w:rPr>
                    <w:rFonts w:ascii="Times New Roman" w:eastAsia="Times New Roman" w:hAnsi="Times New Roman" w:cs="Times New Roman"/>
                    <w:b/>
                    <w:sz w:val="24"/>
                    <w:szCs w:val="24"/>
                    <w:lang w:val="en-US"/>
                  </w:rPr>
                  <w:t>2019</w:t>
                </w:r>
              </w:p>
            </w:tc>
          </w:tr>
          <w:tr w:rsidR="0040327B" w:rsidRPr="0040327B" w14:paraId="465CDC43" w14:textId="77777777" w:rsidTr="000B1A7B">
            <w:trPr>
              <w:trHeight w:val="315"/>
            </w:trPr>
            <w:tc>
              <w:tcPr>
                <w:tcW w:w="2300" w:type="dxa"/>
                <w:shd w:val="clear" w:color="auto" w:fill="auto"/>
                <w:noWrap/>
                <w:vAlign w:val="bottom"/>
                <w:hideMark/>
              </w:tcPr>
              <w:p w14:paraId="536CAB4C" w14:textId="77777777" w:rsidR="00186972" w:rsidRPr="0040327B" w:rsidRDefault="00186972" w:rsidP="0099024D">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Gross profit margin</w:t>
                </w:r>
              </w:p>
            </w:tc>
            <w:tc>
              <w:tcPr>
                <w:tcW w:w="2080" w:type="dxa"/>
                <w:shd w:val="clear" w:color="auto" w:fill="auto"/>
                <w:noWrap/>
                <w:vAlign w:val="bottom"/>
                <w:hideMark/>
              </w:tcPr>
              <w:p w14:paraId="0AF477F3" w14:textId="77777777" w:rsidR="00186972" w:rsidRPr="0040327B" w:rsidRDefault="00186972" w:rsidP="0099024D">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Gross profit/sales</w:t>
                </w:r>
              </w:p>
            </w:tc>
            <w:tc>
              <w:tcPr>
                <w:tcW w:w="2139" w:type="dxa"/>
                <w:shd w:val="clear" w:color="auto" w:fill="auto"/>
                <w:noWrap/>
                <w:vAlign w:val="center"/>
                <w:hideMark/>
              </w:tcPr>
              <w:p w14:paraId="5FAA69FC" w14:textId="77777777" w:rsidR="00186972" w:rsidRPr="0040327B" w:rsidRDefault="00186972" w:rsidP="0099024D">
                <w:pPr>
                  <w:spacing w:after="0" w:line="240" w:lineRule="auto"/>
                  <w:contextualSpacing/>
                  <w:jc w:val="right"/>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$583,000/$4,307,000 = 13.54%</w:t>
                </w:r>
              </w:p>
            </w:tc>
            <w:tc>
              <w:tcPr>
                <w:tcW w:w="2340" w:type="dxa"/>
                <w:shd w:val="clear" w:color="auto" w:fill="auto"/>
                <w:noWrap/>
                <w:vAlign w:val="bottom"/>
                <w:hideMark/>
              </w:tcPr>
              <w:p w14:paraId="27B0D80B" w14:textId="77777777" w:rsidR="00186972" w:rsidRPr="0040327B" w:rsidRDefault="00186972" w:rsidP="0099024D">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$2,435,000/$9,452,000 = 25.76%</w:t>
                </w:r>
              </w:p>
            </w:tc>
          </w:tr>
          <w:tr w:rsidR="0040327B" w:rsidRPr="0040327B" w14:paraId="6C28CA71" w14:textId="77777777" w:rsidTr="000B1A7B">
            <w:trPr>
              <w:trHeight w:val="315"/>
            </w:trPr>
            <w:tc>
              <w:tcPr>
                <w:tcW w:w="2300" w:type="dxa"/>
                <w:shd w:val="clear" w:color="auto" w:fill="auto"/>
                <w:noWrap/>
                <w:vAlign w:val="bottom"/>
                <w:hideMark/>
              </w:tcPr>
              <w:p w14:paraId="737ACE01" w14:textId="77777777" w:rsidR="00186972" w:rsidRPr="0040327B" w:rsidRDefault="00186972" w:rsidP="0099024D">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Operating profit margin</w:t>
                </w:r>
              </w:p>
            </w:tc>
            <w:tc>
              <w:tcPr>
                <w:tcW w:w="2080" w:type="dxa"/>
                <w:shd w:val="clear" w:color="auto" w:fill="auto"/>
                <w:noWrap/>
                <w:vAlign w:val="bottom"/>
                <w:hideMark/>
              </w:tcPr>
              <w:p w14:paraId="493DEA22" w14:textId="77777777" w:rsidR="00186972" w:rsidRPr="0040327B" w:rsidRDefault="00186972" w:rsidP="0099024D">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Operating income/Sales</w:t>
                </w:r>
              </w:p>
            </w:tc>
            <w:tc>
              <w:tcPr>
                <w:tcW w:w="2139" w:type="dxa"/>
                <w:shd w:val="clear" w:color="auto" w:fill="auto"/>
                <w:noWrap/>
                <w:vAlign w:val="bottom"/>
                <w:hideMark/>
              </w:tcPr>
              <w:p w14:paraId="674BF83C" w14:textId="77777777" w:rsidR="00186972" w:rsidRPr="0040327B" w:rsidRDefault="00186972" w:rsidP="0099024D">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-$119,000/$4,307,000 = -2.76%</w:t>
                </w:r>
              </w:p>
            </w:tc>
            <w:tc>
              <w:tcPr>
                <w:tcW w:w="2340" w:type="dxa"/>
                <w:shd w:val="clear" w:color="auto" w:fill="auto"/>
                <w:noWrap/>
                <w:vAlign w:val="bottom"/>
                <w:hideMark/>
              </w:tcPr>
              <w:p w14:paraId="687F067D" w14:textId="77777777" w:rsidR="00186972" w:rsidRPr="0040327B" w:rsidRDefault="00186972" w:rsidP="0099024D">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$1,576,000/$9,452,000 = 16.67%</w:t>
                </w:r>
              </w:p>
            </w:tc>
          </w:tr>
          <w:tr w:rsidR="00186972" w:rsidRPr="0040327B" w14:paraId="7F33D8B7" w14:textId="77777777" w:rsidTr="000B1A7B">
            <w:trPr>
              <w:trHeight w:val="315"/>
            </w:trPr>
            <w:tc>
              <w:tcPr>
                <w:tcW w:w="2300" w:type="dxa"/>
                <w:shd w:val="clear" w:color="auto" w:fill="auto"/>
                <w:noWrap/>
                <w:vAlign w:val="bottom"/>
                <w:hideMark/>
              </w:tcPr>
              <w:p w14:paraId="73EB3381" w14:textId="77777777" w:rsidR="00186972" w:rsidRPr="0040327B" w:rsidRDefault="00186972" w:rsidP="0099024D">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Net profit margin</w:t>
                </w:r>
              </w:p>
            </w:tc>
            <w:tc>
              <w:tcPr>
                <w:tcW w:w="2080" w:type="dxa"/>
                <w:shd w:val="clear" w:color="auto" w:fill="auto"/>
                <w:noWrap/>
                <w:vAlign w:val="bottom"/>
                <w:hideMark/>
              </w:tcPr>
              <w:p w14:paraId="2123CFC8" w14:textId="77777777" w:rsidR="00186972" w:rsidRPr="0040327B" w:rsidRDefault="00186972" w:rsidP="0099024D">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Net income/Sales</w:t>
                </w:r>
              </w:p>
            </w:tc>
            <w:tc>
              <w:tcPr>
                <w:tcW w:w="2139" w:type="dxa"/>
                <w:shd w:val="clear" w:color="auto" w:fill="auto"/>
                <w:noWrap/>
                <w:vAlign w:val="bottom"/>
                <w:hideMark/>
              </w:tcPr>
              <w:p w14:paraId="75E6DF21" w14:textId="77777777" w:rsidR="00186972" w:rsidRPr="0040327B" w:rsidRDefault="00186972" w:rsidP="0099024D">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-$548,000/$4,307,000 = -12.72%</w:t>
                </w:r>
              </w:p>
            </w:tc>
            <w:tc>
              <w:tcPr>
                <w:tcW w:w="2340" w:type="dxa"/>
                <w:shd w:val="clear" w:color="auto" w:fill="auto"/>
                <w:noWrap/>
                <w:vAlign w:val="bottom"/>
                <w:hideMark/>
              </w:tcPr>
              <w:p w14:paraId="350AED06" w14:textId="77777777" w:rsidR="00186972" w:rsidRPr="0040327B" w:rsidRDefault="00186972" w:rsidP="0099024D">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$1,162,000/$9,452,000 = 12.29%</w:t>
                </w:r>
              </w:p>
            </w:tc>
          </w:tr>
        </w:tbl>
        <w:p w14:paraId="04BD406F" w14:textId="6477680C" w:rsidR="000B1A7B" w:rsidRPr="0040327B" w:rsidRDefault="000B1A7B" w:rsidP="00DD567C">
          <w:pPr>
            <w:autoSpaceDE w:val="0"/>
            <w:autoSpaceDN w:val="0"/>
            <w:adjustRightInd w:val="0"/>
            <w:spacing w:after="0" w:line="480" w:lineRule="auto"/>
            <w:contextualSpacing/>
            <w:rPr>
              <w:rFonts w:ascii="Times New Roman" w:hAnsi="Times New Roman" w:cs="Times New Roman"/>
              <w:sz w:val="24"/>
              <w:szCs w:val="24"/>
            </w:rPr>
          </w:pPr>
        </w:p>
        <w:p w14:paraId="4FD46088" w14:textId="7A48CD14" w:rsidR="006818F8" w:rsidRPr="0040327B" w:rsidRDefault="000B1A7B"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Profitability ratios are used to compare the profitability of a business to others in the same industry and over time</w:t>
          </w:r>
          <w:r w:rsidR="003D35B4" w:rsidRPr="0040327B">
            <w:rPr>
              <w:rFonts w:ascii="Times New Roman" w:hAnsi="Times New Roman" w:cs="Times New Roman"/>
              <w:sz w:val="24"/>
              <w:szCs w:val="24"/>
            </w:rPr>
            <w:t xml:space="preserve"> (Shakatreh, 2021)</w:t>
          </w:r>
          <w:r w:rsidRPr="0040327B">
            <w:rPr>
              <w:rFonts w:ascii="Times New Roman" w:hAnsi="Times New Roman" w:cs="Times New Roman"/>
              <w:sz w:val="24"/>
              <w:szCs w:val="24"/>
            </w:rPr>
            <w:t xml:space="preserve">. The 13.54% for 2020 gross profit margin for Hilton, Inc. is lower than the 2019 with that had 25.76%. The 2019 has a better operating profit margin at 16.67% in comparison with the 2020 at 12.72%. Hilton, Inc. reported a lower net margin of 12.29% in 2019 in comparison with 16.67% for the same period in the prior year. This may be due to the expenses increase from $714 million to $859 million in 2019 (a 45% increase) and an </w:t>
          </w:r>
          <w:r w:rsidR="006E6BFC" w:rsidRPr="0040327B">
            <w:rPr>
              <w:rFonts w:ascii="Times New Roman" w:hAnsi="Times New Roman" w:cs="Times New Roman"/>
              <w:sz w:val="24"/>
              <w:szCs w:val="24"/>
            </w:rPr>
            <w:t>unfavourable</w:t>
          </w:r>
          <w:r w:rsidRPr="0040327B">
            <w:rPr>
              <w:rFonts w:ascii="Times New Roman" w:hAnsi="Times New Roman" w:cs="Times New Roman"/>
              <w:sz w:val="24"/>
              <w:szCs w:val="24"/>
            </w:rPr>
            <w:t xml:space="preserve"> revenue performance that resulted in strong quarterly losses of $130 million, as well as a significant decrease of total assets from $14 billion to $12 billion and a resulting decrease in equity due to write-offs recorded during certain periods.</w:t>
          </w:r>
          <w:r w:rsidR="006E6BFC" w:rsidRPr="0040327B">
            <w:rPr>
              <w:rFonts w:ascii="Times New Roman" w:hAnsi="Times New Roman" w:cs="Times New Roman"/>
              <w:sz w:val="24"/>
              <w:szCs w:val="24"/>
            </w:rPr>
            <w:t xml:space="preserve"> </w:t>
          </w:r>
          <w:r w:rsidRPr="0040327B">
            <w:rPr>
              <w:rFonts w:ascii="Times New Roman" w:hAnsi="Times New Roman" w:cs="Times New Roman"/>
              <w:sz w:val="24"/>
              <w:szCs w:val="24"/>
            </w:rPr>
            <w:t>The gross profit margin is lower in comparison with the prior year, the operating profit margin and net margin are lower for Hilton, Inc. for the 2020 period.</w:t>
          </w:r>
        </w:p>
        <w:p w14:paraId="55F077CB" w14:textId="77777777" w:rsidR="0040327B" w:rsidRPr="0040327B" w:rsidRDefault="0040327B" w:rsidP="0040327B">
          <w:pPr>
            <w:autoSpaceDE w:val="0"/>
            <w:autoSpaceDN w:val="0"/>
            <w:adjustRightInd w:val="0"/>
            <w:spacing w:after="0" w:line="480" w:lineRule="auto"/>
            <w:ind w:firstLine="720"/>
            <w:contextualSpacing/>
            <w:rPr>
              <w:rFonts w:ascii="Times New Roman" w:hAnsi="Times New Roman" w:cs="Times New Roman"/>
              <w:sz w:val="24"/>
              <w:szCs w:val="24"/>
            </w:rPr>
          </w:pPr>
        </w:p>
        <w:p w14:paraId="538DA911" w14:textId="3EA80BAA" w:rsidR="00003278" w:rsidRPr="0040327B" w:rsidRDefault="00003278" w:rsidP="00DD567C">
          <w:pPr>
            <w:spacing w:after="0" w:line="480" w:lineRule="auto"/>
            <w:contextualSpacing/>
            <w:rPr>
              <w:rFonts w:ascii="Times New Roman" w:eastAsia="Times New Roman" w:hAnsi="Times New Roman" w:cs="Times New Roman"/>
              <w:b/>
              <w:sz w:val="24"/>
              <w:szCs w:val="24"/>
              <w:lang w:val="en-US"/>
            </w:rPr>
          </w:pPr>
          <w:r w:rsidRPr="0040327B">
            <w:rPr>
              <w:rFonts w:ascii="Times New Roman" w:eastAsia="Times New Roman" w:hAnsi="Times New Roman" w:cs="Times New Roman"/>
              <w:b/>
              <w:sz w:val="24"/>
              <w:szCs w:val="24"/>
              <w:lang w:val="en-US"/>
            </w:rPr>
            <w:t>Liquidity Ratios</w:t>
          </w:r>
        </w:p>
        <w:tbl>
          <w:tblPr>
            <w:tblW w:w="90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85"/>
            <w:gridCol w:w="2051"/>
            <w:gridCol w:w="2390"/>
            <w:gridCol w:w="2390"/>
          </w:tblGrid>
          <w:tr w:rsidR="0040327B" w:rsidRPr="0040327B" w14:paraId="01076070" w14:textId="77777777" w:rsidTr="006818F8">
            <w:trPr>
              <w:trHeight w:val="315"/>
            </w:trPr>
            <w:tc>
              <w:tcPr>
                <w:tcW w:w="2233" w:type="dxa"/>
                <w:shd w:val="clear" w:color="auto" w:fill="auto"/>
                <w:noWrap/>
                <w:vAlign w:val="bottom"/>
                <w:hideMark/>
              </w:tcPr>
              <w:p w14:paraId="4F019B53" w14:textId="77777777" w:rsidR="00B7641E" w:rsidRPr="0040327B" w:rsidRDefault="00B7641E" w:rsidP="006818F8">
                <w:pPr>
                  <w:spacing w:after="0" w:line="240" w:lineRule="auto"/>
                  <w:contextualSpacing/>
                  <w:rPr>
                    <w:rFonts w:ascii="Times New Roman" w:eastAsia="Times New Roman" w:hAnsi="Times New Roman" w:cs="Times New Roman"/>
                    <w:b/>
                    <w:sz w:val="24"/>
                    <w:szCs w:val="24"/>
                    <w:lang w:val="en-US"/>
                  </w:rPr>
                </w:pPr>
                <w:r w:rsidRPr="0040327B">
                  <w:rPr>
                    <w:rFonts w:ascii="Times New Roman" w:eastAsia="Times New Roman" w:hAnsi="Times New Roman" w:cs="Times New Roman"/>
                    <w:b/>
                    <w:sz w:val="24"/>
                    <w:szCs w:val="24"/>
                    <w:lang w:val="en-US"/>
                  </w:rPr>
                  <w:t>Liquidity Ratios</w:t>
                </w:r>
              </w:p>
            </w:tc>
            <w:tc>
              <w:tcPr>
                <w:tcW w:w="2037" w:type="dxa"/>
                <w:shd w:val="clear" w:color="auto" w:fill="auto"/>
                <w:noWrap/>
                <w:vAlign w:val="bottom"/>
                <w:hideMark/>
              </w:tcPr>
              <w:p w14:paraId="0BB09014" w14:textId="77777777" w:rsidR="00B7641E" w:rsidRPr="0040327B" w:rsidRDefault="00B7641E" w:rsidP="006818F8">
                <w:pPr>
                  <w:spacing w:after="0" w:line="240" w:lineRule="auto"/>
                  <w:contextualSpacing/>
                  <w:rPr>
                    <w:rFonts w:ascii="Times New Roman" w:eastAsia="Times New Roman" w:hAnsi="Times New Roman" w:cs="Times New Roman"/>
                    <w:b/>
                    <w:sz w:val="24"/>
                    <w:szCs w:val="24"/>
                    <w:lang w:val="en-US"/>
                  </w:rPr>
                </w:pPr>
                <w:r w:rsidRPr="0040327B">
                  <w:rPr>
                    <w:rFonts w:ascii="Times New Roman" w:eastAsia="Times New Roman" w:hAnsi="Times New Roman" w:cs="Times New Roman"/>
                    <w:b/>
                    <w:sz w:val="24"/>
                    <w:szCs w:val="24"/>
                    <w:lang w:val="en-US"/>
                  </w:rPr>
                  <w:t>Formula</w:t>
                </w:r>
              </w:p>
            </w:tc>
            <w:tc>
              <w:tcPr>
                <w:tcW w:w="2373" w:type="dxa"/>
                <w:shd w:val="clear" w:color="auto" w:fill="auto"/>
                <w:noWrap/>
                <w:vAlign w:val="bottom"/>
                <w:hideMark/>
              </w:tcPr>
              <w:p w14:paraId="0F940957" w14:textId="77777777" w:rsidR="00B7641E" w:rsidRPr="0040327B" w:rsidRDefault="00B7641E" w:rsidP="006818F8">
                <w:pPr>
                  <w:spacing w:after="0" w:line="240" w:lineRule="auto"/>
                  <w:contextualSpacing/>
                  <w:jc w:val="right"/>
                  <w:rPr>
                    <w:rFonts w:ascii="Times New Roman" w:eastAsia="Times New Roman" w:hAnsi="Times New Roman" w:cs="Times New Roman"/>
                    <w:b/>
                    <w:sz w:val="24"/>
                    <w:szCs w:val="24"/>
                    <w:lang w:val="en-US"/>
                  </w:rPr>
                </w:pPr>
                <w:r w:rsidRPr="0040327B">
                  <w:rPr>
                    <w:rFonts w:ascii="Times New Roman" w:eastAsia="Times New Roman" w:hAnsi="Times New Roman" w:cs="Times New Roman"/>
                    <w:b/>
                    <w:sz w:val="24"/>
                    <w:szCs w:val="24"/>
                    <w:lang w:val="en-US"/>
                  </w:rPr>
                  <w:t>2020</w:t>
                </w:r>
              </w:p>
            </w:tc>
            <w:tc>
              <w:tcPr>
                <w:tcW w:w="2373" w:type="dxa"/>
                <w:shd w:val="clear" w:color="auto" w:fill="auto"/>
                <w:noWrap/>
                <w:vAlign w:val="bottom"/>
                <w:hideMark/>
              </w:tcPr>
              <w:p w14:paraId="3D36F951" w14:textId="77777777" w:rsidR="00B7641E" w:rsidRPr="0040327B" w:rsidRDefault="00B7641E" w:rsidP="006818F8">
                <w:pPr>
                  <w:spacing w:after="0" w:line="240" w:lineRule="auto"/>
                  <w:contextualSpacing/>
                  <w:jc w:val="right"/>
                  <w:rPr>
                    <w:rFonts w:ascii="Times New Roman" w:eastAsia="Times New Roman" w:hAnsi="Times New Roman" w:cs="Times New Roman"/>
                    <w:b/>
                    <w:sz w:val="24"/>
                    <w:szCs w:val="24"/>
                    <w:lang w:val="en-US"/>
                  </w:rPr>
                </w:pPr>
                <w:r w:rsidRPr="0040327B">
                  <w:rPr>
                    <w:rFonts w:ascii="Times New Roman" w:eastAsia="Times New Roman" w:hAnsi="Times New Roman" w:cs="Times New Roman"/>
                    <w:b/>
                    <w:sz w:val="24"/>
                    <w:szCs w:val="24"/>
                    <w:lang w:val="en-US"/>
                  </w:rPr>
                  <w:t>2019</w:t>
                </w:r>
              </w:p>
            </w:tc>
          </w:tr>
          <w:tr w:rsidR="0040327B" w:rsidRPr="0040327B" w14:paraId="0788F88F" w14:textId="77777777" w:rsidTr="006818F8">
            <w:trPr>
              <w:trHeight w:val="315"/>
            </w:trPr>
            <w:tc>
              <w:tcPr>
                <w:tcW w:w="2233" w:type="dxa"/>
                <w:shd w:val="clear" w:color="auto" w:fill="auto"/>
                <w:noWrap/>
                <w:vAlign w:val="bottom"/>
                <w:hideMark/>
              </w:tcPr>
              <w:p w14:paraId="130B4B28" w14:textId="77777777" w:rsidR="00B7641E" w:rsidRPr="0040327B" w:rsidRDefault="00B7641E" w:rsidP="006818F8">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Current ratio</w:t>
                </w:r>
              </w:p>
            </w:tc>
            <w:tc>
              <w:tcPr>
                <w:tcW w:w="2037" w:type="dxa"/>
                <w:shd w:val="clear" w:color="auto" w:fill="auto"/>
                <w:noWrap/>
                <w:vAlign w:val="bottom"/>
                <w:hideMark/>
              </w:tcPr>
              <w:p w14:paraId="334F064A" w14:textId="77777777" w:rsidR="00B7641E" w:rsidRPr="0040327B" w:rsidRDefault="00B7641E" w:rsidP="006818F8">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Current Assets/current liabilities</w:t>
                </w:r>
              </w:p>
            </w:tc>
            <w:tc>
              <w:tcPr>
                <w:tcW w:w="2373" w:type="dxa"/>
                <w:shd w:val="clear" w:color="auto" w:fill="auto"/>
                <w:noWrap/>
                <w:vAlign w:val="bottom"/>
                <w:hideMark/>
              </w:tcPr>
              <w:p w14:paraId="79B1122B" w14:textId="77777777" w:rsidR="00B7641E" w:rsidRPr="0040327B" w:rsidRDefault="00B7641E" w:rsidP="006818F8">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$4,202,000/$2,431,000 = 1.73</w:t>
                </w:r>
              </w:p>
            </w:tc>
            <w:tc>
              <w:tcPr>
                <w:tcW w:w="2373" w:type="dxa"/>
                <w:shd w:val="clear" w:color="auto" w:fill="auto"/>
                <w:noWrap/>
                <w:vAlign w:val="bottom"/>
                <w:hideMark/>
              </w:tcPr>
              <w:p w14:paraId="1912F68B" w14:textId="77777777" w:rsidR="00B7641E" w:rsidRPr="0040327B" w:rsidRDefault="00B7641E" w:rsidP="006818F8">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$2,093,000/$2,871,000 = 0.73</w:t>
                </w:r>
              </w:p>
            </w:tc>
          </w:tr>
          <w:tr w:rsidR="0040327B" w:rsidRPr="0040327B" w14:paraId="0B4A8953" w14:textId="77777777" w:rsidTr="006818F8">
            <w:trPr>
              <w:trHeight w:val="315"/>
            </w:trPr>
            <w:tc>
              <w:tcPr>
                <w:tcW w:w="2233" w:type="dxa"/>
                <w:shd w:val="clear" w:color="auto" w:fill="auto"/>
                <w:noWrap/>
                <w:vAlign w:val="bottom"/>
                <w:hideMark/>
              </w:tcPr>
              <w:p w14:paraId="2CB4330F" w14:textId="77777777" w:rsidR="00B7641E" w:rsidRPr="0040327B" w:rsidRDefault="00B7641E" w:rsidP="006818F8">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lastRenderedPageBreak/>
                  <w:t>Quick ratio</w:t>
                </w:r>
              </w:p>
            </w:tc>
            <w:tc>
              <w:tcPr>
                <w:tcW w:w="2037" w:type="dxa"/>
                <w:shd w:val="clear" w:color="auto" w:fill="auto"/>
                <w:noWrap/>
                <w:vAlign w:val="bottom"/>
                <w:hideMark/>
              </w:tcPr>
              <w:p w14:paraId="18178744" w14:textId="77777777" w:rsidR="00B7641E" w:rsidRPr="0040327B" w:rsidRDefault="00B7641E" w:rsidP="006818F8">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Current assets minus inventory/liabilities</w:t>
                </w:r>
              </w:p>
            </w:tc>
            <w:tc>
              <w:tcPr>
                <w:tcW w:w="2373" w:type="dxa"/>
                <w:shd w:val="clear" w:color="auto" w:fill="auto"/>
                <w:noWrap/>
                <w:vAlign w:val="bottom"/>
                <w:hideMark/>
              </w:tcPr>
              <w:p w14:paraId="59ACF3C0" w14:textId="77777777" w:rsidR="00B7641E" w:rsidRPr="0040327B" w:rsidRDefault="00B7641E" w:rsidP="006818F8">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($4,202,000-$3,000)/$2,431,000 = 1.73</w:t>
                </w:r>
              </w:p>
            </w:tc>
            <w:tc>
              <w:tcPr>
                <w:tcW w:w="2373" w:type="dxa"/>
                <w:shd w:val="clear" w:color="auto" w:fill="auto"/>
                <w:noWrap/>
                <w:vAlign w:val="bottom"/>
                <w:hideMark/>
              </w:tcPr>
              <w:p w14:paraId="5B0FE17E" w14:textId="77777777" w:rsidR="00B7641E" w:rsidRPr="0040327B" w:rsidRDefault="00B7641E" w:rsidP="006818F8">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($2,093,000-$3,000)/$2,871,000 = 0.73</w:t>
                </w:r>
              </w:p>
            </w:tc>
          </w:tr>
        </w:tbl>
        <w:p w14:paraId="19AE7471" w14:textId="641DBEBA" w:rsidR="00F9075D" w:rsidRPr="0040327B" w:rsidRDefault="00003278" w:rsidP="006818F8">
          <w:pPr>
            <w:autoSpaceDE w:val="0"/>
            <w:autoSpaceDN w:val="0"/>
            <w:adjustRightInd w:val="0"/>
            <w:spacing w:after="0" w:line="480" w:lineRule="auto"/>
            <w:ind w:firstLine="720"/>
            <w:contextualSpacing/>
            <w:rPr>
              <w:rFonts w:ascii="Times New Roman" w:hAnsi="Times New Roman" w:cs="Times New Roman"/>
              <w:sz w:val="24"/>
              <w:szCs w:val="24"/>
            </w:rPr>
          </w:pPr>
          <w:r w:rsidRPr="0040327B">
            <w:rPr>
              <w:rFonts w:ascii="Times New Roman" w:hAnsi="Times New Roman" w:cs="Times New Roman"/>
              <w:sz w:val="24"/>
              <w:szCs w:val="24"/>
            </w:rPr>
            <w:t>Liquidity ratios measure a company's ability to meet its short-term obligations</w:t>
          </w:r>
          <w:r w:rsidR="002A68A9" w:rsidRPr="0040327B">
            <w:rPr>
              <w:rFonts w:ascii="Times New Roman" w:hAnsi="Times New Roman" w:cs="Times New Roman"/>
              <w:sz w:val="24"/>
              <w:szCs w:val="24"/>
            </w:rPr>
            <w:t xml:space="preserve"> (Alexander, 2017)</w:t>
          </w:r>
          <w:r w:rsidRPr="0040327B">
            <w:rPr>
              <w:rFonts w:ascii="Times New Roman" w:hAnsi="Times New Roman" w:cs="Times New Roman"/>
              <w:sz w:val="24"/>
              <w:szCs w:val="24"/>
            </w:rPr>
            <w:t>. Current ratios and quick ratios are both dependent on the available cash balances or, in Hilton, Inc. case, the cash balance over inventory held</w:t>
          </w:r>
          <w:r w:rsidR="002A68A9" w:rsidRPr="0040327B">
            <w:rPr>
              <w:rFonts w:ascii="Times New Roman" w:hAnsi="Times New Roman" w:cs="Times New Roman"/>
              <w:sz w:val="24"/>
              <w:szCs w:val="24"/>
            </w:rPr>
            <w:t xml:space="preserve"> (D &amp; Dahlquist, 2016)</w:t>
          </w:r>
          <w:r w:rsidRPr="0040327B">
            <w:rPr>
              <w:rFonts w:ascii="Times New Roman" w:hAnsi="Times New Roman" w:cs="Times New Roman"/>
              <w:sz w:val="24"/>
              <w:szCs w:val="24"/>
            </w:rPr>
            <w:t>. The current ratio is also indicative of how long it would take for current liabilities, such as accounts payable or bank loans to be paid</w:t>
          </w:r>
          <w:r w:rsidR="002A68A9" w:rsidRPr="0040327B">
            <w:rPr>
              <w:rFonts w:ascii="Times New Roman" w:hAnsi="Times New Roman" w:cs="Times New Roman"/>
              <w:sz w:val="24"/>
              <w:szCs w:val="24"/>
            </w:rPr>
            <w:t xml:space="preserve"> (Fridson &amp; Alvarez, 2011)</w:t>
          </w:r>
          <w:r w:rsidRPr="0040327B">
            <w:rPr>
              <w:rFonts w:ascii="Times New Roman" w:hAnsi="Times New Roman" w:cs="Times New Roman"/>
              <w:sz w:val="24"/>
              <w:szCs w:val="24"/>
            </w:rPr>
            <w:t xml:space="preserve">. </w:t>
          </w:r>
        </w:p>
        <w:p w14:paraId="0A7BDCA0" w14:textId="001C7973" w:rsidR="0034646F" w:rsidRPr="0040327B" w:rsidRDefault="00F9075D" w:rsidP="00C170EB">
          <w:pPr>
            <w:autoSpaceDE w:val="0"/>
            <w:autoSpaceDN w:val="0"/>
            <w:adjustRightInd w:val="0"/>
            <w:spacing w:after="0" w:line="480" w:lineRule="auto"/>
            <w:ind w:firstLine="720"/>
            <w:contextualSpacing/>
            <w:rPr>
              <w:rFonts w:ascii="Times New Roman" w:hAnsi="Times New Roman" w:cs="Times New Roman"/>
              <w:sz w:val="24"/>
              <w:szCs w:val="24"/>
            </w:rPr>
          </w:pPr>
          <w:r w:rsidRPr="0040327B">
            <w:rPr>
              <w:rFonts w:ascii="Times New Roman" w:hAnsi="Times New Roman" w:cs="Times New Roman"/>
              <w:sz w:val="24"/>
              <w:szCs w:val="24"/>
            </w:rPr>
            <w:t>The quick</w:t>
          </w:r>
          <w:r w:rsidR="00003278" w:rsidRPr="0040327B">
            <w:rPr>
              <w:rFonts w:ascii="Times New Roman" w:hAnsi="Times New Roman" w:cs="Times New Roman"/>
              <w:sz w:val="24"/>
              <w:szCs w:val="24"/>
            </w:rPr>
            <w:t xml:space="preserve"> ratio measures how long it would take to pay off their inventory without having enough cash on hand to do so (which can often be weeks)</w:t>
          </w:r>
          <w:r w:rsidR="002A68A9" w:rsidRPr="0040327B">
            <w:rPr>
              <w:rFonts w:ascii="Times New Roman" w:hAnsi="Times New Roman" w:cs="Times New Roman"/>
              <w:sz w:val="24"/>
              <w:szCs w:val="24"/>
            </w:rPr>
            <w:t xml:space="preserve"> (Aro-Gordon, 2016)</w:t>
          </w:r>
          <w:r w:rsidR="00003278" w:rsidRPr="0040327B">
            <w:rPr>
              <w:rFonts w:ascii="Times New Roman" w:hAnsi="Times New Roman" w:cs="Times New Roman"/>
              <w:sz w:val="24"/>
              <w:szCs w:val="24"/>
            </w:rPr>
            <w:t>. Hilton, Inc.'s liquidity ratios were 0.73 and 1.73 for the 2020 and 2019 periods respectively. These measurements are low, with the ratio at Hilton, Inc. being only slightly higher than that of the industry average of 0.7 and Hilton had increased their liquidity ratios by approximately 40% in 2019 when compared to the prior year period.</w:t>
          </w:r>
        </w:p>
        <w:p w14:paraId="34DD8EBF" w14:textId="04B6F9B1" w:rsidR="001E2B92" w:rsidRPr="0040327B" w:rsidRDefault="00BF2318" w:rsidP="00DD567C">
          <w:pPr>
            <w:autoSpaceDE w:val="0"/>
            <w:autoSpaceDN w:val="0"/>
            <w:adjustRightInd w:val="0"/>
            <w:spacing w:after="0" w:line="480" w:lineRule="auto"/>
            <w:contextualSpacing/>
            <w:rPr>
              <w:rFonts w:ascii="Times New Roman" w:hAnsi="Times New Roman" w:cs="Times New Roman"/>
              <w:sz w:val="24"/>
              <w:szCs w:val="24"/>
            </w:rPr>
          </w:pPr>
          <w:r w:rsidRPr="0040327B">
            <w:rPr>
              <w:rFonts w:ascii="Times New Roman" w:eastAsia="Times New Roman" w:hAnsi="Times New Roman" w:cs="Times New Roman"/>
              <w:b/>
              <w:sz w:val="24"/>
              <w:szCs w:val="24"/>
              <w:lang w:val="en-US"/>
            </w:rPr>
            <w:t>Operating Ratios</w:t>
          </w:r>
        </w:p>
        <w:tbl>
          <w:tblPr>
            <w:tblW w:w="98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00"/>
            <w:gridCol w:w="2080"/>
            <w:gridCol w:w="2383"/>
            <w:gridCol w:w="2340"/>
            <w:gridCol w:w="1080"/>
          </w:tblGrid>
          <w:tr w:rsidR="0040327B" w:rsidRPr="0040327B" w14:paraId="635DD779" w14:textId="77777777" w:rsidTr="002109A5">
            <w:trPr>
              <w:trHeight w:val="315"/>
            </w:trPr>
            <w:tc>
              <w:tcPr>
                <w:tcW w:w="2300" w:type="dxa"/>
                <w:shd w:val="clear" w:color="auto" w:fill="auto"/>
                <w:noWrap/>
                <w:vAlign w:val="bottom"/>
                <w:hideMark/>
              </w:tcPr>
              <w:p w14:paraId="220208FA" w14:textId="77777777" w:rsidR="002109A5" w:rsidRPr="0040327B" w:rsidRDefault="002109A5" w:rsidP="00DD567C">
                <w:pPr>
                  <w:spacing w:after="0" w:line="480" w:lineRule="auto"/>
                  <w:contextualSpacing/>
                  <w:rPr>
                    <w:rFonts w:ascii="Times New Roman" w:eastAsia="Times New Roman" w:hAnsi="Times New Roman" w:cs="Times New Roman"/>
                    <w:b/>
                    <w:sz w:val="24"/>
                    <w:szCs w:val="24"/>
                    <w:lang w:val="en-US"/>
                  </w:rPr>
                </w:pPr>
                <w:r w:rsidRPr="0040327B">
                  <w:rPr>
                    <w:rFonts w:ascii="Times New Roman" w:eastAsia="Times New Roman" w:hAnsi="Times New Roman" w:cs="Times New Roman"/>
                    <w:b/>
                    <w:sz w:val="24"/>
                    <w:szCs w:val="24"/>
                    <w:lang w:val="en-US"/>
                  </w:rPr>
                  <w:t>Operating Ratios</w:t>
                </w:r>
              </w:p>
            </w:tc>
            <w:tc>
              <w:tcPr>
                <w:tcW w:w="2080" w:type="dxa"/>
                <w:shd w:val="clear" w:color="auto" w:fill="auto"/>
                <w:noWrap/>
                <w:vAlign w:val="bottom"/>
                <w:hideMark/>
              </w:tcPr>
              <w:p w14:paraId="431F1F09" w14:textId="77777777" w:rsidR="002109A5" w:rsidRPr="0040327B" w:rsidRDefault="002109A5" w:rsidP="00DD567C">
                <w:pPr>
                  <w:spacing w:after="0" w:line="480" w:lineRule="auto"/>
                  <w:contextualSpacing/>
                  <w:rPr>
                    <w:rFonts w:ascii="Times New Roman" w:eastAsia="Times New Roman" w:hAnsi="Times New Roman" w:cs="Times New Roman"/>
                    <w:b/>
                    <w:sz w:val="24"/>
                    <w:szCs w:val="24"/>
                    <w:lang w:val="en-US"/>
                  </w:rPr>
                </w:pPr>
                <w:r w:rsidRPr="0040327B">
                  <w:rPr>
                    <w:rFonts w:ascii="Times New Roman" w:eastAsia="Times New Roman" w:hAnsi="Times New Roman" w:cs="Times New Roman"/>
                    <w:b/>
                    <w:sz w:val="24"/>
                    <w:szCs w:val="24"/>
                    <w:lang w:val="en-US"/>
                  </w:rPr>
                  <w:t>Formula</w:t>
                </w:r>
              </w:p>
            </w:tc>
            <w:tc>
              <w:tcPr>
                <w:tcW w:w="2020" w:type="dxa"/>
                <w:shd w:val="clear" w:color="auto" w:fill="auto"/>
                <w:noWrap/>
                <w:vAlign w:val="bottom"/>
                <w:hideMark/>
              </w:tcPr>
              <w:p w14:paraId="1BF6694C" w14:textId="77777777" w:rsidR="002109A5" w:rsidRPr="0040327B" w:rsidRDefault="002109A5" w:rsidP="00DD567C">
                <w:pPr>
                  <w:spacing w:after="0" w:line="480" w:lineRule="auto"/>
                  <w:contextualSpacing/>
                  <w:jc w:val="right"/>
                  <w:rPr>
                    <w:rFonts w:ascii="Times New Roman" w:eastAsia="Times New Roman" w:hAnsi="Times New Roman" w:cs="Times New Roman"/>
                    <w:b/>
                    <w:sz w:val="24"/>
                    <w:szCs w:val="24"/>
                    <w:lang w:val="en-US"/>
                  </w:rPr>
                </w:pPr>
                <w:r w:rsidRPr="0040327B">
                  <w:rPr>
                    <w:rFonts w:ascii="Times New Roman" w:eastAsia="Times New Roman" w:hAnsi="Times New Roman" w:cs="Times New Roman"/>
                    <w:b/>
                    <w:sz w:val="24"/>
                    <w:szCs w:val="24"/>
                    <w:lang w:val="en-US"/>
                  </w:rPr>
                  <w:t>2020</w:t>
                </w:r>
              </w:p>
            </w:tc>
            <w:tc>
              <w:tcPr>
                <w:tcW w:w="2340" w:type="dxa"/>
                <w:shd w:val="clear" w:color="auto" w:fill="auto"/>
                <w:noWrap/>
                <w:vAlign w:val="bottom"/>
                <w:hideMark/>
              </w:tcPr>
              <w:p w14:paraId="573257F5" w14:textId="77777777" w:rsidR="002109A5" w:rsidRPr="0040327B" w:rsidRDefault="002109A5" w:rsidP="00DD567C">
                <w:pPr>
                  <w:spacing w:after="0" w:line="480" w:lineRule="auto"/>
                  <w:contextualSpacing/>
                  <w:jc w:val="right"/>
                  <w:rPr>
                    <w:rFonts w:ascii="Times New Roman" w:eastAsia="Times New Roman" w:hAnsi="Times New Roman" w:cs="Times New Roman"/>
                    <w:b/>
                    <w:sz w:val="24"/>
                    <w:szCs w:val="24"/>
                    <w:lang w:val="en-US"/>
                  </w:rPr>
                </w:pPr>
                <w:r w:rsidRPr="0040327B">
                  <w:rPr>
                    <w:rFonts w:ascii="Times New Roman" w:eastAsia="Times New Roman" w:hAnsi="Times New Roman" w:cs="Times New Roman"/>
                    <w:b/>
                    <w:sz w:val="24"/>
                    <w:szCs w:val="24"/>
                    <w:lang w:val="en-US"/>
                  </w:rPr>
                  <w:t>2019</w:t>
                </w:r>
              </w:p>
            </w:tc>
            <w:tc>
              <w:tcPr>
                <w:tcW w:w="1080" w:type="dxa"/>
                <w:shd w:val="clear" w:color="auto" w:fill="auto"/>
                <w:noWrap/>
                <w:vAlign w:val="bottom"/>
                <w:hideMark/>
              </w:tcPr>
              <w:p w14:paraId="4165398E" w14:textId="77777777" w:rsidR="002109A5" w:rsidRPr="0040327B" w:rsidRDefault="002109A5" w:rsidP="00DD567C">
                <w:pPr>
                  <w:spacing w:after="0" w:line="480" w:lineRule="auto"/>
                  <w:contextualSpacing/>
                  <w:jc w:val="right"/>
                  <w:rPr>
                    <w:rFonts w:ascii="Times New Roman" w:eastAsia="Times New Roman" w:hAnsi="Times New Roman" w:cs="Times New Roman"/>
                    <w:b/>
                    <w:sz w:val="24"/>
                    <w:szCs w:val="24"/>
                    <w:lang w:val="en-US"/>
                  </w:rPr>
                </w:pPr>
              </w:p>
            </w:tc>
          </w:tr>
          <w:tr w:rsidR="0040327B" w:rsidRPr="0040327B" w14:paraId="25612C9B" w14:textId="77777777" w:rsidTr="002109A5">
            <w:trPr>
              <w:trHeight w:val="315"/>
            </w:trPr>
            <w:tc>
              <w:tcPr>
                <w:tcW w:w="2300" w:type="dxa"/>
                <w:shd w:val="clear" w:color="auto" w:fill="auto"/>
                <w:noWrap/>
                <w:vAlign w:val="bottom"/>
                <w:hideMark/>
              </w:tcPr>
              <w:p w14:paraId="22202376" w14:textId="77777777" w:rsidR="002109A5" w:rsidRPr="0040327B" w:rsidRDefault="002109A5" w:rsidP="00DD567C">
                <w:pPr>
                  <w:spacing w:after="0" w:line="48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Inventory turnover ratio</w:t>
                </w:r>
              </w:p>
            </w:tc>
            <w:tc>
              <w:tcPr>
                <w:tcW w:w="2080" w:type="dxa"/>
                <w:shd w:val="clear" w:color="auto" w:fill="auto"/>
                <w:noWrap/>
                <w:vAlign w:val="bottom"/>
                <w:hideMark/>
              </w:tcPr>
              <w:p w14:paraId="45FD2BED" w14:textId="77777777" w:rsidR="002109A5" w:rsidRPr="0040327B" w:rsidRDefault="002109A5" w:rsidP="00DD567C">
                <w:pPr>
                  <w:spacing w:after="0" w:line="48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Cost of goods sold/Inventory</w:t>
                </w:r>
              </w:p>
            </w:tc>
            <w:tc>
              <w:tcPr>
                <w:tcW w:w="2020" w:type="dxa"/>
                <w:shd w:val="clear" w:color="auto" w:fill="auto"/>
                <w:noWrap/>
                <w:vAlign w:val="bottom"/>
                <w:hideMark/>
              </w:tcPr>
              <w:p w14:paraId="1C8AF692" w14:textId="77777777" w:rsidR="002109A5" w:rsidRPr="0040327B" w:rsidRDefault="002109A5" w:rsidP="00DD567C">
                <w:pPr>
                  <w:spacing w:after="0" w:line="48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$3,724,000/$3,000 = 1,241.33</w:t>
                </w:r>
              </w:p>
            </w:tc>
            <w:tc>
              <w:tcPr>
                <w:tcW w:w="3420" w:type="dxa"/>
                <w:gridSpan w:val="2"/>
                <w:shd w:val="clear" w:color="auto" w:fill="auto"/>
                <w:noWrap/>
                <w:vAlign w:val="bottom"/>
                <w:hideMark/>
              </w:tcPr>
              <w:p w14:paraId="1A21FFDB" w14:textId="77777777" w:rsidR="002109A5" w:rsidRPr="0040327B" w:rsidRDefault="002109A5" w:rsidP="00DD567C">
                <w:pPr>
                  <w:spacing w:after="0" w:line="48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$7,017,000/$3,000 = 2,339</w:t>
                </w:r>
              </w:p>
            </w:tc>
          </w:tr>
          <w:tr w:rsidR="0040327B" w:rsidRPr="0040327B" w14:paraId="113092A2" w14:textId="77777777" w:rsidTr="002109A5">
            <w:trPr>
              <w:trHeight w:val="315"/>
            </w:trPr>
            <w:tc>
              <w:tcPr>
                <w:tcW w:w="2300" w:type="dxa"/>
                <w:shd w:val="clear" w:color="auto" w:fill="auto"/>
                <w:noWrap/>
                <w:vAlign w:val="bottom"/>
                <w:hideMark/>
              </w:tcPr>
              <w:p w14:paraId="1BF90B0E" w14:textId="77777777" w:rsidR="002109A5" w:rsidRPr="0040327B" w:rsidRDefault="002109A5" w:rsidP="00DD567C">
                <w:pPr>
                  <w:spacing w:after="0" w:line="48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Return on assets</w:t>
                </w:r>
              </w:p>
            </w:tc>
            <w:tc>
              <w:tcPr>
                <w:tcW w:w="2080" w:type="dxa"/>
                <w:shd w:val="clear" w:color="auto" w:fill="auto"/>
                <w:noWrap/>
                <w:vAlign w:val="bottom"/>
                <w:hideMark/>
              </w:tcPr>
              <w:p w14:paraId="3C29DC45" w14:textId="77777777" w:rsidR="002109A5" w:rsidRPr="0040327B" w:rsidRDefault="002109A5" w:rsidP="00DD567C">
                <w:pPr>
                  <w:spacing w:after="0" w:line="48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Net income before taxes/Total assets</w:t>
                </w:r>
              </w:p>
            </w:tc>
            <w:tc>
              <w:tcPr>
                <w:tcW w:w="2020" w:type="dxa"/>
                <w:shd w:val="clear" w:color="auto" w:fill="auto"/>
                <w:noWrap/>
                <w:vAlign w:val="bottom"/>
                <w:hideMark/>
              </w:tcPr>
              <w:p w14:paraId="2CF42825" w14:textId="77777777" w:rsidR="002109A5" w:rsidRPr="0040327B" w:rsidRDefault="002109A5" w:rsidP="00DD567C">
                <w:pPr>
                  <w:spacing w:after="0" w:line="48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-$548,000/$20,012,000 = -2.74%</w:t>
                </w:r>
              </w:p>
            </w:tc>
            <w:tc>
              <w:tcPr>
                <w:tcW w:w="3420" w:type="dxa"/>
                <w:gridSpan w:val="2"/>
                <w:shd w:val="clear" w:color="auto" w:fill="auto"/>
                <w:noWrap/>
                <w:vAlign w:val="bottom"/>
                <w:hideMark/>
              </w:tcPr>
              <w:p w14:paraId="2DB4EE8E" w14:textId="77777777" w:rsidR="002109A5" w:rsidRPr="0040327B" w:rsidRDefault="002109A5" w:rsidP="00DD567C">
                <w:pPr>
                  <w:spacing w:after="0" w:line="48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$1,162,000/$17,050,000 = 6.82%</w:t>
                </w:r>
              </w:p>
            </w:tc>
          </w:tr>
        </w:tbl>
        <w:p w14:paraId="2CF92CEB" w14:textId="0D26AE96" w:rsidR="003C7FA6" w:rsidRPr="0040327B" w:rsidRDefault="002109A5"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Operating ratios are used to evaluate whether a company is efficient across a variety of possible measures</w:t>
          </w:r>
          <w:r w:rsidR="002A68A9" w:rsidRPr="0040327B">
            <w:rPr>
              <w:rFonts w:ascii="Times New Roman" w:hAnsi="Times New Roman" w:cs="Times New Roman"/>
              <w:sz w:val="24"/>
              <w:szCs w:val="24"/>
            </w:rPr>
            <w:t xml:space="preserve"> (Aro-Gordon, 2016)</w:t>
          </w:r>
          <w:r w:rsidRPr="0040327B">
            <w:rPr>
              <w:rFonts w:ascii="Times New Roman" w:hAnsi="Times New Roman" w:cs="Times New Roman"/>
              <w:sz w:val="24"/>
              <w:szCs w:val="24"/>
            </w:rPr>
            <w:t xml:space="preserve">. Hilton, Inc.'s ROA were calculated at 6.82% for 2019 in comparison with 6.73% for the prior year period. The reason for the decrease in ROA is the increase in other income which increased from $26 million to $31 million. The return on assets </w:t>
          </w:r>
          <w:r w:rsidRPr="0040327B">
            <w:rPr>
              <w:rFonts w:ascii="Times New Roman" w:hAnsi="Times New Roman" w:cs="Times New Roman"/>
              <w:sz w:val="24"/>
              <w:szCs w:val="24"/>
            </w:rPr>
            <w:lastRenderedPageBreak/>
            <w:t>for the prior year period was 6.73% and it was a reduction of 0.34%, largely due to the increase in research and development expense from $15 million to $17 million during 2019.</w:t>
          </w:r>
        </w:p>
        <w:p w14:paraId="2A314880" w14:textId="782BDF64" w:rsidR="002109A5" w:rsidRPr="0040327B" w:rsidRDefault="002109A5"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 xml:space="preserve">In addition, operating ratios for inventory turnover ratio at 1,241.33% for the 2019 period were higher than the prior year period of 2,339, which is largely due to low raw material prices and </w:t>
          </w:r>
          <w:r w:rsidR="00550450" w:rsidRPr="0040327B">
            <w:rPr>
              <w:rFonts w:ascii="Times New Roman" w:hAnsi="Times New Roman" w:cs="Times New Roman"/>
              <w:sz w:val="24"/>
              <w:szCs w:val="24"/>
            </w:rPr>
            <w:t xml:space="preserve">increase in distribution costs. </w:t>
          </w:r>
          <w:r w:rsidRPr="0040327B">
            <w:rPr>
              <w:rFonts w:ascii="Times New Roman" w:hAnsi="Times New Roman" w:cs="Times New Roman"/>
              <w:sz w:val="24"/>
              <w:szCs w:val="24"/>
            </w:rPr>
            <w:t>The Hilton Inc</w:t>
          </w:r>
          <w:r w:rsidR="00AA7063" w:rsidRPr="0040327B">
            <w:rPr>
              <w:rFonts w:ascii="Times New Roman" w:hAnsi="Times New Roman" w:cs="Times New Roman"/>
              <w:sz w:val="24"/>
              <w:szCs w:val="24"/>
            </w:rPr>
            <w:t>.</w:t>
          </w:r>
          <w:r w:rsidRPr="0040327B">
            <w:rPr>
              <w:rFonts w:ascii="Times New Roman" w:hAnsi="Times New Roman" w:cs="Times New Roman"/>
              <w:sz w:val="24"/>
              <w:szCs w:val="24"/>
            </w:rPr>
            <w:t>'s operating ratios reveal that the company is efficient in its operations regarding inventory turnover ratio, return on assets, and profit margin.</w:t>
          </w:r>
        </w:p>
        <w:p w14:paraId="0B0F449D" w14:textId="63C7E1C5" w:rsidR="00BF2318" w:rsidRPr="0040327B" w:rsidRDefault="00BF2318" w:rsidP="00DD567C">
          <w:pPr>
            <w:autoSpaceDE w:val="0"/>
            <w:autoSpaceDN w:val="0"/>
            <w:adjustRightInd w:val="0"/>
            <w:spacing w:after="0" w:line="480" w:lineRule="auto"/>
            <w:contextualSpacing/>
            <w:rPr>
              <w:rFonts w:ascii="Times New Roman" w:hAnsi="Times New Roman" w:cs="Times New Roman"/>
              <w:sz w:val="24"/>
              <w:szCs w:val="24"/>
            </w:rPr>
          </w:pPr>
          <w:r w:rsidRPr="0040327B">
            <w:rPr>
              <w:rFonts w:ascii="Times New Roman" w:eastAsia="Times New Roman" w:hAnsi="Times New Roman" w:cs="Times New Roman"/>
              <w:b/>
              <w:sz w:val="24"/>
              <w:szCs w:val="24"/>
              <w:lang w:val="en-US"/>
            </w:rPr>
            <w:t>Solvency Ratios</w:t>
          </w:r>
        </w:p>
        <w:tbl>
          <w:tblPr>
            <w:tblW w:w="103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05"/>
            <w:gridCol w:w="2070"/>
            <w:gridCol w:w="2880"/>
            <w:gridCol w:w="2628"/>
            <w:gridCol w:w="1080"/>
          </w:tblGrid>
          <w:tr w:rsidR="0040327B" w:rsidRPr="0040327B" w14:paraId="6D68D48F" w14:textId="77777777" w:rsidTr="00CC2C33">
            <w:trPr>
              <w:trHeight w:val="315"/>
            </w:trPr>
            <w:tc>
              <w:tcPr>
                <w:tcW w:w="1705" w:type="dxa"/>
                <w:shd w:val="clear" w:color="auto" w:fill="auto"/>
                <w:noWrap/>
                <w:vAlign w:val="bottom"/>
                <w:hideMark/>
              </w:tcPr>
              <w:p w14:paraId="55ABD076" w14:textId="77777777" w:rsidR="00BF2318" w:rsidRPr="0040327B" w:rsidRDefault="00BF2318" w:rsidP="00CC2C33">
                <w:pPr>
                  <w:spacing w:after="0" w:line="240" w:lineRule="auto"/>
                  <w:contextualSpacing/>
                  <w:rPr>
                    <w:rFonts w:ascii="Times New Roman" w:eastAsia="Times New Roman" w:hAnsi="Times New Roman" w:cs="Times New Roman"/>
                    <w:b/>
                    <w:sz w:val="24"/>
                    <w:szCs w:val="24"/>
                    <w:lang w:val="en-US"/>
                  </w:rPr>
                </w:pPr>
                <w:r w:rsidRPr="0040327B">
                  <w:rPr>
                    <w:rFonts w:ascii="Times New Roman" w:eastAsia="Times New Roman" w:hAnsi="Times New Roman" w:cs="Times New Roman"/>
                    <w:b/>
                    <w:sz w:val="24"/>
                    <w:szCs w:val="24"/>
                    <w:lang w:val="en-US"/>
                  </w:rPr>
                  <w:t>Solvency Ratios</w:t>
                </w:r>
              </w:p>
            </w:tc>
            <w:tc>
              <w:tcPr>
                <w:tcW w:w="2070" w:type="dxa"/>
                <w:shd w:val="clear" w:color="auto" w:fill="auto"/>
                <w:noWrap/>
                <w:vAlign w:val="bottom"/>
                <w:hideMark/>
              </w:tcPr>
              <w:p w14:paraId="3B692BD0" w14:textId="77777777" w:rsidR="00BF2318" w:rsidRPr="0040327B" w:rsidRDefault="00BF2318" w:rsidP="00CC2C33">
                <w:pPr>
                  <w:spacing w:after="0" w:line="240" w:lineRule="auto"/>
                  <w:contextualSpacing/>
                  <w:rPr>
                    <w:rFonts w:ascii="Times New Roman" w:eastAsia="Times New Roman" w:hAnsi="Times New Roman" w:cs="Times New Roman"/>
                    <w:b/>
                    <w:sz w:val="24"/>
                    <w:szCs w:val="24"/>
                    <w:lang w:val="en-US"/>
                  </w:rPr>
                </w:pPr>
                <w:r w:rsidRPr="0040327B">
                  <w:rPr>
                    <w:rFonts w:ascii="Times New Roman" w:eastAsia="Times New Roman" w:hAnsi="Times New Roman" w:cs="Times New Roman"/>
                    <w:b/>
                    <w:sz w:val="24"/>
                    <w:szCs w:val="24"/>
                    <w:lang w:val="en-US"/>
                  </w:rPr>
                  <w:t>Formula</w:t>
                </w:r>
              </w:p>
            </w:tc>
            <w:tc>
              <w:tcPr>
                <w:tcW w:w="2880" w:type="dxa"/>
                <w:shd w:val="clear" w:color="auto" w:fill="auto"/>
                <w:noWrap/>
                <w:vAlign w:val="bottom"/>
                <w:hideMark/>
              </w:tcPr>
              <w:p w14:paraId="4CC2A872" w14:textId="77777777" w:rsidR="00BF2318" w:rsidRPr="0040327B" w:rsidRDefault="00BF2318" w:rsidP="00CC2C33">
                <w:pPr>
                  <w:spacing w:after="0" w:line="240" w:lineRule="auto"/>
                  <w:contextualSpacing/>
                  <w:jc w:val="right"/>
                  <w:rPr>
                    <w:rFonts w:ascii="Times New Roman" w:eastAsia="Times New Roman" w:hAnsi="Times New Roman" w:cs="Times New Roman"/>
                    <w:b/>
                    <w:sz w:val="24"/>
                    <w:szCs w:val="24"/>
                    <w:lang w:val="en-US"/>
                  </w:rPr>
                </w:pPr>
                <w:r w:rsidRPr="0040327B">
                  <w:rPr>
                    <w:rFonts w:ascii="Times New Roman" w:eastAsia="Times New Roman" w:hAnsi="Times New Roman" w:cs="Times New Roman"/>
                    <w:b/>
                    <w:sz w:val="24"/>
                    <w:szCs w:val="24"/>
                    <w:lang w:val="en-US"/>
                  </w:rPr>
                  <w:t>2020</w:t>
                </w:r>
              </w:p>
            </w:tc>
            <w:tc>
              <w:tcPr>
                <w:tcW w:w="2628" w:type="dxa"/>
                <w:shd w:val="clear" w:color="auto" w:fill="auto"/>
                <w:noWrap/>
                <w:vAlign w:val="bottom"/>
                <w:hideMark/>
              </w:tcPr>
              <w:p w14:paraId="62C50E1B" w14:textId="77777777" w:rsidR="00BF2318" w:rsidRPr="0040327B" w:rsidRDefault="00BF2318" w:rsidP="00CC2C33">
                <w:pPr>
                  <w:spacing w:after="0" w:line="240" w:lineRule="auto"/>
                  <w:contextualSpacing/>
                  <w:jc w:val="right"/>
                  <w:rPr>
                    <w:rFonts w:ascii="Times New Roman" w:eastAsia="Times New Roman" w:hAnsi="Times New Roman" w:cs="Times New Roman"/>
                    <w:b/>
                    <w:sz w:val="24"/>
                    <w:szCs w:val="24"/>
                    <w:lang w:val="en-US"/>
                  </w:rPr>
                </w:pPr>
                <w:r w:rsidRPr="0040327B">
                  <w:rPr>
                    <w:rFonts w:ascii="Times New Roman" w:eastAsia="Times New Roman" w:hAnsi="Times New Roman" w:cs="Times New Roman"/>
                    <w:b/>
                    <w:sz w:val="24"/>
                    <w:szCs w:val="24"/>
                    <w:lang w:val="en-US"/>
                  </w:rPr>
                  <w:t>2019</w:t>
                </w:r>
              </w:p>
            </w:tc>
            <w:tc>
              <w:tcPr>
                <w:tcW w:w="1080" w:type="dxa"/>
                <w:shd w:val="clear" w:color="auto" w:fill="auto"/>
                <w:noWrap/>
                <w:vAlign w:val="bottom"/>
                <w:hideMark/>
              </w:tcPr>
              <w:p w14:paraId="3CBB02D7" w14:textId="77777777" w:rsidR="00BF2318" w:rsidRPr="0040327B" w:rsidRDefault="00BF2318" w:rsidP="00CC2C33">
                <w:pPr>
                  <w:spacing w:after="0" w:line="240" w:lineRule="auto"/>
                  <w:contextualSpacing/>
                  <w:jc w:val="right"/>
                  <w:rPr>
                    <w:rFonts w:ascii="Times New Roman" w:eastAsia="Times New Roman" w:hAnsi="Times New Roman" w:cs="Times New Roman"/>
                    <w:b/>
                    <w:sz w:val="24"/>
                    <w:szCs w:val="24"/>
                    <w:lang w:val="en-US"/>
                  </w:rPr>
                </w:pPr>
              </w:p>
            </w:tc>
          </w:tr>
          <w:tr w:rsidR="0040327B" w:rsidRPr="0040327B" w14:paraId="36DEDA7D" w14:textId="77777777" w:rsidTr="00CC2C33">
            <w:trPr>
              <w:trHeight w:val="315"/>
            </w:trPr>
            <w:tc>
              <w:tcPr>
                <w:tcW w:w="1705" w:type="dxa"/>
                <w:shd w:val="clear" w:color="auto" w:fill="auto"/>
                <w:noWrap/>
                <w:vAlign w:val="bottom"/>
                <w:hideMark/>
              </w:tcPr>
              <w:p w14:paraId="69AF65B6" w14:textId="77777777" w:rsidR="00BF2318" w:rsidRPr="0040327B" w:rsidRDefault="00BF2318" w:rsidP="00CC2C33">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Debt to worth ratio</w:t>
                </w:r>
              </w:p>
            </w:tc>
            <w:tc>
              <w:tcPr>
                <w:tcW w:w="2070" w:type="dxa"/>
                <w:shd w:val="clear" w:color="auto" w:fill="auto"/>
                <w:noWrap/>
                <w:vAlign w:val="bottom"/>
                <w:hideMark/>
              </w:tcPr>
              <w:p w14:paraId="08DDE963" w14:textId="77777777" w:rsidR="00BF2318" w:rsidRPr="0040327B" w:rsidRDefault="00BF2318" w:rsidP="00CC2C33">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Total liabilities/Net worth</w:t>
                </w:r>
              </w:p>
            </w:tc>
            <w:tc>
              <w:tcPr>
                <w:tcW w:w="2880" w:type="dxa"/>
                <w:shd w:val="clear" w:color="auto" w:fill="auto"/>
                <w:noWrap/>
                <w:vAlign w:val="bottom"/>
                <w:hideMark/>
              </w:tcPr>
              <w:p w14:paraId="444F2E84" w14:textId="77777777" w:rsidR="00BF2318" w:rsidRPr="0040327B" w:rsidRDefault="00BF2318" w:rsidP="00CC2C33">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$18,241,000/$1,771,000 = 1,029.98%</w:t>
                </w:r>
              </w:p>
            </w:tc>
            <w:tc>
              <w:tcPr>
                <w:tcW w:w="3708" w:type="dxa"/>
                <w:gridSpan w:val="2"/>
                <w:shd w:val="clear" w:color="auto" w:fill="auto"/>
                <w:noWrap/>
                <w:vAlign w:val="bottom"/>
                <w:hideMark/>
              </w:tcPr>
              <w:p w14:paraId="2CB85698" w14:textId="77777777" w:rsidR="00BF2318" w:rsidRPr="0040327B" w:rsidRDefault="00BF2318" w:rsidP="00CC2C33">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$15,429,000/$1,621,000 = 951.82%</w:t>
                </w:r>
              </w:p>
            </w:tc>
          </w:tr>
          <w:tr w:rsidR="0040327B" w:rsidRPr="0040327B" w14:paraId="0053889A" w14:textId="77777777" w:rsidTr="00CC2C33">
            <w:trPr>
              <w:trHeight w:val="315"/>
            </w:trPr>
            <w:tc>
              <w:tcPr>
                <w:tcW w:w="1705" w:type="dxa"/>
                <w:shd w:val="clear" w:color="auto" w:fill="auto"/>
                <w:noWrap/>
                <w:vAlign w:val="bottom"/>
                <w:hideMark/>
              </w:tcPr>
              <w:p w14:paraId="1E70BC03" w14:textId="77777777" w:rsidR="00BF2318" w:rsidRPr="0040327B" w:rsidRDefault="00BF2318" w:rsidP="00CC2C33">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Working capital</w:t>
                </w:r>
              </w:p>
            </w:tc>
            <w:tc>
              <w:tcPr>
                <w:tcW w:w="2070" w:type="dxa"/>
                <w:shd w:val="clear" w:color="auto" w:fill="auto"/>
                <w:noWrap/>
                <w:vAlign w:val="bottom"/>
                <w:hideMark/>
              </w:tcPr>
              <w:p w14:paraId="65E98752" w14:textId="77777777" w:rsidR="00BF2318" w:rsidRPr="0040327B" w:rsidRDefault="00BF2318" w:rsidP="00CC2C33">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Current assets - current liabilities</w:t>
                </w:r>
              </w:p>
            </w:tc>
            <w:tc>
              <w:tcPr>
                <w:tcW w:w="2880" w:type="dxa"/>
                <w:shd w:val="clear" w:color="auto" w:fill="auto"/>
                <w:noWrap/>
                <w:vAlign w:val="bottom"/>
                <w:hideMark/>
              </w:tcPr>
              <w:p w14:paraId="4AF93286" w14:textId="77777777" w:rsidR="00BF2318" w:rsidRPr="0040327B" w:rsidRDefault="00BF2318" w:rsidP="00CC2C33">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$4,202,000-$2,431,000 = $1,771,000</w:t>
                </w:r>
              </w:p>
            </w:tc>
            <w:tc>
              <w:tcPr>
                <w:tcW w:w="3708" w:type="dxa"/>
                <w:gridSpan w:val="2"/>
                <w:shd w:val="clear" w:color="auto" w:fill="auto"/>
                <w:noWrap/>
                <w:vAlign w:val="bottom"/>
                <w:hideMark/>
              </w:tcPr>
              <w:p w14:paraId="5514216F" w14:textId="77777777" w:rsidR="00BF2318" w:rsidRPr="0040327B" w:rsidRDefault="00BF2318" w:rsidP="00CC2C33">
                <w:pPr>
                  <w:spacing w:after="0" w:line="240" w:lineRule="auto"/>
                  <w:contextualSpacing/>
                  <w:rPr>
                    <w:rFonts w:ascii="Times New Roman" w:eastAsia="Times New Roman" w:hAnsi="Times New Roman" w:cs="Times New Roman"/>
                    <w:sz w:val="24"/>
                    <w:szCs w:val="24"/>
                    <w:lang w:val="en-US"/>
                  </w:rPr>
                </w:pPr>
                <w:r w:rsidRPr="0040327B">
                  <w:rPr>
                    <w:rFonts w:ascii="Times New Roman" w:eastAsia="Times New Roman" w:hAnsi="Times New Roman" w:cs="Times New Roman"/>
                    <w:sz w:val="24"/>
                    <w:szCs w:val="24"/>
                    <w:lang w:val="en-US"/>
                  </w:rPr>
                  <w:t>$2,093,000-$2,871,000 = -$778,000</w:t>
                </w:r>
              </w:p>
            </w:tc>
          </w:tr>
        </w:tbl>
        <w:p w14:paraId="5617DC51" w14:textId="6E51AF76" w:rsidR="0071283A" w:rsidRPr="0040327B" w:rsidRDefault="004C2845"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Solvency ratios are a way to measure a company's ability to meet its short-term obligations</w:t>
          </w:r>
          <w:r w:rsidR="002A68A9" w:rsidRPr="0040327B">
            <w:rPr>
              <w:rFonts w:ascii="Times New Roman" w:hAnsi="Times New Roman" w:cs="Times New Roman"/>
              <w:sz w:val="24"/>
              <w:szCs w:val="24"/>
            </w:rPr>
            <w:t xml:space="preserve"> (Bpp Learning Media, 2015)</w:t>
          </w:r>
          <w:r w:rsidRPr="0040327B">
            <w:rPr>
              <w:rFonts w:ascii="Times New Roman" w:hAnsi="Times New Roman" w:cs="Times New Roman"/>
              <w:sz w:val="24"/>
              <w:szCs w:val="24"/>
            </w:rPr>
            <w:t>. Hilton, Inc.'s debt to worth ratio for 2019 was 1,029.98% in comparison with the ratio of 951.82% for the prior year period. The increase of debt capitalization is due to rising interest expense and lower cash flow from operating activities due to the sale of properties in 2019 and increased investments in higher yielding project. The increase in working capital was mainly attributed to losses on certain inventory shrinkage charges, sale of certain assets and increased current liabilities</w:t>
          </w:r>
          <w:r w:rsidR="00D26BB7" w:rsidRPr="0040327B">
            <w:rPr>
              <w:rFonts w:ascii="Times New Roman" w:hAnsi="Times New Roman" w:cs="Times New Roman"/>
              <w:sz w:val="24"/>
              <w:szCs w:val="24"/>
            </w:rPr>
            <w:t>.</w:t>
          </w:r>
        </w:p>
        <w:p w14:paraId="4208498D" w14:textId="77777777" w:rsidR="0082691F" w:rsidRPr="0040327B" w:rsidRDefault="004C2845"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 xml:space="preserve">The debt to worth ratio measurement is higher in 2019 </w:t>
          </w:r>
          <w:r w:rsidR="00B50625" w:rsidRPr="0040327B">
            <w:rPr>
              <w:rFonts w:ascii="Times New Roman" w:hAnsi="Times New Roman" w:cs="Times New Roman"/>
              <w:sz w:val="24"/>
              <w:szCs w:val="24"/>
            </w:rPr>
            <w:t>period;</w:t>
          </w:r>
          <w:r w:rsidRPr="0040327B">
            <w:rPr>
              <w:rFonts w:ascii="Times New Roman" w:hAnsi="Times New Roman" w:cs="Times New Roman"/>
              <w:sz w:val="24"/>
              <w:szCs w:val="24"/>
            </w:rPr>
            <w:t xml:space="preserve"> it was largely due to the increase of debt capitalization during the year. The working capital is lower due to the sale of properties and increased current liabilities resulting from the merger with Starwood Hotels &amp; Resorts, Incorporated. Overall, solvency ratios of Hilton, Inc. are lower in 2019 per</w:t>
          </w:r>
          <w:r w:rsidR="00D26BB7" w:rsidRPr="0040327B">
            <w:rPr>
              <w:rFonts w:ascii="Times New Roman" w:hAnsi="Times New Roman" w:cs="Times New Roman"/>
              <w:sz w:val="24"/>
              <w:szCs w:val="24"/>
            </w:rPr>
            <w:t xml:space="preserve">iod than the prior year period. </w:t>
          </w:r>
          <w:r w:rsidRPr="0040327B">
            <w:rPr>
              <w:rFonts w:ascii="Times New Roman" w:hAnsi="Times New Roman" w:cs="Times New Roman"/>
              <w:sz w:val="24"/>
              <w:szCs w:val="24"/>
            </w:rPr>
            <w:t xml:space="preserve">Working capital is the difference between current assets and current liabilities. </w:t>
          </w:r>
        </w:p>
        <w:p w14:paraId="50A58AC8" w14:textId="05308695" w:rsidR="00D665D8" w:rsidRPr="0040327B" w:rsidRDefault="004C2845"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lastRenderedPageBreak/>
            <w:t>The working capital for 2020 was $1,771,000 and it was a decrease of $778,000 when compared with the prior year period. Debt to worth ratio is a measurement used to assess a company's financial well-being. This measurement is also used to compare a company's debt to assets and its performance to other companies within its industry</w:t>
          </w:r>
          <w:r w:rsidR="002A68A9" w:rsidRPr="0040327B">
            <w:rPr>
              <w:rFonts w:ascii="Times New Roman" w:hAnsi="Times New Roman" w:cs="Times New Roman"/>
              <w:sz w:val="24"/>
              <w:szCs w:val="24"/>
            </w:rPr>
            <w:t xml:space="preserve"> (Fridson &amp; Alvarez, 2011)</w:t>
          </w:r>
          <w:r w:rsidRPr="0040327B">
            <w:rPr>
              <w:rFonts w:ascii="Times New Roman" w:hAnsi="Times New Roman" w:cs="Times New Roman"/>
              <w:sz w:val="24"/>
              <w:szCs w:val="24"/>
            </w:rPr>
            <w:t>. The debt to worth ratio for 2020 year as 1,029.98% in comparison with 951.82% for the prior year period. The increase in debt capitalization was due to the interest expenses incurred in 2020 and lower operating cash inflows is due to the sale of certain assets and increased investments in higher yielding projects</w:t>
          </w:r>
        </w:p>
        <w:p w14:paraId="31A7C1D2" w14:textId="77777777" w:rsidR="0040327B" w:rsidRPr="0040327B" w:rsidRDefault="0040327B"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p>
        <w:p w14:paraId="5E1F059C" w14:textId="77777777" w:rsidR="00507C00" w:rsidRPr="0040327B" w:rsidRDefault="00D665D8" w:rsidP="00507C00">
          <w:pPr>
            <w:autoSpaceDE w:val="0"/>
            <w:autoSpaceDN w:val="0"/>
            <w:adjustRightInd w:val="0"/>
            <w:spacing w:after="0" w:line="480" w:lineRule="auto"/>
            <w:contextualSpacing/>
            <w:rPr>
              <w:rFonts w:ascii="Times New Roman" w:hAnsi="Times New Roman" w:cs="Times New Roman"/>
              <w:b/>
              <w:sz w:val="24"/>
              <w:szCs w:val="24"/>
            </w:rPr>
          </w:pPr>
          <w:r w:rsidRPr="0040327B">
            <w:rPr>
              <w:rFonts w:ascii="Times New Roman" w:hAnsi="Times New Roman" w:cs="Times New Roman"/>
              <w:b/>
              <w:sz w:val="24"/>
              <w:szCs w:val="24"/>
            </w:rPr>
            <w:t>Su</w:t>
          </w:r>
          <w:r w:rsidR="00507C00" w:rsidRPr="0040327B">
            <w:rPr>
              <w:rFonts w:ascii="Times New Roman" w:hAnsi="Times New Roman" w:cs="Times New Roman"/>
              <w:b/>
              <w:sz w:val="24"/>
              <w:szCs w:val="24"/>
            </w:rPr>
            <w:t>mmary of the financial analysis</w:t>
          </w:r>
        </w:p>
        <w:p w14:paraId="79E2B10F" w14:textId="77777777" w:rsidR="00497A56" w:rsidRPr="0040327B" w:rsidRDefault="00D665D8" w:rsidP="0040327B">
          <w:pPr>
            <w:autoSpaceDE w:val="0"/>
            <w:autoSpaceDN w:val="0"/>
            <w:adjustRightInd w:val="0"/>
            <w:spacing w:after="0" w:line="480" w:lineRule="auto"/>
            <w:ind w:firstLine="720"/>
            <w:contextualSpacing/>
            <w:jc w:val="both"/>
            <w:rPr>
              <w:rFonts w:ascii="Times New Roman" w:hAnsi="Times New Roman" w:cs="Times New Roman"/>
              <w:b/>
              <w:sz w:val="24"/>
              <w:szCs w:val="24"/>
            </w:rPr>
          </w:pPr>
          <w:r w:rsidRPr="0040327B">
            <w:rPr>
              <w:rFonts w:ascii="Times New Roman" w:hAnsi="Times New Roman" w:cs="Times New Roman"/>
              <w:sz w:val="24"/>
              <w:szCs w:val="24"/>
            </w:rPr>
            <w:t>The current ratio increased from 0.73 to 1.73 in the 2019 period, which indicates that the company's short-term assets were higher than its current liabilities and hence it could meet its obligations that are due on a short term basis. The year-on-year fluctuation in the current ratio is due to changes in working capital and increases in inventory levels.</w:t>
          </w:r>
          <w:r w:rsidR="00497A56" w:rsidRPr="0040327B">
            <w:rPr>
              <w:rFonts w:ascii="Times New Roman" w:hAnsi="Times New Roman" w:cs="Times New Roman"/>
              <w:b/>
              <w:sz w:val="24"/>
              <w:szCs w:val="24"/>
            </w:rPr>
            <w:t xml:space="preserve"> </w:t>
          </w:r>
          <w:r w:rsidRPr="0040327B">
            <w:rPr>
              <w:rFonts w:ascii="Times New Roman" w:hAnsi="Times New Roman" w:cs="Times New Roman"/>
              <w:sz w:val="24"/>
              <w:szCs w:val="24"/>
            </w:rPr>
            <w:t>The quick ratio decreased from 0.73 to 0.73 in the 2019 period, which indicates that the company was not able to meet its obligations even with short term assets as little of cash was available during the period under consideration.</w:t>
          </w:r>
        </w:p>
        <w:p w14:paraId="664AA02E" w14:textId="77777777" w:rsidR="0062783F" w:rsidRPr="0040327B" w:rsidRDefault="00D665D8"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The inventory turnover ratio decreased during 2019 period from 1,241 to 1,221 resulting from the low raw material prices and distribution cost. The decrease in net profit was largely due to the sale of certain assets during 2018.Short term recovery ratios for 2020 year were similar to the prior year, since inventory turnover ratio remained higher during 2019 period.</w:t>
          </w:r>
        </w:p>
        <w:p w14:paraId="154AB3DF" w14:textId="77777777" w:rsidR="00346305" w:rsidRPr="0040327B" w:rsidRDefault="0062783F"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T</w:t>
          </w:r>
          <w:r w:rsidR="00D665D8" w:rsidRPr="0040327B">
            <w:rPr>
              <w:rFonts w:ascii="Times New Roman" w:hAnsi="Times New Roman" w:cs="Times New Roman"/>
              <w:sz w:val="24"/>
              <w:szCs w:val="24"/>
            </w:rPr>
            <w:t xml:space="preserve">he return on asset for the year ended December 31, 2020 was 6.82% compared with 6.73% for the same period of 2019. This decline is primarily attributed to low sales which resulted in lower cash flow and an increase in research and development expenses as well as </w:t>
          </w:r>
          <w:r w:rsidR="00D665D8" w:rsidRPr="0040327B">
            <w:rPr>
              <w:rFonts w:ascii="Times New Roman" w:hAnsi="Times New Roman" w:cs="Times New Roman"/>
              <w:sz w:val="24"/>
              <w:szCs w:val="24"/>
            </w:rPr>
            <w:lastRenderedPageBreak/>
            <w:t>an increase in interest expense as interest rate increased during 2019 period as compared to the prior year period. The increase in research and development expense and interest expense was largely due to increase in merger related expenses.</w:t>
          </w:r>
        </w:p>
        <w:p w14:paraId="0C1C5DEA" w14:textId="270566EF" w:rsidR="00D665D8" w:rsidRPr="0040327B" w:rsidRDefault="00D665D8"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The solvency ratios decreased in the 2019 period, which indicates that Hilton, Inc.'s ability to meet its short-term obligations was lower than the year before. This is due to higher debts and lower cash flows, resulting from low sales and increased merger related expenses. Based on the operating ratios and solvency ratios of Hilton, Inc., it is evident that the company's financial strength improved over various periods. Its operating profitability increased gradually over years and its solvency ratio was also increasing gradually up to 2019 period. The company's financial position improved gradually over years and its liquidity ratios were also improving gradually up to their highest points by July 2020.</w:t>
          </w:r>
        </w:p>
        <w:p w14:paraId="72C96E49" w14:textId="4E4E3B0B" w:rsidR="00C22981" w:rsidRPr="0040327B" w:rsidRDefault="00C22981" w:rsidP="009779C2">
          <w:pPr>
            <w:pStyle w:val="Titlu1"/>
            <w:jc w:val="center"/>
            <w:rPr>
              <w:rFonts w:ascii="Times New Roman" w:hAnsi="Times New Roman" w:cs="Times New Roman"/>
              <w:color w:val="auto"/>
              <w:sz w:val="24"/>
              <w:szCs w:val="24"/>
            </w:rPr>
          </w:pPr>
          <w:bookmarkStart w:id="5" w:name="_Toc104055418"/>
          <w:r w:rsidRPr="0040327B">
            <w:rPr>
              <w:rFonts w:ascii="Times New Roman" w:hAnsi="Times New Roman" w:cs="Times New Roman"/>
              <w:color w:val="auto"/>
              <w:sz w:val="24"/>
              <w:szCs w:val="24"/>
            </w:rPr>
            <w:t xml:space="preserve">Ratio </w:t>
          </w:r>
          <w:r w:rsidR="009779C2" w:rsidRPr="0040327B">
            <w:rPr>
              <w:rFonts w:ascii="Times New Roman" w:hAnsi="Times New Roman" w:cs="Times New Roman"/>
              <w:color w:val="auto"/>
              <w:sz w:val="24"/>
              <w:szCs w:val="24"/>
            </w:rPr>
            <w:t>Analysis Tool for Decision Making</w:t>
          </w:r>
          <w:bookmarkEnd w:id="5"/>
        </w:p>
        <w:p w14:paraId="2A3C011F" w14:textId="77777777" w:rsidR="0040327B" w:rsidRPr="0040327B" w:rsidRDefault="0040327B" w:rsidP="0040327B"/>
        <w:p w14:paraId="6E644CF4" w14:textId="69AA4088" w:rsidR="009779C2" w:rsidRPr="0040327B" w:rsidRDefault="00C22981"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Ratio analysis can be used in different ways in the decision making process. Ratio analysis helps in identifying the difference between one variable and the other variable. The ratios can also be used to detect discrepancies between actual data and budgeted data. It helps in identifying growth opportunities and failure risks of an enterprise</w:t>
          </w:r>
          <w:r w:rsidR="002A68A9" w:rsidRPr="0040327B">
            <w:rPr>
              <w:rFonts w:ascii="Times New Roman" w:hAnsi="Times New Roman" w:cs="Times New Roman"/>
              <w:sz w:val="24"/>
              <w:szCs w:val="24"/>
            </w:rPr>
            <w:t xml:space="preserve"> (Amran &amp; Aripin, 2015)</w:t>
          </w:r>
          <w:r w:rsidRPr="0040327B">
            <w:rPr>
              <w:rFonts w:ascii="Times New Roman" w:hAnsi="Times New Roman" w:cs="Times New Roman"/>
              <w:sz w:val="24"/>
              <w:szCs w:val="24"/>
            </w:rPr>
            <w:t>. It is used to evaluate the current position of an enterprise or individual as well as the future expectation.</w:t>
          </w:r>
        </w:p>
        <w:p w14:paraId="4119E03D" w14:textId="181E574D" w:rsidR="00FE0B56" w:rsidRPr="0040327B" w:rsidRDefault="00C22981"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 xml:space="preserve">One way to </w:t>
          </w:r>
          <w:r w:rsidR="007D4B90" w:rsidRPr="0040327B">
            <w:rPr>
              <w:rFonts w:ascii="Times New Roman" w:hAnsi="Times New Roman" w:cs="Times New Roman"/>
              <w:sz w:val="24"/>
              <w:szCs w:val="24"/>
            </w:rPr>
            <w:t>analyse</w:t>
          </w:r>
          <w:r w:rsidRPr="0040327B">
            <w:rPr>
              <w:rFonts w:ascii="Times New Roman" w:hAnsi="Times New Roman" w:cs="Times New Roman"/>
              <w:sz w:val="24"/>
              <w:szCs w:val="24"/>
            </w:rPr>
            <w:t xml:space="preserve"> the benefits and costs of various options is to use a ratio analysis tool. The tool is also known as a benefit-cost ratio, profitability index, rate of return or net present value/discounted cash flow analysis (NPV/DCF)</w:t>
          </w:r>
          <w:r w:rsidR="002A68A9" w:rsidRPr="0040327B">
            <w:rPr>
              <w:rFonts w:ascii="Times New Roman" w:hAnsi="Times New Roman" w:cs="Times New Roman"/>
              <w:sz w:val="24"/>
              <w:szCs w:val="24"/>
            </w:rPr>
            <w:t xml:space="preserve"> (Amran &amp; Aripin, 2015)</w:t>
          </w:r>
          <w:r w:rsidRPr="0040327B">
            <w:rPr>
              <w:rFonts w:ascii="Times New Roman" w:hAnsi="Times New Roman" w:cs="Times New Roman"/>
              <w:sz w:val="24"/>
              <w:szCs w:val="24"/>
            </w:rPr>
            <w:t xml:space="preserve">. This tool measures the relationship between the benefits and costs of an investment. It provides you with an unbiased opinion on whether an investment should be made and how much money should </w:t>
          </w:r>
          <w:r w:rsidRPr="0040327B">
            <w:rPr>
              <w:rFonts w:ascii="Times New Roman" w:hAnsi="Times New Roman" w:cs="Times New Roman"/>
              <w:sz w:val="24"/>
              <w:szCs w:val="24"/>
            </w:rPr>
            <w:lastRenderedPageBreak/>
            <w:t>be invested in it</w:t>
          </w:r>
          <w:r w:rsidR="002A68A9" w:rsidRPr="0040327B">
            <w:rPr>
              <w:rFonts w:ascii="Times New Roman" w:hAnsi="Times New Roman" w:cs="Times New Roman"/>
              <w:sz w:val="24"/>
              <w:szCs w:val="24"/>
            </w:rPr>
            <w:t xml:space="preserve"> (Duchin &amp; Sosyura, 2014)</w:t>
          </w:r>
          <w:r w:rsidRPr="0040327B">
            <w:rPr>
              <w:rFonts w:ascii="Times New Roman" w:hAnsi="Times New Roman" w:cs="Times New Roman"/>
              <w:sz w:val="24"/>
              <w:szCs w:val="24"/>
            </w:rPr>
            <w:t>. A ratio analysis helps you identify things that add value and allows you to eliminate alterna</w:t>
          </w:r>
          <w:r w:rsidR="00FE0B56" w:rsidRPr="0040327B">
            <w:rPr>
              <w:rFonts w:ascii="Times New Roman" w:hAnsi="Times New Roman" w:cs="Times New Roman"/>
              <w:sz w:val="24"/>
              <w:szCs w:val="24"/>
            </w:rPr>
            <w:t>tives that may waste resources.</w:t>
          </w:r>
        </w:p>
        <w:p w14:paraId="7271F124" w14:textId="690E4D34" w:rsidR="000412BA" w:rsidRPr="0040327B" w:rsidRDefault="00FE0B56"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In order to use ratio analysis</w:t>
          </w:r>
          <w:r w:rsidR="00C22981" w:rsidRPr="0040327B">
            <w:rPr>
              <w:rFonts w:ascii="Times New Roman" w:hAnsi="Times New Roman" w:cs="Times New Roman"/>
              <w:sz w:val="24"/>
              <w:szCs w:val="24"/>
            </w:rPr>
            <w:t>, you have to have a sound understanding of what makes a business successful. The success of a business depends on many things such as making good products, keeping costs low, and spending wisely</w:t>
          </w:r>
          <w:r w:rsidR="002A68A9" w:rsidRPr="0040327B">
            <w:rPr>
              <w:rFonts w:ascii="Times New Roman" w:hAnsi="Times New Roman" w:cs="Times New Roman"/>
              <w:sz w:val="24"/>
              <w:szCs w:val="24"/>
            </w:rPr>
            <w:t xml:space="preserve"> (Alexander, 2017)</w:t>
          </w:r>
          <w:r w:rsidR="00C22981" w:rsidRPr="0040327B">
            <w:rPr>
              <w:rFonts w:ascii="Times New Roman" w:hAnsi="Times New Roman" w:cs="Times New Roman"/>
              <w:sz w:val="24"/>
              <w:szCs w:val="24"/>
            </w:rPr>
            <w:t>. The ratios are not only used to make decisions but they are also key factors in deciding how a business should be managed</w:t>
          </w:r>
          <w:r w:rsidR="002A68A9" w:rsidRPr="0040327B">
            <w:rPr>
              <w:rFonts w:ascii="Times New Roman" w:hAnsi="Times New Roman" w:cs="Times New Roman"/>
              <w:sz w:val="24"/>
              <w:szCs w:val="24"/>
            </w:rPr>
            <w:t xml:space="preserve"> (Velez-Pareja, 2012)</w:t>
          </w:r>
          <w:r w:rsidR="00C22981" w:rsidRPr="0040327B">
            <w:rPr>
              <w:rFonts w:ascii="Times New Roman" w:hAnsi="Times New Roman" w:cs="Times New Roman"/>
              <w:sz w:val="24"/>
              <w:szCs w:val="24"/>
            </w:rPr>
            <w:t>. For example</w:t>
          </w:r>
          <w:r w:rsidRPr="0040327B">
            <w:rPr>
              <w:rFonts w:ascii="Times New Roman" w:hAnsi="Times New Roman" w:cs="Times New Roman"/>
              <w:sz w:val="24"/>
              <w:szCs w:val="24"/>
            </w:rPr>
            <w:t>,</w:t>
          </w:r>
          <w:r w:rsidR="00C22981" w:rsidRPr="0040327B">
            <w:rPr>
              <w:rFonts w:ascii="Times New Roman" w:hAnsi="Times New Roman" w:cs="Times New Roman"/>
              <w:sz w:val="24"/>
              <w:szCs w:val="24"/>
            </w:rPr>
            <w:t xml:space="preserve"> if the ratio of fixed costs to sales goes down, then it shows that the company is doing well and its performance is increasing consistently. But if the fixed cost ratio goes very high or it stays constant even after increasing sales, then this shows that the company is d</w:t>
          </w:r>
          <w:r w:rsidR="000412BA" w:rsidRPr="0040327B">
            <w:rPr>
              <w:rFonts w:ascii="Times New Roman" w:hAnsi="Times New Roman" w:cs="Times New Roman"/>
              <w:sz w:val="24"/>
              <w:szCs w:val="24"/>
            </w:rPr>
            <w:t>oing poor in terms of finances.</w:t>
          </w:r>
        </w:p>
        <w:p w14:paraId="2B00629C" w14:textId="70068D16" w:rsidR="002B28E6" w:rsidRPr="0040327B" w:rsidRDefault="000412BA"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For example</w:t>
          </w:r>
          <w:r w:rsidR="00C22981" w:rsidRPr="0040327B">
            <w:rPr>
              <w:rFonts w:ascii="Times New Roman" w:hAnsi="Times New Roman" w:cs="Times New Roman"/>
              <w:sz w:val="24"/>
              <w:szCs w:val="24"/>
            </w:rPr>
            <w:t>, if the ratio of net income to sales is 1.0%, then the company reported sales of $100,000 and its profit was $1,000.</w:t>
          </w:r>
          <w:r w:rsidR="00FE10A0" w:rsidRPr="0040327B">
            <w:rPr>
              <w:rFonts w:ascii="Times New Roman" w:hAnsi="Times New Roman" w:cs="Times New Roman"/>
              <w:sz w:val="24"/>
              <w:szCs w:val="24"/>
            </w:rPr>
            <w:t xml:space="preserve"> </w:t>
          </w:r>
          <w:r w:rsidR="00C22981" w:rsidRPr="0040327B">
            <w:rPr>
              <w:rFonts w:ascii="Times New Roman" w:hAnsi="Times New Roman" w:cs="Times New Roman"/>
              <w:sz w:val="24"/>
              <w:szCs w:val="24"/>
            </w:rPr>
            <w:t>The significance of this ratio can be understood if a comparison is made with the previous year. If there was an increase in the ratio, then it shows that there has been an increase in net income by a larger percentage than the percentage increase in sales</w:t>
          </w:r>
          <w:r w:rsidR="002A68A9" w:rsidRPr="0040327B">
            <w:rPr>
              <w:rFonts w:ascii="Times New Roman" w:hAnsi="Times New Roman" w:cs="Times New Roman"/>
              <w:sz w:val="24"/>
              <w:szCs w:val="24"/>
            </w:rPr>
            <w:t xml:space="preserve"> (Hasan Dinçer &amp; Serhat Yuksel, 2019)</w:t>
          </w:r>
          <w:r w:rsidR="00C22981" w:rsidRPr="0040327B">
            <w:rPr>
              <w:rFonts w:ascii="Times New Roman" w:hAnsi="Times New Roman" w:cs="Times New Roman"/>
              <w:sz w:val="24"/>
              <w:szCs w:val="24"/>
            </w:rPr>
            <w:t>. A decrease in net income shows that sales have increased but due to financial constraints, i</w:t>
          </w:r>
          <w:r w:rsidR="002B28E6" w:rsidRPr="0040327B">
            <w:rPr>
              <w:rFonts w:ascii="Times New Roman" w:hAnsi="Times New Roman" w:cs="Times New Roman"/>
              <w:sz w:val="24"/>
              <w:szCs w:val="24"/>
            </w:rPr>
            <w:t>ts profitability has decreased.</w:t>
          </w:r>
        </w:p>
        <w:p w14:paraId="4B5AD075" w14:textId="5F3E1EE0" w:rsidR="00FF6C47" w:rsidRPr="0040327B" w:rsidRDefault="00C22981"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Ratio analysis helps make comparisons between similar periods and helps managers evaluate performance over time as well as relative performance of different areas or product</w:t>
          </w:r>
          <w:r w:rsidR="00527D89" w:rsidRPr="0040327B">
            <w:rPr>
              <w:rFonts w:ascii="Times New Roman" w:hAnsi="Times New Roman" w:cs="Times New Roman"/>
              <w:sz w:val="24"/>
              <w:szCs w:val="24"/>
            </w:rPr>
            <w:t>s within a company</w:t>
          </w:r>
          <w:r w:rsidR="002A68A9" w:rsidRPr="0040327B">
            <w:rPr>
              <w:rFonts w:ascii="Times New Roman" w:hAnsi="Times New Roman" w:cs="Times New Roman"/>
              <w:sz w:val="24"/>
              <w:szCs w:val="24"/>
            </w:rPr>
            <w:t xml:space="preserve"> (Koller et al., 2020)</w:t>
          </w:r>
          <w:r w:rsidR="00527D89" w:rsidRPr="0040327B">
            <w:rPr>
              <w:rFonts w:ascii="Times New Roman" w:hAnsi="Times New Roman" w:cs="Times New Roman"/>
              <w:sz w:val="24"/>
              <w:szCs w:val="24"/>
            </w:rPr>
            <w:t>. For example</w:t>
          </w:r>
          <w:r w:rsidRPr="0040327B">
            <w:rPr>
              <w:rFonts w:ascii="Times New Roman" w:hAnsi="Times New Roman" w:cs="Times New Roman"/>
              <w:sz w:val="24"/>
              <w:szCs w:val="24"/>
            </w:rPr>
            <w:t>, if sales grew by 50% in one year but expenses increased by only 20%, then this shows that the company is able to get better margins on each sale whereas it got lower margins on each sale in the previous year. This ratio analysis also helps you evaluate how well different dep</w:t>
          </w:r>
          <w:r w:rsidR="007E191C" w:rsidRPr="0040327B">
            <w:rPr>
              <w:rFonts w:ascii="Times New Roman" w:hAnsi="Times New Roman" w:cs="Times New Roman"/>
              <w:sz w:val="24"/>
              <w:szCs w:val="24"/>
            </w:rPr>
            <w:t>artments are doing. For example</w:t>
          </w:r>
          <w:r w:rsidRPr="0040327B">
            <w:rPr>
              <w:rFonts w:ascii="Times New Roman" w:hAnsi="Times New Roman" w:cs="Times New Roman"/>
              <w:sz w:val="24"/>
              <w:szCs w:val="24"/>
            </w:rPr>
            <w:t xml:space="preserve">, if the ratio of marketing expense to sales increases, then it shows that there has been an increase in spending on marketing. Increases in net income while keeping the same ratios shows that returns have </w:t>
          </w:r>
          <w:r w:rsidRPr="0040327B">
            <w:rPr>
              <w:rFonts w:ascii="Times New Roman" w:hAnsi="Times New Roman" w:cs="Times New Roman"/>
              <w:sz w:val="24"/>
              <w:szCs w:val="24"/>
            </w:rPr>
            <w:lastRenderedPageBreak/>
            <w:t>increased hence the company has been able to make better sales by increasing its price and this is a good improvement</w:t>
          </w:r>
          <w:r w:rsidR="002A68A9" w:rsidRPr="0040327B">
            <w:rPr>
              <w:rFonts w:ascii="Times New Roman" w:hAnsi="Times New Roman" w:cs="Times New Roman"/>
              <w:sz w:val="24"/>
              <w:szCs w:val="24"/>
            </w:rPr>
            <w:t xml:space="preserve"> (Graybeal, 2019)</w:t>
          </w:r>
          <w:r w:rsidRPr="0040327B">
            <w:rPr>
              <w:rFonts w:ascii="Times New Roman" w:hAnsi="Times New Roman" w:cs="Times New Roman"/>
              <w:sz w:val="24"/>
              <w:szCs w:val="24"/>
            </w:rPr>
            <w:t>.</w:t>
          </w:r>
        </w:p>
        <w:p w14:paraId="7A0E96D7" w14:textId="789F7EAF" w:rsidR="00225A5A" w:rsidRPr="0040327B" w:rsidRDefault="00C22981"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Depending upon data, ratio analysis helps you determine a range of assumptions and inputs used f</w:t>
          </w:r>
          <w:r w:rsidR="00225A5A" w:rsidRPr="0040327B">
            <w:rPr>
              <w:rFonts w:ascii="Times New Roman" w:hAnsi="Times New Roman" w:cs="Times New Roman"/>
              <w:sz w:val="24"/>
              <w:szCs w:val="24"/>
            </w:rPr>
            <w:t>or decision making</w:t>
          </w:r>
          <w:r w:rsidR="002A68A9" w:rsidRPr="0040327B">
            <w:rPr>
              <w:rFonts w:ascii="Times New Roman" w:hAnsi="Times New Roman" w:cs="Times New Roman"/>
              <w:sz w:val="24"/>
              <w:szCs w:val="24"/>
            </w:rPr>
            <w:t xml:space="preserve"> (Amran &amp; Aripin, 2015)</w:t>
          </w:r>
          <w:r w:rsidR="00225A5A" w:rsidRPr="0040327B">
            <w:rPr>
              <w:rFonts w:ascii="Times New Roman" w:hAnsi="Times New Roman" w:cs="Times New Roman"/>
              <w:sz w:val="24"/>
              <w:szCs w:val="24"/>
            </w:rPr>
            <w:t>. For example</w:t>
          </w:r>
          <w:r w:rsidRPr="0040327B">
            <w:rPr>
              <w:rFonts w:ascii="Times New Roman" w:hAnsi="Times New Roman" w:cs="Times New Roman"/>
              <w:sz w:val="24"/>
              <w:szCs w:val="24"/>
            </w:rPr>
            <w:t>, if the ratio of sales growth to fixed costs is 2.0 and budgeted fixed costs is $200,000, it shows that the company has decreased its fixed costs by 50% compared with last year and this can be considered as a good achievement. If there are no changes in ratios or amount of data used for decisions, then it can be assumed that ratios have not changed much and the decision maker keeps all</w:t>
          </w:r>
          <w:r w:rsidR="00225A5A" w:rsidRPr="0040327B">
            <w:rPr>
              <w:rFonts w:ascii="Times New Roman" w:hAnsi="Times New Roman" w:cs="Times New Roman"/>
              <w:sz w:val="24"/>
              <w:szCs w:val="24"/>
            </w:rPr>
            <w:t xml:space="preserve"> his decision makers unchanged.</w:t>
          </w:r>
        </w:p>
        <w:p w14:paraId="08E76498" w14:textId="4243D37E" w:rsidR="007A2FEC" w:rsidRPr="0040327B" w:rsidRDefault="00C22981"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The logic behind using ratio analysis is that it helps you calculate how much money will be made out of a project or investment given the rate at which resources are being used</w:t>
          </w:r>
          <w:r w:rsidR="002A68A9" w:rsidRPr="0040327B">
            <w:rPr>
              <w:rFonts w:ascii="Times New Roman" w:hAnsi="Times New Roman" w:cs="Times New Roman"/>
              <w:sz w:val="24"/>
              <w:szCs w:val="24"/>
            </w:rPr>
            <w:t xml:space="preserve"> (D &amp; Dahlquist, 2016)</w:t>
          </w:r>
          <w:r w:rsidRPr="0040327B">
            <w:rPr>
              <w:rFonts w:ascii="Times New Roman" w:hAnsi="Times New Roman" w:cs="Times New Roman"/>
              <w:sz w:val="24"/>
              <w:szCs w:val="24"/>
            </w:rPr>
            <w:t xml:space="preserve">. It gives you a fair idea about the return on investment and also helps you to calculate how much money has been spent on a </w:t>
          </w:r>
          <w:r w:rsidR="00225A5A" w:rsidRPr="0040327B">
            <w:rPr>
              <w:rFonts w:ascii="Times New Roman" w:hAnsi="Times New Roman" w:cs="Times New Roman"/>
              <w:sz w:val="24"/>
              <w:szCs w:val="24"/>
            </w:rPr>
            <w:t>particular project. For example</w:t>
          </w:r>
          <w:r w:rsidRPr="0040327B">
            <w:rPr>
              <w:rFonts w:ascii="Times New Roman" w:hAnsi="Times New Roman" w:cs="Times New Roman"/>
              <w:sz w:val="24"/>
              <w:szCs w:val="24"/>
            </w:rPr>
            <w:t xml:space="preserve">, if the ratio of cost of sales to gross profit is 58% and it is used in calculating </w:t>
          </w:r>
          <w:r w:rsidR="00225A5A" w:rsidRPr="0040327B">
            <w:rPr>
              <w:rFonts w:ascii="Times New Roman" w:hAnsi="Times New Roman" w:cs="Times New Roman"/>
              <w:sz w:val="24"/>
              <w:szCs w:val="24"/>
            </w:rPr>
            <w:t>earnings</w:t>
          </w:r>
          <w:r w:rsidRPr="0040327B">
            <w:rPr>
              <w:rFonts w:ascii="Times New Roman" w:hAnsi="Times New Roman" w:cs="Times New Roman"/>
              <w:sz w:val="24"/>
              <w:szCs w:val="24"/>
            </w:rPr>
            <w:t xml:space="preserve"> per share to compare with its competitor then it shows that if its competitors have earned $10,000 in a period then its profit earned would be $ 5,800. It shows that the company is losing 20% more mone</w:t>
          </w:r>
          <w:r w:rsidR="007A2FEC" w:rsidRPr="0040327B">
            <w:rPr>
              <w:rFonts w:ascii="Times New Roman" w:hAnsi="Times New Roman" w:cs="Times New Roman"/>
              <w:sz w:val="24"/>
              <w:szCs w:val="24"/>
            </w:rPr>
            <w:t>y compared with its competitor.</w:t>
          </w:r>
        </w:p>
        <w:p w14:paraId="1C5F2ADD" w14:textId="162A531F" w:rsidR="00E6570C" w:rsidRPr="0040327B" w:rsidRDefault="00C22981"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Ratio analysis also helps you evaluate operating performance over time and relative performance of different areas or products within a company</w:t>
          </w:r>
          <w:r w:rsidR="002A68A9" w:rsidRPr="0040327B">
            <w:rPr>
              <w:rFonts w:ascii="Times New Roman" w:hAnsi="Times New Roman" w:cs="Times New Roman"/>
              <w:sz w:val="24"/>
              <w:szCs w:val="24"/>
            </w:rPr>
            <w:t xml:space="preserve"> (D &amp; Dahlquist, 2016)</w:t>
          </w:r>
          <w:r w:rsidRPr="0040327B">
            <w:rPr>
              <w:rFonts w:ascii="Times New Roman" w:hAnsi="Times New Roman" w:cs="Times New Roman"/>
              <w:sz w:val="24"/>
              <w:szCs w:val="24"/>
            </w:rPr>
            <w:t>. These performance measurements help you to make correct decisions about how the company</w:t>
          </w:r>
          <w:r w:rsidR="007A2FEC" w:rsidRPr="0040327B">
            <w:rPr>
              <w:rFonts w:ascii="Times New Roman" w:hAnsi="Times New Roman" w:cs="Times New Roman"/>
              <w:sz w:val="24"/>
              <w:szCs w:val="24"/>
            </w:rPr>
            <w:t xml:space="preserve"> should be managed. For example</w:t>
          </w:r>
          <w:r w:rsidRPr="0040327B">
            <w:rPr>
              <w:rFonts w:ascii="Times New Roman" w:hAnsi="Times New Roman" w:cs="Times New Roman"/>
              <w:sz w:val="24"/>
              <w:szCs w:val="24"/>
            </w:rPr>
            <w:t xml:space="preserve">, if inventory turns in a period has been doubled but sales have remained the same and the ratio of cost of sales to sales is 60%, then it shows that the company is not able to increase its sales by improving its cost of sales and this shows that it has been unable to improve its competitive advantage in terms of price. It also shows that if it can </w:t>
          </w:r>
          <w:r w:rsidRPr="0040327B">
            <w:rPr>
              <w:rFonts w:ascii="Times New Roman" w:hAnsi="Times New Roman" w:cs="Times New Roman"/>
              <w:sz w:val="24"/>
              <w:szCs w:val="24"/>
            </w:rPr>
            <w:lastRenderedPageBreak/>
            <w:t>increase the ratio of cost of sales to gross profit by 40% then it will be able to improve its competitive advantage and make more money out of each sale.</w:t>
          </w:r>
        </w:p>
        <w:p w14:paraId="627E7EF8" w14:textId="3C0DA777" w:rsidR="00C22981" w:rsidRPr="0040327B" w:rsidRDefault="00C22981"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 xml:space="preserve">In summary, ratio analysis is a simple and effective tool that can be used to make better decisions. When used in conjunction with other tools to </w:t>
          </w:r>
          <w:r w:rsidR="00AA7063" w:rsidRPr="0040327B">
            <w:rPr>
              <w:rFonts w:ascii="Times New Roman" w:hAnsi="Times New Roman" w:cs="Times New Roman"/>
              <w:sz w:val="24"/>
              <w:szCs w:val="24"/>
            </w:rPr>
            <w:t>analyse</w:t>
          </w:r>
          <w:r w:rsidRPr="0040327B">
            <w:rPr>
              <w:rFonts w:ascii="Times New Roman" w:hAnsi="Times New Roman" w:cs="Times New Roman"/>
              <w:sz w:val="24"/>
              <w:szCs w:val="24"/>
            </w:rPr>
            <w:t xml:space="preserve"> the financial position of an enterprise or individual, it allows planners to make more accurate assessments of future performance as well as current performance.</w:t>
          </w:r>
        </w:p>
        <w:p w14:paraId="24A2F64C" w14:textId="6C23AAEF" w:rsidR="00C22981" w:rsidRPr="0040327B" w:rsidRDefault="00C22981" w:rsidP="00E6570C">
          <w:pPr>
            <w:pStyle w:val="Titlu1"/>
            <w:jc w:val="center"/>
            <w:rPr>
              <w:rFonts w:ascii="Times New Roman" w:hAnsi="Times New Roman" w:cs="Times New Roman"/>
              <w:color w:val="auto"/>
              <w:sz w:val="24"/>
              <w:szCs w:val="24"/>
            </w:rPr>
          </w:pPr>
          <w:bookmarkStart w:id="6" w:name="_Toc104055419"/>
          <w:r w:rsidRPr="0040327B">
            <w:rPr>
              <w:rFonts w:ascii="Times New Roman" w:hAnsi="Times New Roman" w:cs="Times New Roman"/>
              <w:color w:val="auto"/>
              <w:sz w:val="24"/>
              <w:szCs w:val="24"/>
            </w:rPr>
            <w:t xml:space="preserve">Limitation </w:t>
          </w:r>
          <w:r w:rsidR="00E6570C" w:rsidRPr="0040327B">
            <w:rPr>
              <w:rFonts w:ascii="Times New Roman" w:hAnsi="Times New Roman" w:cs="Times New Roman"/>
              <w:color w:val="auto"/>
              <w:sz w:val="24"/>
              <w:szCs w:val="24"/>
            </w:rPr>
            <w:t>of Ratio Analysis</w:t>
          </w:r>
          <w:bookmarkEnd w:id="6"/>
        </w:p>
        <w:p w14:paraId="2F618A69" w14:textId="77777777" w:rsidR="0040327B" w:rsidRPr="0040327B" w:rsidRDefault="0040327B" w:rsidP="0040327B"/>
        <w:p w14:paraId="63EF914D" w14:textId="7F9E5575" w:rsidR="00A7490A" w:rsidRPr="0040327B" w:rsidRDefault="00C22981"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 xml:space="preserve">Although there are several benefits of using ratio analysis, it is not free from criticism. The principal criticism is that the usefulness and accuracy are highly dependent on the quality of data available which can be extremely variable. Many statistical techniques can be applied to improve the quality of data and increase its accuracy, but even then its results can never be 100% </w:t>
          </w:r>
          <w:r w:rsidR="00A7490A" w:rsidRPr="0040327B">
            <w:rPr>
              <w:rFonts w:ascii="Times New Roman" w:hAnsi="Times New Roman" w:cs="Times New Roman"/>
              <w:sz w:val="24"/>
              <w:szCs w:val="24"/>
            </w:rPr>
            <w:t>fool proof</w:t>
          </w:r>
          <w:r w:rsidR="002A68A9" w:rsidRPr="0040327B">
            <w:rPr>
              <w:rFonts w:ascii="Times New Roman" w:hAnsi="Times New Roman" w:cs="Times New Roman"/>
              <w:sz w:val="24"/>
              <w:szCs w:val="24"/>
            </w:rPr>
            <w:t xml:space="preserve"> </w:t>
          </w:r>
          <w:r w:rsidR="002A68A9" w:rsidRPr="0040327B">
            <w:t>(</w:t>
          </w:r>
          <w:r w:rsidR="002A68A9" w:rsidRPr="0040327B">
            <w:rPr>
              <w:i/>
              <w:iCs/>
            </w:rPr>
            <w:t>Limitations of Ratio Analysis</w:t>
          </w:r>
          <w:r w:rsidR="002A68A9" w:rsidRPr="0040327B">
            <w:t>, 2018)</w:t>
          </w:r>
          <w:r w:rsidRPr="0040327B">
            <w:rPr>
              <w:rFonts w:ascii="Times New Roman" w:hAnsi="Times New Roman" w:cs="Times New Roman"/>
              <w:sz w:val="24"/>
              <w:szCs w:val="24"/>
            </w:rPr>
            <w:t>.</w:t>
          </w:r>
          <w:r w:rsidR="00A7490A" w:rsidRPr="0040327B">
            <w:rPr>
              <w:rFonts w:ascii="Times New Roman" w:hAnsi="Times New Roman" w:cs="Times New Roman"/>
              <w:sz w:val="24"/>
              <w:szCs w:val="24"/>
            </w:rPr>
            <w:t xml:space="preserve"> </w:t>
          </w:r>
          <w:r w:rsidRPr="0040327B">
            <w:rPr>
              <w:rFonts w:ascii="Times New Roman" w:hAnsi="Times New Roman" w:cs="Times New Roman"/>
              <w:sz w:val="24"/>
              <w:szCs w:val="24"/>
            </w:rPr>
            <w:t xml:space="preserve">One major limitation is that it does not evaluate the probability of future events as it cannot be used to predict accurately the future outcome of a particular </w:t>
          </w:r>
          <w:r w:rsidR="002A68A9" w:rsidRPr="0040327B">
            <w:rPr>
              <w:rFonts w:ascii="Times New Roman" w:hAnsi="Times New Roman" w:cs="Times New Roman"/>
              <w:sz w:val="24"/>
              <w:szCs w:val="24"/>
            </w:rPr>
            <w:t xml:space="preserve">project </w:t>
          </w:r>
          <w:r w:rsidR="002A68A9" w:rsidRPr="0040327B">
            <w:t>(</w:t>
          </w:r>
          <w:r w:rsidR="002A68A9" w:rsidRPr="0040327B">
            <w:rPr>
              <w:i/>
              <w:iCs/>
            </w:rPr>
            <w:t>Limitations of Ratio Analysis</w:t>
          </w:r>
          <w:r w:rsidR="002A68A9" w:rsidRPr="0040327B">
            <w:t>, 2018)</w:t>
          </w:r>
          <w:r w:rsidRPr="0040327B">
            <w:rPr>
              <w:rFonts w:ascii="Times New Roman" w:hAnsi="Times New Roman" w:cs="Times New Roman"/>
              <w:sz w:val="24"/>
              <w:szCs w:val="24"/>
            </w:rPr>
            <w:t>. It can only be used to understand the past financial performance of an entity and make comparis</w:t>
          </w:r>
          <w:r w:rsidR="00A7490A" w:rsidRPr="0040327B">
            <w:rPr>
              <w:rFonts w:ascii="Times New Roman" w:hAnsi="Times New Roman" w:cs="Times New Roman"/>
              <w:sz w:val="24"/>
              <w:szCs w:val="24"/>
            </w:rPr>
            <w:t>ons between different entities.</w:t>
          </w:r>
        </w:p>
        <w:p w14:paraId="3677AE94" w14:textId="5F9C2C30" w:rsidR="00306D1E" w:rsidRPr="0040327B" w:rsidRDefault="00C22981"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The other main criticism is that it does not compare well with actual results because it incorporates the historical data which may or may not represent current situation for example changes in strate</w:t>
          </w:r>
          <w:r w:rsidR="00A7490A" w:rsidRPr="0040327B">
            <w:rPr>
              <w:rFonts w:ascii="Times New Roman" w:hAnsi="Times New Roman" w:cs="Times New Roman"/>
              <w:sz w:val="24"/>
              <w:szCs w:val="24"/>
            </w:rPr>
            <w:t>gy, new developments and so on</w:t>
          </w:r>
          <w:r w:rsidR="002A68A9" w:rsidRPr="0040327B">
            <w:rPr>
              <w:rFonts w:ascii="Times New Roman" w:hAnsi="Times New Roman" w:cs="Times New Roman"/>
              <w:sz w:val="24"/>
              <w:szCs w:val="24"/>
            </w:rPr>
            <w:t xml:space="preserve"> </w:t>
          </w:r>
          <w:r w:rsidR="002A68A9" w:rsidRPr="0040327B">
            <w:t>(</w:t>
          </w:r>
          <w:r w:rsidR="002A68A9" w:rsidRPr="0040327B">
            <w:rPr>
              <w:i/>
              <w:iCs/>
            </w:rPr>
            <w:t>Limitations of Ratio Analysis</w:t>
          </w:r>
          <w:r w:rsidR="002A68A9" w:rsidRPr="0040327B">
            <w:t>, 2018)</w:t>
          </w:r>
          <w:r w:rsidR="00A7490A" w:rsidRPr="0040327B">
            <w:rPr>
              <w:rFonts w:ascii="Times New Roman" w:hAnsi="Times New Roman" w:cs="Times New Roman"/>
              <w:sz w:val="24"/>
              <w:szCs w:val="24"/>
            </w:rPr>
            <w:t xml:space="preserve">. </w:t>
          </w:r>
          <w:r w:rsidRPr="0040327B">
            <w:rPr>
              <w:rFonts w:ascii="Times New Roman" w:hAnsi="Times New Roman" w:cs="Times New Roman"/>
              <w:sz w:val="24"/>
              <w:szCs w:val="24"/>
            </w:rPr>
            <w:t>Another limitation is that ratio analysis does not show the reasons for changes in ratios but only gives information about them and this makes it i</w:t>
          </w:r>
          <w:r w:rsidR="00F77A15" w:rsidRPr="0040327B">
            <w:rPr>
              <w:rFonts w:ascii="Times New Roman" w:hAnsi="Times New Roman" w:cs="Times New Roman"/>
              <w:sz w:val="24"/>
              <w:szCs w:val="24"/>
            </w:rPr>
            <w:t xml:space="preserve">nsufficient as a planning tool. </w:t>
          </w:r>
          <w:r w:rsidRPr="0040327B">
            <w:rPr>
              <w:rFonts w:ascii="Times New Roman" w:hAnsi="Times New Roman" w:cs="Times New Roman"/>
              <w:sz w:val="24"/>
              <w:szCs w:val="24"/>
            </w:rPr>
            <w:t>Ratio analysis does not prove that any change will work and it does not show the reasons for changes in ratios</w:t>
          </w:r>
          <w:r w:rsidR="002A68A9" w:rsidRPr="0040327B">
            <w:rPr>
              <w:rFonts w:ascii="Times New Roman" w:hAnsi="Times New Roman" w:cs="Times New Roman"/>
              <w:sz w:val="24"/>
              <w:szCs w:val="24"/>
            </w:rPr>
            <w:t xml:space="preserve"> </w:t>
          </w:r>
          <w:r w:rsidR="002A68A9" w:rsidRPr="0040327B">
            <w:t>(</w:t>
          </w:r>
          <w:r w:rsidR="002A68A9" w:rsidRPr="0040327B">
            <w:rPr>
              <w:i/>
              <w:iCs/>
            </w:rPr>
            <w:t>Limitations of Ratio Analysis</w:t>
          </w:r>
          <w:r w:rsidR="002A68A9" w:rsidRPr="0040327B">
            <w:t>, 2018)</w:t>
          </w:r>
          <w:r w:rsidRPr="0040327B">
            <w:rPr>
              <w:rFonts w:ascii="Times New Roman" w:hAnsi="Times New Roman" w:cs="Times New Roman"/>
              <w:sz w:val="24"/>
              <w:szCs w:val="24"/>
            </w:rPr>
            <w:t>. It would be useful to know the reason for an increase or decrease in ratios before considering it and determining the best strategy.</w:t>
          </w:r>
        </w:p>
        <w:p w14:paraId="5807CECB" w14:textId="6A721AB6" w:rsidR="009C1CE2" w:rsidRPr="0040327B" w:rsidRDefault="00C22981" w:rsidP="0040327B">
          <w:pPr>
            <w:autoSpaceDE w:val="0"/>
            <w:autoSpaceDN w:val="0"/>
            <w:adjustRightInd w:val="0"/>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lastRenderedPageBreak/>
            <w:t>Limitations of ratio analysis should be overcome by using more sophisticated tools such as portfolio analysis, which can help evaluate how different factors are affecting the company’s performance and its ability to generate more profits.</w:t>
          </w:r>
        </w:p>
        <w:p w14:paraId="3B761FE2" w14:textId="626D1A5C" w:rsidR="00AA2A91" w:rsidRPr="0040327B" w:rsidRDefault="00AA2A91" w:rsidP="005670AC">
          <w:pPr>
            <w:pStyle w:val="Titlu1"/>
            <w:spacing w:before="0" w:line="480" w:lineRule="auto"/>
            <w:contextualSpacing/>
            <w:jc w:val="center"/>
            <w:rPr>
              <w:rFonts w:ascii="Times New Roman" w:hAnsi="Times New Roman" w:cs="Times New Roman"/>
              <w:color w:val="auto"/>
              <w:sz w:val="24"/>
              <w:szCs w:val="24"/>
            </w:rPr>
          </w:pPr>
          <w:bookmarkStart w:id="7" w:name="_Toc104055420"/>
          <w:r w:rsidRPr="0040327B">
            <w:rPr>
              <w:rFonts w:ascii="Times New Roman" w:hAnsi="Times New Roman" w:cs="Times New Roman"/>
              <w:color w:val="auto"/>
              <w:sz w:val="24"/>
              <w:szCs w:val="24"/>
            </w:rPr>
            <w:t>Conclusion</w:t>
          </w:r>
          <w:bookmarkEnd w:id="7"/>
        </w:p>
        <w:p w14:paraId="385BDE41" w14:textId="493EB7DF" w:rsidR="009333BA" w:rsidRPr="0040327B" w:rsidRDefault="005670AC" w:rsidP="0040327B">
          <w:pPr>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 xml:space="preserve">The horizontal analysis in Hilton Inc. is used to find the relationship of total assets to total liabilities. In layman </w:t>
          </w:r>
          <w:r w:rsidR="00AA7063" w:rsidRPr="0040327B">
            <w:rPr>
              <w:rFonts w:ascii="Times New Roman" w:hAnsi="Times New Roman" w:cs="Times New Roman"/>
              <w:sz w:val="24"/>
              <w:szCs w:val="24"/>
            </w:rPr>
            <w:t>term,</w:t>
          </w:r>
          <w:r w:rsidRPr="0040327B">
            <w:rPr>
              <w:rFonts w:ascii="Times New Roman" w:hAnsi="Times New Roman" w:cs="Times New Roman"/>
              <w:sz w:val="24"/>
              <w:szCs w:val="24"/>
            </w:rPr>
            <w:t xml:space="preserve"> it shows whether Hilton has been able to finance its activities with available funds, or if it requires more funds than it has. The vertical analysis provides the relationship of cost of goods to selling price. It shows whether the selling price is equal to cost of </w:t>
          </w:r>
          <w:r w:rsidR="00AA7063" w:rsidRPr="0040327B">
            <w:rPr>
              <w:rFonts w:ascii="Times New Roman" w:hAnsi="Times New Roman" w:cs="Times New Roman"/>
              <w:sz w:val="24"/>
              <w:szCs w:val="24"/>
            </w:rPr>
            <w:t>goods</w:t>
          </w:r>
          <w:r w:rsidRPr="0040327B">
            <w:rPr>
              <w:rFonts w:ascii="Times New Roman" w:hAnsi="Times New Roman" w:cs="Times New Roman"/>
              <w:sz w:val="24"/>
              <w:szCs w:val="24"/>
            </w:rPr>
            <w:t xml:space="preserve"> sold.</w:t>
          </w:r>
        </w:p>
        <w:p w14:paraId="7DDF40D5" w14:textId="42B88649" w:rsidR="0006348F" w:rsidRPr="0040327B" w:rsidRDefault="005670AC" w:rsidP="0040327B">
          <w:pPr>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 xml:space="preserve">In the present </w:t>
          </w:r>
          <w:r w:rsidR="00AA7063" w:rsidRPr="0040327B">
            <w:rPr>
              <w:rFonts w:ascii="Times New Roman" w:hAnsi="Times New Roman" w:cs="Times New Roman"/>
              <w:sz w:val="24"/>
              <w:szCs w:val="24"/>
            </w:rPr>
            <w:t>company,</w:t>
          </w:r>
          <w:r w:rsidRPr="0040327B">
            <w:rPr>
              <w:rFonts w:ascii="Times New Roman" w:hAnsi="Times New Roman" w:cs="Times New Roman"/>
              <w:sz w:val="24"/>
              <w:szCs w:val="24"/>
            </w:rPr>
            <w:t xml:space="preserve"> we can find that Hilton Inc. has achieved a strong position in its industry by implementing its strategies like Increase in product quality and services, new promotion programs and so </w:t>
          </w:r>
          <w:r w:rsidR="00AA7063" w:rsidRPr="0040327B">
            <w:rPr>
              <w:rFonts w:ascii="Times New Roman" w:hAnsi="Times New Roman" w:cs="Times New Roman"/>
              <w:sz w:val="24"/>
              <w:szCs w:val="24"/>
            </w:rPr>
            <w:t>on.</w:t>
          </w:r>
          <w:r w:rsidRPr="0040327B">
            <w:rPr>
              <w:rFonts w:ascii="Times New Roman" w:hAnsi="Times New Roman" w:cs="Times New Roman"/>
              <w:sz w:val="24"/>
              <w:szCs w:val="24"/>
            </w:rPr>
            <w:t xml:space="preserve"> However, if it continues its business strategy like “same </w:t>
          </w:r>
          <w:r w:rsidR="00AA7063" w:rsidRPr="0040327B">
            <w:rPr>
              <w:rFonts w:ascii="Times New Roman" w:hAnsi="Times New Roman" w:cs="Times New Roman"/>
              <w:sz w:val="24"/>
              <w:szCs w:val="24"/>
            </w:rPr>
            <w:t>old,</w:t>
          </w:r>
          <w:r w:rsidRPr="0040327B">
            <w:rPr>
              <w:rFonts w:ascii="Times New Roman" w:hAnsi="Times New Roman" w:cs="Times New Roman"/>
              <w:sz w:val="24"/>
              <w:szCs w:val="24"/>
            </w:rPr>
            <w:t xml:space="preserve"> same old” then it might face a strong competition against its competitors because they are trying to improve their product quality and service. So, Hilton should think about improving its strategies like by reducing prices further, by increasing sales promotion activities </w:t>
          </w:r>
          <w:r w:rsidR="00AA7063" w:rsidRPr="0040327B">
            <w:rPr>
              <w:rFonts w:ascii="Times New Roman" w:hAnsi="Times New Roman" w:cs="Times New Roman"/>
              <w:sz w:val="24"/>
              <w:szCs w:val="24"/>
            </w:rPr>
            <w:t>etc.</w:t>
          </w:r>
          <w:r w:rsidRPr="0040327B">
            <w:rPr>
              <w:rFonts w:ascii="Times New Roman" w:hAnsi="Times New Roman" w:cs="Times New Roman"/>
              <w:sz w:val="24"/>
              <w:szCs w:val="24"/>
            </w:rPr>
            <w:t xml:space="preserve"> In this </w:t>
          </w:r>
          <w:r w:rsidR="00AA7063" w:rsidRPr="0040327B">
            <w:rPr>
              <w:rFonts w:ascii="Times New Roman" w:hAnsi="Times New Roman" w:cs="Times New Roman"/>
              <w:sz w:val="24"/>
              <w:szCs w:val="24"/>
            </w:rPr>
            <w:t>way,</w:t>
          </w:r>
          <w:r w:rsidRPr="0040327B">
            <w:rPr>
              <w:rFonts w:ascii="Times New Roman" w:hAnsi="Times New Roman" w:cs="Times New Roman"/>
              <w:sz w:val="24"/>
              <w:szCs w:val="24"/>
            </w:rPr>
            <w:t xml:space="preserve"> it will be able to increase the sales and profit</w:t>
          </w:r>
          <w:r w:rsidR="0006348F" w:rsidRPr="0040327B">
            <w:rPr>
              <w:rFonts w:ascii="Times New Roman" w:hAnsi="Times New Roman" w:cs="Times New Roman"/>
              <w:sz w:val="24"/>
              <w:szCs w:val="24"/>
            </w:rPr>
            <w:t>s.</w:t>
          </w:r>
        </w:p>
        <w:p w14:paraId="5CF90869" w14:textId="428A0EF8" w:rsidR="00AA2A91" w:rsidRPr="0040327B" w:rsidRDefault="005670AC" w:rsidP="0040327B">
          <w:pPr>
            <w:spacing w:after="0" w:line="480" w:lineRule="auto"/>
            <w:ind w:firstLine="720"/>
            <w:contextualSpacing/>
            <w:jc w:val="both"/>
            <w:rPr>
              <w:rFonts w:ascii="Times New Roman" w:hAnsi="Times New Roman" w:cs="Times New Roman"/>
              <w:sz w:val="24"/>
              <w:szCs w:val="24"/>
            </w:rPr>
          </w:pPr>
          <w:r w:rsidRPr="0040327B">
            <w:rPr>
              <w:rFonts w:ascii="Times New Roman" w:hAnsi="Times New Roman" w:cs="Times New Roman"/>
              <w:sz w:val="24"/>
              <w:szCs w:val="24"/>
            </w:rPr>
            <w:t>Therefore, it is concluded that ratio analysis provides useful information about the financial performance of a business by showing the relationships between different financial measurements. It enables users to make fair comparisons and evaluate different areas or products within a company. It can help you determine how much money will be made out of a project or investment given the rate at which resources are being used. Ratio analysis also helps you evaluate operating performance over time and relative performance of different areas or products within a company. These performance measurements help you to make correct decisions about how the company should be managed, making it an effective tool for decision making.</w:t>
          </w:r>
        </w:p>
        <w:p w14:paraId="220FA76F" w14:textId="1E50EAA1" w:rsidR="002A68A9" w:rsidRPr="0040327B" w:rsidRDefault="002A68A9">
          <w:pPr>
            <w:rPr>
              <w:rFonts w:ascii="Times New Roman" w:eastAsiaTheme="majorEastAsia" w:hAnsi="Times New Roman" w:cs="Times New Roman"/>
              <w:sz w:val="24"/>
              <w:szCs w:val="24"/>
            </w:rPr>
          </w:pPr>
        </w:p>
        <w:p w14:paraId="0B60BCAC" w14:textId="05582853" w:rsidR="00CA09F3" w:rsidRPr="0040327B" w:rsidRDefault="00AA2A91" w:rsidP="00103319">
          <w:pPr>
            <w:pStyle w:val="Titlu1"/>
            <w:spacing w:before="0" w:line="480" w:lineRule="auto"/>
            <w:contextualSpacing/>
            <w:jc w:val="center"/>
            <w:rPr>
              <w:rFonts w:ascii="Times New Roman" w:hAnsi="Times New Roman" w:cs="Times New Roman"/>
              <w:color w:val="auto"/>
              <w:sz w:val="24"/>
              <w:szCs w:val="24"/>
            </w:rPr>
          </w:pPr>
          <w:bookmarkStart w:id="8" w:name="_Toc104055421"/>
          <w:r w:rsidRPr="0040327B">
            <w:rPr>
              <w:rFonts w:ascii="Times New Roman" w:hAnsi="Times New Roman" w:cs="Times New Roman"/>
              <w:color w:val="auto"/>
              <w:sz w:val="24"/>
              <w:szCs w:val="24"/>
            </w:rPr>
            <w:t>Bibliography</w:t>
          </w:r>
        </w:p>
      </w:sdtContent>
    </w:sdt>
    <w:bookmarkEnd w:id="8" w:displacedByCustomXml="prev"/>
    <w:p w14:paraId="3B2532DD" w14:textId="77777777" w:rsidR="002A68A9" w:rsidRDefault="002A68A9" w:rsidP="002A68A9">
      <w:pPr>
        <w:pStyle w:val="NormalWeb"/>
        <w:spacing w:before="0" w:beforeAutospacing="0" w:after="0" w:afterAutospacing="0" w:line="480" w:lineRule="auto"/>
        <w:jc w:val="center"/>
      </w:pPr>
      <w:r>
        <w:t>References</w:t>
      </w:r>
    </w:p>
    <w:p w14:paraId="1D1D213A" w14:textId="77777777" w:rsidR="002A68A9" w:rsidRDefault="002A68A9" w:rsidP="0040327B">
      <w:pPr>
        <w:pStyle w:val="NormalWeb"/>
        <w:spacing w:before="0" w:beforeAutospacing="0" w:after="0" w:afterAutospacing="0" w:line="480" w:lineRule="auto"/>
        <w:ind w:left="720" w:hanging="720"/>
        <w:jc w:val="both"/>
      </w:pPr>
      <w:r>
        <w:t xml:space="preserve">Alexander, D. (2017). </w:t>
      </w:r>
      <w:r>
        <w:rPr>
          <w:i/>
          <w:iCs/>
        </w:rPr>
        <w:t>International financial reporting and analysis</w:t>
      </w:r>
      <w:r>
        <w:t>. Andover, Hampshire Cengage Learning.</w:t>
      </w:r>
    </w:p>
    <w:p w14:paraId="019078DA" w14:textId="77777777" w:rsidR="002A68A9" w:rsidRDefault="002A68A9" w:rsidP="0040327B">
      <w:pPr>
        <w:pStyle w:val="NormalWeb"/>
        <w:spacing w:before="0" w:beforeAutospacing="0" w:after="0" w:afterAutospacing="0" w:line="480" w:lineRule="auto"/>
        <w:ind w:left="720" w:hanging="720"/>
        <w:jc w:val="both"/>
      </w:pPr>
      <w:r>
        <w:t xml:space="preserve">Amran, N., &amp; Aripin, N. (2015). Financial Ratios: A Tool for Conveying Information and Decision Making. </w:t>
      </w:r>
      <w:r>
        <w:rPr>
          <w:i/>
          <w:iCs/>
        </w:rPr>
        <w:t>Global Review of Accounting and Finance</w:t>
      </w:r>
      <w:r>
        <w:t xml:space="preserve">, </w:t>
      </w:r>
      <w:r>
        <w:rPr>
          <w:i/>
          <w:iCs/>
        </w:rPr>
        <w:t>6</w:t>
      </w:r>
      <w:r>
        <w:t>(1), 151–164. https://doi.org/10.21102/graf.2015.03.61.10</w:t>
      </w:r>
    </w:p>
    <w:p w14:paraId="1E790150" w14:textId="77777777" w:rsidR="002A68A9" w:rsidRDefault="002A68A9" w:rsidP="0040327B">
      <w:pPr>
        <w:pStyle w:val="NormalWeb"/>
        <w:spacing w:before="0" w:beforeAutospacing="0" w:after="0" w:afterAutospacing="0" w:line="480" w:lineRule="auto"/>
        <w:ind w:left="720" w:hanging="720"/>
        <w:jc w:val="both"/>
      </w:pPr>
      <w:r>
        <w:t xml:space="preserve">Aro-Gordon, S. (2016). Financial Management: A Step-by-Step Approach. </w:t>
      </w:r>
      <w:r>
        <w:rPr>
          <w:i/>
          <w:iCs/>
        </w:rPr>
        <w:t>SDMIMD Journal of Management</w:t>
      </w:r>
      <w:r>
        <w:t xml:space="preserve">, </w:t>
      </w:r>
      <w:r>
        <w:rPr>
          <w:i/>
          <w:iCs/>
        </w:rPr>
        <w:t>7</w:t>
      </w:r>
      <w:r>
        <w:t>(1), 63. https://doi.org/10.15533/sdm/2016/v7i1/90227</w:t>
      </w:r>
    </w:p>
    <w:p w14:paraId="233423CC" w14:textId="59FD7AA4" w:rsidR="002A68A9" w:rsidRDefault="002A68A9" w:rsidP="0040327B">
      <w:pPr>
        <w:pStyle w:val="NormalWeb"/>
        <w:spacing w:before="0" w:beforeAutospacing="0" w:after="0" w:afterAutospacing="0" w:line="480" w:lineRule="auto"/>
        <w:ind w:left="720" w:hanging="720"/>
        <w:jc w:val="both"/>
      </w:pPr>
      <w:r>
        <w:t xml:space="preserve">Bpp Learning Media. (2015). </w:t>
      </w:r>
      <w:r w:rsidR="00CF3B7E">
        <w:rPr>
          <w:i/>
          <w:iCs/>
        </w:rPr>
        <w:t>Finance:</w:t>
      </w:r>
      <w:r>
        <w:rPr>
          <w:i/>
          <w:iCs/>
        </w:rPr>
        <w:t xml:space="preserve"> management accounting and Financial reporting. Course book.</w:t>
      </w:r>
      <w:r>
        <w:t xml:space="preserve"> Bpp Learning Media.</w:t>
      </w:r>
    </w:p>
    <w:p w14:paraId="224DFDE6" w14:textId="569881F0" w:rsidR="002A68A9" w:rsidRDefault="002A68A9" w:rsidP="0040327B">
      <w:pPr>
        <w:pStyle w:val="NormalWeb"/>
        <w:spacing w:before="0" w:beforeAutospacing="0" w:after="0" w:afterAutospacing="0" w:line="480" w:lineRule="auto"/>
        <w:ind w:left="720" w:hanging="720"/>
        <w:jc w:val="both"/>
      </w:pPr>
      <w:r>
        <w:t xml:space="preserve">D, C., &amp; Dahlquist, J. R. (2016). </w:t>
      </w:r>
      <w:r>
        <w:rPr>
          <w:i/>
          <w:iCs/>
        </w:rPr>
        <w:t xml:space="preserve">Technical </w:t>
      </w:r>
      <w:r w:rsidR="00CF3B7E">
        <w:rPr>
          <w:i/>
          <w:iCs/>
        </w:rPr>
        <w:t>analysis:</w:t>
      </w:r>
      <w:r>
        <w:rPr>
          <w:i/>
          <w:iCs/>
        </w:rPr>
        <w:t xml:space="preserve"> the complete resource for financial market technicians</w:t>
      </w:r>
      <w:r>
        <w:t>. Pearson Education, Inc., United States.</w:t>
      </w:r>
    </w:p>
    <w:p w14:paraId="251225E7" w14:textId="77777777" w:rsidR="002A68A9" w:rsidRDefault="002A68A9" w:rsidP="0040327B">
      <w:pPr>
        <w:pStyle w:val="NormalWeb"/>
        <w:spacing w:before="0" w:beforeAutospacing="0" w:after="0" w:afterAutospacing="0" w:line="480" w:lineRule="auto"/>
        <w:ind w:left="720" w:hanging="720"/>
        <w:jc w:val="both"/>
      </w:pPr>
      <w:r>
        <w:t xml:space="preserve">Duchin, R., &amp; Sosyura, D. (2014). Safer ratios, riskier portfolios: Banks׳ response to government aid. </w:t>
      </w:r>
      <w:r>
        <w:rPr>
          <w:i/>
          <w:iCs/>
        </w:rPr>
        <w:t>Journal of Financial Economics</w:t>
      </w:r>
      <w:r>
        <w:t xml:space="preserve">, </w:t>
      </w:r>
      <w:r>
        <w:rPr>
          <w:i/>
          <w:iCs/>
        </w:rPr>
        <w:t>113</w:t>
      </w:r>
      <w:r>
        <w:t>(1), 1–28. https://doi.org/10.1016/j.jfineco.2014.03.005</w:t>
      </w:r>
    </w:p>
    <w:p w14:paraId="4444D9BC" w14:textId="1278E9CD" w:rsidR="002A68A9" w:rsidRDefault="002A68A9" w:rsidP="0040327B">
      <w:pPr>
        <w:pStyle w:val="NormalWeb"/>
        <w:spacing w:before="0" w:beforeAutospacing="0" w:after="0" w:afterAutospacing="0" w:line="480" w:lineRule="auto"/>
        <w:ind w:left="720" w:hanging="720"/>
        <w:jc w:val="both"/>
      </w:pPr>
      <w:r>
        <w:t xml:space="preserve">Fridson, M. S., &amp; Alvarez, F. (2011). </w:t>
      </w:r>
      <w:r>
        <w:rPr>
          <w:i/>
          <w:iCs/>
        </w:rPr>
        <w:t xml:space="preserve">Financial statement </w:t>
      </w:r>
      <w:r w:rsidR="00CF3B7E">
        <w:rPr>
          <w:i/>
          <w:iCs/>
        </w:rPr>
        <w:t>analysis:</w:t>
      </w:r>
      <w:r>
        <w:rPr>
          <w:i/>
          <w:iCs/>
        </w:rPr>
        <w:t xml:space="preserve"> a practitioner’s guide</w:t>
      </w:r>
      <w:r>
        <w:t>. Wiley.</w:t>
      </w:r>
    </w:p>
    <w:p w14:paraId="2061D615" w14:textId="06F7E998" w:rsidR="002A68A9" w:rsidRDefault="002A68A9" w:rsidP="0040327B">
      <w:pPr>
        <w:pStyle w:val="NormalWeb"/>
        <w:spacing w:before="0" w:beforeAutospacing="0" w:after="0" w:afterAutospacing="0" w:line="480" w:lineRule="auto"/>
        <w:ind w:left="720" w:hanging="720"/>
        <w:jc w:val="both"/>
      </w:pPr>
      <w:r>
        <w:t xml:space="preserve">Graybeal, M. (2019). </w:t>
      </w:r>
      <w:r>
        <w:rPr>
          <w:i/>
          <w:iCs/>
        </w:rPr>
        <w:t xml:space="preserve">Principles </w:t>
      </w:r>
      <w:r w:rsidR="00CF3B7E">
        <w:rPr>
          <w:i/>
          <w:iCs/>
        </w:rPr>
        <w:t>of</w:t>
      </w:r>
      <w:r>
        <w:rPr>
          <w:i/>
          <w:iCs/>
        </w:rPr>
        <w:t xml:space="preserve"> Accounting Volume 1 - </w:t>
      </w:r>
      <w:r w:rsidR="00CF3B7E">
        <w:rPr>
          <w:i/>
          <w:iCs/>
        </w:rPr>
        <w:t>Financial accounting</w:t>
      </w:r>
      <w:r>
        <w:rPr>
          <w:i/>
          <w:iCs/>
        </w:rPr>
        <w:t>.</w:t>
      </w:r>
      <w:r>
        <w:t xml:space="preserve"> 12Th Media Services.</w:t>
      </w:r>
    </w:p>
    <w:p w14:paraId="645E9814" w14:textId="77777777" w:rsidR="002A68A9" w:rsidRDefault="002A68A9" w:rsidP="0040327B">
      <w:pPr>
        <w:pStyle w:val="NormalWeb"/>
        <w:spacing w:before="0" w:beforeAutospacing="0" w:after="0" w:afterAutospacing="0" w:line="480" w:lineRule="auto"/>
        <w:ind w:left="720" w:hanging="720"/>
        <w:jc w:val="both"/>
      </w:pPr>
      <w:r>
        <w:t xml:space="preserve">Hasan Dinçer, &amp; Serhat Yuksel. (2019). </w:t>
      </w:r>
      <w:r>
        <w:rPr>
          <w:i/>
          <w:iCs/>
        </w:rPr>
        <w:t>Handbook of research on managerial thinking in global business economics</w:t>
      </w:r>
      <w:r>
        <w:t>. Igi Global.</w:t>
      </w:r>
    </w:p>
    <w:p w14:paraId="1BFD16CD" w14:textId="30953A98" w:rsidR="002A68A9" w:rsidRDefault="002A68A9" w:rsidP="0040327B">
      <w:pPr>
        <w:pStyle w:val="NormalWeb"/>
        <w:spacing w:before="0" w:beforeAutospacing="0" w:after="0" w:afterAutospacing="0" w:line="480" w:lineRule="auto"/>
        <w:ind w:left="720" w:hanging="720"/>
        <w:jc w:val="both"/>
      </w:pPr>
      <w:r>
        <w:t xml:space="preserve">Koller, T., Goedhart, M. H., Wessels, D., &amp; Mckinsey </w:t>
      </w:r>
      <w:r w:rsidR="00CF3B7E">
        <w:t>and</w:t>
      </w:r>
      <w:r>
        <w:t xml:space="preserve"> Company. (2020). </w:t>
      </w:r>
      <w:r w:rsidR="00CF3B7E">
        <w:rPr>
          <w:i/>
          <w:iCs/>
        </w:rPr>
        <w:t>Valuation:</w:t>
      </w:r>
      <w:r>
        <w:rPr>
          <w:i/>
          <w:iCs/>
        </w:rPr>
        <w:t xml:space="preserve"> measuring and managing the value of companies</w:t>
      </w:r>
      <w:r>
        <w:t>. John Wiley &amp; Sons, Inc.</w:t>
      </w:r>
    </w:p>
    <w:p w14:paraId="576080A7" w14:textId="77777777" w:rsidR="002A68A9" w:rsidRDefault="002A68A9" w:rsidP="0040327B">
      <w:pPr>
        <w:pStyle w:val="NormalWeb"/>
        <w:spacing w:before="0" w:beforeAutospacing="0" w:after="0" w:afterAutospacing="0" w:line="480" w:lineRule="auto"/>
        <w:ind w:left="720" w:hanging="720"/>
        <w:jc w:val="both"/>
      </w:pPr>
      <w:r>
        <w:rPr>
          <w:i/>
          <w:iCs/>
        </w:rPr>
        <w:lastRenderedPageBreak/>
        <w:t>Limitations of Ratio Analysis</w:t>
      </w:r>
      <w:r>
        <w:t>. (2018). Corporate Finance Institute. https://corporatefinanceinstitute.com/resources/knowledge/finance/limitations-ratio-analysis/.</w:t>
      </w:r>
    </w:p>
    <w:p w14:paraId="2C3459C4" w14:textId="77777777" w:rsidR="002A68A9" w:rsidRDefault="002A68A9" w:rsidP="0040327B">
      <w:pPr>
        <w:pStyle w:val="NormalWeb"/>
        <w:spacing w:before="0" w:beforeAutospacing="0" w:after="0" w:afterAutospacing="0" w:line="480" w:lineRule="auto"/>
        <w:ind w:left="720" w:hanging="720"/>
        <w:jc w:val="both"/>
      </w:pPr>
      <w:r>
        <w:t xml:space="preserve">Schlag, C., &amp; Zeng, K. (2019). Horizontal industry relationships and return predictability. </w:t>
      </w:r>
      <w:r>
        <w:rPr>
          <w:i/>
          <w:iCs/>
        </w:rPr>
        <w:t>Journal of Empirical Finance</w:t>
      </w:r>
      <w:r>
        <w:t xml:space="preserve">, </w:t>
      </w:r>
      <w:r>
        <w:rPr>
          <w:i/>
          <w:iCs/>
        </w:rPr>
        <w:t>53</w:t>
      </w:r>
      <w:r>
        <w:t>, 310–330. https://doi.org/10.1016/j.jempfin.2019.08.002</w:t>
      </w:r>
    </w:p>
    <w:p w14:paraId="6F647889" w14:textId="77777777" w:rsidR="002A68A9" w:rsidRDefault="002A68A9" w:rsidP="0040327B">
      <w:pPr>
        <w:pStyle w:val="NormalWeb"/>
        <w:spacing w:before="0" w:beforeAutospacing="0" w:after="0" w:afterAutospacing="0" w:line="480" w:lineRule="auto"/>
        <w:ind w:left="720" w:hanging="720"/>
        <w:jc w:val="both"/>
      </w:pPr>
      <w:r>
        <w:t xml:space="preserve">Shakatreh, M. (2021). The effect of liquidity ratios management on the profitability of industrial companies listed on the Amman Stock Exchange. </w:t>
      </w:r>
      <w:r>
        <w:rPr>
          <w:i/>
          <w:iCs/>
        </w:rPr>
        <w:t>Accounting</w:t>
      </w:r>
      <w:r>
        <w:t>, 1131–1138. https://doi.org/10.5267/j.ac.2021.2.026</w:t>
      </w:r>
    </w:p>
    <w:p w14:paraId="7C7112C8" w14:textId="77777777" w:rsidR="002A68A9" w:rsidRDefault="002A68A9" w:rsidP="0040327B">
      <w:pPr>
        <w:pStyle w:val="NormalWeb"/>
        <w:spacing w:before="0" w:beforeAutospacing="0" w:after="0" w:afterAutospacing="0" w:line="480" w:lineRule="auto"/>
        <w:ind w:left="720" w:hanging="720"/>
        <w:jc w:val="both"/>
      </w:pPr>
      <w:r>
        <w:t xml:space="preserve">Velez-Pareja, I. (2012). Financial Analysis and Control - Financial Ratio Analysis (Slides). </w:t>
      </w:r>
      <w:r>
        <w:rPr>
          <w:i/>
          <w:iCs/>
        </w:rPr>
        <w:t>SSRN Electronic Journal</w:t>
      </w:r>
      <w:r>
        <w:t>. https://doi.org/10.2139/ssrn.1638279</w:t>
      </w:r>
    </w:p>
    <w:p w14:paraId="6937EFD2" w14:textId="77777777" w:rsidR="00103319" w:rsidRPr="0066457E" w:rsidRDefault="00103319" w:rsidP="0040327B">
      <w:pPr>
        <w:jc w:val="both"/>
        <w:rPr>
          <w:rFonts w:ascii="Times New Roman" w:hAnsi="Times New Roman" w:cs="Times New Roman"/>
        </w:rPr>
      </w:pPr>
    </w:p>
    <w:sectPr w:rsidR="00103319" w:rsidRPr="0066457E"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BE02A7" w14:textId="77777777" w:rsidR="004A0906" w:rsidRDefault="004A0906" w:rsidP="008B42E4">
      <w:pPr>
        <w:spacing w:after="0" w:line="240" w:lineRule="auto"/>
      </w:pPr>
      <w:r>
        <w:separator/>
      </w:r>
    </w:p>
  </w:endnote>
  <w:endnote w:type="continuationSeparator" w:id="0">
    <w:p w14:paraId="67364317" w14:textId="77777777" w:rsidR="004A0906" w:rsidRDefault="004A0906" w:rsidP="008B4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40CDA1" w14:textId="77777777" w:rsidR="004A0906" w:rsidRDefault="004A0906" w:rsidP="008B42E4">
      <w:pPr>
        <w:spacing w:after="0" w:line="240" w:lineRule="auto"/>
      </w:pPr>
      <w:r>
        <w:separator/>
      </w:r>
    </w:p>
  </w:footnote>
  <w:footnote w:type="continuationSeparator" w:id="0">
    <w:p w14:paraId="3FB8A55C" w14:textId="77777777" w:rsidR="004A0906" w:rsidRDefault="004A0906" w:rsidP="008B42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03278"/>
    <w:rsid w:val="000412BA"/>
    <w:rsid w:val="0006348F"/>
    <w:rsid w:val="000836EB"/>
    <w:rsid w:val="00094594"/>
    <w:rsid w:val="000B1A7B"/>
    <w:rsid w:val="00103319"/>
    <w:rsid w:val="00115B96"/>
    <w:rsid w:val="00186972"/>
    <w:rsid w:val="001E2B92"/>
    <w:rsid w:val="00203775"/>
    <w:rsid w:val="002109A5"/>
    <w:rsid w:val="00225A5A"/>
    <w:rsid w:val="002746B4"/>
    <w:rsid w:val="002A68A9"/>
    <w:rsid w:val="002B28E6"/>
    <w:rsid w:val="002E3070"/>
    <w:rsid w:val="00306D1E"/>
    <w:rsid w:val="00324CCD"/>
    <w:rsid w:val="00346305"/>
    <w:rsid w:val="0034646F"/>
    <w:rsid w:val="003578A1"/>
    <w:rsid w:val="00367DAD"/>
    <w:rsid w:val="003C7FA6"/>
    <w:rsid w:val="003D35B4"/>
    <w:rsid w:val="003F5277"/>
    <w:rsid w:val="0040327B"/>
    <w:rsid w:val="00421258"/>
    <w:rsid w:val="00472027"/>
    <w:rsid w:val="00472BBD"/>
    <w:rsid w:val="00497A56"/>
    <w:rsid w:val="004A0906"/>
    <w:rsid w:val="004A11F6"/>
    <w:rsid w:val="004C2845"/>
    <w:rsid w:val="004C5C0F"/>
    <w:rsid w:val="004D519C"/>
    <w:rsid w:val="00507C00"/>
    <w:rsid w:val="00527D89"/>
    <w:rsid w:val="0054324F"/>
    <w:rsid w:val="00550450"/>
    <w:rsid w:val="005670AC"/>
    <w:rsid w:val="00594595"/>
    <w:rsid w:val="005C16C9"/>
    <w:rsid w:val="005C329C"/>
    <w:rsid w:val="005D3788"/>
    <w:rsid w:val="005E711B"/>
    <w:rsid w:val="00602D3D"/>
    <w:rsid w:val="0062783F"/>
    <w:rsid w:val="0066457E"/>
    <w:rsid w:val="006818F8"/>
    <w:rsid w:val="006E6BFC"/>
    <w:rsid w:val="006E7C50"/>
    <w:rsid w:val="0071283A"/>
    <w:rsid w:val="007A2FEC"/>
    <w:rsid w:val="007A5217"/>
    <w:rsid w:val="007D1947"/>
    <w:rsid w:val="007D4B90"/>
    <w:rsid w:val="007E191C"/>
    <w:rsid w:val="00811564"/>
    <w:rsid w:val="008201F4"/>
    <w:rsid w:val="0082691F"/>
    <w:rsid w:val="00831B7F"/>
    <w:rsid w:val="008504E8"/>
    <w:rsid w:val="008517F7"/>
    <w:rsid w:val="008570C1"/>
    <w:rsid w:val="00880773"/>
    <w:rsid w:val="008B42E4"/>
    <w:rsid w:val="008E08E9"/>
    <w:rsid w:val="009333BA"/>
    <w:rsid w:val="00954FB6"/>
    <w:rsid w:val="00956E91"/>
    <w:rsid w:val="009668AA"/>
    <w:rsid w:val="009726AA"/>
    <w:rsid w:val="009728FA"/>
    <w:rsid w:val="009779C2"/>
    <w:rsid w:val="0099024D"/>
    <w:rsid w:val="009A10B6"/>
    <w:rsid w:val="009A62ED"/>
    <w:rsid w:val="009C1CE2"/>
    <w:rsid w:val="00A63B3B"/>
    <w:rsid w:val="00A7490A"/>
    <w:rsid w:val="00A856BC"/>
    <w:rsid w:val="00AA2A91"/>
    <w:rsid w:val="00AA7063"/>
    <w:rsid w:val="00AD2E95"/>
    <w:rsid w:val="00B10CD7"/>
    <w:rsid w:val="00B43B8F"/>
    <w:rsid w:val="00B50625"/>
    <w:rsid w:val="00B617A1"/>
    <w:rsid w:val="00B6658D"/>
    <w:rsid w:val="00B7641E"/>
    <w:rsid w:val="00BF2318"/>
    <w:rsid w:val="00C170EB"/>
    <w:rsid w:val="00C22981"/>
    <w:rsid w:val="00C45334"/>
    <w:rsid w:val="00C71FB5"/>
    <w:rsid w:val="00CA09F3"/>
    <w:rsid w:val="00CC2C33"/>
    <w:rsid w:val="00CE1D98"/>
    <w:rsid w:val="00CF3B7E"/>
    <w:rsid w:val="00D15D1F"/>
    <w:rsid w:val="00D26BB7"/>
    <w:rsid w:val="00D665D8"/>
    <w:rsid w:val="00D67BCD"/>
    <w:rsid w:val="00D854A5"/>
    <w:rsid w:val="00DB6A70"/>
    <w:rsid w:val="00DC3FBD"/>
    <w:rsid w:val="00DD567C"/>
    <w:rsid w:val="00E110B2"/>
    <w:rsid w:val="00E6570C"/>
    <w:rsid w:val="00F77A15"/>
    <w:rsid w:val="00F9075D"/>
    <w:rsid w:val="00FE0B56"/>
    <w:rsid w:val="00FE10A0"/>
    <w:rsid w:val="00FF6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29A22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lu1">
    <w:name w:val="heading 1"/>
    <w:basedOn w:val="Normal"/>
    <w:next w:val="Normal"/>
    <w:link w:val="Titlu1Caracte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lu2">
    <w:name w:val="heading 2"/>
    <w:basedOn w:val="Normal"/>
    <w:next w:val="Normal"/>
    <w:link w:val="Titlu2Caracte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7D1947"/>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7D1947"/>
    <w:rPr>
      <w:rFonts w:eastAsiaTheme="minorEastAsia"/>
      <w:lang w:val="en-US"/>
    </w:rPr>
  </w:style>
  <w:style w:type="character" w:customStyle="1" w:styleId="Titlu1Caracter">
    <w:name w:val="Titlu 1 Caracter"/>
    <w:basedOn w:val="Fontdeparagrafimplicit"/>
    <w:link w:val="Titlu1"/>
    <w:uiPriority w:val="9"/>
    <w:rsid w:val="007D1947"/>
    <w:rPr>
      <w:rFonts w:asciiTheme="majorHAnsi" w:eastAsiaTheme="majorEastAsia" w:hAnsiTheme="majorHAnsi" w:cstheme="majorBidi"/>
      <w:color w:val="2E74B5" w:themeColor="accent1" w:themeShade="BF"/>
      <w:sz w:val="32"/>
      <w:szCs w:val="32"/>
    </w:rPr>
  </w:style>
  <w:style w:type="paragraph" w:styleId="Titlucuprins">
    <w:name w:val="TOC Heading"/>
    <w:basedOn w:val="Titlu1"/>
    <w:next w:val="Normal"/>
    <w:uiPriority w:val="39"/>
    <w:unhideWhenUsed/>
    <w:qFormat/>
    <w:rsid w:val="007D1947"/>
    <w:pPr>
      <w:outlineLvl w:val="9"/>
    </w:pPr>
    <w:rPr>
      <w:lang w:val="en-US"/>
    </w:rPr>
  </w:style>
  <w:style w:type="paragraph" w:styleId="Cuprins1">
    <w:name w:val="toc 1"/>
    <w:basedOn w:val="Normal"/>
    <w:next w:val="Normal"/>
    <w:autoRedefine/>
    <w:uiPriority w:val="39"/>
    <w:unhideWhenUsed/>
    <w:rsid w:val="007D1947"/>
    <w:pPr>
      <w:spacing w:after="100"/>
    </w:pPr>
  </w:style>
  <w:style w:type="character" w:styleId="Hyperlink">
    <w:name w:val="Hyperlink"/>
    <w:basedOn w:val="Fontdeparagrafimplicit"/>
    <w:uiPriority w:val="99"/>
    <w:unhideWhenUsed/>
    <w:rsid w:val="007D1947"/>
    <w:rPr>
      <w:color w:val="0563C1" w:themeColor="hyperlink"/>
      <w:u w:val="single"/>
    </w:rPr>
  </w:style>
  <w:style w:type="character" w:customStyle="1" w:styleId="Titlu2Caracter">
    <w:name w:val="Titlu 2 Caracter"/>
    <w:basedOn w:val="Fontdeparagrafimplicit"/>
    <w:link w:val="Titlu2"/>
    <w:uiPriority w:val="9"/>
    <w:rsid w:val="004D519C"/>
    <w:rPr>
      <w:rFonts w:asciiTheme="majorHAnsi" w:eastAsiaTheme="majorEastAsia" w:hAnsiTheme="majorHAnsi" w:cstheme="majorBidi"/>
      <w:color w:val="2E74B5" w:themeColor="accent1" w:themeShade="BF"/>
      <w:sz w:val="26"/>
      <w:szCs w:val="26"/>
    </w:rPr>
  </w:style>
  <w:style w:type="paragraph" w:styleId="Cuprins2">
    <w:name w:val="toc 2"/>
    <w:basedOn w:val="Normal"/>
    <w:next w:val="Normal"/>
    <w:autoRedefine/>
    <w:uiPriority w:val="39"/>
    <w:unhideWhenUsed/>
    <w:rsid w:val="00115B96"/>
    <w:pPr>
      <w:spacing w:after="100"/>
      <w:ind w:left="220"/>
    </w:pPr>
  </w:style>
  <w:style w:type="paragraph" w:styleId="Listparagraf">
    <w:name w:val="List Paragraph"/>
    <w:basedOn w:val="Normal"/>
    <w:uiPriority w:val="34"/>
    <w:qFormat/>
    <w:rsid w:val="009C1CE2"/>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2A68A9"/>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Antet">
    <w:name w:val="header"/>
    <w:basedOn w:val="Normal"/>
    <w:link w:val="AntetCaracter"/>
    <w:unhideWhenUsed/>
    <w:rsid w:val="008B42E4"/>
    <w:pPr>
      <w:tabs>
        <w:tab w:val="center" w:pos="4680"/>
        <w:tab w:val="right" w:pos="9360"/>
      </w:tabs>
      <w:spacing w:after="0" w:line="240" w:lineRule="auto"/>
    </w:pPr>
  </w:style>
  <w:style w:type="character" w:customStyle="1" w:styleId="AntetCaracter">
    <w:name w:val="Antet Caracter"/>
    <w:basedOn w:val="Fontdeparagrafimplicit"/>
    <w:link w:val="Antet"/>
    <w:rsid w:val="008B42E4"/>
  </w:style>
  <w:style w:type="paragraph" w:styleId="Subsol">
    <w:name w:val="footer"/>
    <w:basedOn w:val="Normal"/>
    <w:link w:val="SubsolCaracter"/>
    <w:uiPriority w:val="99"/>
    <w:unhideWhenUsed/>
    <w:rsid w:val="008B42E4"/>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8B42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598036">
      <w:bodyDiv w:val="1"/>
      <w:marLeft w:val="0"/>
      <w:marRight w:val="0"/>
      <w:marTop w:val="0"/>
      <w:marBottom w:val="0"/>
      <w:divBdr>
        <w:top w:val="none" w:sz="0" w:space="0" w:color="auto"/>
        <w:left w:val="none" w:sz="0" w:space="0" w:color="auto"/>
        <w:bottom w:val="none" w:sz="0" w:space="0" w:color="auto"/>
        <w:right w:val="none" w:sz="0" w:space="0" w:color="auto"/>
      </w:divBdr>
    </w:div>
    <w:div w:id="82919846">
      <w:bodyDiv w:val="1"/>
      <w:marLeft w:val="0"/>
      <w:marRight w:val="0"/>
      <w:marTop w:val="0"/>
      <w:marBottom w:val="0"/>
      <w:divBdr>
        <w:top w:val="none" w:sz="0" w:space="0" w:color="auto"/>
        <w:left w:val="none" w:sz="0" w:space="0" w:color="auto"/>
        <w:bottom w:val="none" w:sz="0" w:space="0" w:color="auto"/>
        <w:right w:val="none" w:sz="0" w:space="0" w:color="auto"/>
      </w:divBdr>
    </w:div>
    <w:div w:id="127937802">
      <w:bodyDiv w:val="1"/>
      <w:marLeft w:val="0"/>
      <w:marRight w:val="0"/>
      <w:marTop w:val="0"/>
      <w:marBottom w:val="0"/>
      <w:divBdr>
        <w:top w:val="none" w:sz="0" w:space="0" w:color="auto"/>
        <w:left w:val="none" w:sz="0" w:space="0" w:color="auto"/>
        <w:bottom w:val="none" w:sz="0" w:space="0" w:color="auto"/>
        <w:right w:val="none" w:sz="0" w:space="0" w:color="auto"/>
      </w:divBdr>
    </w:div>
    <w:div w:id="264118708">
      <w:bodyDiv w:val="1"/>
      <w:marLeft w:val="0"/>
      <w:marRight w:val="0"/>
      <w:marTop w:val="0"/>
      <w:marBottom w:val="0"/>
      <w:divBdr>
        <w:top w:val="none" w:sz="0" w:space="0" w:color="auto"/>
        <w:left w:val="none" w:sz="0" w:space="0" w:color="auto"/>
        <w:bottom w:val="none" w:sz="0" w:space="0" w:color="auto"/>
        <w:right w:val="none" w:sz="0" w:space="0" w:color="auto"/>
      </w:divBdr>
    </w:div>
    <w:div w:id="435635433">
      <w:bodyDiv w:val="1"/>
      <w:marLeft w:val="0"/>
      <w:marRight w:val="0"/>
      <w:marTop w:val="0"/>
      <w:marBottom w:val="0"/>
      <w:divBdr>
        <w:top w:val="none" w:sz="0" w:space="0" w:color="auto"/>
        <w:left w:val="none" w:sz="0" w:space="0" w:color="auto"/>
        <w:bottom w:val="none" w:sz="0" w:space="0" w:color="auto"/>
        <w:right w:val="none" w:sz="0" w:space="0" w:color="auto"/>
      </w:divBdr>
      <w:divsChild>
        <w:div w:id="127018654">
          <w:marLeft w:val="0"/>
          <w:marRight w:val="0"/>
          <w:marTop w:val="0"/>
          <w:marBottom w:val="0"/>
          <w:divBdr>
            <w:top w:val="none" w:sz="0" w:space="0" w:color="auto"/>
            <w:left w:val="none" w:sz="0" w:space="0" w:color="auto"/>
            <w:bottom w:val="none" w:sz="0" w:space="0" w:color="auto"/>
            <w:right w:val="none" w:sz="0" w:space="0" w:color="auto"/>
          </w:divBdr>
        </w:div>
      </w:divsChild>
    </w:div>
    <w:div w:id="466512890">
      <w:bodyDiv w:val="1"/>
      <w:marLeft w:val="0"/>
      <w:marRight w:val="0"/>
      <w:marTop w:val="0"/>
      <w:marBottom w:val="0"/>
      <w:divBdr>
        <w:top w:val="none" w:sz="0" w:space="0" w:color="auto"/>
        <w:left w:val="none" w:sz="0" w:space="0" w:color="auto"/>
        <w:bottom w:val="none" w:sz="0" w:space="0" w:color="auto"/>
        <w:right w:val="none" w:sz="0" w:space="0" w:color="auto"/>
      </w:divBdr>
      <w:divsChild>
        <w:div w:id="1162625203">
          <w:marLeft w:val="0"/>
          <w:marRight w:val="0"/>
          <w:marTop w:val="0"/>
          <w:marBottom w:val="0"/>
          <w:divBdr>
            <w:top w:val="none" w:sz="0" w:space="0" w:color="auto"/>
            <w:left w:val="none" w:sz="0" w:space="0" w:color="auto"/>
            <w:bottom w:val="none" w:sz="0" w:space="0" w:color="auto"/>
            <w:right w:val="none" w:sz="0" w:space="0" w:color="auto"/>
          </w:divBdr>
        </w:div>
      </w:divsChild>
    </w:div>
    <w:div w:id="625816689">
      <w:bodyDiv w:val="1"/>
      <w:marLeft w:val="0"/>
      <w:marRight w:val="0"/>
      <w:marTop w:val="0"/>
      <w:marBottom w:val="0"/>
      <w:divBdr>
        <w:top w:val="none" w:sz="0" w:space="0" w:color="auto"/>
        <w:left w:val="none" w:sz="0" w:space="0" w:color="auto"/>
        <w:bottom w:val="none" w:sz="0" w:space="0" w:color="auto"/>
        <w:right w:val="none" w:sz="0" w:space="0" w:color="auto"/>
      </w:divBdr>
    </w:div>
    <w:div w:id="897207440">
      <w:bodyDiv w:val="1"/>
      <w:marLeft w:val="0"/>
      <w:marRight w:val="0"/>
      <w:marTop w:val="0"/>
      <w:marBottom w:val="0"/>
      <w:divBdr>
        <w:top w:val="none" w:sz="0" w:space="0" w:color="auto"/>
        <w:left w:val="none" w:sz="0" w:space="0" w:color="auto"/>
        <w:bottom w:val="none" w:sz="0" w:space="0" w:color="auto"/>
        <w:right w:val="none" w:sz="0" w:space="0" w:color="auto"/>
      </w:divBdr>
    </w:div>
    <w:div w:id="1039165265">
      <w:bodyDiv w:val="1"/>
      <w:marLeft w:val="0"/>
      <w:marRight w:val="0"/>
      <w:marTop w:val="0"/>
      <w:marBottom w:val="0"/>
      <w:divBdr>
        <w:top w:val="none" w:sz="0" w:space="0" w:color="auto"/>
        <w:left w:val="none" w:sz="0" w:space="0" w:color="auto"/>
        <w:bottom w:val="none" w:sz="0" w:space="0" w:color="auto"/>
        <w:right w:val="none" w:sz="0" w:space="0" w:color="auto"/>
      </w:divBdr>
    </w:div>
    <w:div w:id="1439595320">
      <w:bodyDiv w:val="1"/>
      <w:marLeft w:val="0"/>
      <w:marRight w:val="0"/>
      <w:marTop w:val="0"/>
      <w:marBottom w:val="0"/>
      <w:divBdr>
        <w:top w:val="none" w:sz="0" w:space="0" w:color="auto"/>
        <w:left w:val="none" w:sz="0" w:space="0" w:color="auto"/>
        <w:bottom w:val="none" w:sz="0" w:space="0" w:color="auto"/>
        <w:right w:val="none" w:sz="0" w:space="0" w:color="auto"/>
      </w:divBdr>
    </w:div>
    <w:div w:id="1488862514">
      <w:bodyDiv w:val="1"/>
      <w:marLeft w:val="0"/>
      <w:marRight w:val="0"/>
      <w:marTop w:val="0"/>
      <w:marBottom w:val="0"/>
      <w:divBdr>
        <w:top w:val="none" w:sz="0" w:space="0" w:color="auto"/>
        <w:left w:val="none" w:sz="0" w:space="0" w:color="auto"/>
        <w:bottom w:val="none" w:sz="0" w:space="0" w:color="auto"/>
        <w:right w:val="none" w:sz="0" w:space="0" w:color="auto"/>
      </w:divBdr>
    </w:div>
    <w:div w:id="1727990448">
      <w:bodyDiv w:val="1"/>
      <w:marLeft w:val="0"/>
      <w:marRight w:val="0"/>
      <w:marTop w:val="0"/>
      <w:marBottom w:val="0"/>
      <w:divBdr>
        <w:top w:val="none" w:sz="0" w:space="0" w:color="auto"/>
        <w:left w:val="none" w:sz="0" w:space="0" w:color="auto"/>
        <w:bottom w:val="none" w:sz="0" w:space="0" w:color="auto"/>
        <w:right w:val="none" w:sz="0" w:space="0" w:color="auto"/>
      </w:divBdr>
    </w:div>
    <w:div w:id="1911381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B878C3-F873-43E0-9469-113E682DAF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3879</Words>
  <Characters>22111</Characters>
  <Application>Microsoft Office Word</Application>
  <DocSecurity>0</DocSecurity>
  <Lines>184</Lines>
  <Paragraphs>51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25939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2022-05-22T08:54:00Z</dcterms:created>
  <dcterms:modified xsi:type="dcterms:W3CDTF">2022-05-30T05:56:00Z</dcterms:modified>
</cp:coreProperties>
</file>