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937237" w14:textId="77777777" w:rsidR="00B4629B" w:rsidRPr="00FA1AF6" w:rsidRDefault="00B4629B" w:rsidP="00B4629B">
      <w:pPr>
        <w:tabs>
          <w:tab w:val="left" w:pos="3168"/>
        </w:tabs>
        <w:jc w:val="center"/>
        <w:rPr>
          <w:rFonts w:cs="Arial"/>
          <w:szCs w:val="24"/>
        </w:rPr>
      </w:pPr>
      <w:r w:rsidRPr="00FA1AF6">
        <w:rPr>
          <w:rFonts w:cs="Arial"/>
          <w:noProof/>
          <w:szCs w:val="24"/>
        </w:rPr>
        <w:drawing>
          <wp:inline distT="0" distB="0" distL="0" distR="0" wp14:anchorId="52F19096" wp14:editId="1844A59C">
            <wp:extent cx="4122420" cy="1367269"/>
            <wp:effectExtent l="0" t="0" r="0" b="4445"/>
            <wp:docPr id="999443460" name="Picture 99944346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0069" cy="1373122"/>
                    </a:xfrm>
                    <a:prstGeom prst="rect">
                      <a:avLst/>
                    </a:prstGeom>
                    <a:noFill/>
                  </pic:spPr>
                </pic:pic>
              </a:graphicData>
            </a:graphic>
          </wp:inline>
        </w:drawing>
      </w:r>
    </w:p>
    <w:p w14:paraId="19917CCD" w14:textId="77777777" w:rsidR="00B4629B" w:rsidRDefault="00B4629B" w:rsidP="00B4629B">
      <w:pPr>
        <w:jc w:val="center"/>
        <w:rPr>
          <w:rFonts w:cs="Arial"/>
          <w:b/>
          <w:bCs/>
          <w:szCs w:val="24"/>
        </w:rPr>
      </w:pPr>
      <w:r w:rsidRPr="00FA1AF6">
        <w:rPr>
          <w:rFonts w:cs="Arial"/>
          <w:b/>
          <w:bCs/>
          <w:szCs w:val="24"/>
        </w:rPr>
        <w:t>BA (Hons) Business Management</w:t>
      </w:r>
    </w:p>
    <w:p w14:paraId="7D6D8F9F" w14:textId="77777777" w:rsidR="00B4629B" w:rsidRDefault="00B4629B" w:rsidP="00B4629B">
      <w:pPr>
        <w:jc w:val="center"/>
        <w:rPr>
          <w:rFonts w:cs="Arial"/>
          <w:b/>
          <w:bCs/>
          <w:szCs w:val="24"/>
        </w:rPr>
      </w:pPr>
      <w:r w:rsidRPr="00202D53">
        <w:rPr>
          <w:rFonts w:cs="Arial"/>
          <w:b/>
          <w:bCs/>
          <w:szCs w:val="24"/>
        </w:rPr>
        <w:t>Principles of Human Resource Management</w:t>
      </w:r>
      <w:r>
        <w:rPr>
          <w:rFonts w:cs="Arial"/>
          <w:b/>
          <w:bCs/>
          <w:szCs w:val="24"/>
        </w:rPr>
        <w:t xml:space="preserve"> (</w:t>
      </w:r>
      <w:r w:rsidRPr="001C4001">
        <w:rPr>
          <w:rFonts w:cs="Arial"/>
          <w:b/>
          <w:bCs/>
          <w:szCs w:val="24"/>
        </w:rPr>
        <w:t>LCBB5012</w:t>
      </w:r>
      <w:r>
        <w:rPr>
          <w:rFonts w:cs="Arial"/>
          <w:b/>
          <w:bCs/>
          <w:szCs w:val="24"/>
        </w:rPr>
        <w:t>)</w:t>
      </w:r>
    </w:p>
    <w:p w14:paraId="2E5AC846" w14:textId="4EB94AC8" w:rsidR="00B4629B" w:rsidRDefault="00B4629B" w:rsidP="00B4629B">
      <w:pPr>
        <w:jc w:val="center"/>
        <w:rPr>
          <w:rFonts w:cs="Arial"/>
          <w:b/>
          <w:bCs/>
          <w:szCs w:val="24"/>
        </w:rPr>
      </w:pPr>
      <w:r w:rsidRPr="00B4629B">
        <w:rPr>
          <w:rFonts w:cs="Arial"/>
          <w:b/>
          <w:bCs/>
          <w:szCs w:val="24"/>
        </w:rPr>
        <w:t>An Analysis of How Internal and External Environmental Forces Shape Human Resource Practices in Global Organisations: The Case of 3M</w:t>
      </w:r>
    </w:p>
    <w:p w14:paraId="22882B3D" w14:textId="77777777" w:rsidR="00B4629B" w:rsidRDefault="00B4629B" w:rsidP="00B4629B">
      <w:pPr>
        <w:rPr>
          <w:rFonts w:cs="Arial"/>
          <w:b/>
          <w:bCs/>
          <w:szCs w:val="24"/>
        </w:rPr>
      </w:pPr>
    </w:p>
    <w:p w14:paraId="5CEF8D6A" w14:textId="77777777" w:rsidR="00B4629B" w:rsidRDefault="00B4629B" w:rsidP="00B4629B">
      <w:pPr>
        <w:rPr>
          <w:rFonts w:cs="Arial"/>
          <w:b/>
          <w:bCs/>
          <w:szCs w:val="24"/>
        </w:rPr>
      </w:pPr>
    </w:p>
    <w:p w14:paraId="6D10F592" w14:textId="77777777" w:rsidR="00B4629B" w:rsidRDefault="00B4629B" w:rsidP="00B4629B">
      <w:pPr>
        <w:rPr>
          <w:rFonts w:cs="Arial"/>
          <w:b/>
          <w:bCs/>
          <w:szCs w:val="24"/>
        </w:rPr>
      </w:pPr>
    </w:p>
    <w:p w14:paraId="5D299ABA" w14:textId="77777777" w:rsidR="00B4629B" w:rsidRDefault="00B4629B" w:rsidP="00B4629B">
      <w:pPr>
        <w:rPr>
          <w:rFonts w:cs="Arial"/>
          <w:b/>
          <w:bCs/>
          <w:szCs w:val="24"/>
        </w:rPr>
      </w:pPr>
    </w:p>
    <w:p w14:paraId="3EA9C89E" w14:textId="77777777" w:rsidR="00B4629B" w:rsidRPr="00FA1AF6" w:rsidRDefault="00B4629B" w:rsidP="00B4629B">
      <w:pPr>
        <w:rPr>
          <w:rFonts w:cs="Arial"/>
          <w:b/>
          <w:bCs/>
          <w:szCs w:val="24"/>
        </w:rPr>
      </w:pPr>
    </w:p>
    <w:p w14:paraId="12822281" w14:textId="77777777" w:rsidR="00B4629B" w:rsidRDefault="00B4629B" w:rsidP="00B4629B">
      <w:pPr>
        <w:rPr>
          <w:rFonts w:cs="Arial"/>
          <w:b/>
          <w:bCs/>
          <w:szCs w:val="24"/>
        </w:rPr>
      </w:pPr>
    </w:p>
    <w:p w14:paraId="25725ED2" w14:textId="77777777" w:rsidR="00B4629B" w:rsidRDefault="00B4629B" w:rsidP="00B4629B">
      <w:pPr>
        <w:rPr>
          <w:rFonts w:cs="Arial"/>
          <w:b/>
          <w:bCs/>
          <w:szCs w:val="24"/>
        </w:rPr>
      </w:pPr>
      <w:r w:rsidRPr="00FA1AF6">
        <w:rPr>
          <w:rFonts w:cs="Arial"/>
          <w:b/>
          <w:bCs/>
          <w:szCs w:val="24"/>
        </w:rPr>
        <w:t>Student Name:</w:t>
      </w:r>
      <w:r>
        <w:rPr>
          <w:rFonts w:cs="Arial"/>
          <w:b/>
          <w:bCs/>
          <w:szCs w:val="24"/>
        </w:rPr>
        <w:t xml:space="preserve"> </w:t>
      </w:r>
      <w:r w:rsidRPr="002F563B">
        <w:rPr>
          <w:rFonts w:cs="Arial"/>
          <w:szCs w:val="24"/>
        </w:rPr>
        <w:t>Carmen Antal-Berbecaru</w:t>
      </w:r>
    </w:p>
    <w:p w14:paraId="2FAC5B5B" w14:textId="77777777" w:rsidR="00B4629B" w:rsidRPr="00FA1AF6" w:rsidRDefault="00B4629B" w:rsidP="00B4629B">
      <w:pPr>
        <w:rPr>
          <w:rFonts w:cs="Arial"/>
          <w:b/>
          <w:bCs/>
          <w:szCs w:val="24"/>
        </w:rPr>
      </w:pPr>
      <w:r w:rsidRPr="00FA1AF6">
        <w:rPr>
          <w:rFonts w:cs="Arial"/>
          <w:b/>
          <w:bCs/>
          <w:szCs w:val="24"/>
        </w:rPr>
        <w:t>Student Number:</w:t>
      </w:r>
      <w:r>
        <w:rPr>
          <w:rFonts w:cs="Arial"/>
          <w:b/>
          <w:bCs/>
          <w:szCs w:val="24"/>
        </w:rPr>
        <w:t xml:space="preserve"> </w:t>
      </w:r>
      <w:r>
        <w:rPr>
          <w:rFonts w:cs="Arial"/>
          <w:szCs w:val="24"/>
        </w:rPr>
        <w:t>2242917</w:t>
      </w:r>
    </w:p>
    <w:p w14:paraId="02398D53" w14:textId="77777777" w:rsidR="00B4629B" w:rsidRPr="00903F51" w:rsidRDefault="00B4629B" w:rsidP="00B4629B">
      <w:pPr>
        <w:rPr>
          <w:rFonts w:cs="Arial"/>
          <w:szCs w:val="24"/>
        </w:rPr>
      </w:pPr>
      <w:r w:rsidRPr="00FA1AF6">
        <w:rPr>
          <w:rFonts w:cs="Arial"/>
          <w:b/>
          <w:bCs/>
          <w:szCs w:val="24"/>
        </w:rPr>
        <w:t xml:space="preserve">Lecturer Name: </w:t>
      </w:r>
      <w:r>
        <w:rPr>
          <w:rFonts w:cs="Arial"/>
          <w:szCs w:val="24"/>
        </w:rPr>
        <w:t xml:space="preserve">Dr </w:t>
      </w:r>
      <w:r w:rsidRPr="001C4001">
        <w:rPr>
          <w:rFonts w:cs="Arial"/>
          <w:szCs w:val="24"/>
        </w:rPr>
        <w:t>Ramases Manalang</w:t>
      </w:r>
    </w:p>
    <w:p w14:paraId="74EF65C4" w14:textId="77777777" w:rsidR="00B4629B" w:rsidRDefault="00B4629B" w:rsidP="00B4629B">
      <w:pPr>
        <w:rPr>
          <w:rFonts w:cs="Arial"/>
          <w:b/>
          <w:bCs/>
          <w:szCs w:val="24"/>
        </w:rPr>
      </w:pPr>
    </w:p>
    <w:p w14:paraId="1F200E63" w14:textId="77777777" w:rsidR="00B4629B" w:rsidRDefault="00B4629B" w:rsidP="00B4629B">
      <w:pPr>
        <w:rPr>
          <w:rFonts w:cs="Arial"/>
          <w:b/>
          <w:bCs/>
          <w:szCs w:val="24"/>
        </w:rPr>
      </w:pPr>
    </w:p>
    <w:p w14:paraId="2BD4B206" w14:textId="77777777" w:rsidR="00B4629B" w:rsidRDefault="00B4629B" w:rsidP="00B4629B">
      <w:pPr>
        <w:rPr>
          <w:rFonts w:cs="Arial"/>
          <w:b/>
          <w:bCs/>
          <w:szCs w:val="24"/>
        </w:rPr>
      </w:pPr>
    </w:p>
    <w:p w14:paraId="19BE63A7" w14:textId="77777777" w:rsidR="00B4629B" w:rsidRDefault="00B4629B" w:rsidP="00B4629B">
      <w:pPr>
        <w:rPr>
          <w:rFonts w:cs="Arial"/>
          <w:b/>
          <w:bCs/>
          <w:szCs w:val="24"/>
        </w:rPr>
      </w:pPr>
    </w:p>
    <w:p w14:paraId="3801BE7B" w14:textId="77777777" w:rsidR="00B4629B" w:rsidRDefault="00B4629B" w:rsidP="00B4629B">
      <w:pPr>
        <w:rPr>
          <w:rFonts w:cs="Arial"/>
          <w:b/>
          <w:bCs/>
          <w:szCs w:val="24"/>
        </w:rPr>
      </w:pPr>
    </w:p>
    <w:p w14:paraId="35F55318" w14:textId="77777777" w:rsidR="00B4629B" w:rsidRDefault="00B4629B" w:rsidP="00B4629B">
      <w:pPr>
        <w:rPr>
          <w:rFonts w:cs="Arial"/>
          <w:b/>
          <w:bCs/>
          <w:szCs w:val="24"/>
        </w:rPr>
      </w:pPr>
    </w:p>
    <w:p w14:paraId="1F819477" w14:textId="77777777" w:rsidR="00B4629B" w:rsidRDefault="00B4629B" w:rsidP="00B4629B">
      <w:pPr>
        <w:rPr>
          <w:rFonts w:cs="Arial"/>
          <w:b/>
          <w:bCs/>
          <w:szCs w:val="24"/>
        </w:rPr>
      </w:pPr>
    </w:p>
    <w:p w14:paraId="49295D6A" w14:textId="036A2917" w:rsidR="00DD6039" w:rsidRDefault="00B4629B" w:rsidP="00B4629B">
      <w:pPr>
        <w:jc w:val="center"/>
        <w:rPr>
          <w:rFonts w:cs="Arial"/>
          <w:szCs w:val="24"/>
        </w:rPr>
      </w:pPr>
      <w:r w:rsidRPr="00FA1AF6">
        <w:rPr>
          <w:rFonts w:cs="Arial"/>
          <w:b/>
          <w:bCs/>
          <w:szCs w:val="24"/>
        </w:rPr>
        <w:t>Session</w:t>
      </w:r>
      <w:r w:rsidRPr="00FA1AF6">
        <w:rPr>
          <w:rFonts w:cs="Arial"/>
          <w:szCs w:val="24"/>
        </w:rPr>
        <w:t xml:space="preserve">: </w:t>
      </w:r>
      <w:r>
        <w:rPr>
          <w:rFonts w:cs="Arial"/>
          <w:szCs w:val="24"/>
        </w:rPr>
        <w:t>February</w:t>
      </w:r>
      <w:r w:rsidRPr="00FA1AF6">
        <w:rPr>
          <w:rFonts w:cs="Arial"/>
          <w:szCs w:val="24"/>
        </w:rPr>
        <w:t xml:space="preserve"> 202</w:t>
      </w:r>
      <w:r>
        <w:rPr>
          <w:rFonts w:cs="Arial"/>
          <w:szCs w:val="24"/>
        </w:rPr>
        <w:t>6</w:t>
      </w:r>
      <w:r w:rsidRPr="00FA1AF6">
        <w:rPr>
          <w:rFonts w:cs="Arial"/>
          <w:szCs w:val="24"/>
        </w:rPr>
        <w:t xml:space="preserve"> Term</w:t>
      </w:r>
      <w:r>
        <w:rPr>
          <w:rFonts w:cs="Arial"/>
          <w:szCs w:val="24"/>
        </w:rPr>
        <w:t xml:space="preserve"> 3</w:t>
      </w:r>
    </w:p>
    <w:p w14:paraId="1AB70ECE" w14:textId="77777777" w:rsidR="00DD6039" w:rsidRDefault="00DD6039">
      <w:pPr>
        <w:spacing w:after="0"/>
        <w:rPr>
          <w:rFonts w:cs="Arial"/>
          <w:szCs w:val="24"/>
        </w:rPr>
      </w:pPr>
      <w:r>
        <w:rPr>
          <w:rFonts w:cs="Arial"/>
          <w:szCs w:val="24"/>
        </w:rPr>
        <w:br w:type="page"/>
      </w:r>
    </w:p>
    <w:sdt>
      <w:sdtPr>
        <w:rPr>
          <w:rFonts w:ascii="Arial" w:eastAsia="Times New Roman" w:hAnsi="Arial" w:cstheme="minorBidi"/>
          <w:color w:val="auto"/>
          <w:sz w:val="24"/>
          <w:szCs w:val="22"/>
        </w:rPr>
        <w:id w:val="-875468255"/>
        <w:docPartObj>
          <w:docPartGallery w:val="Table of Contents"/>
          <w:docPartUnique/>
        </w:docPartObj>
      </w:sdtPr>
      <w:sdtEndPr>
        <w:rPr>
          <w:b/>
          <w:bCs/>
          <w:noProof/>
        </w:rPr>
      </w:sdtEndPr>
      <w:sdtContent>
        <w:p w14:paraId="620F327B" w14:textId="77777777" w:rsidR="00162A58" w:rsidRDefault="00162A58" w:rsidP="00162A58">
          <w:pPr>
            <w:pStyle w:val="TOCHeading"/>
            <w:jc w:val="center"/>
          </w:pPr>
        </w:p>
        <w:p w14:paraId="70643A1B" w14:textId="77777777" w:rsidR="00162A58" w:rsidRDefault="00162A58" w:rsidP="00162A58">
          <w:pPr>
            <w:pStyle w:val="TOCHeading"/>
            <w:jc w:val="center"/>
          </w:pPr>
        </w:p>
        <w:p w14:paraId="7C7B9FF8" w14:textId="77777777" w:rsidR="00162A58" w:rsidRDefault="00162A58" w:rsidP="00162A58">
          <w:pPr>
            <w:pStyle w:val="TOCHeading"/>
            <w:jc w:val="center"/>
          </w:pPr>
        </w:p>
        <w:p w14:paraId="25504133" w14:textId="5016244E" w:rsidR="00DD6039" w:rsidRDefault="00DD6039" w:rsidP="00162A58">
          <w:pPr>
            <w:pStyle w:val="TOCHeading"/>
            <w:jc w:val="center"/>
            <w:rPr>
              <w:rFonts w:ascii="Arial" w:hAnsi="Arial" w:cs="Arial"/>
              <w:b/>
              <w:bCs/>
              <w:color w:val="auto"/>
              <w:sz w:val="24"/>
              <w:szCs w:val="24"/>
            </w:rPr>
          </w:pPr>
          <w:r w:rsidRPr="00162A58">
            <w:rPr>
              <w:rFonts w:ascii="Arial" w:hAnsi="Arial" w:cs="Arial"/>
              <w:b/>
              <w:bCs/>
              <w:color w:val="auto"/>
              <w:sz w:val="24"/>
              <w:szCs w:val="24"/>
            </w:rPr>
            <w:t>Contents</w:t>
          </w:r>
        </w:p>
        <w:p w14:paraId="776392E5" w14:textId="77777777" w:rsidR="00162A58" w:rsidRDefault="00162A58" w:rsidP="00162A58"/>
        <w:p w14:paraId="2B7E6F27" w14:textId="77777777" w:rsidR="00162A58" w:rsidRPr="00162A58" w:rsidRDefault="00162A58" w:rsidP="00162A58"/>
        <w:p w14:paraId="106B641E" w14:textId="1B9DE5F2" w:rsidR="00162A58" w:rsidRDefault="00DD6039">
          <w:pPr>
            <w:pStyle w:val="TOC1"/>
            <w:tabs>
              <w:tab w:val="right" w:leader="dot" w:pos="9016"/>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27662823" w:history="1">
            <w:r w:rsidR="00162A58" w:rsidRPr="00CD2DFF">
              <w:rPr>
                <w:rStyle w:val="Hyperlink"/>
                <w:noProof/>
              </w:rPr>
              <w:t>Introduction</w:t>
            </w:r>
            <w:r w:rsidR="00162A58">
              <w:rPr>
                <w:noProof/>
                <w:webHidden/>
              </w:rPr>
              <w:tab/>
            </w:r>
            <w:r w:rsidR="00162A58">
              <w:rPr>
                <w:noProof/>
                <w:webHidden/>
              </w:rPr>
              <w:fldChar w:fldCharType="begin"/>
            </w:r>
            <w:r w:rsidR="00162A58">
              <w:rPr>
                <w:noProof/>
                <w:webHidden/>
              </w:rPr>
              <w:instrText xml:space="preserve"> PAGEREF _Toc227662823 \h </w:instrText>
            </w:r>
            <w:r w:rsidR="00162A58">
              <w:rPr>
                <w:noProof/>
                <w:webHidden/>
              </w:rPr>
            </w:r>
            <w:r w:rsidR="00162A58">
              <w:rPr>
                <w:noProof/>
                <w:webHidden/>
              </w:rPr>
              <w:fldChar w:fldCharType="separate"/>
            </w:r>
            <w:r w:rsidR="00162A58">
              <w:rPr>
                <w:noProof/>
                <w:webHidden/>
              </w:rPr>
              <w:t>3</w:t>
            </w:r>
            <w:r w:rsidR="00162A58">
              <w:rPr>
                <w:noProof/>
                <w:webHidden/>
              </w:rPr>
              <w:fldChar w:fldCharType="end"/>
            </w:r>
          </w:hyperlink>
        </w:p>
        <w:p w14:paraId="02EC8508" w14:textId="5C9F15BD" w:rsidR="00162A58" w:rsidRDefault="00162A58">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662824" w:history="1">
            <w:r w:rsidRPr="00CD2DFF">
              <w:rPr>
                <w:rStyle w:val="Hyperlink"/>
                <w:noProof/>
              </w:rPr>
              <w:t>Internal &amp; external environment</w:t>
            </w:r>
            <w:r>
              <w:rPr>
                <w:noProof/>
                <w:webHidden/>
              </w:rPr>
              <w:tab/>
            </w:r>
            <w:r>
              <w:rPr>
                <w:noProof/>
                <w:webHidden/>
              </w:rPr>
              <w:fldChar w:fldCharType="begin"/>
            </w:r>
            <w:r>
              <w:rPr>
                <w:noProof/>
                <w:webHidden/>
              </w:rPr>
              <w:instrText xml:space="preserve"> PAGEREF _Toc227662824 \h </w:instrText>
            </w:r>
            <w:r>
              <w:rPr>
                <w:noProof/>
                <w:webHidden/>
              </w:rPr>
            </w:r>
            <w:r>
              <w:rPr>
                <w:noProof/>
                <w:webHidden/>
              </w:rPr>
              <w:fldChar w:fldCharType="separate"/>
            </w:r>
            <w:r>
              <w:rPr>
                <w:noProof/>
                <w:webHidden/>
              </w:rPr>
              <w:t>4</w:t>
            </w:r>
            <w:r>
              <w:rPr>
                <w:noProof/>
                <w:webHidden/>
              </w:rPr>
              <w:fldChar w:fldCharType="end"/>
            </w:r>
          </w:hyperlink>
        </w:p>
        <w:p w14:paraId="46B824E0" w14:textId="7077C5F5" w:rsidR="00162A58" w:rsidRDefault="00162A58">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662825" w:history="1">
            <w:r w:rsidRPr="00CD2DFF">
              <w:rPr>
                <w:rStyle w:val="Hyperlink"/>
                <w:noProof/>
              </w:rPr>
              <w:t>Organisation application</w:t>
            </w:r>
            <w:r>
              <w:rPr>
                <w:noProof/>
                <w:webHidden/>
              </w:rPr>
              <w:tab/>
            </w:r>
            <w:r>
              <w:rPr>
                <w:noProof/>
                <w:webHidden/>
              </w:rPr>
              <w:fldChar w:fldCharType="begin"/>
            </w:r>
            <w:r>
              <w:rPr>
                <w:noProof/>
                <w:webHidden/>
              </w:rPr>
              <w:instrText xml:space="preserve"> PAGEREF _Toc227662825 \h </w:instrText>
            </w:r>
            <w:r>
              <w:rPr>
                <w:noProof/>
                <w:webHidden/>
              </w:rPr>
            </w:r>
            <w:r>
              <w:rPr>
                <w:noProof/>
                <w:webHidden/>
              </w:rPr>
              <w:fldChar w:fldCharType="separate"/>
            </w:r>
            <w:r>
              <w:rPr>
                <w:noProof/>
                <w:webHidden/>
              </w:rPr>
              <w:t>5</w:t>
            </w:r>
            <w:r>
              <w:rPr>
                <w:noProof/>
                <w:webHidden/>
              </w:rPr>
              <w:fldChar w:fldCharType="end"/>
            </w:r>
          </w:hyperlink>
        </w:p>
        <w:p w14:paraId="216B7C39" w14:textId="0F9E4F79" w:rsidR="00162A58" w:rsidRDefault="00162A58">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662826" w:history="1">
            <w:r w:rsidRPr="00CD2DFF">
              <w:rPr>
                <w:rStyle w:val="Hyperlink"/>
                <w:noProof/>
              </w:rPr>
              <w:t>Application of model – 3M</w:t>
            </w:r>
            <w:r>
              <w:rPr>
                <w:noProof/>
                <w:webHidden/>
              </w:rPr>
              <w:tab/>
            </w:r>
            <w:r>
              <w:rPr>
                <w:noProof/>
                <w:webHidden/>
              </w:rPr>
              <w:fldChar w:fldCharType="begin"/>
            </w:r>
            <w:r>
              <w:rPr>
                <w:noProof/>
                <w:webHidden/>
              </w:rPr>
              <w:instrText xml:space="preserve"> PAGEREF _Toc227662826 \h </w:instrText>
            </w:r>
            <w:r>
              <w:rPr>
                <w:noProof/>
                <w:webHidden/>
              </w:rPr>
            </w:r>
            <w:r>
              <w:rPr>
                <w:noProof/>
                <w:webHidden/>
              </w:rPr>
              <w:fldChar w:fldCharType="separate"/>
            </w:r>
            <w:r>
              <w:rPr>
                <w:noProof/>
                <w:webHidden/>
              </w:rPr>
              <w:t>6</w:t>
            </w:r>
            <w:r>
              <w:rPr>
                <w:noProof/>
                <w:webHidden/>
              </w:rPr>
              <w:fldChar w:fldCharType="end"/>
            </w:r>
          </w:hyperlink>
        </w:p>
        <w:p w14:paraId="33894ED4" w14:textId="20371D59" w:rsidR="00162A58" w:rsidRDefault="00162A58">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662827" w:history="1">
            <w:r w:rsidRPr="00CD2DFF">
              <w:rPr>
                <w:rStyle w:val="Hyperlink"/>
                <w:noProof/>
              </w:rPr>
              <w:t>Conclusion</w:t>
            </w:r>
            <w:r>
              <w:rPr>
                <w:noProof/>
                <w:webHidden/>
              </w:rPr>
              <w:tab/>
            </w:r>
            <w:r>
              <w:rPr>
                <w:noProof/>
                <w:webHidden/>
              </w:rPr>
              <w:fldChar w:fldCharType="begin"/>
            </w:r>
            <w:r>
              <w:rPr>
                <w:noProof/>
                <w:webHidden/>
              </w:rPr>
              <w:instrText xml:space="preserve"> PAGEREF _Toc227662827 \h </w:instrText>
            </w:r>
            <w:r>
              <w:rPr>
                <w:noProof/>
                <w:webHidden/>
              </w:rPr>
            </w:r>
            <w:r>
              <w:rPr>
                <w:noProof/>
                <w:webHidden/>
              </w:rPr>
              <w:fldChar w:fldCharType="separate"/>
            </w:r>
            <w:r>
              <w:rPr>
                <w:noProof/>
                <w:webHidden/>
              </w:rPr>
              <w:t>8</w:t>
            </w:r>
            <w:r>
              <w:rPr>
                <w:noProof/>
                <w:webHidden/>
              </w:rPr>
              <w:fldChar w:fldCharType="end"/>
            </w:r>
          </w:hyperlink>
        </w:p>
        <w:p w14:paraId="35A1F6BB" w14:textId="72B0DDD2" w:rsidR="00162A58" w:rsidRDefault="00162A58">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662828" w:history="1">
            <w:r w:rsidRPr="00CD2DFF">
              <w:rPr>
                <w:rStyle w:val="Hyperlink"/>
                <w:noProof/>
              </w:rPr>
              <w:t>Reference</w:t>
            </w:r>
            <w:r>
              <w:rPr>
                <w:noProof/>
                <w:webHidden/>
              </w:rPr>
              <w:tab/>
            </w:r>
            <w:r>
              <w:rPr>
                <w:noProof/>
                <w:webHidden/>
              </w:rPr>
              <w:fldChar w:fldCharType="begin"/>
            </w:r>
            <w:r>
              <w:rPr>
                <w:noProof/>
                <w:webHidden/>
              </w:rPr>
              <w:instrText xml:space="preserve"> PAGEREF _Toc227662828 \h </w:instrText>
            </w:r>
            <w:r>
              <w:rPr>
                <w:noProof/>
                <w:webHidden/>
              </w:rPr>
            </w:r>
            <w:r>
              <w:rPr>
                <w:noProof/>
                <w:webHidden/>
              </w:rPr>
              <w:fldChar w:fldCharType="separate"/>
            </w:r>
            <w:r>
              <w:rPr>
                <w:noProof/>
                <w:webHidden/>
              </w:rPr>
              <w:t>9</w:t>
            </w:r>
            <w:r>
              <w:rPr>
                <w:noProof/>
                <w:webHidden/>
              </w:rPr>
              <w:fldChar w:fldCharType="end"/>
            </w:r>
          </w:hyperlink>
        </w:p>
        <w:p w14:paraId="12E20D6F" w14:textId="21832400" w:rsidR="00DD6039" w:rsidRDefault="00DD6039">
          <w:r>
            <w:rPr>
              <w:b/>
              <w:bCs/>
              <w:noProof/>
            </w:rPr>
            <w:fldChar w:fldCharType="end"/>
          </w:r>
        </w:p>
      </w:sdtContent>
    </w:sdt>
    <w:p w14:paraId="429FB186" w14:textId="77777777" w:rsidR="00B4629B" w:rsidRDefault="00B4629B" w:rsidP="00B4629B">
      <w:pPr>
        <w:jc w:val="center"/>
        <w:rPr>
          <w:rFonts w:cs="Arial"/>
          <w:szCs w:val="24"/>
        </w:rPr>
      </w:pPr>
    </w:p>
    <w:p w14:paraId="1F3E078E" w14:textId="77777777" w:rsidR="00000855" w:rsidRDefault="00000855" w:rsidP="00000855">
      <w:pPr>
        <w:pStyle w:val="Heading1"/>
        <w:rPr>
          <w:rFonts w:eastAsia="Times New Roman"/>
        </w:rPr>
      </w:pPr>
    </w:p>
    <w:p w14:paraId="103126D6" w14:textId="77777777" w:rsidR="00000855" w:rsidRDefault="00000855">
      <w:pPr>
        <w:spacing w:after="0"/>
        <w:rPr>
          <w:rFonts w:cstheme="majorBidi"/>
          <w:b/>
          <w:bCs/>
          <w:szCs w:val="28"/>
          <w:lang w:val="en-GB"/>
        </w:rPr>
      </w:pPr>
      <w:r>
        <w:br w:type="page"/>
      </w:r>
    </w:p>
    <w:p w14:paraId="513C2DFD" w14:textId="62567A45" w:rsidR="00332629" w:rsidRPr="00332629" w:rsidRDefault="00162A58" w:rsidP="00332629">
      <w:pPr>
        <w:pStyle w:val="Heading1"/>
      </w:pPr>
      <w:bookmarkStart w:id="0" w:name="_Toc227662823"/>
      <w:r w:rsidRPr="00332629">
        <w:lastRenderedPageBreak/>
        <w:t>Introduction</w:t>
      </w:r>
      <w:bookmarkEnd w:id="0"/>
    </w:p>
    <w:p w14:paraId="63481AA3" w14:textId="2513F547" w:rsidR="008D682D" w:rsidRPr="00A52642" w:rsidRDefault="00A52642" w:rsidP="008D682D">
      <w:pPr>
        <w:rPr>
          <w:lang w:val="en-GB"/>
        </w:rPr>
      </w:pPr>
      <w:bookmarkStart w:id="1" w:name="_Toc227662824"/>
      <w:r w:rsidRPr="00A52642">
        <w:rPr>
          <w:lang w:val="en-GB"/>
        </w:rPr>
        <w:t>Human Resource Management (HRM) has shifted from a primarily administrative role to a strategic function that plays a key part in enhancing organisational performance and driving competitive advantage.</w:t>
      </w:r>
      <w:r>
        <w:rPr>
          <w:lang w:val="en-GB"/>
        </w:rPr>
        <w:t xml:space="preserve"> </w:t>
      </w:r>
      <w:r w:rsidRPr="00A52642">
        <w:t>Key HR functions</w:t>
      </w:r>
      <w:r>
        <w:t xml:space="preserve">, </w:t>
      </w:r>
      <w:r w:rsidRPr="00A52642">
        <w:t>such as hiring and selection, learning and development, performance evaluation, and employee relations</w:t>
      </w:r>
      <w:r>
        <w:t xml:space="preserve">, </w:t>
      </w:r>
      <w:r w:rsidRPr="00A52642">
        <w:t>play a vital role in developing a capable and engaged workforce that supports the organisation’s objectives.</w:t>
      </w:r>
      <w:r w:rsidR="008D682D" w:rsidRPr="008D682D">
        <w:t xml:space="preserve"> (Armstrong, 2020; Boxall and Purcell, 2016). In global organisations, this role is further intensified by the need to manage diverse workforces across multiple institutional and cultural contexts.</w:t>
      </w:r>
    </w:p>
    <w:p w14:paraId="1199FCDD" w14:textId="1750476F" w:rsidR="003266F4" w:rsidRDefault="008D682D" w:rsidP="003266F4">
      <w:r w:rsidRPr="008D682D">
        <w:t xml:space="preserve">HR practices are increasingly </w:t>
      </w:r>
      <w:r w:rsidR="00A52642" w:rsidRPr="00A52642">
        <w:t>influenced by a combination of external conditions and internal organisational factors.</w:t>
      </w:r>
      <w:r w:rsidRPr="008D682D">
        <w:t xml:space="preserve"> </w:t>
      </w:r>
      <w:r w:rsidR="00A52642" w:rsidRPr="00A52642">
        <w:t>External influences, including government policies, economic trends, and technological developments</w:t>
      </w:r>
      <w:r w:rsidR="00A52642">
        <w:t xml:space="preserve">, change social expectations and environmental pressures that </w:t>
      </w:r>
      <w:r w:rsidRPr="008D682D">
        <w:t xml:space="preserve">influence how organisations recruit, develop, and manage employees (Chartered Institute of Personnel and Development, 2025). However, internal factors, including organisational culture, leadership, structure, and innovation capability, are equally significant in determining </w:t>
      </w:r>
      <w:r>
        <w:t>the effectiveness with which</w:t>
      </w:r>
      <w:r w:rsidRPr="008D682D">
        <w:t xml:space="preserve"> HR strategies are implemented (Storey, 2014). The interaction between these forces creates both opportunities and constraints for HR managers.</w:t>
      </w:r>
    </w:p>
    <w:p w14:paraId="7A812316" w14:textId="543BB4F5" w:rsidR="003266F4" w:rsidRPr="003266F4" w:rsidRDefault="003266F4" w:rsidP="003266F4">
      <w:r w:rsidRPr="003266F4">
        <w:t>Critically, this report challenges the assumption that HRM is primarily reactive to environmental pressures, arguing instead that leading organisations actively shape their environments through strategic human capital development and innovation capabilities (Boxall and Purcell, 2016).</w:t>
      </w:r>
    </w:p>
    <w:p w14:paraId="2ABAEAE9" w14:textId="0A6FB50B" w:rsidR="00FD6541" w:rsidRDefault="00FD6541" w:rsidP="00FD6541">
      <w:pPr>
        <w:pStyle w:val="Heading1"/>
      </w:pPr>
      <w:r w:rsidRPr="00FD6541">
        <w:t>Internal &amp; external environment</w:t>
      </w:r>
      <w:bookmarkEnd w:id="1"/>
    </w:p>
    <w:p w14:paraId="2DD88028" w14:textId="6665E282" w:rsidR="00326900" w:rsidRPr="00326900" w:rsidRDefault="00326900" w:rsidP="00326900">
      <w:bookmarkStart w:id="2" w:name="_Toc227662826"/>
      <w:r w:rsidRPr="00326900">
        <w:t xml:space="preserve">Understanding the organisational environment is essential for analysing how Human Resource Management (HRM) practices are shaped and implemented, particularly within global organisations. One of the most widely used frameworks for examining external influences is the PESTLE model, which considers Political, Economic, Social, Technological, Legal, and Environmental factors (Chartered Institute of Personnel and Development, 2025). While this </w:t>
      </w:r>
      <w:r w:rsidR="001742AA">
        <w:t>model</w:t>
      </w:r>
      <w:r w:rsidRPr="00326900">
        <w:t xml:space="preserve"> provides a useful starting point, its effectiveness depends on how critically it is applied and whether it is integrated with internal organisational analysis.</w:t>
      </w:r>
    </w:p>
    <w:p w14:paraId="65B94137" w14:textId="547627A6" w:rsidR="00326900" w:rsidRPr="00326900" w:rsidRDefault="00326900" w:rsidP="00326900">
      <w:r w:rsidRPr="00326900">
        <w:lastRenderedPageBreak/>
        <w:t>From an HR perspective, political and legal factors are particularly significant, as they directly determine employment conditions, labour rights, and organisational responsibilities. Variations in national legislation, such as differences in dismissal protection or working time regulations, require HR managers to adapt policies across countries (Edwards and</w:t>
      </w:r>
      <w:r w:rsidR="00BA16BA">
        <w:t xml:space="preserve"> </w:t>
      </w:r>
      <w:r w:rsidRPr="00326900">
        <w:t>Rees, 2016). However, it can be argued that PESTLE oversimplifies these influences by treating them as static variables, whereas in reality, legal environments are continuously evolving and often subject to political negotiation.</w:t>
      </w:r>
    </w:p>
    <w:p w14:paraId="0F07CE26" w14:textId="1F4FFDE0" w:rsidR="00326900" w:rsidRPr="00326900" w:rsidRDefault="00326900" w:rsidP="00326900">
      <w:r w:rsidRPr="00326900">
        <w:t xml:space="preserve">Economic factors also exert a strong influence on HR decision-making. Fluctuations in inflation, labour market conditions, and economic growth affect recruitment, workforce planning, and reward strategies (Armstrong, 2020). For example, during economic downturns, organisations may prioritise cost reduction through hiring freezes or restructuring, whereas in periods of growth, they may invest more heavily in talent acquisition. Nevertheless, a limitation of this perspective is that it assumes organisations react passively to economic conditions, whereas strategic HRM suggests firms can proactively shape workforce capabilities to gain </w:t>
      </w:r>
      <w:r w:rsidR="003266F4">
        <w:t xml:space="preserve">a </w:t>
      </w:r>
      <w:r w:rsidRPr="00326900">
        <w:t>competitive advantage (Boxall and Purcell, 2016).</w:t>
      </w:r>
    </w:p>
    <w:p w14:paraId="397C4240" w14:textId="283EEA60" w:rsidR="00326900" w:rsidRPr="00326900" w:rsidRDefault="001742AA" w:rsidP="00326900">
      <w:r w:rsidRPr="001742AA">
        <w:t>Advances in technology and shifts in societal expectations have played an increasingly significant role in shaping HR practices.</w:t>
      </w:r>
      <w:r>
        <w:t xml:space="preserve"> </w:t>
      </w:r>
      <w:r w:rsidRPr="001742AA">
        <w:t>Developments in technology</w:t>
      </w:r>
      <w:r>
        <w:t xml:space="preserve">, </w:t>
      </w:r>
      <w:r w:rsidRPr="001742AA">
        <w:t>such as digitalisation and automation</w:t>
      </w:r>
      <w:r>
        <w:t xml:space="preserve">, </w:t>
      </w:r>
      <w:r w:rsidRPr="001742AA">
        <w:t>have reshaped recruitment, learning, and performance management, making it necessary for employees to continually refresh and expand their skill sets.</w:t>
      </w:r>
      <w:r w:rsidR="00326900" w:rsidRPr="00326900">
        <w:t>(Harney and Collings, 2024). At the same time, social changes, such as shifting employee expectations around work-life balance and career development, have altered the employment relationship (Bratton and Gold, 2017). However, PESTLE tends to treat these factors independently, whereas in practice they are highly interconnected; for instance, technological change often drives social expectations regarding flexibility and remote work.</w:t>
      </w:r>
    </w:p>
    <w:p w14:paraId="6F065ECC" w14:textId="7D268E91" w:rsidR="00326900" w:rsidRPr="00326900" w:rsidRDefault="00326900" w:rsidP="00326900">
      <w:r w:rsidRPr="00326900">
        <w:t xml:space="preserve">Despite its usefulness, the PESTLE framework has been criticised for its limited analytical depth. It primarily focuses on external factors and neglects internal organisational dynamics, which are equally critical in shaping HR effectiveness (Storey, 2014). Internal factors such as organisational culture, leadership style, structure, and strategic priorities determine how external pressures are interpreted and managed. For example, an organisation with a strong innovation culture may respond to technological change by investing heavily in employee development, whereas a </w:t>
      </w:r>
      <w:r w:rsidRPr="00326900">
        <w:lastRenderedPageBreak/>
        <w:t>more cost-driven organisation may prioritise efficiency over learning.</w:t>
      </w:r>
      <w:r w:rsidR="003266F4">
        <w:t xml:space="preserve"> </w:t>
      </w:r>
      <w:r w:rsidR="003266F4" w:rsidRPr="003266F4">
        <w:t>Th</w:t>
      </w:r>
      <w:r w:rsidR="00DD48B9">
        <w:t>e</w:t>
      </w:r>
      <w:r w:rsidR="003266F4" w:rsidRPr="003266F4">
        <w:t xml:space="preserve"> suggest</w:t>
      </w:r>
      <w:r w:rsidR="00DD48B9">
        <w:t>ion here is</w:t>
      </w:r>
      <w:r w:rsidR="003266F4" w:rsidRPr="003266F4">
        <w:t xml:space="preserve"> that PESTLE adopts an overly deterministic perspective, underestimating the agency of organisations and HR managers in interpreting and responding to environmental pressures. As such, environmental analysis should be viewed not as predictive, but as interpretive and strategically contingent (Storey, 2014).</w:t>
      </w:r>
    </w:p>
    <w:p w14:paraId="626FB83C" w14:textId="1D058438" w:rsidR="00326900" w:rsidRPr="00326900" w:rsidRDefault="00326900" w:rsidP="00326900">
      <w:r w:rsidRPr="00326900">
        <w:t>Furthermore, the static nature of PESTLE limits its ability to capture the speed and complexity of modern business environments. Rapid technological developments and global uncertainty require more dynamic and integrative approaches to environmental analysis (Yüksel, 2012). As a result, relying solely on PESTLE may lead to overly simplistic conclusions.</w:t>
      </w:r>
    </w:p>
    <w:p w14:paraId="72FBC703" w14:textId="77777777" w:rsidR="00326900" w:rsidRPr="00326900" w:rsidRDefault="00326900" w:rsidP="00326900">
      <w:r w:rsidRPr="00326900">
        <w:t>Overall, while PESTLE provides a valuable framework for identifying external influences on HRM, it must be applied critically and complemented with an understanding of internal organisational factors. The interaction between internal and external environments ultimately determines the effectiveness of HR practices, particularly in global organisations where complexity and variability are high.</w:t>
      </w:r>
    </w:p>
    <w:bookmarkEnd w:id="2"/>
    <w:p w14:paraId="429712A3" w14:textId="0F485494" w:rsidR="00326900" w:rsidRPr="00326900" w:rsidRDefault="00326900" w:rsidP="0057051C">
      <w:pPr>
        <w:pStyle w:val="Heading1"/>
      </w:pPr>
      <w:r w:rsidRPr="00326900">
        <w:t>Organisation Application – 3M</w:t>
      </w:r>
    </w:p>
    <w:p w14:paraId="38B2DCD2" w14:textId="77777777" w:rsidR="00326900" w:rsidRPr="00326900" w:rsidRDefault="00326900" w:rsidP="00326900">
      <w:pPr>
        <w:rPr>
          <w:lang w:val="en-GB"/>
        </w:rPr>
      </w:pPr>
      <w:r w:rsidRPr="00326900">
        <w:rPr>
          <w:lang w:val="en-GB"/>
        </w:rPr>
        <w:t>3M operates as a highly diversified multinational organisation, and its Human Resource Management (HRM) practices are closely aligned with its long-standing emphasis on innovation and knowledge creation. Unlike organisations that prioritise cost efficiency, 3M’s competitive advantage is largely derived from its ability to continuously generate new products, which places significant demands on its workforce capabilities. Consequently, HR practices are not merely supportive but strategically embedded within the organisation’s innovation model.</w:t>
      </w:r>
    </w:p>
    <w:p w14:paraId="40CE2374" w14:textId="329BEFF1" w:rsidR="00326900" w:rsidRPr="00326900" w:rsidRDefault="000F0947" w:rsidP="00326900">
      <w:pPr>
        <w:rPr>
          <w:lang w:val="en-GB"/>
        </w:rPr>
      </w:pPr>
      <w:r w:rsidRPr="000F0947">
        <w:t>A central claim is that 3M’s HR strategy aligns with a resource-based perspective, viewing employees as a long-term source of competitive advantage rather than as replaceable labour</w:t>
      </w:r>
      <w:r>
        <w:t xml:space="preserve"> </w:t>
      </w:r>
      <w:r w:rsidR="00326900" w:rsidRPr="00326900">
        <w:rPr>
          <w:lang w:val="en-GB"/>
        </w:rPr>
        <w:t>(Boxall and Purcell, 2016). This is evident in its emphasis on recruiting individuals with creative and problem-solving abilities, as well as its investment in continuous training and development. However, while this approach strengthens innovation capacity, it also creates challenges in maintaining consistency across global operations, where access to highly skilled talent and educational systems may differ significantly.</w:t>
      </w:r>
    </w:p>
    <w:p w14:paraId="3F32F7B3" w14:textId="2DBFF527" w:rsidR="00326900" w:rsidRPr="00326900" w:rsidRDefault="00326900" w:rsidP="00326900">
      <w:pPr>
        <w:rPr>
          <w:lang w:val="en-GB"/>
        </w:rPr>
      </w:pPr>
      <w:r w:rsidRPr="00326900">
        <w:rPr>
          <w:lang w:val="en-GB"/>
        </w:rPr>
        <w:lastRenderedPageBreak/>
        <w:t xml:space="preserve">Furthermore, 3M’s organisational culture, often characterised by autonomy and experimentation, plays a critical internal role in shaping HR effectiveness. </w:t>
      </w:r>
      <w:r w:rsidR="00336C1E" w:rsidRPr="00336C1E">
        <w:t xml:space="preserve">Notably, </w:t>
      </w:r>
      <w:r w:rsidR="000F0947" w:rsidRPr="000F0947">
        <w:t>3M’s well-established “15% rule,” which permits employees to spend a portion of their working time on self-directed innovation projects,</w:t>
      </w:r>
      <w:r w:rsidR="000F0947">
        <w:t xml:space="preserve"> </w:t>
      </w:r>
      <w:r w:rsidR="00336C1E" w:rsidRPr="00336C1E">
        <w:t>illustrates how HR practices actively facilitate creativity rather than merely supporting it</w:t>
      </w:r>
      <w:r w:rsidR="00336C1E">
        <w:t xml:space="preserve"> </w:t>
      </w:r>
      <w:r w:rsidR="00336C1E" w:rsidRPr="00336C1E">
        <w:t>(3M, 2025e).</w:t>
      </w:r>
      <w:r w:rsidR="00336C1E">
        <w:t xml:space="preserve"> </w:t>
      </w:r>
      <w:r w:rsidRPr="00326900">
        <w:rPr>
          <w:lang w:val="en-GB"/>
        </w:rPr>
        <w:t xml:space="preserve">This supports the argument that internal environmental factors, particularly culture and leadership, are equally influential as external forces in determining HR outcomes (Storey, 2014). Nevertheless, such a culture may not be universally transferable across all national contexts, </w:t>
      </w:r>
      <w:r w:rsidR="000F0947" w:rsidRPr="000F0947">
        <w:t>prompting debate over how far HR practices can be standardised across global operations.</w:t>
      </w:r>
      <w:r w:rsidR="000F0947">
        <w:t xml:space="preserve"> </w:t>
      </w:r>
      <w:r w:rsidR="00DD48B9" w:rsidRPr="00DD48B9">
        <w:t>Arguably,</w:t>
      </w:r>
      <w:r w:rsidR="008549F2">
        <w:t xml:space="preserve"> </w:t>
      </w:r>
      <w:r w:rsidR="00DD48B9">
        <w:t xml:space="preserve">3M’s approach demonstrates that competitive advantage is not derived from external positioning alone but from the organisation’s ability to cultivate innovation internally </w:t>
      </w:r>
      <w:r w:rsidR="00DD48B9" w:rsidRPr="00DD48B9">
        <w:t>through its people, thereby reinforcing the strategic centrality of HRM.</w:t>
      </w:r>
    </w:p>
    <w:p w14:paraId="215570B6" w14:textId="5777C5B8" w:rsidR="00326900" w:rsidRDefault="00326900" w:rsidP="00326900">
      <w:pPr>
        <w:rPr>
          <w:lang w:val="en-GB"/>
        </w:rPr>
      </w:pPr>
      <w:r w:rsidRPr="00326900">
        <w:rPr>
          <w:lang w:val="en-GB"/>
        </w:rPr>
        <w:t>Overall, 3M demonstrates that HRM can act as a strategic driver of innovation. However, its effectiveness ultimately depends on the organisation’s ability to balance global integration with local responsiveness, particularly in diverse and rapidly changing environments (Edwards and Rees, 2016).</w:t>
      </w:r>
    </w:p>
    <w:p w14:paraId="09643A96" w14:textId="39B218AF" w:rsidR="0057051C" w:rsidRPr="0057051C" w:rsidRDefault="0057051C" w:rsidP="00DD48B9">
      <w:pPr>
        <w:pStyle w:val="Heading1"/>
      </w:pPr>
      <w:r w:rsidRPr="0057051C">
        <w:t xml:space="preserve">Application of Model – 3M </w:t>
      </w:r>
    </w:p>
    <w:p w14:paraId="6528352D" w14:textId="77777777" w:rsidR="0057051C" w:rsidRPr="0057051C" w:rsidRDefault="0057051C" w:rsidP="0057051C">
      <w:pPr>
        <w:rPr>
          <w:lang w:val="en-GB"/>
        </w:rPr>
      </w:pPr>
      <w:r w:rsidRPr="0057051C">
        <w:rPr>
          <w:lang w:val="en-GB"/>
        </w:rPr>
        <w:t>The application of the PESTLE framework to 3M demonstrates that external environmental forces exert a significant but uneven influence on HR practices within global organisations. However, a critical analysis suggests that these factors do not operate independently; rather, their impact is mediated by internal organisational capabilities, particularly culture, leadership, and strategic priorities. This challenges the assumption that external forces alone determine HR outcomes.</w:t>
      </w:r>
    </w:p>
    <w:p w14:paraId="528CF163" w14:textId="62FFA017" w:rsidR="0057051C" w:rsidRPr="0057051C" w:rsidRDefault="0057051C" w:rsidP="0057051C">
      <w:pPr>
        <w:rPr>
          <w:lang w:val="en-GB"/>
        </w:rPr>
      </w:pPr>
      <w:r w:rsidRPr="0057051C">
        <w:rPr>
          <w:lang w:val="en-GB"/>
        </w:rPr>
        <w:t xml:space="preserve">Political and legal factors play a foundational role in shaping HR practices at 3M, particularly given its multinational presence. Employment regulation varies significantly across regions, with European labour markets generally characterised by stronger employee protections </w:t>
      </w:r>
      <w:r>
        <w:rPr>
          <w:lang w:val="en-GB"/>
        </w:rPr>
        <w:t>than those in</w:t>
      </w:r>
      <w:r w:rsidRPr="0057051C">
        <w:rPr>
          <w:lang w:val="en-GB"/>
        </w:rPr>
        <w:t xml:space="preserve"> the United States. This </w:t>
      </w:r>
      <w:r>
        <w:rPr>
          <w:lang w:val="en-GB"/>
        </w:rPr>
        <w:t>constrains</w:t>
      </w:r>
      <w:r w:rsidRPr="0057051C">
        <w:rPr>
          <w:lang w:val="en-GB"/>
        </w:rPr>
        <w:t xml:space="preserve"> HR flexibility, particularly in areas such as dismissal procedures, working hours, and collective bargaining (Edwards and</w:t>
      </w:r>
      <w:r w:rsidR="00BA16BA">
        <w:rPr>
          <w:lang w:val="en-GB"/>
        </w:rPr>
        <w:t xml:space="preserve"> </w:t>
      </w:r>
      <w:r w:rsidRPr="0057051C">
        <w:rPr>
          <w:lang w:val="en-GB"/>
        </w:rPr>
        <w:t xml:space="preserve">Rees, 2016). While PESTLE highlights these regulatory differences, it underestimates the strategic role of HR managers in navigating them. At 3M, HR is not merely reactive but must actively design policies </w:t>
      </w:r>
      <w:r w:rsidRPr="0057051C">
        <w:rPr>
          <w:lang w:val="en-GB"/>
        </w:rPr>
        <w:lastRenderedPageBreak/>
        <w:t>that balance global consistency with local compliance. This reflects a broader tension in international HRM between standardisation and localisation, where strict adherence to global policies may undermine local effectiveness.</w:t>
      </w:r>
    </w:p>
    <w:p w14:paraId="04154E57" w14:textId="3A48881B" w:rsidR="0057051C" w:rsidRPr="0057051C" w:rsidRDefault="0057051C" w:rsidP="0057051C">
      <w:pPr>
        <w:rPr>
          <w:lang w:val="en-GB"/>
        </w:rPr>
      </w:pPr>
      <w:r w:rsidRPr="0057051C">
        <w:rPr>
          <w:lang w:val="en-GB"/>
        </w:rPr>
        <w:t xml:space="preserve">Economic factors also </w:t>
      </w:r>
      <w:r>
        <w:rPr>
          <w:lang w:val="en-GB"/>
        </w:rPr>
        <w:t>directly influence HR decision-making, particularly regarding</w:t>
      </w:r>
      <w:r w:rsidRPr="0057051C">
        <w:rPr>
          <w:lang w:val="en-GB"/>
        </w:rPr>
        <w:t xml:space="preserve"> workforce planning and reward systems. Periods of economic uncertainty, such as inflationary pressures or recession, may require 3M to prioritise cost control, potentially limiting recruitment and investment in employee development (Armstrong, 2020). However, this presents a contradiction: as an innovation-driven organisation, 3M’s long-term success depends on sustained investment in human capital. A purely cost-driven response to economic pressures could therefore undermine its strategic capabilities. This supports the argument that effective HRM requires a long-term perspective that resists short-term economic pressures</w:t>
      </w:r>
      <w:r>
        <w:rPr>
          <w:lang w:val="en-GB"/>
        </w:rPr>
        <w:t xml:space="preserve"> and aligns</w:t>
      </w:r>
      <w:r w:rsidRPr="0057051C">
        <w:rPr>
          <w:lang w:val="en-GB"/>
        </w:rPr>
        <w:t xml:space="preserve"> with the resource-based view of sustained competitive advantage (Boxall and Purcell, 2016).</w:t>
      </w:r>
    </w:p>
    <w:p w14:paraId="406B1E3F" w14:textId="63A9A650" w:rsidR="0057051C" w:rsidRPr="0057051C" w:rsidRDefault="0057051C" w:rsidP="0057051C">
      <w:pPr>
        <w:rPr>
          <w:lang w:val="en-GB"/>
        </w:rPr>
      </w:pPr>
      <w:r w:rsidRPr="0057051C">
        <w:rPr>
          <w:lang w:val="en-GB"/>
        </w:rPr>
        <w:t xml:space="preserve">Technological factors are arguably the most influential external force shaping HR practices at 3M. The company’s strong emphasis on research and development requires a workforce capable of continuous innovation and adaptation. </w:t>
      </w:r>
      <w:r w:rsidR="00734B0D" w:rsidRPr="00734B0D">
        <w:t>For example, 3M invests a significant proportion of its annual revenue in research and development, reinforcing the need for HR practices that prioritise continuous learning and innovation capability (3M, 2025e).</w:t>
      </w:r>
      <w:r w:rsidR="00734B0D">
        <w:t xml:space="preserve"> </w:t>
      </w:r>
      <w:r w:rsidRPr="0057051C">
        <w:rPr>
          <w:lang w:val="en-GB"/>
        </w:rPr>
        <w:t xml:space="preserve">Technological change has transformed HR processes, including digital recruitment platforms, data-driven performance management systems, and online learning environments (Harney and Collings, 2024). </w:t>
      </w:r>
      <w:r w:rsidR="00930C34" w:rsidRPr="0057051C">
        <w:rPr>
          <w:lang w:val="en-GB"/>
        </w:rPr>
        <w:t>Nonetheless</w:t>
      </w:r>
      <w:r w:rsidRPr="0057051C">
        <w:rPr>
          <w:lang w:val="en-GB"/>
        </w:rPr>
        <w:t xml:space="preserve">, while PESTLE identifies technology as an external driver, it does not fully capture the organisation’s proactive role in shaping technological capabilities. At 3M, HR practices are designed not only to respond to technological change but </w:t>
      </w:r>
      <w:r>
        <w:rPr>
          <w:lang w:val="en-GB"/>
        </w:rPr>
        <w:t>also to enable it through continuous training, knowledge sharing</w:t>
      </w:r>
      <w:r w:rsidRPr="0057051C">
        <w:rPr>
          <w:lang w:val="en-GB"/>
        </w:rPr>
        <w:t>, and the development of innovation-oriented competencies. This suggests that technological factors are co-created through organisational strategy rather than externally imposed.</w:t>
      </w:r>
    </w:p>
    <w:p w14:paraId="68742B07" w14:textId="435BAC82" w:rsidR="0057051C" w:rsidRPr="0057051C" w:rsidRDefault="0057051C" w:rsidP="0057051C">
      <w:pPr>
        <w:rPr>
          <w:lang w:val="en-GB"/>
        </w:rPr>
      </w:pPr>
      <w:r w:rsidRPr="0057051C">
        <w:rPr>
          <w:lang w:val="en-GB"/>
        </w:rPr>
        <w:t xml:space="preserve">Social factors further complicate HR management in a multinational context. Cultural differences influence employee expectations, communication styles, and attitudes towards authority, requiring HR managers to adapt practices accordingly (Bratton and Gold, 2017). At 3M, where collaboration and creativity are central to organisational success, managing cross-cultural teams presents both opportunities and challenges. While diversity can enhance innovation, it may also create misunderstandings and </w:t>
      </w:r>
      <w:r w:rsidRPr="0057051C">
        <w:rPr>
          <w:lang w:val="en-GB"/>
        </w:rPr>
        <w:lastRenderedPageBreak/>
        <w:t>conflict if not effectively managed. PESTLE tends to treat social factors as broad trends, failing to account for the micro-level dynamics of organisational culture and team interaction. This reinforces the importance of internal factors in shaping how social influences are translated into HR practices.</w:t>
      </w:r>
    </w:p>
    <w:p w14:paraId="4BA3AB12" w14:textId="6D394EE0" w:rsidR="0057051C" w:rsidRPr="0057051C" w:rsidRDefault="0057051C" w:rsidP="0057051C">
      <w:pPr>
        <w:rPr>
          <w:lang w:val="en-GB"/>
        </w:rPr>
      </w:pPr>
      <w:r w:rsidRPr="0057051C">
        <w:rPr>
          <w:lang w:val="en-GB"/>
        </w:rPr>
        <w:t>Environmental factors are increasingly relevant, particularly as organisations face growing pressure to adopt sustainable practices. 3M has made significant commitments to sustainability, which have implications for HRM in terms of promoting environmental awareness, ethical behaviour, and employee engagement (3M, 2025c).</w:t>
      </w:r>
      <w:r w:rsidR="00D6588D">
        <w:rPr>
          <w:lang w:val="en-GB"/>
        </w:rPr>
        <w:t xml:space="preserve"> </w:t>
      </w:r>
      <w:r w:rsidR="00D6588D" w:rsidRPr="00D6588D">
        <w:t>This is reflected in 3M’s commitment to reducing greenhouse gas emissions by over 40% by 2030, highlighting how environmental pressures translate into organisational priorities that HR must embed through culture and employee engagement</w:t>
      </w:r>
      <w:r w:rsidR="00D6588D">
        <w:t xml:space="preserve"> </w:t>
      </w:r>
      <w:r w:rsidR="00D6588D" w:rsidRPr="00D6588D">
        <w:t>(3M, 2025c).</w:t>
      </w:r>
      <w:r w:rsidRPr="0057051C">
        <w:rPr>
          <w:lang w:val="en-GB"/>
        </w:rPr>
        <w:t xml:space="preserve"> However, a critical perspective suggests that sustainability initiatives may also be driven by reputational concerns rather than purely ethical considerations. HR managers</w:t>
      </w:r>
      <w:r>
        <w:rPr>
          <w:lang w:val="en-GB"/>
        </w:rPr>
        <w:t>, therefore,</w:t>
      </w:r>
      <w:r w:rsidRPr="0057051C">
        <w:rPr>
          <w:lang w:val="en-GB"/>
        </w:rPr>
        <w:t xml:space="preserve"> play a key role in embedding sustainability </w:t>
      </w:r>
      <w:r w:rsidR="00E62132">
        <w:rPr>
          <w:lang w:val="en-GB"/>
        </w:rPr>
        <w:t xml:space="preserve">in organisational culture, ensuring it is a fundamental organisational value rather than </w:t>
      </w:r>
      <w:r w:rsidR="00E62132" w:rsidRPr="00E62132">
        <w:t>a mere box-ticking exercise.</w:t>
      </w:r>
    </w:p>
    <w:p w14:paraId="60E6B139" w14:textId="062066D5" w:rsidR="0057051C" w:rsidRDefault="0057051C" w:rsidP="0057051C">
      <w:pPr>
        <w:rPr>
          <w:lang w:val="en-GB"/>
        </w:rPr>
      </w:pPr>
      <w:r w:rsidRPr="0057051C">
        <w:rPr>
          <w:lang w:val="en-GB"/>
        </w:rPr>
        <w:t xml:space="preserve">Despite its analytical value, the PESTLE framework is limited in </w:t>
      </w:r>
      <w:r>
        <w:rPr>
          <w:lang w:val="en-GB"/>
        </w:rPr>
        <w:t>capturing</w:t>
      </w:r>
      <w:r w:rsidRPr="0057051C">
        <w:rPr>
          <w:lang w:val="en-GB"/>
        </w:rPr>
        <w:t xml:space="preserve"> the dynamic and interconnected nature of these environmental forces. Factors such as technology, economics, and social change </w:t>
      </w:r>
      <w:r w:rsidR="00E62132" w:rsidRPr="00E62132">
        <w:t>often overlap and influence one another, making it challenging to distinguish their separate impacts</w:t>
      </w:r>
      <w:r w:rsidR="00E62132">
        <w:t xml:space="preserve"> </w:t>
      </w:r>
      <w:r w:rsidRPr="0057051C">
        <w:rPr>
          <w:lang w:val="en-GB"/>
        </w:rPr>
        <w:t>(Yüksel, 2012). Moreover, the model’s external focus neglects the importance of internal organisational capabilities, which ultimately determine how effectively these forces are managed (Storey, 2014).</w:t>
      </w:r>
      <w:r w:rsidR="0064518C">
        <w:rPr>
          <w:lang w:val="en-GB"/>
        </w:rPr>
        <w:t xml:space="preserve"> </w:t>
      </w:r>
    </w:p>
    <w:p w14:paraId="31A5F9A7" w14:textId="7725C854" w:rsidR="0064518C" w:rsidRPr="0057051C" w:rsidRDefault="0064518C" w:rsidP="0057051C">
      <w:pPr>
        <w:rPr>
          <w:lang w:val="en-GB"/>
        </w:rPr>
      </w:pPr>
      <w:r w:rsidRPr="0064518C">
        <w:t>More fundamentally, the case of 3M illustrates that environmental forces do not exert uniform pressure on all organisations; rather, their impact is filtered through firm-specific capabilities. This challenges the universality of models such as PESTLE and suggests that organisational heterogeneity must be central to any meaningful HR analysis.</w:t>
      </w:r>
    </w:p>
    <w:p w14:paraId="2427B715" w14:textId="77777777" w:rsidR="003266F4" w:rsidRDefault="0057051C" w:rsidP="003266F4">
      <w:pPr>
        <w:rPr>
          <w:lang w:val="en-GB"/>
        </w:rPr>
      </w:pPr>
      <w:r w:rsidRPr="0057051C">
        <w:rPr>
          <w:lang w:val="en-GB"/>
        </w:rPr>
        <w:t>Overall, the case of 3M demonstrates that while external environmental factors significantly influence HR practices, their impact is mediated by internal organisational dynamics. Effective HRM</w:t>
      </w:r>
      <w:r>
        <w:rPr>
          <w:lang w:val="en-GB"/>
        </w:rPr>
        <w:t>, therefore,</w:t>
      </w:r>
      <w:r w:rsidRPr="0057051C">
        <w:rPr>
          <w:lang w:val="en-GB"/>
        </w:rPr>
        <w:t xml:space="preserve"> requires not only an understanding of the external environment but also the ability to strategically integrate these influences within the organisation. This highlights the limitations of relying solely on PESTLE and reinforces </w:t>
      </w:r>
      <w:r w:rsidRPr="0057051C">
        <w:rPr>
          <w:lang w:val="en-GB"/>
        </w:rPr>
        <w:lastRenderedPageBreak/>
        <w:t>the need for a more holistic and dynamic approach to environmental analysis in global HRM.</w:t>
      </w:r>
      <w:bookmarkStart w:id="3" w:name="_Toc227662827"/>
    </w:p>
    <w:bookmarkEnd w:id="3"/>
    <w:p w14:paraId="738BDFDB" w14:textId="01A21491" w:rsidR="003266F4" w:rsidRPr="003266F4" w:rsidRDefault="003266F4" w:rsidP="003266F4">
      <w:pPr>
        <w:rPr>
          <w:b/>
          <w:bCs/>
          <w:lang w:val="en-GB"/>
        </w:rPr>
      </w:pPr>
      <w:r w:rsidRPr="003266F4">
        <w:rPr>
          <w:b/>
          <w:bCs/>
          <w:lang w:val="en-GB"/>
        </w:rPr>
        <w:t>Conclusion</w:t>
      </w:r>
    </w:p>
    <w:p w14:paraId="5817BBA9" w14:textId="3626C004" w:rsidR="003266F4" w:rsidRPr="003266F4" w:rsidRDefault="00E62132" w:rsidP="003266F4">
      <w:pPr>
        <w:rPr>
          <w:lang w:val="en-GB"/>
        </w:rPr>
      </w:pPr>
      <w:r w:rsidRPr="00E62132">
        <w:t>This report has shown that Human Resource Management (HRM) serves a vital strategic function in supporting organisational effectiveness in complex global contexts.</w:t>
      </w:r>
      <w:r w:rsidR="003266F4" w:rsidRPr="003266F4">
        <w:rPr>
          <w:lang w:val="en-GB"/>
        </w:rPr>
        <w:t xml:space="preserve"> The analysis has shown that HR practices are </w:t>
      </w:r>
      <w:r w:rsidR="003266F4">
        <w:rPr>
          <w:lang w:val="en-GB"/>
        </w:rPr>
        <w:t>shaped not solely by internal organisational priorities, nor entirely by external pressures, but by the dynamic interaction between the two</w:t>
      </w:r>
      <w:r w:rsidR="003266F4" w:rsidRPr="003266F4">
        <w:rPr>
          <w:lang w:val="en-GB"/>
        </w:rPr>
        <w:t>. While frameworks such as PESTLE provide a useful structure for identifying external influences, their explanatory power is limited unless they are integrated with an understanding of internal organisational capabilities.</w:t>
      </w:r>
    </w:p>
    <w:p w14:paraId="218719D7" w14:textId="77777777" w:rsidR="003266F4" w:rsidRPr="003266F4" w:rsidRDefault="003266F4" w:rsidP="003266F4">
      <w:pPr>
        <w:rPr>
          <w:lang w:val="en-GB"/>
        </w:rPr>
      </w:pPr>
      <w:r w:rsidRPr="003266F4">
        <w:rPr>
          <w:lang w:val="en-GB"/>
        </w:rPr>
        <w:t>The case of 3M highlights this complexity. External forces, including regulatory variation, economic uncertainty, technological advancement, and social change, significantly influence HR decision-making. However, the extent to which these factors affect organisational outcomes depends largely on internal elements such as organisational culture, leadership, and strategic orientation. In particular, 3M’s strong innovation-driven culture demonstrates how internal capabilities can mediate and even shape responses to external pressures, rather than simply reacting to them.</w:t>
      </w:r>
    </w:p>
    <w:p w14:paraId="4AE42196" w14:textId="72A8BC2E" w:rsidR="0064518C" w:rsidRPr="0064518C" w:rsidRDefault="0064518C" w:rsidP="0064518C">
      <w:pPr>
        <w:rPr>
          <w:lang w:val="en-GB"/>
        </w:rPr>
      </w:pPr>
      <w:r w:rsidRPr="0064518C">
        <w:rPr>
          <w:lang w:val="en-GB"/>
        </w:rPr>
        <w:t>The analysis demonstrates that effective HRM in global organisations depends on achieving a</w:t>
      </w:r>
      <w:r w:rsidR="003F2093">
        <w:rPr>
          <w:lang w:val="en-GB"/>
        </w:rPr>
        <w:t xml:space="preserve"> </w:t>
      </w:r>
      <w:r w:rsidR="003F2093" w:rsidRPr="003F2093">
        <w:t>balance between worldwide consistency and sensitivity to local needs</w:t>
      </w:r>
      <w:r w:rsidRPr="0064518C">
        <w:rPr>
          <w:lang w:val="en-GB"/>
        </w:rPr>
        <w:t xml:space="preserve">. While standardised HR </w:t>
      </w:r>
      <w:r w:rsidR="003F2093" w:rsidRPr="0064518C">
        <w:rPr>
          <w:lang w:val="en-GB"/>
        </w:rPr>
        <w:t>methods</w:t>
      </w:r>
      <w:r w:rsidRPr="0064518C">
        <w:rPr>
          <w:lang w:val="en-GB"/>
        </w:rPr>
        <w:t xml:space="preserve"> may enhance efficiency and organisational consistency, their effectiveness is limited without adaptation to local institutional and cultural contexts. Conversely, excessive localisation risks undermining strategic coherence and organisational control. Therefore, the role of HRM extends beyond alignment with strategy to actively shaping it, positioning human capital not as a variable to be managed, but as a driver of organisational transformation in uncertain environments.</w:t>
      </w:r>
    </w:p>
    <w:p w14:paraId="0523D619" w14:textId="180A0ECC" w:rsidR="00EC3D44" w:rsidRPr="00EC3D44" w:rsidRDefault="0064518C" w:rsidP="00EC3D44">
      <w:pPr>
        <w:rPr>
          <w:lang w:val="en-GB"/>
        </w:rPr>
      </w:pPr>
      <w:r w:rsidRPr="0064518C">
        <w:rPr>
          <w:lang w:val="en-GB"/>
        </w:rPr>
        <w:t>Overall, HRM is most effective when it moves beyond reactive adaptation to proactively shape organisational responses to environmental complexity, thereby contributing to sustained competitive advantage.</w:t>
      </w:r>
    </w:p>
    <w:p w14:paraId="5C7C186F" w14:textId="10273AB8" w:rsidR="007B6A01" w:rsidRPr="007B6A01" w:rsidRDefault="00000855" w:rsidP="007B6A01">
      <w:pPr>
        <w:pStyle w:val="Heading1"/>
      </w:pPr>
      <w:bookmarkStart w:id="4" w:name="_Toc227662828"/>
      <w:r w:rsidRPr="00000855">
        <w:rPr>
          <w:rFonts w:eastAsia="Times New Roman"/>
        </w:rPr>
        <w:t>Reference</w:t>
      </w:r>
      <w:bookmarkEnd w:id="4"/>
      <w:r w:rsidRPr="00000855">
        <w:rPr>
          <w:rFonts w:eastAsia="Times New Roman"/>
        </w:rPr>
        <w:t xml:space="preserve"> </w:t>
      </w:r>
    </w:p>
    <w:p w14:paraId="7ADEC3D4" w14:textId="7967D6EB" w:rsidR="007B6A01" w:rsidRPr="007B6A01" w:rsidRDefault="007B6A01" w:rsidP="001F7D3D">
      <w:pPr>
        <w:rPr>
          <w:u w:val="single"/>
          <w:lang w:val="en-GB"/>
        </w:rPr>
      </w:pPr>
      <w:r w:rsidRPr="007B6A01">
        <w:rPr>
          <w:u w:val="single"/>
          <w:lang w:val="en-GB"/>
        </w:rPr>
        <w:t>Academic Books &amp; Core HR Sources</w:t>
      </w:r>
    </w:p>
    <w:p w14:paraId="4F0B9540" w14:textId="77777777" w:rsidR="007B6A01" w:rsidRPr="007B6A01" w:rsidRDefault="007B6A01" w:rsidP="007B6A01">
      <w:pPr>
        <w:ind w:left="720" w:hanging="720"/>
        <w:rPr>
          <w:lang w:val="en-GB"/>
        </w:rPr>
      </w:pPr>
      <w:r w:rsidRPr="007B6A01">
        <w:rPr>
          <w:lang w:val="en-GB"/>
        </w:rPr>
        <w:lastRenderedPageBreak/>
        <w:t xml:space="preserve">Armstrong, M. (2020) </w:t>
      </w:r>
      <w:r w:rsidRPr="007B6A01">
        <w:rPr>
          <w:i/>
          <w:iCs/>
          <w:lang w:val="en-GB"/>
        </w:rPr>
        <w:t>Armstrong’s Handbook of Human Resource Management Practice</w:t>
      </w:r>
      <w:r w:rsidRPr="007B6A01">
        <w:rPr>
          <w:lang w:val="en-GB"/>
        </w:rPr>
        <w:t>. 15th edn. London: Kogan Page.</w:t>
      </w:r>
    </w:p>
    <w:p w14:paraId="0A698E32" w14:textId="77777777" w:rsidR="007B6A01" w:rsidRPr="007B6A01" w:rsidRDefault="007B6A01" w:rsidP="007B6A01">
      <w:pPr>
        <w:ind w:left="720" w:hanging="720"/>
        <w:rPr>
          <w:lang w:val="en-GB"/>
        </w:rPr>
      </w:pPr>
      <w:r w:rsidRPr="007B6A01">
        <w:rPr>
          <w:lang w:val="en-GB"/>
        </w:rPr>
        <w:t xml:space="preserve">Boxall, P. and Purcell, J. (2016) </w:t>
      </w:r>
      <w:r w:rsidRPr="007B6A01">
        <w:rPr>
          <w:i/>
          <w:iCs/>
          <w:lang w:val="en-GB"/>
        </w:rPr>
        <w:t>Strategy and Human Resource Management</w:t>
      </w:r>
      <w:r w:rsidRPr="007B6A01">
        <w:rPr>
          <w:lang w:val="en-GB"/>
        </w:rPr>
        <w:t>. 4th edn. London: Palgrave Macmillan.</w:t>
      </w:r>
    </w:p>
    <w:p w14:paraId="0E80D4C1" w14:textId="77777777" w:rsidR="007B6A01" w:rsidRPr="007B6A01" w:rsidRDefault="007B6A01" w:rsidP="007B6A01">
      <w:pPr>
        <w:ind w:left="720" w:hanging="720"/>
        <w:rPr>
          <w:lang w:val="en-GB"/>
        </w:rPr>
      </w:pPr>
      <w:r w:rsidRPr="007B6A01">
        <w:rPr>
          <w:lang w:val="en-GB"/>
        </w:rPr>
        <w:t xml:space="preserve">Bratton, J. and Gold, J. (2017) </w:t>
      </w:r>
      <w:r w:rsidRPr="007B6A01">
        <w:rPr>
          <w:i/>
          <w:iCs/>
          <w:lang w:val="en-GB"/>
        </w:rPr>
        <w:t>Human Resource Management: Theory and Practice</w:t>
      </w:r>
      <w:r w:rsidRPr="007B6A01">
        <w:rPr>
          <w:lang w:val="en-GB"/>
        </w:rPr>
        <w:t>. 6th edn. London: Palgrave.</w:t>
      </w:r>
    </w:p>
    <w:p w14:paraId="7F6EB99D" w14:textId="77777777" w:rsidR="007B6A01" w:rsidRPr="007B6A01" w:rsidRDefault="007B6A01" w:rsidP="007B6A01">
      <w:pPr>
        <w:ind w:left="720" w:hanging="720"/>
        <w:rPr>
          <w:lang w:val="en-GB"/>
        </w:rPr>
      </w:pPr>
      <w:r w:rsidRPr="007B6A01">
        <w:rPr>
          <w:lang w:val="en-GB"/>
        </w:rPr>
        <w:t xml:space="preserve">Brewster, C., Sparrow, P. and Vernon, G. (2011) </w:t>
      </w:r>
      <w:r w:rsidRPr="007B6A01">
        <w:rPr>
          <w:i/>
          <w:iCs/>
          <w:lang w:val="en-GB"/>
        </w:rPr>
        <w:t>International Human Resource Management</w:t>
      </w:r>
      <w:r w:rsidRPr="007B6A01">
        <w:rPr>
          <w:lang w:val="en-GB"/>
        </w:rPr>
        <w:t>. London: Chartered Institute of Personnel and Development.</w:t>
      </w:r>
    </w:p>
    <w:p w14:paraId="55D3C381" w14:textId="671F5561" w:rsidR="007B6A01" w:rsidRPr="007B6A01" w:rsidRDefault="007B6A01" w:rsidP="007B6A01">
      <w:pPr>
        <w:ind w:left="720" w:hanging="720"/>
        <w:rPr>
          <w:lang w:val="en-GB"/>
        </w:rPr>
      </w:pPr>
      <w:r w:rsidRPr="007B6A01">
        <w:rPr>
          <w:lang w:val="en-GB"/>
        </w:rPr>
        <w:t>Edwards, T. and Rees, C. (2016)</w:t>
      </w:r>
      <w:r>
        <w:rPr>
          <w:lang w:val="en-GB"/>
        </w:rPr>
        <w:t xml:space="preserve"> International Human Resource Management: Globalisation</w:t>
      </w:r>
      <w:r w:rsidRPr="007B6A01">
        <w:rPr>
          <w:i/>
          <w:iCs/>
          <w:lang w:val="en-GB"/>
        </w:rPr>
        <w:t>, National Systems and Multinational Companies</w:t>
      </w:r>
      <w:r w:rsidRPr="007B6A01">
        <w:rPr>
          <w:lang w:val="en-GB"/>
        </w:rPr>
        <w:t>. 3rd edn. Harlow: Pearson.</w:t>
      </w:r>
    </w:p>
    <w:p w14:paraId="3800154A" w14:textId="77777777" w:rsidR="007B6A01" w:rsidRPr="007B6A01" w:rsidRDefault="007B6A01" w:rsidP="007B6A01">
      <w:pPr>
        <w:ind w:left="720" w:hanging="720"/>
        <w:rPr>
          <w:lang w:val="en-GB"/>
        </w:rPr>
      </w:pPr>
      <w:r w:rsidRPr="007B6A01">
        <w:rPr>
          <w:lang w:val="en-GB"/>
        </w:rPr>
        <w:t xml:space="preserve">Storey, J. (2014) </w:t>
      </w:r>
      <w:r w:rsidRPr="007B6A01">
        <w:rPr>
          <w:i/>
          <w:iCs/>
          <w:lang w:val="en-GB"/>
        </w:rPr>
        <w:t>New Perspectives on Human Resource Management</w:t>
      </w:r>
      <w:r w:rsidRPr="007B6A01">
        <w:rPr>
          <w:lang w:val="en-GB"/>
        </w:rPr>
        <w:t>. London: Routledge.</w:t>
      </w:r>
    </w:p>
    <w:p w14:paraId="3090F476" w14:textId="0F85C3DA" w:rsidR="007B6A01" w:rsidRPr="007B6A01" w:rsidRDefault="007B6A01" w:rsidP="001F7D3D">
      <w:pPr>
        <w:rPr>
          <w:u w:val="single"/>
          <w:lang w:val="en-GB"/>
        </w:rPr>
      </w:pPr>
      <w:r w:rsidRPr="007B6A01">
        <w:rPr>
          <w:u w:val="single"/>
          <w:lang w:val="en-GB"/>
        </w:rPr>
        <w:t>Journal Articles</w:t>
      </w:r>
    </w:p>
    <w:p w14:paraId="43FF225E" w14:textId="77777777" w:rsidR="007B6A01" w:rsidRPr="007B6A01" w:rsidRDefault="007B6A01" w:rsidP="007B6A01">
      <w:pPr>
        <w:ind w:left="720" w:hanging="720"/>
        <w:rPr>
          <w:lang w:val="en-GB"/>
        </w:rPr>
      </w:pPr>
      <w:r w:rsidRPr="007B6A01">
        <w:rPr>
          <w:lang w:val="en-GB"/>
        </w:rPr>
        <w:t xml:space="preserve">Huselid, M.A. (1995) ‘The impact of human resource management practices on turnover, productivity and corporate performance’, </w:t>
      </w:r>
      <w:r w:rsidRPr="007B6A01">
        <w:rPr>
          <w:i/>
          <w:iCs/>
          <w:lang w:val="en-GB"/>
        </w:rPr>
        <w:t>Academy of Management Journal</w:t>
      </w:r>
      <w:r w:rsidRPr="007B6A01">
        <w:rPr>
          <w:lang w:val="en-GB"/>
        </w:rPr>
        <w:t>, 38(3), pp. 635–672.</w:t>
      </w:r>
    </w:p>
    <w:p w14:paraId="2DD63F46" w14:textId="77777777" w:rsidR="007B6A01" w:rsidRPr="007B6A01" w:rsidRDefault="007B6A01" w:rsidP="007B6A01">
      <w:pPr>
        <w:ind w:left="720" w:hanging="720"/>
        <w:rPr>
          <w:lang w:val="en-GB"/>
        </w:rPr>
      </w:pPr>
      <w:r w:rsidRPr="007B6A01">
        <w:rPr>
          <w:lang w:val="en-GB"/>
        </w:rPr>
        <w:t xml:space="preserve">Rasool, S.F., Samma, M., Wang, M., Zhao, Y. and Zhang, Y. (2019) ‘How human resource management practices influence employee performance’, </w:t>
      </w:r>
      <w:r w:rsidRPr="007B6A01">
        <w:rPr>
          <w:i/>
          <w:iCs/>
          <w:lang w:val="en-GB"/>
        </w:rPr>
        <w:t>Sustainability</w:t>
      </w:r>
      <w:r w:rsidRPr="007B6A01">
        <w:rPr>
          <w:lang w:val="en-GB"/>
        </w:rPr>
        <w:t>, 11(24), 1–18.</w:t>
      </w:r>
    </w:p>
    <w:p w14:paraId="0F463314" w14:textId="77777777" w:rsidR="007B6A01" w:rsidRDefault="007B6A01" w:rsidP="007B6A01">
      <w:pPr>
        <w:ind w:left="720" w:hanging="720"/>
        <w:rPr>
          <w:lang w:val="en-GB"/>
        </w:rPr>
      </w:pPr>
      <w:r w:rsidRPr="007B6A01">
        <w:rPr>
          <w:lang w:val="en-GB"/>
        </w:rPr>
        <w:t xml:space="preserve">Harney, B. and Collings, D.G. (2024) ‘Skills-based human resource management in a changing global environment’, </w:t>
      </w:r>
      <w:r w:rsidRPr="007B6A01">
        <w:rPr>
          <w:i/>
          <w:iCs/>
          <w:lang w:val="en-GB"/>
        </w:rPr>
        <w:t>Human Resource Development Review</w:t>
      </w:r>
      <w:r w:rsidRPr="007B6A01">
        <w:rPr>
          <w:lang w:val="en-GB"/>
        </w:rPr>
        <w:t>.</w:t>
      </w:r>
    </w:p>
    <w:p w14:paraId="59EF243E" w14:textId="4C1FAE09" w:rsidR="00155812" w:rsidRPr="00155812" w:rsidRDefault="00155812" w:rsidP="00155812">
      <w:pPr>
        <w:ind w:left="720" w:hanging="720"/>
        <w:rPr>
          <w:lang w:val="en-GB"/>
        </w:rPr>
      </w:pPr>
      <w:r w:rsidRPr="00155812">
        <w:rPr>
          <w:lang w:val="en-GB"/>
        </w:rPr>
        <w:t xml:space="preserve">Yüksel, I. (2012) ‘Developing a multi-criteria decision-making model for PESTEL analysis’, </w:t>
      </w:r>
      <w:r w:rsidRPr="00155812">
        <w:rPr>
          <w:i/>
          <w:iCs/>
          <w:lang w:val="en-GB"/>
        </w:rPr>
        <w:t>International Journal of Business and Management</w:t>
      </w:r>
      <w:r w:rsidRPr="00155812">
        <w:rPr>
          <w:lang w:val="en-GB"/>
        </w:rPr>
        <w:t>, 7(24), pp. 52–66.</w:t>
      </w:r>
    </w:p>
    <w:p w14:paraId="2B8621EC" w14:textId="77777777" w:rsidR="00155812" w:rsidRPr="007B6A01" w:rsidRDefault="00155812" w:rsidP="007B6A01">
      <w:pPr>
        <w:ind w:left="720" w:hanging="720"/>
        <w:rPr>
          <w:lang w:val="en-GB"/>
        </w:rPr>
      </w:pPr>
    </w:p>
    <w:p w14:paraId="2510888C" w14:textId="5D73DE07" w:rsidR="007B6A01" w:rsidRPr="007B6A01" w:rsidRDefault="007B6A01" w:rsidP="001F7D3D">
      <w:pPr>
        <w:rPr>
          <w:u w:val="single"/>
          <w:lang w:val="en-GB"/>
        </w:rPr>
      </w:pPr>
      <w:r w:rsidRPr="007B6A01">
        <w:rPr>
          <w:u w:val="single"/>
          <w:lang w:val="en-GB"/>
        </w:rPr>
        <w:t xml:space="preserve">Professional / PESTLE Source </w:t>
      </w:r>
    </w:p>
    <w:p w14:paraId="7AF32DCF" w14:textId="7A8AE983" w:rsidR="001F7D3D" w:rsidRDefault="007B6A01" w:rsidP="007B6A01">
      <w:pPr>
        <w:ind w:left="720" w:hanging="720"/>
        <w:rPr>
          <w:lang w:val="en-GB"/>
        </w:rPr>
      </w:pPr>
      <w:r w:rsidRPr="007B6A01">
        <w:rPr>
          <w:lang w:val="en-GB"/>
        </w:rPr>
        <w:t xml:space="preserve">Chartered Institute of Personnel and Development (2025) </w:t>
      </w:r>
      <w:r w:rsidRPr="007B6A01">
        <w:rPr>
          <w:i/>
          <w:iCs/>
          <w:lang w:val="en-GB"/>
        </w:rPr>
        <w:t>PESTLE analysis factsheet</w:t>
      </w:r>
      <w:r w:rsidRPr="007B6A01">
        <w:rPr>
          <w:lang w:val="en-GB"/>
        </w:rPr>
        <w:t>. Available at:</w:t>
      </w:r>
    </w:p>
    <w:p w14:paraId="40EAE09B" w14:textId="16D483D4" w:rsidR="007B6A01" w:rsidRPr="007B6A01" w:rsidRDefault="001F7D3D" w:rsidP="001F7D3D">
      <w:pPr>
        <w:ind w:left="720"/>
        <w:rPr>
          <w:lang w:val="en-GB"/>
        </w:rPr>
      </w:pPr>
      <w:hyperlink r:id="rId7" w:history="1">
        <w:r w:rsidRPr="007B6A01">
          <w:rPr>
            <w:rStyle w:val="Hyperlink"/>
            <w:lang w:val="en-GB"/>
          </w:rPr>
          <w:t>https://www.cipd.org/uk/knowledge/factsheets/pestle-analysis-factsheet/</w:t>
        </w:r>
      </w:hyperlink>
      <w:r w:rsidR="007B6A01" w:rsidRPr="007B6A01">
        <w:rPr>
          <w:lang w:val="en-GB"/>
        </w:rPr>
        <w:br/>
        <w:t>(Accessed: 20 April 2026).</w:t>
      </w:r>
    </w:p>
    <w:p w14:paraId="0DB77BDE" w14:textId="7D514E4E" w:rsidR="007B6A01" w:rsidRPr="007B6A01" w:rsidRDefault="007B6A01" w:rsidP="007B6A01">
      <w:pPr>
        <w:ind w:left="720" w:hanging="720"/>
        <w:rPr>
          <w:u w:val="single"/>
          <w:lang w:val="en-GB"/>
        </w:rPr>
      </w:pPr>
      <w:r w:rsidRPr="007B6A01">
        <w:rPr>
          <w:u w:val="single"/>
          <w:lang w:val="en-GB"/>
        </w:rPr>
        <w:lastRenderedPageBreak/>
        <w:t xml:space="preserve">3M </w:t>
      </w:r>
      <w:r w:rsidR="001F7D3D" w:rsidRPr="001F7D3D">
        <w:rPr>
          <w:u w:val="single"/>
          <w:lang w:val="en-GB"/>
        </w:rPr>
        <w:t>official sources</w:t>
      </w:r>
    </w:p>
    <w:p w14:paraId="0EC51D43" w14:textId="77777777" w:rsidR="001F7D3D" w:rsidRDefault="007B6A01" w:rsidP="007B6A01">
      <w:pPr>
        <w:ind w:left="720" w:hanging="720"/>
        <w:rPr>
          <w:lang w:val="en-GB"/>
        </w:rPr>
      </w:pPr>
      <w:r w:rsidRPr="007B6A01">
        <w:rPr>
          <w:lang w:val="en-GB"/>
        </w:rPr>
        <w:t xml:space="preserve">3M (2025a) </w:t>
      </w:r>
      <w:r w:rsidRPr="007B6A01">
        <w:rPr>
          <w:i/>
          <w:iCs/>
          <w:lang w:val="en-GB"/>
        </w:rPr>
        <w:t>Careers at 3M</w:t>
      </w:r>
      <w:r w:rsidRPr="007B6A01">
        <w:rPr>
          <w:lang w:val="en-GB"/>
        </w:rPr>
        <w:t>. Available at:</w:t>
      </w:r>
    </w:p>
    <w:p w14:paraId="5317BA28" w14:textId="750FBD7E" w:rsidR="007B6A01" w:rsidRPr="007B6A01" w:rsidRDefault="001F7D3D" w:rsidP="001F7D3D">
      <w:pPr>
        <w:ind w:left="720"/>
        <w:rPr>
          <w:lang w:val="en-GB"/>
        </w:rPr>
      </w:pPr>
      <w:hyperlink r:id="rId8" w:history="1">
        <w:r w:rsidRPr="007B6A01">
          <w:rPr>
            <w:rStyle w:val="Hyperlink"/>
            <w:lang w:val="en-GB"/>
          </w:rPr>
          <w:t>https://www.3m.com/3M/en_US/careers-us/</w:t>
        </w:r>
      </w:hyperlink>
      <w:r>
        <w:rPr>
          <w:lang w:val="en-GB"/>
        </w:rPr>
        <w:t xml:space="preserve"> </w:t>
      </w:r>
      <w:r w:rsidR="007B6A01" w:rsidRPr="007B6A01">
        <w:rPr>
          <w:lang w:val="en-GB"/>
        </w:rPr>
        <w:t>(Accessed: 20 April 2026).</w:t>
      </w:r>
    </w:p>
    <w:p w14:paraId="07905D46" w14:textId="77777777" w:rsidR="001F7D3D" w:rsidRDefault="007B6A01" w:rsidP="007B6A01">
      <w:pPr>
        <w:ind w:left="720" w:hanging="720"/>
        <w:rPr>
          <w:lang w:val="en-GB"/>
        </w:rPr>
      </w:pPr>
      <w:r w:rsidRPr="007B6A01">
        <w:rPr>
          <w:lang w:val="en-GB"/>
        </w:rPr>
        <w:t xml:space="preserve">3M (2025b) </w:t>
      </w:r>
      <w:r w:rsidRPr="007B6A01">
        <w:rPr>
          <w:i/>
          <w:iCs/>
          <w:lang w:val="en-GB"/>
        </w:rPr>
        <w:t>Working at 3M</w:t>
      </w:r>
      <w:r w:rsidRPr="007B6A01">
        <w:rPr>
          <w:lang w:val="en-GB"/>
        </w:rPr>
        <w:t>. Available at:</w:t>
      </w:r>
    </w:p>
    <w:p w14:paraId="504D6773" w14:textId="68F810C3" w:rsidR="007B6A01" w:rsidRPr="007B6A01" w:rsidRDefault="001F7D3D" w:rsidP="001F7D3D">
      <w:pPr>
        <w:ind w:left="720"/>
        <w:rPr>
          <w:lang w:val="en-GB"/>
        </w:rPr>
      </w:pPr>
      <w:hyperlink r:id="rId9" w:history="1">
        <w:r w:rsidRPr="007B6A01">
          <w:rPr>
            <w:rStyle w:val="Hyperlink"/>
            <w:lang w:val="en-GB"/>
          </w:rPr>
          <w:t>https://www.3m.com/3M/en_US/careers-us/working-at-3m/</w:t>
        </w:r>
      </w:hyperlink>
      <w:r>
        <w:rPr>
          <w:lang w:val="en-GB"/>
        </w:rPr>
        <w:t xml:space="preserve"> </w:t>
      </w:r>
      <w:r w:rsidR="007B6A01" w:rsidRPr="007B6A01">
        <w:rPr>
          <w:lang w:val="en-GB"/>
        </w:rPr>
        <w:t>(Accessed: 20 April 2026).</w:t>
      </w:r>
    </w:p>
    <w:p w14:paraId="3E8DDF72" w14:textId="77777777" w:rsidR="001F7D3D" w:rsidRDefault="007B6A01" w:rsidP="007B6A01">
      <w:pPr>
        <w:ind w:left="720" w:hanging="720"/>
        <w:rPr>
          <w:lang w:val="en-GB"/>
        </w:rPr>
      </w:pPr>
      <w:r w:rsidRPr="007B6A01">
        <w:rPr>
          <w:lang w:val="en-GB"/>
        </w:rPr>
        <w:t xml:space="preserve">3M (2025c) </w:t>
      </w:r>
      <w:r w:rsidRPr="007B6A01">
        <w:rPr>
          <w:i/>
          <w:iCs/>
          <w:lang w:val="en-GB"/>
        </w:rPr>
        <w:t>Sustainability and responsibility reports</w:t>
      </w:r>
      <w:r w:rsidRPr="007B6A01">
        <w:rPr>
          <w:lang w:val="en-GB"/>
        </w:rPr>
        <w:t>. Available at:</w:t>
      </w:r>
    </w:p>
    <w:p w14:paraId="4486753A" w14:textId="68586525" w:rsidR="007B6A01" w:rsidRPr="007B6A01" w:rsidRDefault="001F7D3D" w:rsidP="001F7D3D">
      <w:pPr>
        <w:ind w:left="720"/>
        <w:rPr>
          <w:lang w:val="en-GB"/>
        </w:rPr>
      </w:pPr>
      <w:hyperlink r:id="rId10" w:history="1">
        <w:r w:rsidRPr="007B6A01">
          <w:rPr>
            <w:rStyle w:val="Hyperlink"/>
            <w:lang w:val="en-GB"/>
          </w:rPr>
          <w:t>https://www.3m.com/3M/en_US/sustainability-us/reports/</w:t>
        </w:r>
      </w:hyperlink>
      <w:r>
        <w:rPr>
          <w:lang w:val="en-GB"/>
        </w:rPr>
        <w:t xml:space="preserve"> </w:t>
      </w:r>
      <w:r w:rsidR="007B6A01" w:rsidRPr="007B6A01">
        <w:rPr>
          <w:lang w:val="en-GB"/>
        </w:rPr>
        <w:t>(Accessed: 20 April 2026).</w:t>
      </w:r>
    </w:p>
    <w:p w14:paraId="4B72D42C" w14:textId="77777777" w:rsidR="001F7D3D" w:rsidRDefault="007B6A01" w:rsidP="007B6A01">
      <w:pPr>
        <w:ind w:left="720" w:hanging="720"/>
        <w:rPr>
          <w:lang w:val="en-GB"/>
        </w:rPr>
      </w:pPr>
      <w:r w:rsidRPr="007B6A01">
        <w:rPr>
          <w:lang w:val="en-GB"/>
        </w:rPr>
        <w:t xml:space="preserve">3M (2025d) </w:t>
      </w:r>
      <w:r w:rsidRPr="007B6A01">
        <w:rPr>
          <w:i/>
          <w:iCs/>
          <w:lang w:val="en-GB"/>
        </w:rPr>
        <w:t>Company overview</w:t>
      </w:r>
      <w:r w:rsidRPr="007B6A01">
        <w:rPr>
          <w:lang w:val="en-GB"/>
        </w:rPr>
        <w:t>. Available at:</w:t>
      </w:r>
    </w:p>
    <w:p w14:paraId="754C12BA" w14:textId="46FE8C3F" w:rsidR="007B6A01" w:rsidRPr="007B6A01" w:rsidRDefault="001F7D3D" w:rsidP="001F7D3D">
      <w:pPr>
        <w:ind w:left="720"/>
        <w:rPr>
          <w:lang w:val="en-GB"/>
        </w:rPr>
      </w:pPr>
      <w:hyperlink r:id="rId11" w:history="1">
        <w:r w:rsidRPr="007B6A01">
          <w:rPr>
            <w:rStyle w:val="Hyperlink"/>
            <w:lang w:val="en-GB"/>
          </w:rPr>
          <w:t>https://www.3m.com/3M/en_US/company-us/</w:t>
        </w:r>
      </w:hyperlink>
      <w:r>
        <w:rPr>
          <w:lang w:val="en-GB"/>
        </w:rPr>
        <w:t xml:space="preserve"> </w:t>
      </w:r>
      <w:r w:rsidR="007B6A01" w:rsidRPr="007B6A01">
        <w:rPr>
          <w:lang w:val="en-GB"/>
        </w:rPr>
        <w:t>(Accessed: 20 April 2026).</w:t>
      </w:r>
    </w:p>
    <w:p w14:paraId="2B60E1BE" w14:textId="77777777" w:rsidR="001F7D3D" w:rsidRDefault="007B6A01" w:rsidP="007B6A01">
      <w:pPr>
        <w:ind w:left="720" w:hanging="720"/>
        <w:rPr>
          <w:lang w:val="en-GB"/>
        </w:rPr>
      </w:pPr>
      <w:r w:rsidRPr="007B6A01">
        <w:rPr>
          <w:lang w:val="en-GB"/>
        </w:rPr>
        <w:t xml:space="preserve">3M (2025e) </w:t>
      </w:r>
      <w:r w:rsidRPr="007B6A01">
        <w:rPr>
          <w:i/>
          <w:iCs/>
          <w:lang w:val="en-GB"/>
        </w:rPr>
        <w:t>Innovation at 3M</w:t>
      </w:r>
      <w:r w:rsidRPr="007B6A01">
        <w:rPr>
          <w:lang w:val="en-GB"/>
        </w:rPr>
        <w:t>. Available at:</w:t>
      </w:r>
    </w:p>
    <w:p w14:paraId="02774F8D" w14:textId="7AFC574F" w:rsidR="007B6A01" w:rsidRPr="007B6A01" w:rsidRDefault="001F7D3D" w:rsidP="001F7D3D">
      <w:pPr>
        <w:ind w:left="720"/>
        <w:rPr>
          <w:lang w:val="en-GB"/>
        </w:rPr>
      </w:pPr>
      <w:hyperlink r:id="rId12" w:history="1">
        <w:r w:rsidRPr="007B6A01">
          <w:rPr>
            <w:rStyle w:val="Hyperlink"/>
            <w:lang w:val="en-GB"/>
          </w:rPr>
          <w:t>https://www.3m.com/3M/en_US/innovation-us/</w:t>
        </w:r>
      </w:hyperlink>
      <w:r>
        <w:rPr>
          <w:lang w:val="en-GB"/>
        </w:rPr>
        <w:t xml:space="preserve"> </w:t>
      </w:r>
      <w:r w:rsidR="007B6A01" w:rsidRPr="007B6A01">
        <w:rPr>
          <w:lang w:val="en-GB"/>
        </w:rPr>
        <w:t>(Accessed: 20 April 2026).</w:t>
      </w:r>
    </w:p>
    <w:p w14:paraId="06611DFC" w14:textId="378ACE96" w:rsidR="00000855" w:rsidRPr="00000855" w:rsidRDefault="00000855" w:rsidP="007B6A01">
      <w:pPr>
        <w:ind w:left="720" w:hanging="720"/>
        <w:rPr>
          <w:lang w:val="en-GB"/>
        </w:rPr>
      </w:pPr>
    </w:p>
    <w:sectPr w:rsidR="00000855" w:rsidRPr="000008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149F5"/>
    <w:multiLevelType w:val="multilevel"/>
    <w:tmpl w:val="047A3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4586A"/>
    <w:multiLevelType w:val="multilevel"/>
    <w:tmpl w:val="30A8E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20068A"/>
    <w:multiLevelType w:val="multilevel"/>
    <w:tmpl w:val="06040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C6243B"/>
    <w:multiLevelType w:val="multilevel"/>
    <w:tmpl w:val="30FC8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6216622">
    <w:abstractNumId w:val="2"/>
  </w:num>
  <w:num w:numId="2" w16cid:durableId="525214600">
    <w:abstractNumId w:val="0"/>
  </w:num>
  <w:num w:numId="3" w16cid:durableId="1531525004">
    <w:abstractNumId w:val="3"/>
  </w:num>
  <w:num w:numId="4" w16cid:durableId="1626814822">
    <w:abstractNumId w:val="1"/>
  </w:num>
  <w:num w:numId="5" w16cid:durableId="7893190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855"/>
    <w:rsid w:val="00000855"/>
    <w:rsid w:val="000407FD"/>
    <w:rsid w:val="000C2595"/>
    <w:rsid w:val="000F0947"/>
    <w:rsid w:val="00116792"/>
    <w:rsid w:val="00145341"/>
    <w:rsid w:val="00155812"/>
    <w:rsid w:val="00162559"/>
    <w:rsid w:val="00162A58"/>
    <w:rsid w:val="001742AA"/>
    <w:rsid w:val="00180F4A"/>
    <w:rsid w:val="00193CA5"/>
    <w:rsid w:val="001A2B2A"/>
    <w:rsid w:val="001E3BE1"/>
    <w:rsid w:val="001E4CE7"/>
    <w:rsid w:val="001F7D3D"/>
    <w:rsid w:val="002C5E65"/>
    <w:rsid w:val="003266F4"/>
    <w:rsid w:val="00326900"/>
    <w:rsid w:val="00332629"/>
    <w:rsid w:val="00336C1E"/>
    <w:rsid w:val="003740D5"/>
    <w:rsid w:val="003F2093"/>
    <w:rsid w:val="00463C22"/>
    <w:rsid w:val="00551FAD"/>
    <w:rsid w:val="0057051C"/>
    <w:rsid w:val="005E6BA1"/>
    <w:rsid w:val="006052FB"/>
    <w:rsid w:val="0064518C"/>
    <w:rsid w:val="007178F4"/>
    <w:rsid w:val="00734B0D"/>
    <w:rsid w:val="007B2641"/>
    <w:rsid w:val="007B6A01"/>
    <w:rsid w:val="00837775"/>
    <w:rsid w:val="008549F2"/>
    <w:rsid w:val="00855389"/>
    <w:rsid w:val="008D682D"/>
    <w:rsid w:val="008E27EC"/>
    <w:rsid w:val="008F629A"/>
    <w:rsid w:val="00920C25"/>
    <w:rsid w:val="00930C34"/>
    <w:rsid w:val="009E5D84"/>
    <w:rsid w:val="00A52642"/>
    <w:rsid w:val="00B30D25"/>
    <w:rsid w:val="00B4629B"/>
    <w:rsid w:val="00BA16BA"/>
    <w:rsid w:val="00BB01A5"/>
    <w:rsid w:val="00D3215D"/>
    <w:rsid w:val="00D6588D"/>
    <w:rsid w:val="00DD48B9"/>
    <w:rsid w:val="00DD6039"/>
    <w:rsid w:val="00E07036"/>
    <w:rsid w:val="00E62132"/>
    <w:rsid w:val="00EC3D44"/>
    <w:rsid w:val="00F16AE4"/>
    <w:rsid w:val="00F47362"/>
    <w:rsid w:val="00FC0010"/>
    <w:rsid w:val="00FD6541"/>
    <w:rsid w:val="00FD71C2"/>
    <w:rsid w:val="00FF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7F5FD"/>
  <w15:chartTrackingRefBased/>
  <w15:docId w15:val="{45A2BE56-3191-443B-BF5F-83890AB39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389"/>
    <w:pPr>
      <w:spacing w:after="80"/>
    </w:pPr>
    <w:rPr>
      <w:rFonts w:ascii="Arial" w:hAnsi="Arial"/>
      <w:sz w:val="24"/>
      <w:lang w:val="en-US"/>
    </w:rPr>
  </w:style>
  <w:style w:type="paragraph" w:styleId="Heading1">
    <w:name w:val="heading 1"/>
    <w:basedOn w:val="Normal"/>
    <w:next w:val="Normal"/>
    <w:link w:val="Heading1Char"/>
    <w:autoRedefine/>
    <w:uiPriority w:val="9"/>
    <w:qFormat/>
    <w:rsid w:val="00332629"/>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7178F4"/>
    <w:pPr>
      <w:keepNext/>
      <w:keepLines/>
      <w:spacing w:before="16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00085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0085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0085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0085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0085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0085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332629"/>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7178F4"/>
    <w:rPr>
      <w:rFonts w:ascii="Arial" w:eastAsiaTheme="majorEastAsia" w:hAnsi="Arial" w:cstheme="majorBidi"/>
      <w:b/>
      <w:sz w:val="24"/>
      <w:szCs w:val="32"/>
    </w:rPr>
  </w:style>
  <w:style w:type="character" w:customStyle="1" w:styleId="Heading4Char">
    <w:name w:val="Heading 4 Char"/>
    <w:basedOn w:val="DefaultParagraphFont"/>
    <w:link w:val="Heading4"/>
    <w:uiPriority w:val="9"/>
    <w:semiHidden/>
    <w:rsid w:val="00000855"/>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000855"/>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000855"/>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000855"/>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000855"/>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000855"/>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000855"/>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855"/>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00085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855"/>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00085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00855"/>
    <w:rPr>
      <w:rFonts w:ascii="Arial" w:hAnsi="Arial"/>
      <w:i/>
      <w:iCs/>
      <w:color w:val="404040" w:themeColor="text1" w:themeTint="BF"/>
      <w:sz w:val="24"/>
      <w:lang w:val="en-US"/>
    </w:rPr>
  </w:style>
  <w:style w:type="paragraph" w:styleId="ListParagraph">
    <w:name w:val="List Paragraph"/>
    <w:basedOn w:val="Normal"/>
    <w:uiPriority w:val="34"/>
    <w:qFormat/>
    <w:rsid w:val="00000855"/>
    <w:pPr>
      <w:ind w:left="720"/>
      <w:contextualSpacing/>
    </w:pPr>
  </w:style>
  <w:style w:type="character" w:styleId="IntenseEmphasis">
    <w:name w:val="Intense Emphasis"/>
    <w:basedOn w:val="DefaultParagraphFont"/>
    <w:uiPriority w:val="21"/>
    <w:qFormat/>
    <w:rsid w:val="00000855"/>
    <w:rPr>
      <w:i/>
      <w:iCs/>
      <w:color w:val="0F4761" w:themeColor="accent1" w:themeShade="BF"/>
    </w:rPr>
  </w:style>
  <w:style w:type="paragraph" w:styleId="IntenseQuote">
    <w:name w:val="Intense Quote"/>
    <w:basedOn w:val="Normal"/>
    <w:next w:val="Normal"/>
    <w:link w:val="IntenseQuoteChar"/>
    <w:uiPriority w:val="30"/>
    <w:qFormat/>
    <w:rsid w:val="000008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855"/>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000855"/>
    <w:rPr>
      <w:b/>
      <w:bCs/>
      <w:smallCaps/>
      <w:color w:val="0F4761" w:themeColor="accent1" w:themeShade="BF"/>
      <w:spacing w:val="5"/>
    </w:rPr>
  </w:style>
  <w:style w:type="character" w:styleId="Hyperlink">
    <w:name w:val="Hyperlink"/>
    <w:basedOn w:val="DefaultParagraphFont"/>
    <w:uiPriority w:val="99"/>
    <w:unhideWhenUsed/>
    <w:rsid w:val="00000855"/>
    <w:rPr>
      <w:color w:val="467886" w:themeColor="hyperlink"/>
      <w:u w:val="single"/>
    </w:rPr>
  </w:style>
  <w:style w:type="character" w:styleId="UnresolvedMention">
    <w:name w:val="Unresolved Mention"/>
    <w:basedOn w:val="DefaultParagraphFont"/>
    <w:uiPriority w:val="99"/>
    <w:semiHidden/>
    <w:unhideWhenUsed/>
    <w:rsid w:val="00000855"/>
    <w:rPr>
      <w:color w:val="605E5C"/>
      <w:shd w:val="clear" w:color="auto" w:fill="E1DFDD"/>
    </w:rPr>
  </w:style>
  <w:style w:type="paragraph" w:styleId="TOCHeading">
    <w:name w:val="TOC Heading"/>
    <w:basedOn w:val="Heading1"/>
    <w:next w:val="Normal"/>
    <w:uiPriority w:val="39"/>
    <w:unhideWhenUsed/>
    <w:qFormat/>
    <w:rsid w:val="00DD6039"/>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DD6039"/>
    <w:pPr>
      <w:spacing w:after="100"/>
    </w:pPr>
  </w:style>
  <w:style w:type="paragraph" w:styleId="NormalWeb">
    <w:name w:val="Normal (Web)"/>
    <w:basedOn w:val="Normal"/>
    <w:uiPriority w:val="99"/>
    <w:semiHidden/>
    <w:unhideWhenUsed/>
    <w:rsid w:val="0064518C"/>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3m.com/3M/en_US/careers-u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ipd.org/uk/knowledge/factsheets/pestle-analysis-factsheet/" TargetMode="External"/><Relationship Id="rId12" Type="http://schemas.openxmlformats.org/officeDocument/2006/relationships/hyperlink" Target="https://www.3m.com/3M/en_US/innovation-u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3m.com/3M/en_US/company-us/" TargetMode="External"/><Relationship Id="rId5" Type="http://schemas.openxmlformats.org/officeDocument/2006/relationships/webSettings" Target="webSettings.xml"/><Relationship Id="rId10" Type="http://schemas.openxmlformats.org/officeDocument/2006/relationships/hyperlink" Target="https://www.3m.com/3M/en_US/sustainability-us/reports/" TargetMode="External"/><Relationship Id="rId4" Type="http://schemas.openxmlformats.org/officeDocument/2006/relationships/settings" Target="settings.xml"/><Relationship Id="rId9" Type="http://schemas.openxmlformats.org/officeDocument/2006/relationships/hyperlink" Target="https://www.3m.com/3M/en_US/careers-us/working-at-3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B4B0FD-ED51-454A-8412-D43A14B9E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3083</Words>
  <Characters>17576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Carmen Antal-Berbecaru (2242917)</cp:lastModifiedBy>
  <cp:revision>13</cp:revision>
  <dcterms:created xsi:type="dcterms:W3CDTF">2026-04-20T17:26:00Z</dcterms:created>
  <dcterms:modified xsi:type="dcterms:W3CDTF">2026-04-28T23:12:00Z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e1d13d62-475e-45e5-a422-8d503f036b4c</vt:lpwstr>
  </property>
</Properties>
</file>