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581F9D" w14:textId="1B80089A" w:rsidR="00F925E7" w:rsidRDefault="003D7C25">
      <w:r>
        <w:rPr>
          <w:noProof/>
        </w:rPr>
        <w:drawing>
          <wp:inline distT="0" distB="0" distL="0" distR="0" wp14:anchorId="244DB0B1" wp14:editId="3093A88A">
            <wp:extent cx="5937885" cy="1885244"/>
            <wp:effectExtent l="0" t="0" r="5715" b="1270"/>
            <wp:docPr id="1045148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148960" name="Picture 1045148960"/>
                    <pic:cNvPicPr/>
                  </pic:nvPicPr>
                  <pic:blipFill>
                    <a:blip r:embed="rId4">
                      <a:extLst>
                        <a:ext uri="{28A0092B-C50C-407E-A947-70E740481C1C}">
                          <a14:useLocalDpi xmlns:a14="http://schemas.microsoft.com/office/drawing/2010/main" val="0"/>
                        </a:ext>
                      </a:extLst>
                    </a:blip>
                    <a:stretch>
                      <a:fillRect/>
                    </a:stretch>
                  </pic:blipFill>
                  <pic:spPr>
                    <a:xfrm>
                      <a:off x="0" y="0"/>
                      <a:ext cx="6034029" cy="1915769"/>
                    </a:xfrm>
                    <a:prstGeom prst="rect">
                      <a:avLst/>
                    </a:prstGeom>
                  </pic:spPr>
                </pic:pic>
              </a:graphicData>
            </a:graphic>
          </wp:inline>
        </w:drawing>
      </w:r>
    </w:p>
    <w:p w14:paraId="5B345DFE" w14:textId="77777777" w:rsidR="0072317F" w:rsidRDefault="0072317F"/>
    <w:p w14:paraId="352E98E5" w14:textId="77777777" w:rsidR="0072317F" w:rsidRDefault="0072317F"/>
    <w:p w14:paraId="0A2F604B" w14:textId="5A8DB385" w:rsidR="0072317F" w:rsidRDefault="0072317F">
      <w:pPr>
        <w:rPr>
          <w:sz w:val="44"/>
          <w:szCs w:val="44"/>
        </w:rPr>
      </w:pPr>
      <w:r w:rsidRPr="0009507D">
        <w:rPr>
          <w:sz w:val="44"/>
          <w:szCs w:val="44"/>
        </w:rPr>
        <w:t>HEALTH,</w:t>
      </w:r>
      <w:r w:rsidR="0009507D">
        <w:rPr>
          <w:sz w:val="44"/>
          <w:szCs w:val="44"/>
        </w:rPr>
        <w:t xml:space="preserve"> </w:t>
      </w:r>
      <w:r w:rsidRPr="0009507D">
        <w:rPr>
          <w:sz w:val="44"/>
          <w:szCs w:val="44"/>
        </w:rPr>
        <w:t>WELLBEIN</w:t>
      </w:r>
      <w:r w:rsidR="0009507D">
        <w:rPr>
          <w:sz w:val="44"/>
          <w:szCs w:val="44"/>
        </w:rPr>
        <w:t xml:space="preserve">G </w:t>
      </w:r>
      <w:r w:rsidRPr="0009507D">
        <w:rPr>
          <w:sz w:val="44"/>
          <w:szCs w:val="44"/>
        </w:rPr>
        <w:t xml:space="preserve">AND SUSTAINABLE DEVELOPMENT </w:t>
      </w:r>
    </w:p>
    <w:p w14:paraId="62F3A6DE" w14:textId="1AD6F7E2" w:rsidR="0009507D" w:rsidRDefault="0009507D">
      <w:pPr>
        <w:rPr>
          <w:sz w:val="44"/>
          <w:szCs w:val="44"/>
        </w:rPr>
      </w:pPr>
      <w:r>
        <w:rPr>
          <w:sz w:val="44"/>
          <w:szCs w:val="44"/>
        </w:rPr>
        <w:t>(</w:t>
      </w:r>
      <w:r w:rsidRPr="0009507D">
        <w:rPr>
          <w:sz w:val="44"/>
          <w:szCs w:val="44"/>
        </w:rPr>
        <w:t>BMHP6030</w:t>
      </w:r>
      <w:r>
        <w:rPr>
          <w:sz w:val="44"/>
          <w:szCs w:val="44"/>
        </w:rPr>
        <w:t>)</w:t>
      </w:r>
    </w:p>
    <w:p w14:paraId="10225674" w14:textId="77777777" w:rsidR="0009507D" w:rsidRDefault="0009507D">
      <w:pPr>
        <w:rPr>
          <w:sz w:val="44"/>
          <w:szCs w:val="44"/>
        </w:rPr>
      </w:pPr>
    </w:p>
    <w:p w14:paraId="1902D8D3" w14:textId="1FE57ECE" w:rsidR="0009507D" w:rsidRPr="0009507D" w:rsidRDefault="0009507D">
      <w:pPr>
        <w:rPr>
          <w:sz w:val="44"/>
          <w:szCs w:val="44"/>
          <w:lang w:val="nl-NL"/>
        </w:rPr>
      </w:pPr>
      <w:r w:rsidRPr="0009507D">
        <w:rPr>
          <w:sz w:val="44"/>
          <w:szCs w:val="44"/>
          <w:lang w:val="nl-NL"/>
        </w:rPr>
        <w:t xml:space="preserve">Analysing </w:t>
      </w:r>
      <w:r>
        <w:rPr>
          <w:sz w:val="44"/>
          <w:szCs w:val="44"/>
          <w:lang w:val="nl-NL"/>
        </w:rPr>
        <w:t>SDG 3  &amp;  SDG 2</w:t>
      </w:r>
    </w:p>
    <w:p w14:paraId="74B97B4E" w14:textId="0082AF71" w:rsidR="0009507D" w:rsidRPr="0009507D" w:rsidRDefault="0009507D">
      <w:pPr>
        <w:rPr>
          <w:sz w:val="44"/>
          <w:szCs w:val="44"/>
          <w:lang w:val="nl-NL"/>
        </w:rPr>
      </w:pPr>
      <w:r w:rsidRPr="0009507D">
        <w:rPr>
          <w:sz w:val="44"/>
          <w:szCs w:val="44"/>
          <w:lang w:val="nl-NL"/>
        </w:rPr>
        <w:t>Student name: Katarzyna Gluba</w:t>
      </w:r>
    </w:p>
    <w:p w14:paraId="4DB6AE1A" w14:textId="68225AD6" w:rsidR="0009507D" w:rsidRPr="0009507D" w:rsidRDefault="0009507D">
      <w:pPr>
        <w:rPr>
          <w:sz w:val="44"/>
          <w:szCs w:val="44"/>
          <w:lang w:val="nl-NL"/>
        </w:rPr>
      </w:pPr>
      <w:r w:rsidRPr="0009507D">
        <w:rPr>
          <w:sz w:val="44"/>
          <w:szCs w:val="44"/>
          <w:lang w:val="nl-NL"/>
        </w:rPr>
        <w:t>Student ID: 2316845</w:t>
      </w:r>
    </w:p>
    <w:p w14:paraId="6B22EA67" w14:textId="77777777" w:rsidR="0009507D" w:rsidRPr="0009507D" w:rsidRDefault="0009507D">
      <w:pPr>
        <w:rPr>
          <w:sz w:val="44"/>
          <w:szCs w:val="44"/>
          <w:lang w:val="nl-NL"/>
        </w:rPr>
      </w:pPr>
    </w:p>
    <w:p w14:paraId="244D5E7B" w14:textId="6253CD42" w:rsidR="0009507D" w:rsidRDefault="0009507D">
      <w:pPr>
        <w:rPr>
          <w:sz w:val="44"/>
          <w:szCs w:val="44"/>
          <w:lang w:val="pl-PL"/>
        </w:rPr>
      </w:pPr>
      <w:r>
        <w:rPr>
          <w:sz w:val="44"/>
          <w:szCs w:val="44"/>
          <w:lang w:val="pl-PL"/>
        </w:rPr>
        <w:t>Lecture name: Itse Olaoye</w:t>
      </w:r>
    </w:p>
    <w:p w14:paraId="6D58C086" w14:textId="77777777" w:rsidR="0009507D" w:rsidRDefault="0009507D">
      <w:pPr>
        <w:rPr>
          <w:sz w:val="44"/>
          <w:szCs w:val="44"/>
          <w:lang w:val="pl-PL"/>
        </w:rPr>
      </w:pPr>
    </w:p>
    <w:p w14:paraId="7EA27EF8" w14:textId="77777777" w:rsidR="0009507D" w:rsidRDefault="0009507D">
      <w:pPr>
        <w:rPr>
          <w:sz w:val="44"/>
          <w:szCs w:val="44"/>
          <w:lang w:val="pl-PL"/>
        </w:rPr>
      </w:pPr>
    </w:p>
    <w:p w14:paraId="51C17801" w14:textId="77777777" w:rsidR="0009507D" w:rsidRDefault="0009507D">
      <w:pPr>
        <w:rPr>
          <w:sz w:val="44"/>
          <w:szCs w:val="44"/>
          <w:lang w:val="pl-PL"/>
        </w:rPr>
      </w:pPr>
    </w:p>
    <w:p w14:paraId="6E3B12CE" w14:textId="77777777" w:rsidR="0009507D" w:rsidRDefault="0009507D">
      <w:pPr>
        <w:rPr>
          <w:sz w:val="44"/>
          <w:szCs w:val="44"/>
          <w:lang w:val="pl-PL"/>
        </w:rPr>
      </w:pPr>
    </w:p>
    <w:p w14:paraId="12F34005" w14:textId="77777777" w:rsidR="0009507D" w:rsidRDefault="0009507D">
      <w:pPr>
        <w:rPr>
          <w:rFonts w:ascii="Arial" w:hAnsi="Arial" w:cs="Arial"/>
          <w:sz w:val="24"/>
          <w:szCs w:val="24"/>
          <w:lang w:val="pl-PL"/>
        </w:rPr>
      </w:pPr>
    </w:p>
    <w:p w14:paraId="137B99B1" w14:textId="4DB0CE9D" w:rsidR="0009507D" w:rsidRPr="0002433D" w:rsidRDefault="0009507D" w:rsidP="0002433D">
      <w:pPr>
        <w:spacing w:line="360" w:lineRule="auto"/>
        <w:rPr>
          <w:rFonts w:ascii="Arial" w:hAnsi="Arial" w:cs="Arial"/>
          <w:b/>
          <w:bCs/>
          <w:sz w:val="24"/>
          <w:szCs w:val="24"/>
        </w:rPr>
      </w:pPr>
      <w:r w:rsidRPr="0002433D">
        <w:rPr>
          <w:rFonts w:ascii="Arial" w:hAnsi="Arial" w:cs="Arial"/>
          <w:b/>
          <w:bCs/>
          <w:sz w:val="24"/>
          <w:szCs w:val="24"/>
        </w:rPr>
        <w:lastRenderedPageBreak/>
        <w:t xml:space="preserve">INTRODUCTION </w:t>
      </w:r>
    </w:p>
    <w:p w14:paraId="79696B34" w14:textId="2311328F" w:rsidR="0009507D" w:rsidRPr="0002433D" w:rsidRDefault="0009507D" w:rsidP="0002433D">
      <w:pPr>
        <w:spacing w:line="360" w:lineRule="auto"/>
        <w:rPr>
          <w:rFonts w:ascii="Arial" w:hAnsi="Arial" w:cs="Arial"/>
          <w:b/>
          <w:bCs/>
          <w:sz w:val="24"/>
          <w:szCs w:val="24"/>
        </w:rPr>
      </w:pPr>
      <w:r w:rsidRPr="0002433D">
        <w:rPr>
          <w:rFonts w:ascii="Arial" w:hAnsi="Arial" w:cs="Arial"/>
          <w:b/>
          <w:bCs/>
          <w:sz w:val="24"/>
          <w:szCs w:val="24"/>
        </w:rPr>
        <w:t>SDG 3</w:t>
      </w:r>
      <w:r w:rsidR="00D46E43" w:rsidRPr="0002433D">
        <w:rPr>
          <w:rFonts w:ascii="Arial" w:hAnsi="Arial" w:cs="Arial"/>
          <w:b/>
          <w:bCs/>
          <w:sz w:val="24"/>
          <w:szCs w:val="24"/>
        </w:rPr>
        <w:t xml:space="preserve"> – GOOD HEALTH AND WELL - BEING</w:t>
      </w:r>
    </w:p>
    <w:p w14:paraId="7B584A47"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r w:rsidRPr="0002433D">
        <w:rPr>
          <w:rFonts w:ascii="Arial" w:eastAsia="Times New Roman" w:hAnsi="Arial" w:cs="Arial"/>
          <w:kern w:val="0"/>
          <w:sz w:val="24"/>
          <w:szCs w:val="24"/>
          <w:lang w:eastAsia="en-GB"/>
          <w14:ligatures w14:val="none"/>
        </w:rPr>
        <w:t xml:space="preserve">Health is a fundamental human right and the bedrock of individual flourishing, social cohesion and inclusive sustainable development. The United Nations Sustainable Development Goal (SDG) 3 – </w:t>
      </w:r>
      <w:r w:rsidRPr="0002433D">
        <w:rPr>
          <w:rFonts w:ascii="Arial" w:eastAsia="Times New Roman" w:hAnsi="Arial" w:cs="Arial"/>
          <w:i/>
          <w:iCs/>
          <w:kern w:val="0"/>
          <w:sz w:val="24"/>
          <w:szCs w:val="24"/>
          <w:lang w:eastAsia="en-GB"/>
          <w14:ligatures w14:val="none"/>
        </w:rPr>
        <w:t>Ensure healthy lives and promote wellbeing for all at all ages</w:t>
      </w:r>
      <w:r w:rsidRPr="0002433D">
        <w:rPr>
          <w:rFonts w:ascii="Arial" w:eastAsia="Times New Roman" w:hAnsi="Arial" w:cs="Arial"/>
          <w:kern w:val="0"/>
          <w:sz w:val="24"/>
          <w:szCs w:val="24"/>
          <w:lang w:eastAsia="en-GB"/>
          <w14:ligatures w14:val="none"/>
        </w:rPr>
        <w:t xml:space="preserve"> – places holistic physical, mental and social wellbeing at the very heart of the 2030 Agenda for Sustainable Development. Moving far beyond the narrow definition of health as merely the absence of disease, SDG 3 aligns with the World Health Organization’s core principle that wellbeing depends not only on access to medical care but on safe environments, equitable living conditions, clean natural surroundings and supportive communities. This report critically examines current health, wellbeing and sustainability policies and initiatives across global, UK national and local levels, analyses the impact and implementation of SDG 3, evaluates the effectiveness of existing action, identifies structural strengths and persistent systemic failures, and sets out targeted recommendations to advance equitable, sustainable health outcomes for all citizens.</w:t>
      </w:r>
    </w:p>
    <w:p w14:paraId="767EA34D"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p>
    <w:p w14:paraId="3C0AEF6C" w14:textId="77777777" w:rsidR="00D46E43" w:rsidRPr="0002433D" w:rsidRDefault="00D46E43" w:rsidP="0002433D">
      <w:pPr>
        <w:spacing w:after="0" w:line="360" w:lineRule="auto"/>
        <w:rPr>
          <w:rFonts w:ascii="Arial" w:eastAsia="Times New Roman" w:hAnsi="Arial" w:cs="Arial"/>
          <w:b/>
          <w:bCs/>
          <w:kern w:val="0"/>
          <w:sz w:val="24"/>
          <w:szCs w:val="24"/>
          <w:lang w:eastAsia="en-GB"/>
          <w14:ligatures w14:val="none"/>
        </w:rPr>
      </w:pPr>
    </w:p>
    <w:p w14:paraId="052670CB" w14:textId="0A8FE020" w:rsidR="00D46E43" w:rsidRPr="0002433D" w:rsidRDefault="00D46E43" w:rsidP="0002433D">
      <w:pPr>
        <w:spacing w:after="0" w:line="360" w:lineRule="auto"/>
        <w:outlineLvl w:val="1"/>
        <w:rPr>
          <w:rFonts w:ascii="Arial" w:eastAsia="Times New Roman" w:hAnsi="Arial" w:cs="Arial"/>
          <w:b/>
          <w:bCs/>
          <w:kern w:val="0"/>
          <w:sz w:val="24"/>
          <w:szCs w:val="24"/>
          <w:lang w:eastAsia="en-GB"/>
          <w14:ligatures w14:val="none"/>
        </w:rPr>
      </w:pPr>
      <w:r w:rsidRPr="0002433D">
        <w:rPr>
          <w:rFonts w:ascii="Arial" w:eastAsia="Times New Roman" w:hAnsi="Arial" w:cs="Arial"/>
          <w:b/>
          <w:bCs/>
          <w:kern w:val="0"/>
          <w:sz w:val="24"/>
          <w:szCs w:val="24"/>
          <w:lang w:eastAsia="en-GB"/>
          <w14:ligatures w14:val="none"/>
        </w:rPr>
        <w:t>Analysis of SDG 3</w:t>
      </w:r>
    </w:p>
    <w:p w14:paraId="2EC1DDE9"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r w:rsidRPr="0002433D">
        <w:rPr>
          <w:rFonts w:ascii="Arial" w:eastAsia="Times New Roman" w:hAnsi="Arial" w:cs="Arial"/>
          <w:kern w:val="0"/>
          <w:sz w:val="24"/>
          <w:szCs w:val="24"/>
          <w:lang w:eastAsia="en-GB"/>
          <w14:ligatures w14:val="none"/>
        </w:rPr>
        <w:t>SDG 3 sets clear, measurable targets designed to transform global health: universal health coverage (UHC) with financial risk protection; sharp reductions in maternal, newborn and child mortality; ending epidemics of HIV/AIDS, tuberculosis, malaria and hepatitis; reducing premature mortality from non-communicable diseases (NCDs – heart disease, cancer, diabetes, respiratory illness) by one-third; strengthening mental health promotion and treatment; cutting deaths from road accidents and hazardous pollution; and building a sufficient, skilled, fairly distributed global health workforce. A defining strength of SDG 3 is its explicit recognition that health outcomes are driven by wider social and environmental determinants: clean air, safe affordable housing, nutritious food, accessible green spaces and inclusive communities. This directly ties SDG 3 to broader sustainability goals, proving health cannot be achieved in isolation from environmental protection, equitable development and climate action.</w:t>
      </w:r>
    </w:p>
    <w:p w14:paraId="1384B645"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p>
    <w:p w14:paraId="5E6AF608"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r w:rsidRPr="0002433D">
        <w:rPr>
          <w:rFonts w:ascii="Arial" w:eastAsia="Times New Roman" w:hAnsi="Arial" w:cs="Arial"/>
          <w:kern w:val="0"/>
          <w:sz w:val="24"/>
          <w:szCs w:val="24"/>
          <w:lang w:eastAsia="en-GB"/>
          <w14:ligatures w14:val="none"/>
        </w:rPr>
        <w:lastRenderedPageBreak/>
        <w:t>At the global level, SDG 3 has acted as a powerful unifying framework, driving measurable public health gains. International cooperation has reduced global child mortality significantly, expanded life-saving treatment for infectious diseases, widened vaccine coverage and established universal health coverage as a mainstream global policy priority. Global agreements increasingly acknowledge pollution and climate change as urgent public health threats. However, implementation remains deeply inequitable and fragmented. Progress is concentrated in high-income nations such as the UK, while low-income countries face chronic underfunding, crippling debt, shortages of essential medicines and fragile under-resourced health systems – inequalities brutally exposed during the COVID-19 pandemic, when wealthy nations hoarded vaccines and protective equipment while poorer nations were left behind. Global health policy remains disproportionately reactive: funding prioritises acute clinical treatment over long-term prevention, primary care and environmental public health. Powerful commercial industries – fossil fuels, tobacco, alcohol and ultra-processed food corporations – continue to drive air pollution, chronic illness and health disparities, with weak global regulation to safeguard public health.</w:t>
      </w:r>
    </w:p>
    <w:p w14:paraId="4384D1A6"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p>
    <w:p w14:paraId="486D6833"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r w:rsidRPr="0002433D">
        <w:rPr>
          <w:rFonts w:ascii="Arial" w:eastAsia="Times New Roman" w:hAnsi="Arial" w:cs="Arial"/>
          <w:kern w:val="0"/>
          <w:sz w:val="24"/>
          <w:szCs w:val="24"/>
          <w:lang w:eastAsia="en-GB"/>
          <w14:ligatures w14:val="none"/>
        </w:rPr>
        <w:t xml:space="preserve">At the UK national level, the National Health Service (NHS) stands as the flagship delivery mechanism for SDG 3, delivering universal healthcare free at the point of use to all residents – a core model of equitable universal health coverage. National public health strategies target cancer screening programmes, cardiovascular risk reduction and mental health awareness campaigns, while sustainability policies such as the Clean Air Act framework and the UK Net Zero Strategy explicitly link environmental action to improved population health. Yet critical structural weaknesses severely limit effectiveness. Decades of prolonged underfunding, workforce shortages and service fragmentation have led to record-high waiting lists for hospital treatment, diagnostics and specialist mental health support, widening health gaps across nations and regions of the UK. National health policy remains heavily treatment-centric: </w:t>
      </w:r>
      <w:proofErr w:type="gramStart"/>
      <w:r w:rsidRPr="0002433D">
        <w:rPr>
          <w:rFonts w:ascii="Arial" w:eastAsia="Times New Roman" w:hAnsi="Arial" w:cs="Arial"/>
          <w:kern w:val="0"/>
          <w:sz w:val="24"/>
          <w:szCs w:val="24"/>
          <w:lang w:eastAsia="en-GB"/>
          <w14:ligatures w14:val="none"/>
        </w:rPr>
        <w:t>the vast majority of</w:t>
      </w:r>
      <w:proofErr w:type="gramEnd"/>
      <w:r w:rsidRPr="0002433D">
        <w:rPr>
          <w:rFonts w:ascii="Arial" w:eastAsia="Times New Roman" w:hAnsi="Arial" w:cs="Arial"/>
          <w:kern w:val="0"/>
          <w:sz w:val="24"/>
          <w:szCs w:val="24"/>
          <w:lang w:eastAsia="en-GB"/>
          <w14:ligatures w14:val="none"/>
        </w:rPr>
        <w:t xml:space="preserve"> resources are directed toward hospital-based care, while investment in community-based prevention, health promotion and tackling the root environmental causes of ill health remains marginal. Institutional policy silos persist across government departments: health, transport, housing and environment ministries operate separately, meaning urban planning and transport </w:t>
      </w:r>
      <w:r w:rsidRPr="0002433D">
        <w:rPr>
          <w:rFonts w:ascii="Arial" w:eastAsia="Times New Roman" w:hAnsi="Arial" w:cs="Arial"/>
          <w:kern w:val="0"/>
          <w:sz w:val="24"/>
          <w:szCs w:val="24"/>
          <w:lang w:eastAsia="en-GB"/>
          <w14:ligatures w14:val="none"/>
        </w:rPr>
        <w:lastRenderedPageBreak/>
        <w:t>policies often increase traffic pollution, noise and physical inactivity – worsening respiratory and cardiovascular illness and deepening health inequalities between affluent and deprived communities.</w:t>
      </w:r>
    </w:p>
    <w:p w14:paraId="2A49B4E4"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p>
    <w:p w14:paraId="28433775"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r w:rsidRPr="0002433D">
        <w:rPr>
          <w:rFonts w:ascii="Arial" w:eastAsia="Times New Roman" w:hAnsi="Arial" w:cs="Arial"/>
          <w:kern w:val="0"/>
          <w:sz w:val="24"/>
          <w:szCs w:val="24"/>
          <w:lang w:eastAsia="en-GB"/>
          <w14:ligatures w14:val="none"/>
        </w:rPr>
        <w:t xml:space="preserve">At the local UK level, city councils, integrated care boards (ICBs), NHS community teams and voluntary groups are the frontline of SDG 3 delivery, where policies directly shape daily citizen wellbeing. Many local authorities have expanded accessible public parks, woodland spaces, dedicated walking and cycling networks and community wellbeing hubs – initiatives that encourage regular physical activity, reduce chronic stress, improve social connection and mitigate urban heat, directly boosting physical and mental health. Local public health teams deliver free community health checks, weight management programmes and mental health outreach to reach vulnerable residents. Despite these positive examples, local delivery faces severe constraints: years of central government budget cuts have reduced local public health funding and limited capacity to sustain long-term projects. Access to high-quality green spaces, safe active travel routes and wellbeing services is geographically and socially uneven: these assets cluster in wealthy neighbourhoods, while deprived urban areas and coastal communities – which already suffer the highest rates of chronic illness, poverty and mental distress – are left with poor air quality, limited recreational space and under-resourced support services. Coordination between local councils, health providers and community organisations is often disjointed, and </w:t>
      </w:r>
      <w:proofErr w:type="gramStart"/>
      <w:r w:rsidRPr="0002433D">
        <w:rPr>
          <w:rFonts w:ascii="Arial" w:eastAsia="Times New Roman" w:hAnsi="Arial" w:cs="Arial"/>
          <w:kern w:val="0"/>
          <w:sz w:val="24"/>
          <w:szCs w:val="24"/>
          <w:lang w:eastAsia="en-GB"/>
          <w14:ligatures w14:val="none"/>
        </w:rPr>
        <w:t>local residents</w:t>
      </w:r>
      <w:proofErr w:type="gramEnd"/>
      <w:r w:rsidRPr="0002433D">
        <w:rPr>
          <w:rFonts w:ascii="Arial" w:eastAsia="Times New Roman" w:hAnsi="Arial" w:cs="Arial"/>
          <w:kern w:val="0"/>
          <w:sz w:val="24"/>
          <w:szCs w:val="24"/>
          <w:lang w:eastAsia="en-GB"/>
          <w14:ligatures w14:val="none"/>
        </w:rPr>
        <w:t xml:space="preserve"> – particularly marginalised groups – are rarely meaningfully involved in designing services to meet their specific needs.</w:t>
      </w:r>
    </w:p>
    <w:p w14:paraId="5B200D22"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p>
    <w:p w14:paraId="35B34F8F" w14:textId="77777777" w:rsidR="00D46E43" w:rsidRPr="0002433D" w:rsidRDefault="00D46E43" w:rsidP="0002433D">
      <w:pPr>
        <w:spacing w:after="0" w:line="360" w:lineRule="auto"/>
        <w:outlineLvl w:val="1"/>
        <w:rPr>
          <w:rFonts w:ascii="Arial" w:eastAsia="Times New Roman" w:hAnsi="Arial" w:cs="Arial"/>
          <w:b/>
          <w:bCs/>
          <w:kern w:val="0"/>
          <w:sz w:val="24"/>
          <w:szCs w:val="24"/>
          <w:lang w:eastAsia="en-GB"/>
          <w14:ligatures w14:val="none"/>
        </w:rPr>
      </w:pPr>
      <w:r w:rsidRPr="0002433D">
        <w:rPr>
          <w:rFonts w:ascii="Arial" w:eastAsia="Times New Roman" w:hAnsi="Arial" w:cs="Arial"/>
          <w:b/>
          <w:bCs/>
          <w:kern w:val="0"/>
          <w:sz w:val="24"/>
          <w:szCs w:val="24"/>
          <w:lang w:eastAsia="en-GB"/>
          <w14:ligatures w14:val="none"/>
        </w:rPr>
        <w:t>Key Cross-Cutting Challenges</w:t>
      </w:r>
    </w:p>
    <w:p w14:paraId="3AFFE270"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r w:rsidRPr="0002433D">
        <w:rPr>
          <w:rFonts w:ascii="Arial" w:eastAsia="Times New Roman" w:hAnsi="Arial" w:cs="Arial"/>
          <w:kern w:val="0"/>
          <w:sz w:val="24"/>
          <w:szCs w:val="24"/>
          <w:lang w:eastAsia="en-GB"/>
          <w14:ligatures w14:val="none"/>
        </w:rPr>
        <w:t>Across global, national and local tiers, shared structural barriers stall sustainable progress: systemic health inequity where social class, location and income determine life expectancy and wellbeing far more than universal service access; short-term political cycles that favour quick, visible clinical interventions over slower, cost-effective long-term prevention and sustainability investment; and a persistent failure to integrate climate action – the single greatest long-term threat to public health – into core health planning and service delivery.</w:t>
      </w:r>
    </w:p>
    <w:p w14:paraId="06EE7E72"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p>
    <w:p w14:paraId="059EB317" w14:textId="77777777" w:rsidR="00D46E43" w:rsidRPr="0002433D" w:rsidRDefault="00D46E43" w:rsidP="0002433D">
      <w:pPr>
        <w:spacing w:after="0" w:line="360" w:lineRule="auto"/>
        <w:outlineLvl w:val="1"/>
        <w:rPr>
          <w:rFonts w:ascii="Arial" w:eastAsia="Times New Roman" w:hAnsi="Arial" w:cs="Arial"/>
          <w:b/>
          <w:bCs/>
          <w:kern w:val="0"/>
          <w:sz w:val="24"/>
          <w:szCs w:val="24"/>
          <w:lang w:eastAsia="en-GB"/>
          <w14:ligatures w14:val="none"/>
        </w:rPr>
      </w:pPr>
      <w:r w:rsidRPr="0002433D">
        <w:rPr>
          <w:rFonts w:ascii="Arial" w:eastAsia="Times New Roman" w:hAnsi="Arial" w:cs="Arial"/>
          <w:b/>
          <w:bCs/>
          <w:kern w:val="0"/>
          <w:sz w:val="24"/>
          <w:szCs w:val="24"/>
          <w:lang w:eastAsia="en-GB"/>
          <w14:ligatures w14:val="none"/>
        </w:rPr>
        <w:lastRenderedPageBreak/>
        <w:t>Recommendations</w:t>
      </w:r>
    </w:p>
    <w:p w14:paraId="34492903"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r w:rsidRPr="0002433D">
        <w:rPr>
          <w:rFonts w:ascii="Arial" w:eastAsia="Times New Roman" w:hAnsi="Arial" w:cs="Arial"/>
          <w:kern w:val="0"/>
          <w:sz w:val="24"/>
          <w:szCs w:val="24"/>
          <w:lang w:eastAsia="en-GB"/>
          <w14:ligatures w14:val="none"/>
        </w:rPr>
        <w:t>To address these gaps, integrated action is essential. Globally, increase targeted international health aid, introduce binding global regulations to limit harmful industrial impacts on health, and embed planetary health into all international health and climate agreements. Nationally in the UK, raise sustainable long-term health funding, shift budget priorities toward primary care and preventative public health services, and mandate formal cross-departmental collaboration alongside mandatory health impact assessments for all new housing, transport and environmental policies. Locally, direct green infrastructure and community health resources toward deprived neighbourhoods, involve residents in co-designing local wellbeing initiatives, and build climate-resilient neighbourhoods that protect citizens from heatwaves, pollution and climate-related disease.</w:t>
      </w:r>
    </w:p>
    <w:p w14:paraId="24FC7969" w14:textId="77777777" w:rsidR="0009507D" w:rsidRPr="0002433D" w:rsidRDefault="0009507D" w:rsidP="0002433D">
      <w:pPr>
        <w:spacing w:line="360" w:lineRule="auto"/>
        <w:rPr>
          <w:rFonts w:ascii="Arial" w:hAnsi="Arial" w:cs="Arial"/>
          <w:sz w:val="24"/>
          <w:szCs w:val="24"/>
        </w:rPr>
      </w:pPr>
    </w:p>
    <w:p w14:paraId="689EDE97" w14:textId="1E421958" w:rsidR="0009507D" w:rsidRPr="0002433D" w:rsidRDefault="00D46E43" w:rsidP="0002433D">
      <w:pPr>
        <w:spacing w:line="360" w:lineRule="auto"/>
        <w:rPr>
          <w:rFonts w:ascii="Arial" w:hAnsi="Arial" w:cs="Arial"/>
          <w:b/>
          <w:bCs/>
          <w:sz w:val="24"/>
          <w:szCs w:val="24"/>
        </w:rPr>
      </w:pPr>
      <w:r w:rsidRPr="0002433D">
        <w:rPr>
          <w:rFonts w:ascii="Arial" w:hAnsi="Arial" w:cs="Arial"/>
          <w:b/>
          <w:bCs/>
          <w:sz w:val="24"/>
          <w:szCs w:val="24"/>
        </w:rPr>
        <w:t>SDG 2 – ZERO HUNGER</w:t>
      </w:r>
    </w:p>
    <w:p w14:paraId="00D9DBDB" w14:textId="560D8EDB" w:rsidR="00D46E43" w:rsidRPr="0002433D" w:rsidRDefault="00D46E43" w:rsidP="0002433D">
      <w:pPr>
        <w:spacing w:line="360" w:lineRule="auto"/>
        <w:rPr>
          <w:rFonts w:ascii="Arial" w:hAnsi="Arial" w:cs="Arial"/>
          <w:b/>
          <w:bCs/>
          <w:sz w:val="24"/>
          <w:szCs w:val="24"/>
        </w:rPr>
      </w:pPr>
      <w:r w:rsidRPr="0002433D">
        <w:rPr>
          <w:rFonts w:ascii="Arial" w:hAnsi="Arial" w:cs="Arial"/>
          <w:b/>
          <w:bCs/>
          <w:sz w:val="24"/>
          <w:szCs w:val="24"/>
        </w:rPr>
        <w:t>INTRODUCTION</w:t>
      </w:r>
    </w:p>
    <w:p w14:paraId="325ADCCF" w14:textId="77777777" w:rsidR="0002433D" w:rsidRDefault="00D46E43" w:rsidP="0002433D">
      <w:pPr>
        <w:spacing w:after="0" w:line="360" w:lineRule="auto"/>
        <w:rPr>
          <w:rFonts w:ascii="Arial" w:eastAsia="Times New Roman" w:hAnsi="Arial" w:cs="Arial"/>
          <w:kern w:val="0"/>
          <w:sz w:val="24"/>
          <w:szCs w:val="24"/>
          <w:lang w:eastAsia="en-GB"/>
          <w14:ligatures w14:val="none"/>
        </w:rPr>
      </w:pPr>
      <w:r w:rsidRPr="0002433D">
        <w:rPr>
          <w:rFonts w:ascii="Arial" w:eastAsia="Times New Roman" w:hAnsi="Arial" w:cs="Arial"/>
          <w:kern w:val="0"/>
          <w:sz w:val="24"/>
          <w:szCs w:val="24"/>
          <w:lang w:eastAsia="en-GB"/>
          <w14:ligatures w14:val="none"/>
        </w:rPr>
        <w:t xml:space="preserve">The United Nations Sustainable Development Goal (SDG) 2 – </w:t>
      </w:r>
      <w:r w:rsidRPr="0002433D">
        <w:rPr>
          <w:rFonts w:ascii="Arial" w:eastAsia="Times New Roman" w:hAnsi="Arial" w:cs="Arial"/>
          <w:i/>
          <w:iCs/>
          <w:kern w:val="0"/>
          <w:sz w:val="24"/>
          <w:szCs w:val="24"/>
          <w:lang w:eastAsia="en-GB"/>
          <w14:ligatures w14:val="none"/>
        </w:rPr>
        <w:t>End hunger, achieve food security and improved nutrition and promote sustainable agriculture</w:t>
      </w:r>
      <w:r w:rsidRPr="0002433D">
        <w:rPr>
          <w:rFonts w:ascii="Arial" w:eastAsia="Times New Roman" w:hAnsi="Arial" w:cs="Arial"/>
          <w:kern w:val="0"/>
          <w:sz w:val="24"/>
          <w:szCs w:val="24"/>
          <w:lang w:eastAsia="en-GB"/>
          <w14:ligatures w14:val="none"/>
        </w:rPr>
        <w:t xml:space="preserve"> – is a fundamental pillar of the 2030 Agenda for Sustainable Development. Far more than simply eliminating starvation, SDG 2 demands consistent access to sufficient, safe, nutritious food for every person, ending all forms of malnutrition while transforming food systems to be environmentally resilient, equitable and viable for future generations. Indispensable to human dignity, physical survival and collective progress, SDG 2 is inextricably linked to health, social equity and environmental stability.</w:t>
      </w:r>
    </w:p>
    <w:p w14:paraId="03FED21D" w14:textId="44C41B5F" w:rsidR="00D46E43" w:rsidRDefault="00D46E43" w:rsidP="0002433D">
      <w:pPr>
        <w:spacing w:after="0" w:line="360" w:lineRule="auto"/>
        <w:rPr>
          <w:rFonts w:ascii="Arial" w:eastAsia="Times New Roman" w:hAnsi="Arial" w:cs="Arial"/>
          <w:kern w:val="0"/>
          <w:sz w:val="24"/>
          <w:szCs w:val="24"/>
          <w:lang w:eastAsia="en-GB"/>
          <w14:ligatures w14:val="none"/>
        </w:rPr>
      </w:pPr>
      <w:r w:rsidRPr="0002433D">
        <w:rPr>
          <w:rFonts w:ascii="Arial" w:eastAsia="Times New Roman" w:hAnsi="Arial" w:cs="Arial"/>
          <w:kern w:val="0"/>
          <w:sz w:val="24"/>
          <w:szCs w:val="24"/>
          <w:lang w:eastAsia="en-GB"/>
          <w14:ligatures w14:val="none"/>
        </w:rPr>
        <w:t xml:space="preserve"> This report critically examines SDG 2 implementation across global, UK national and local levels, evaluates the effectiveness of policies and initiatives, analyses how food security and nutrition shape citizen wellbeing, identifies structural barriers to progress, and proposes targeted recommendations to advance inclusive, sustainable food systems.</w:t>
      </w:r>
    </w:p>
    <w:p w14:paraId="7D80798D" w14:textId="77777777" w:rsidR="0002433D" w:rsidRPr="0002433D" w:rsidRDefault="0002433D" w:rsidP="0002433D">
      <w:pPr>
        <w:spacing w:after="0" w:line="360" w:lineRule="auto"/>
        <w:rPr>
          <w:rFonts w:ascii="Arial" w:eastAsia="Times New Roman" w:hAnsi="Arial" w:cs="Arial"/>
          <w:kern w:val="0"/>
          <w:sz w:val="24"/>
          <w:szCs w:val="24"/>
          <w:lang w:eastAsia="en-GB"/>
          <w14:ligatures w14:val="none"/>
        </w:rPr>
      </w:pPr>
    </w:p>
    <w:p w14:paraId="61CF552F" w14:textId="77777777" w:rsidR="00D46E43" w:rsidRPr="0002433D" w:rsidRDefault="00D46E43" w:rsidP="0002433D">
      <w:pPr>
        <w:spacing w:after="0" w:line="360" w:lineRule="auto"/>
        <w:outlineLvl w:val="1"/>
        <w:rPr>
          <w:rFonts w:ascii="Arial" w:eastAsia="Times New Roman" w:hAnsi="Arial" w:cs="Arial"/>
          <w:b/>
          <w:bCs/>
          <w:kern w:val="0"/>
          <w:sz w:val="24"/>
          <w:szCs w:val="24"/>
          <w:lang w:eastAsia="en-GB"/>
          <w14:ligatures w14:val="none"/>
        </w:rPr>
      </w:pPr>
      <w:r w:rsidRPr="0002433D">
        <w:rPr>
          <w:rFonts w:ascii="Arial" w:eastAsia="Times New Roman" w:hAnsi="Arial" w:cs="Arial"/>
          <w:b/>
          <w:bCs/>
          <w:kern w:val="0"/>
          <w:sz w:val="24"/>
          <w:szCs w:val="24"/>
          <w:lang w:eastAsia="en-GB"/>
          <w14:ligatures w14:val="none"/>
        </w:rPr>
        <w:t>Core Purpose and Interdependence with Health and Wellbeing</w:t>
      </w:r>
    </w:p>
    <w:p w14:paraId="6A03E42F" w14:textId="77777777" w:rsidR="00D46E43" w:rsidRDefault="00D46E43" w:rsidP="0002433D">
      <w:pPr>
        <w:spacing w:after="0" w:line="360" w:lineRule="auto"/>
        <w:rPr>
          <w:rFonts w:ascii="Arial" w:eastAsia="Times New Roman" w:hAnsi="Arial" w:cs="Arial"/>
          <w:kern w:val="0"/>
          <w:sz w:val="24"/>
          <w:szCs w:val="24"/>
          <w:lang w:eastAsia="en-GB"/>
          <w14:ligatures w14:val="none"/>
        </w:rPr>
      </w:pPr>
      <w:r w:rsidRPr="0002433D">
        <w:rPr>
          <w:rFonts w:ascii="Arial" w:eastAsia="Times New Roman" w:hAnsi="Arial" w:cs="Arial"/>
          <w:kern w:val="0"/>
          <w:sz w:val="24"/>
          <w:szCs w:val="24"/>
          <w:lang w:eastAsia="en-GB"/>
          <w14:ligatures w14:val="none"/>
        </w:rPr>
        <w:lastRenderedPageBreak/>
        <w:t>SDG 2 sets clear, holistic targets: end hunger and ensure equal access to nutritious food for all people, especially vulnerable groups; end malnutrition in children, adolescents and pregnant people; double agricultural productivity and incomes of small-scale food producers; build resilient sustainable food production systems; and maintain genetic diversity of seeds and cultivated plants. Its core premise is that food is not merely a commodity, but a basic human right and the foundation of all health and wellbeing.</w:t>
      </w:r>
    </w:p>
    <w:p w14:paraId="18106551" w14:textId="77777777" w:rsidR="0002433D" w:rsidRPr="0002433D" w:rsidRDefault="0002433D" w:rsidP="0002433D">
      <w:pPr>
        <w:spacing w:after="0" w:line="360" w:lineRule="auto"/>
        <w:rPr>
          <w:rFonts w:ascii="Arial" w:eastAsia="Times New Roman" w:hAnsi="Arial" w:cs="Arial"/>
          <w:kern w:val="0"/>
          <w:sz w:val="24"/>
          <w:szCs w:val="24"/>
          <w:lang w:eastAsia="en-GB"/>
          <w14:ligatures w14:val="none"/>
        </w:rPr>
      </w:pPr>
    </w:p>
    <w:p w14:paraId="3255BF6F"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r w:rsidRPr="0002433D">
        <w:rPr>
          <w:rFonts w:ascii="Arial" w:eastAsia="Times New Roman" w:hAnsi="Arial" w:cs="Arial"/>
          <w:kern w:val="0"/>
          <w:sz w:val="24"/>
          <w:szCs w:val="24"/>
          <w:lang w:eastAsia="en-GB"/>
          <w14:ligatures w14:val="none"/>
        </w:rPr>
        <w:t>The link to SDG 3 ‘Good Health and Wellbeing’ is absolute: adequate nutrition strengthens immune function, supports healthy growth and cognitive development in children, and reduces the risk of life-threatening non-communicable diseases including type 2 diabetes, cardiovascular illness and obesity. Conversely, food insecurity – the uncertainty or inability to access enough suitable food – causes chronic physical weakness, developmental stunting in children, severe anxiety, stress and social isolation, undermining mental health and trapping households in cycles of poverty and ill health. Sustainable agriculture further protects shared wellbeing: reducing chemical pollution, preserving soil health and lowering carbon emissions safeguards ecosystems, clean water and air quality, delivering long-term environmental health benefits for communities.</w:t>
      </w:r>
    </w:p>
    <w:p w14:paraId="20A26474"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p>
    <w:p w14:paraId="1E9DCF6E" w14:textId="77777777" w:rsidR="00D46E43" w:rsidRPr="0002433D" w:rsidRDefault="00D46E43" w:rsidP="0002433D">
      <w:pPr>
        <w:spacing w:after="0" w:line="360" w:lineRule="auto"/>
        <w:outlineLvl w:val="1"/>
        <w:rPr>
          <w:rFonts w:ascii="Arial" w:eastAsia="Times New Roman" w:hAnsi="Arial" w:cs="Arial"/>
          <w:b/>
          <w:bCs/>
          <w:kern w:val="0"/>
          <w:sz w:val="24"/>
          <w:szCs w:val="24"/>
          <w:lang w:eastAsia="en-GB"/>
          <w14:ligatures w14:val="none"/>
        </w:rPr>
      </w:pPr>
      <w:r w:rsidRPr="0002433D">
        <w:rPr>
          <w:rFonts w:ascii="Arial" w:eastAsia="Times New Roman" w:hAnsi="Arial" w:cs="Arial"/>
          <w:b/>
          <w:bCs/>
          <w:kern w:val="0"/>
          <w:sz w:val="24"/>
          <w:szCs w:val="24"/>
          <w:lang w:eastAsia="en-GB"/>
          <w14:ligatures w14:val="none"/>
        </w:rPr>
        <w:t>Global Level: Progress, Systemic Failures and Growing Insecurity</w:t>
      </w:r>
    </w:p>
    <w:p w14:paraId="272B7B17"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r w:rsidRPr="0002433D">
        <w:rPr>
          <w:rFonts w:ascii="Arial" w:eastAsia="Times New Roman" w:hAnsi="Arial" w:cs="Arial"/>
          <w:kern w:val="0"/>
          <w:sz w:val="24"/>
          <w:szCs w:val="24"/>
          <w:lang w:eastAsia="en-GB"/>
          <w14:ligatures w14:val="none"/>
        </w:rPr>
        <w:t>Globally, decades of international cooperation have delivered incremental gains: targeted humanitarian aid, school feeding programmes and agricultural development support have reduced severe acute hunger in some regions and raised global awareness of malnutrition as a critical development crisis. However, recent years have seen dangerous reversals: conflict, rising inequality, economic instability, climate change and volatile global food prices have pushed hundreds of millions back into food insecurity.</w:t>
      </w:r>
    </w:p>
    <w:p w14:paraId="0BA72286"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p>
    <w:p w14:paraId="4A1DE9D0"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r w:rsidRPr="0002433D">
        <w:rPr>
          <w:rFonts w:ascii="Arial" w:eastAsia="Times New Roman" w:hAnsi="Arial" w:cs="Arial"/>
          <w:kern w:val="0"/>
          <w:sz w:val="24"/>
          <w:szCs w:val="24"/>
          <w:lang w:eastAsia="en-GB"/>
          <w14:ligatures w14:val="none"/>
        </w:rPr>
        <w:t xml:space="preserve">Global food systems remain structurally flawed. Dominant industrial agriculture prioritises high yields and corporate profit over public health and environmental protection: intensive farming degrades fertile soil, contaminates water sources, drives biodiversity loss and contributes significantly to greenhouse gas emissions. Global supply chains are long, fragile and unfair: smallholder farmers in low-income </w:t>
      </w:r>
      <w:r w:rsidRPr="0002433D">
        <w:rPr>
          <w:rFonts w:ascii="Arial" w:eastAsia="Times New Roman" w:hAnsi="Arial" w:cs="Arial"/>
          <w:kern w:val="0"/>
          <w:sz w:val="24"/>
          <w:szCs w:val="24"/>
          <w:lang w:eastAsia="en-GB"/>
          <w14:ligatures w14:val="none"/>
        </w:rPr>
        <w:lastRenderedPageBreak/>
        <w:t>nations earn below living wages, while wealthy nations secure consistent, high-quality food supplies even as poorer communities face acute shortages. Double-burden malnutrition is widespread: undernutrition and micronutrient deficiencies persist alongside soaring rates of overweight and obesity, driven by cheap, heavily processed, nutrient-poor foods marketed aggressively by powerful corporations. Global policy remains fragmented: food security is often treated as a short-term humanitarian issue rather than a long-term sustainable development priority, slowing coordinated action to reform systems.</w:t>
      </w:r>
    </w:p>
    <w:p w14:paraId="3A447E1F"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p>
    <w:p w14:paraId="789F9CD6" w14:textId="77777777" w:rsidR="00D46E43" w:rsidRPr="0002433D" w:rsidRDefault="00D46E43" w:rsidP="0002433D">
      <w:pPr>
        <w:spacing w:after="0" w:line="360" w:lineRule="auto"/>
        <w:outlineLvl w:val="1"/>
        <w:rPr>
          <w:rFonts w:ascii="Arial" w:eastAsia="Times New Roman" w:hAnsi="Arial" w:cs="Arial"/>
          <w:b/>
          <w:bCs/>
          <w:kern w:val="0"/>
          <w:sz w:val="24"/>
          <w:szCs w:val="24"/>
          <w:lang w:eastAsia="en-GB"/>
          <w14:ligatures w14:val="none"/>
        </w:rPr>
      </w:pPr>
      <w:r w:rsidRPr="0002433D">
        <w:rPr>
          <w:rFonts w:ascii="Arial" w:eastAsia="Times New Roman" w:hAnsi="Arial" w:cs="Arial"/>
          <w:b/>
          <w:bCs/>
          <w:kern w:val="0"/>
          <w:sz w:val="24"/>
          <w:szCs w:val="24"/>
          <w:lang w:eastAsia="en-GB"/>
          <w14:ligatures w14:val="none"/>
        </w:rPr>
        <w:t>UK National Level: Policies, Gaps and the Crisis of Food Insecurity</w:t>
      </w:r>
    </w:p>
    <w:p w14:paraId="1E50BA80"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r w:rsidRPr="0002433D">
        <w:rPr>
          <w:rFonts w:ascii="Arial" w:eastAsia="Times New Roman" w:hAnsi="Arial" w:cs="Arial"/>
          <w:kern w:val="0"/>
          <w:sz w:val="24"/>
          <w:szCs w:val="24"/>
          <w:lang w:eastAsia="en-GB"/>
          <w14:ligatures w14:val="none"/>
        </w:rPr>
        <w:t xml:space="preserve">Nationally, the UK upholds commitments to SDG 2 through agricultural policy, welfare support and public health nutrition strategies. Post-Brexit environmental land management schemes aim to support sustainable farming, protect natural habitats and reduce agricultural pollution; government guidelines promote healthy balanced diets and nutrition education; and social security systems are intended to provide financial support enabling households to afford </w:t>
      </w:r>
      <w:proofErr w:type="gramStart"/>
      <w:r w:rsidRPr="0002433D">
        <w:rPr>
          <w:rFonts w:ascii="Arial" w:eastAsia="Times New Roman" w:hAnsi="Arial" w:cs="Arial"/>
          <w:kern w:val="0"/>
          <w:sz w:val="24"/>
          <w:szCs w:val="24"/>
          <w:lang w:eastAsia="en-GB"/>
          <w14:ligatures w14:val="none"/>
        </w:rPr>
        <w:t>basic necessities</w:t>
      </w:r>
      <w:proofErr w:type="gramEnd"/>
      <w:r w:rsidRPr="0002433D">
        <w:rPr>
          <w:rFonts w:ascii="Arial" w:eastAsia="Times New Roman" w:hAnsi="Arial" w:cs="Arial"/>
          <w:kern w:val="0"/>
          <w:sz w:val="24"/>
          <w:szCs w:val="24"/>
          <w:lang w:eastAsia="en-GB"/>
          <w14:ligatures w14:val="none"/>
        </w:rPr>
        <w:t xml:space="preserve"> including food.</w:t>
      </w:r>
    </w:p>
    <w:p w14:paraId="1A0F849D"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r w:rsidRPr="0002433D">
        <w:rPr>
          <w:rFonts w:ascii="Arial" w:eastAsia="Times New Roman" w:hAnsi="Arial" w:cs="Arial"/>
          <w:kern w:val="0"/>
          <w:sz w:val="24"/>
          <w:szCs w:val="24"/>
          <w:lang w:eastAsia="en-GB"/>
          <w14:ligatures w14:val="none"/>
        </w:rPr>
        <w:t>Yet stark failures undermine these goals. The prolonged cost-of-living crisis, stagnant wages and inadequate social security payments have driven a sharp rise in food insecurity: millions of UK citizens – including children, low-income families, disabled people and pensioners – rely on charitable food banks, skip meals or survive on low-quality, energy-dense food. This widens health inequality: deprived communities face disproportionately high rates of diet-related illness, childhood obesity and poor mental health compared to affluent groups. National food policy is disjointed: farming, health and environment strategies often conflict, and weak regulations fail to limit the marketing of unhealthy foods to children or protect vulnerable consumers. Sustainable farming incentives are unevenly funded, while imported food with high carbon footprints remains cheaper than locally grown produce, slowing the transition to low-emission, resilient national food systems.</w:t>
      </w:r>
    </w:p>
    <w:p w14:paraId="5960E727"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p>
    <w:p w14:paraId="4C56742F" w14:textId="2BB41A4C" w:rsidR="00D46E43" w:rsidRPr="0002433D" w:rsidRDefault="00D46E43" w:rsidP="0002433D">
      <w:pPr>
        <w:spacing w:after="0" w:line="360" w:lineRule="auto"/>
        <w:outlineLvl w:val="1"/>
        <w:rPr>
          <w:rFonts w:ascii="Arial" w:eastAsia="Times New Roman" w:hAnsi="Arial" w:cs="Arial"/>
          <w:b/>
          <w:bCs/>
          <w:kern w:val="0"/>
          <w:sz w:val="24"/>
          <w:szCs w:val="24"/>
          <w:lang w:eastAsia="en-GB"/>
          <w14:ligatures w14:val="none"/>
        </w:rPr>
      </w:pPr>
      <w:r w:rsidRPr="0002433D">
        <w:rPr>
          <w:rFonts w:ascii="Arial" w:eastAsia="Times New Roman" w:hAnsi="Arial" w:cs="Arial"/>
          <w:b/>
          <w:bCs/>
          <w:kern w:val="0"/>
          <w:sz w:val="24"/>
          <w:szCs w:val="24"/>
          <w:lang w:eastAsia="en-GB"/>
          <w14:ligatures w14:val="none"/>
        </w:rPr>
        <w:t>Local UK Level: Community Action, Limitations and Uneven Support</w:t>
      </w:r>
    </w:p>
    <w:p w14:paraId="3F2C01E4"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r w:rsidRPr="0002433D">
        <w:rPr>
          <w:rFonts w:ascii="Arial" w:eastAsia="Times New Roman" w:hAnsi="Arial" w:cs="Arial"/>
          <w:kern w:val="0"/>
          <w:sz w:val="24"/>
          <w:szCs w:val="24"/>
          <w:lang w:eastAsia="en-GB"/>
          <w14:ligatures w14:val="none"/>
        </w:rPr>
        <w:t xml:space="preserve">At local level, community-led action is vital to fill gaps left by national policy. Local councils, schools, charities and volunteer groups run free school meals, community pantries, food banks and community growing projects – initiatives that provide immediate food access, supply fresh produce, foster social connection and build </w:t>
      </w:r>
      <w:r w:rsidRPr="0002433D">
        <w:rPr>
          <w:rFonts w:ascii="Arial" w:eastAsia="Times New Roman" w:hAnsi="Arial" w:cs="Arial"/>
          <w:kern w:val="0"/>
          <w:sz w:val="24"/>
          <w:szCs w:val="24"/>
          <w:lang w:eastAsia="en-GB"/>
          <w14:ligatures w14:val="none"/>
        </w:rPr>
        <w:lastRenderedPageBreak/>
        <w:t>practical skills. These grassroots schemes directly improve nutrition, reduce social isolation and boost community resilience, bringing tangible benefits to individual and collective wellbeing.</w:t>
      </w:r>
    </w:p>
    <w:p w14:paraId="392A453C"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p>
    <w:p w14:paraId="16515C80"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r w:rsidRPr="0002433D">
        <w:rPr>
          <w:rFonts w:ascii="Arial" w:eastAsia="Times New Roman" w:hAnsi="Arial" w:cs="Arial"/>
          <w:kern w:val="0"/>
          <w:sz w:val="24"/>
          <w:szCs w:val="24"/>
          <w:lang w:eastAsia="en-GB"/>
          <w14:ligatures w14:val="none"/>
        </w:rPr>
        <w:t xml:space="preserve">However, local action is severely constrained by funding shortages and reliance on short-term grants. Emergency food aid is a temporary crisis fix rather than a sustainable solution to underlying poverty, and high-quality food growing and nutrition support is often concentrated in more prosperous areas. Deprived neighbourhoods – where food insecurity and poor health are most prevalent – frequently lack access to affordable fresh fruit and vegetables, creating ‘food deserts’ that force reliance on convenience stores and </w:t>
      </w:r>
      <w:proofErr w:type="gramStart"/>
      <w:r w:rsidRPr="0002433D">
        <w:rPr>
          <w:rFonts w:ascii="Arial" w:eastAsia="Times New Roman" w:hAnsi="Arial" w:cs="Arial"/>
          <w:kern w:val="0"/>
          <w:sz w:val="24"/>
          <w:szCs w:val="24"/>
          <w:lang w:eastAsia="en-GB"/>
          <w14:ligatures w14:val="none"/>
        </w:rPr>
        <w:t>fast food</w:t>
      </w:r>
      <w:proofErr w:type="gramEnd"/>
      <w:r w:rsidRPr="0002433D">
        <w:rPr>
          <w:rFonts w:ascii="Arial" w:eastAsia="Times New Roman" w:hAnsi="Arial" w:cs="Arial"/>
          <w:kern w:val="0"/>
          <w:sz w:val="24"/>
          <w:szCs w:val="24"/>
          <w:lang w:eastAsia="en-GB"/>
          <w14:ligatures w14:val="none"/>
        </w:rPr>
        <w:t xml:space="preserve"> outlets. Local food, health and environmental teams rarely coordinate effectively, and marginalised residents are rarely consulted in designing local food initiatives, limiting how well services meet community needs.</w:t>
      </w:r>
    </w:p>
    <w:p w14:paraId="41E8E958"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p>
    <w:p w14:paraId="4A5657B7" w14:textId="77777777" w:rsidR="00D46E43" w:rsidRPr="0002433D" w:rsidRDefault="00D46E43" w:rsidP="0002433D">
      <w:pPr>
        <w:spacing w:after="0" w:line="360" w:lineRule="auto"/>
        <w:outlineLvl w:val="1"/>
        <w:rPr>
          <w:rFonts w:ascii="Arial" w:eastAsia="Times New Roman" w:hAnsi="Arial" w:cs="Arial"/>
          <w:b/>
          <w:bCs/>
          <w:kern w:val="0"/>
          <w:sz w:val="24"/>
          <w:szCs w:val="24"/>
          <w:lang w:eastAsia="en-GB"/>
          <w14:ligatures w14:val="none"/>
        </w:rPr>
      </w:pPr>
      <w:r w:rsidRPr="0002433D">
        <w:rPr>
          <w:rFonts w:ascii="Arial" w:eastAsia="Times New Roman" w:hAnsi="Arial" w:cs="Arial"/>
          <w:b/>
          <w:bCs/>
          <w:kern w:val="0"/>
          <w:sz w:val="24"/>
          <w:szCs w:val="24"/>
          <w:lang w:eastAsia="en-GB"/>
          <w14:ligatures w14:val="none"/>
        </w:rPr>
        <w:t>Key Cross-Cutting Challenges</w:t>
      </w:r>
    </w:p>
    <w:p w14:paraId="6D6FF0AD"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r w:rsidRPr="0002433D">
        <w:rPr>
          <w:rFonts w:ascii="Arial" w:eastAsia="Times New Roman" w:hAnsi="Arial" w:cs="Arial"/>
          <w:kern w:val="0"/>
          <w:sz w:val="24"/>
          <w:szCs w:val="24"/>
          <w:lang w:eastAsia="en-GB"/>
          <w14:ligatures w14:val="none"/>
        </w:rPr>
        <w:t>Across all levels, shared structural barriers stall SDG 2 progress: deep socioeconomic inequality means income and social status determine food security far more than policy commitments; short-term political priorities favour emergency relief over long-term investment in fair wages, affordable nutritious food and sustainable farming; and climate change – which disrupts harvests, reduces crop yields and raises food prices – remains poorly integrated into national and local food planning.</w:t>
      </w:r>
    </w:p>
    <w:p w14:paraId="5C062AEE"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p>
    <w:p w14:paraId="7A711DF2" w14:textId="77777777" w:rsidR="00D46E43" w:rsidRPr="0002433D" w:rsidRDefault="00D46E43" w:rsidP="0002433D">
      <w:pPr>
        <w:spacing w:after="0" w:line="360" w:lineRule="auto"/>
        <w:outlineLvl w:val="1"/>
        <w:rPr>
          <w:rFonts w:ascii="Arial" w:eastAsia="Times New Roman" w:hAnsi="Arial" w:cs="Arial"/>
          <w:b/>
          <w:bCs/>
          <w:kern w:val="0"/>
          <w:sz w:val="24"/>
          <w:szCs w:val="24"/>
          <w:lang w:eastAsia="en-GB"/>
          <w14:ligatures w14:val="none"/>
        </w:rPr>
      </w:pPr>
      <w:r w:rsidRPr="0002433D">
        <w:rPr>
          <w:rFonts w:ascii="Arial" w:eastAsia="Times New Roman" w:hAnsi="Arial" w:cs="Arial"/>
          <w:b/>
          <w:bCs/>
          <w:kern w:val="0"/>
          <w:sz w:val="24"/>
          <w:szCs w:val="24"/>
          <w:lang w:eastAsia="en-GB"/>
          <w14:ligatures w14:val="none"/>
        </w:rPr>
        <w:t>Recommendations</w:t>
      </w:r>
    </w:p>
    <w:p w14:paraId="6096CBEA"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r w:rsidRPr="0002433D">
        <w:rPr>
          <w:rFonts w:ascii="Arial" w:eastAsia="Times New Roman" w:hAnsi="Arial" w:cs="Arial"/>
          <w:kern w:val="0"/>
          <w:sz w:val="24"/>
          <w:szCs w:val="24"/>
          <w:lang w:eastAsia="en-GB"/>
          <w14:ligatures w14:val="none"/>
        </w:rPr>
        <w:t>Globally, reform international food trade rules to support small-scale sustainable farmers, regulate harmful industrial food practices and prioritise climate-resilient food systems in international aid. Nationally in the UK, raise social security payments to a dignified level that guarantees food affordability, strengthen regulations on unhealthy food marketing, and align agricultural funding to support sustainable, local, low-carbon food production. Locally, fund community food growing projects, expand affordable fresh food provision in deprived neighbourhoods, and involve residents in co-designing inclusive, culturally appropriate food support services.</w:t>
      </w:r>
    </w:p>
    <w:p w14:paraId="1419CBB8" w14:textId="77777777" w:rsidR="00D46E43" w:rsidRPr="0002433D" w:rsidRDefault="00D46E43" w:rsidP="0002433D">
      <w:pPr>
        <w:spacing w:after="0" w:line="360" w:lineRule="auto"/>
        <w:outlineLvl w:val="1"/>
        <w:rPr>
          <w:rFonts w:ascii="Arial" w:eastAsia="Times New Roman" w:hAnsi="Arial" w:cs="Arial"/>
          <w:kern w:val="0"/>
          <w:sz w:val="24"/>
          <w:szCs w:val="24"/>
          <w:lang w:eastAsia="en-GB"/>
          <w14:ligatures w14:val="none"/>
        </w:rPr>
      </w:pPr>
      <w:r w:rsidRPr="0002433D">
        <w:rPr>
          <w:rFonts w:ascii="Arial" w:eastAsia="Times New Roman" w:hAnsi="Arial" w:cs="Arial"/>
          <w:kern w:val="0"/>
          <w:sz w:val="24"/>
          <w:szCs w:val="24"/>
          <w:lang w:eastAsia="en-GB"/>
          <w14:ligatures w14:val="none"/>
        </w:rPr>
        <w:t>Conclusion</w:t>
      </w:r>
    </w:p>
    <w:p w14:paraId="3CA9010D"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r w:rsidRPr="0002433D">
        <w:rPr>
          <w:rFonts w:ascii="Arial" w:eastAsia="Times New Roman" w:hAnsi="Arial" w:cs="Arial"/>
          <w:kern w:val="0"/>
          <w:sz w:val="24"/>
          <w:szCs w:val="24"/>
          <w:lang w:eastAsia="en-GB"/>
          <w14:ligatures w14:val="none"/>
        </w:rPr>
        <w:lastRenderedPageBreak/>
        <w:t>SDG 2 is essential to human survival, health and sustainable development: without secure, nutritious food and sustainable food systems, equitable wellbeing and environmental health cannot be achieved. While humanitarian action, national policy and community initiatives deliver vital support, systemic inequality, profit-driven food systems and climate vulnerability threaten to leave millions behind. Delivering SDG 2 requires recognising food as a universal human right, prioritising people and planetary health over profit, and building integrated, fair and resilient food systems that nourish communities and protect the natural world for current and future generations.</w:t>
      </w:r>
    </w:p>
    <w:p w14:paraId="4AA048E9" w14:textId="77777777" w:rsidR="00D46E43" w:rsidRPr="0002433D" w:rsidRDefault="00D46E43" w:rsidP="0002433D">
      <w:pPr>
        <w:spacing w:line="360" w:lineRule="auto"/>
        <w:rPr>
          <w:rFonts w:ascii="Arial" w:hAnsi="Arial" w:cs="Arial"/>
          <w:b/>
          <w:bCs/>
          <w:sz w:val="24"/>
          <w:szCs w:val="24"/>
        </w:rPr>
      </w:pPr>
    </w:p>
    <w:p w14:paraId="5BA3F36D" w14:textId="2D95B4F4" w:rsidR="0009507D" w:rsidRPr="0002433D" w:rsidRDefault="00D46E43" w:rsidP="0002433D">
      <w:pPr>
        <w:spacing w:line="360" w:lineRule="auto"/>
        <w:rPr>
          <w:rFonts w:ascii="Arial" w:hAnsi="Arial" w:cs="Arial"/>
          <w:sz w:val="24"/>
          <w:szCs w:val="24"/>
        </w:rPr>
      </w:pPr>
      <w:r w:rsidRPr="0002433D">
        <w:rPr>
          <w:rFonts w:ascii="Arial" w:hAnsi="Arial" w:cs="Arial"/>
          <w:sz w:val="24"/>
          <w:szCs w:val="24"/>
        </w:rPr>
        <w:t>CONCLUSION</w:t>
      </w:r>
    </w:p>
    <w:p w14:paraId="38C41D62"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r w:rsidRPr="0002433D">
        <w:rPr>
          <w:rFonts w:ascii="Arial" w:eastAsia="Times New Roman" w:hAnsi="Arial" w:cs="Arial"/>
          <w:kern w:val="0"/>
          <w:sz w:val="24"/>
          <w:szCs w:val="24"/>
          <w:lang w:eastAsia="en-GB"/>
          <w14:ligatures w14:val="none"/>
        </w:rPr>
        <w:t>SDG 2 (Zero Hunger) and SDG 3 (Good Health and Wellbeing) are not standalone goals; they are deeply interdependent, two sides of the same coin that underpin all equitable, sustainable development. Nutritious, accessible food is the most fundamental prerequisite for physical health, immune resilience, cognitive growth and mental wellbeing—without food security, universal healthcare and health promotion cannot deliver lasting improvements. Conversely, good health enables people to work, learn and participate fully in society, empowering them to secure reliable livelihoods and access nourishing food, breaking intergenerational cycles of hunger, malnutrition and ill health. Sustainable food systems further bind both goals together: protecting soil, water and biodiversity, cutting pollution and lowering emissions safeguards planetary health while delivering safe, nutrient-rich produce for communities.</w:t>
      </w:r>
    </w:p>
    <w:p w14:paraId="56A80015"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r w:rsidRPr="0002433D">
        <w:rPr>
          <w:rFonts w:ascii="Arial" w:eastAsia="Times New Roman" w:hAnsi="Arial" w:cs="Arial"/>
          <w:kern w:val="0"/>
          <w:sz w:val="24"/>
          <w:szCs w:val="24"/>
          <w:lang w:eastAsia="en-GB"/>
          <w14:ligatures w14:val="none"/>
        </w:rPr>
        <w:t xml:space="preserve">Across global, UK national and local levels, progress remains fragmented and uneven. While international aid, the NHS and grassroots community projects provide life-saving support, systemic flaws </w:t>
      </w:r>
      <w:proofErr w:type="gramStart"/>
      <w:r w:rsidRPr="0002433D">
        <w:rPr>
          <w:rFonts w:ascii="Arial" w:eastAsia="Times New Roman" w:hAnsi="Arial" w:cs="Arial"/>
          <w:kern w:val="0"/>
          <w:sz w:val="24"/>
          <w:szCs w:val="24"/>
          <w:lang w:eastAsia="en-GB"/>
          <w14:ligatures w14:val="none"/>
        </w:rPr>
        <w:t>persist:</w:t>
      </w:r>
      <w:proofErr w:type="gramEnd"/>
      <w:r w:rsidRPr="0002433D">
        <w:rPr>
          <w:rFonts w:ascii="Arial" w:eastAsia="Times New Roman" w:hAnsi="Arial" w:cs="Arial"/>
          <w:kern w:val="0"/>
          <w:sz w:val="24"/>
          <w:szCs w:val="24"/>
          <w:lang w:eastAsia="en-GB"/>
          <w14:ligatures w14:val="none"/>
        </w:rPr>
        <w:t xml:space="preserve"> stark socioeconomic inequality, siloed government policy, profit-driven industrial systems and short-term political priorities perpetuate food insecurity, malnutrition and widening health gaps. Vulnerable groups—low-income households, children, disabled people and marginalised communities—bear the heaviest burden of both hunger and poor health, while climate change threatens to amplify these crises for generations to come.</w:t>
      </w:r>
    </w:p>
    <w:p w14:paraId="06180A69" w14:textId="77777777" w:rsidR="00D46E43" w:rsidRPr="0002433D" w:rsidRDefault="00D46E43" w:rsidP="0002433D">
      <w:pPr>
        <w:spacing w:after="0" w:line="360" w:lineRule="auto"/>
        <w:rPr>
          <w:rFonts w:ascii="Arial" w:eastAsia="Times New Roman" w:hAnsi="Arial" w:cs="Arial"/>
          <w:kern w:val="0"/>
          <w:sz w:val="24"/>
          <w:szCs w:val="24"/>
          <w:lang w:eastAsia="en-GB"/>
          <w14:ligatures w14:val="none"/>
        </w:rPr>
      </w:pPr>
      <w:r w:rsidRPr="0002433D">
        <w:rPr>
          <w:rFonts w:ascii="Arial" w:eastAsia="Times New Roman" w:hAnsi="Arial" w:cs="Arial"/>
          <w:kern w:val="0"/>
          <w:sz w:val="24"/>
          <w:szCs w:val="24"/>
          <w:lang w:eastAsia="en-GB"/>
          <w14:ligatures w14:val="none"/>
        </w:rPr>
        <w:t xml:space="preserve">Achieving both goals demands a fundamental shift in how societies value food and health: recognising them as universal human rights, not commodities or privileges. </w:t>
      </w:r>
      <w:r w:rsidRPr="0002433D">
        <w:rPr>
          <w:rFonts w:ascii="Arial" w:eastAsia="Times New Roman" w:hAnsi="Arial" w:cs="Arial"/>
          <w:kern w:val="0"/>
          <w:sz w:val="24"/>
          <w:szCs w:val="24"/>
          <w:lang w:eastAsia="en-GB"/>
          <w14:ligatures w14:val="none"/>
        </w:rPr>
        <w:lastRenderedPageBreak/>
        <w:t>Success requires integrated cross-sector action—from global cooperation on fair trade and climate-resilient agriculture, to national reforms that guarantee decent incomes, enforce healthy food standards and align farming, environmental and health policy, to community-led local solutions that empower residents to shape accessible, culturally appropriate food and health services. When we build food systems that nourish people and protect the planet, we do not only end hunger and prevent disease—we foster thriving, resilient communities, equitable societies and a sustainable future where every citizen can enjoy lifelong health and wellbeing.</w:t>
      </w:r>
    </w:p>
    <w:p w14:paraId="6AC7BE2F" w14:textId="77777777" w:rsidR="00D46E43" w:rsidRPr="0002433D" w:rsidRDefault="00D46E43" w:rsidP="0002433D">
      <w:pPr>
        <w:spacing w:line="360" w:lineRule="auto"/>
        <w:rPr>
          <w:rFonts w:ascii="Arial" w:hAnsi="Arial" w:cs="Arial"/>
          <w:sz w:val="24"/>
          <w:szCs w:val="24"/>
        </w:rPr>
      </w:pPr>
    </w:p>
    <w:p w14:paraId="187E6E13" w14:textId="77777777" w:rsidR="0009507D" w:rsidRPr="0002433D" w:rsidRDefault="0009507D" w:rsidP="0002433D">
      <w:pPr>
        <w:spacing w:line="360" w:lineRule="auto"/>
        <w:rPr>
          <w:rFonts w:ascii="Arial" w:hAnsi="Arial" w:cs="Arial"/>
          <w:sz w:val="24"/>
          <w:szCs w:val="24"/>
        </w:rPr>
      </w:pPr>
    </w:p>
    <w:p w14:paraId="2632B437" w14:textId="77777777" w:rsidR="00D46E43" w:rsidRPr="0002433D" w:rsidRDefault="00D46E43" w:rsidP="0002433D">
      <w:pPr>
        <w:spacing w:line="360" w:lineRule="auto"/>
        <w:rPr>
          <w:rFonts w:ascii="Arial" w:hAnsi="Arial" w:cs="Arial"/>
          <w:sz w:val="24"/>
          <w:szCs w:val="24"/>
        </w:rPr>
      </w:pPr>
    </w:p>
    <w:p w14:paraId="3B9295FE" w14:textId="77777777" w:rsidR="0002433D" w:rsidRDefault="00D46E43" w:rsidP="0002433D">
      <w:pPr>
        <w:spacing w:line="360" w:lineRule="auto"/>
        <w:rPr>
          <w:rFonts w:ascii="Arial" w:hAnsi="Arial" w:cs="Arial"/>
          <w:sz w:val="24"/>
          <w:szCs w:val="24"/>
        </w:rPr>
      </w:pPr>
      <w:r w:rsidRPr="0002433D">
        <w:rPr>
          <w:rFonts w:ascii="Arial" w:hAnsi="Arial" w:cs="Arial"/>
          <w:sz w:val="24"/>
          <w:szCs w:val="24"/>
        </w:rPr>
        <w:t>REFERENCES</w:t>
      </w:r>
    </w:p>
    <w:p w14:paraId="2D2ABEED" w14:textId="77777777" w:rsidR="0002433D" w:rsidRDefault="0002433D" w:rsidP="0002433D">
      <w:pPr>
        <w:spacing w:line="360" w:lineRule="auto"/>
        <w:rPr>
          <w:rFonts w:ascii="Arial" w:hAnsi="Arial" w:cs="Arial"/>
          <w:sz w:val="24"/>
          <w:szCs w:val="24"/>
        </w:rPr>
      </w:pPr>
      <w:r w:rsidRPr="0002433D">
        <w:rPr>
          <w:rFonts w:ascii="Arial" w:hAnsi="Arial" w:cs="Arial"/>
          <w:sz w:val="24"/>
          <w:szCs w:val="24"/>
        </w:rPr>
        <w:t xml:space="preserve"> Department for Environment, Food &amp; Rural Affairs (DEFRA). (2025) </w:t>
      </w:r>
      <w:r w:rsidRPr="0002433D">
        <w:rPr>
          <w:rFonts w:ascii="Arial" w:hAnsi="Arial" w:cs="Arial"/>
          <w:i/>
          <w:iCs/>
          <w:sz w:val="24"/>
          <w:szCs w:val="24"/>
        </w:rPr>
        <w:t>United Kingdom Food Security Digest 2025</w:t>
      </w:r>
      <w:r w:rsidRPr="0002433D">
        <w:rPr>
          <w:rFonts w:ascii="Arial" w:hAnsi="Arial" w:cs="Arial"/>
          <w:sz w:val="24"/>
          <w:szCs w:val="24"/>
        </w:rPr>
        <w:t xml:space="preserve">. London: HM Government. Available at: </w:t>
      </w:r>
      <w:hyperlink r:id="rId5" w:tgtFrame="_blank" w:tooltip="autolink" w:history="1">
        <w:r w:rsidRPr="0002433D">
          <w:rPr>
            <w:rStyle w:val="Hyperlink"/>
            <w:rFonts w:ascii="Arial" w:hAnsi="Arial" w:cs="Arial"/>
            <w:sz w:val="24"/>
            <w:szCs w:val="24"/>
          </w:rPr>
          <w:t>https://www.gov.uk/government/statistics/united-kingdom-food-security-digest-2025/united-kingdom-food-security-digest-2025</w:t>
        </w:r>
      </w:hyperlink>
      <w:r w:rsidRPr="0002433D">
        <w:rPr>
          <w:rFonts w:ascii="Arial" w:hAnsi="Arial" w:cs="Arial"/>
          <w:sz w:val="24"/>
          <w:szCs w:val="24"/>
        </w:rPr>
        <w:t xml:space="preserve"> (Accessed: 5 August 2026) </w:t>
      </w:r>
    </w:p>
    <w:p w14:paraId="122CED19" w14:textId="13A49D14" w:rsidR="0002433D" w:rsidRPr="0002433D" w:rsidRDefault="0002433D" w:rsidP="0002433D">
      <w:pPr>
        <w:spacing w:line="360" w:lineRule="auto"/>
        <w:rPr>
          <w:rFonts w:ascii="Arial" w:hAnsi="Arial" w:cs="Arial"/>
          <w:sz w:val="24"/>
          <w:szCs w:val="24"/>
        </w:rPr>
      </w:pPr>
      <w:r w:rsidRPr="0002433D">
        <w:rPr>
          <w:rFonts w:ascii="Arial" w:hAnsi="Arial" w:cs="Arial"/>
          <w:sz w:val="24"/>
          <w:szCs w:val="24"/>
        </w:rPr>
        <w:t xml:space="preserve">  House of Commons International Development Committee. (2025) </w:t>
      </w:r>
      <w:r w:rsidRPr="0002433D">
        <w:rPr>
          <w:rFonts w:ascii="Arial" w:hAnsi="Arial" w:cs="Arial"/>
          <w:i/>
          <w:iCs/>
          <w:sz w:val="24"/>
          <w:szCs w:val="24"/>
        </w:rPr>
        <w:t>The Government’s efforts to achieve SDG2: Zero Hunger</w:t>
      </w:r>
      <w:r w:rsidRPr="0002433D">
        <w:rPr>
          <w:rFonts w:ascii="Arial" w:hAnsi="Arial" w:cs="Arial"/>
          <w:sz w:val="24"/>
          <w:szCs w:val="24"/>
        </w:rPr>
        <w:t xml:space="preserve">. London: UK Parliament. Available at: </w:t>
      </w:r>
      <w:hyperlink r:id="rId6" w:tgtFrame="_blank" w:tooltip="autolink" w:history="1">
        <w:r w:rsidRPr="0002433D">
          <w:rPr>
            <w:rStyle w:val="Hyperlink"/>
            <w:rFonts w:ascii="Arial" w:hAnsi="Arial" w:cs="Arial"/>
            <w:sz w:val="24"/>
            <w:szCs w:val="24"/>
          </w:rPr>
          <w:t>https://committees.parliament.uk/publications/62142/</w:t>
        </w:r>
      </w:hyperlink>
      <w:r w:rsidRPr="0002433D">
        <w:rPr>
          <w:rFonts w:ascii="Arial" w:hAnsi="Arial" w:cs="Arial"/>
          <w:sz w:val="24"/>
          <w:szCs w:val="24"/>
        </w:rPr>
        <w:t xml:space="preserve"> (Accessed: 3 August 2026) </w:t>
      </w:r>
    </w:p>
    <w:p w14:paraId="609094C6" w14:textId="5BEB6433" w:rsidR="0002433D" w:rsidRPr="0002433D" w:rsidRDefault="0002433D" w:rsidP="0002433D">
      <w:pPr>
        <w:spacing w:line="360" w:lineRule="auto"/>
        <w:rPr>
          <w:rFonts w:ascii="Arial" w:hAnsi="Arial" w:cs="Arial"/>
          <w:sz w:val="24"/>
          <w:szCs w:val="24"/>
        </w:rPr>
      </w:pPr>
      <w:r w:rsidRPr="0002433D">
        <w:rPr>
          <w:rFonts w:ascii="Arial" w:hAnsi="Arial" w:cs="Arial"/>
          <w:sz w:val="24"/>
          <w:szCs w:val="24"/>
        </w:rPr>
        <w:t xml:space="preserve">  The Trussell Trust. (2025) </w:t>
      </w:r>
      <w:r w:rsidRPr="0002433D">
        <w:rPr>
          <w:rFonts w:ascii="Arial" w:hAnsi="Arial" w:cs="Arial"/>
          <w:i/>
          <w:iCs/>
          <w:sz w:val="24"/>
          <w:szCs w:val="24"/>
        </w:rPr>
        <w:t>Hunger in the UK</w:t>
      </w:r>
      <w:r w:rsidRPr="0002433D">
        <w:rPr>
          <w:rFonts w:ascii="Arial" w:hAnsi="Arial" w:cs="Arial"/>
          <w:sz w:val="24"/>
          <w:szCs w:val="24"/>
        </w:rPr>
        <w:t xml:space="preserve">. Salisbury: The Trussell Trust. Available at: </w:t>
      </w:r>
      <w:hyperlink r:id="rId7" w:tgtFrame="_blank" w:tooltip="autolink" w:history="1">
        <w:r w:rsidRPr="0002433D">
          <w:rPr>
            <w:rStyle w:val="Hyperlink"/>
            <w:rFonts w:ascii="Arial" w:hAnsi="Arial" w:cs="Arial"/>
            <w:sz w:val="24"/>
            <w:szCs w:val="24"/>
          </w:rPr>
          <w:t>https://cms.trussell.org.uk/sites/default/files/2025-09/hunger_in_uk_sept25.pdf</w:t>
        </w:r>
      </w:hyperlink>
      <w:r w:rsidRPr="0002433D">
        <w:rPr>
          <w:rFonts w:ascii="Arial" w:hAnsi="Arial" w:cs="Arial"/>
          <w:sz w:val="24"/>
          <w:szCs w:val="24"/>
        </w:rPr>
        <w:t xml:space="preserve"> (Accessed: 2 August 2026) </w:t>
      </w:r>
    </w:p>
    <w:p w14:paraId="25A84EB7" w14:textId="706FCF67" w:rsidR="0002433D" w:rsidRPr="0002433D" w:rsidRDefault="0002433D" w:rsidP="0002433D">
      <w:pPr>
        <w:spacing w:line="360" w:lineRule="auto"/>
        <w:rPr>
          <w:rFonts w:ascii="Arial" w:hAnsi="Arial" w:cs="Arial"/>
          <w:sz w:val="24"/>
          <w:szCs w:val="24"/>
        </w:rPr>
      </w:pPr>
      <w:r w:rsidRPr="0002433D">
        <w:rPr>
          <w:rFonts w:ascii="Arial" w:hAnsi="Arial" w:cs="Arial"/>
          <w:sz w:val="24"/>
          <w:szCs w:val="24"/>
        </w:rPr>
        <w:t xml:space="preserve">  The Food Foundation. (2026) </w:t>
      </w:r>
      <w:r w:rsidRPr="0002433D">
        <w:rPr>
          <w:rFonts w:ascii="Arial" w:hAnsi="Arial" w:cs="Arial"/>
          <w:i/>
          <w:iCs/>
          <w:sz w:val="24"/>
          <w:szCs w:val="24"/>
        </w:rPr>
        <w:t>Food Insecurity Tracking: July 2026</w:t>
      </w:r>
      <w:r w:rsidRPr="0002433D">
        <w:rPr>
          <w:rFonts w:ascii="Arial" w:hAnsi="Arial" w:cs="Arial"/>
          <w:sz w:val="24"/>
          <w:szCs w:val="24"/>
        </w:rPr>
        <w:t xml:space="preserve">. London: The Food Foundation. Available at: </w:t>
      </w:r>
      <w:hyperlink r:id="rId8" w:tgtFrame="_blank" w:tooltip="autolink" w:history="1">
        <w:r w:rsidRPr="0002433D">
          <w:rPr>
            <w:rStyle w:val="Hyperlink"/>
            <w:rFonts w:ascii="Arial" w:hAnsi="Arial" w:cs="Arial"/>
            <w:sz w:val="24"/>
            <w:szCs w:val="24"/>
          </w:rPr>
          <w:t>https://foodfoundation.org.uk/press-release/food-insecurity-affecting-one-eight-households-uk</w:t>
        </w:r>
      </w:hyperlink>
      <w:r w:rsidRPr="0002433D">
        <w:rPr>
          <w:rFonts w:ascii="Arial" w:hAnsi="Arial" w:cs="Arial"/>
          <w:sz w:val="24"/>
          <w:szCs w:val="24"/>
        </w:rPr>
        <w:t xml:space="preserve"> (Accessed: 1 August 2026) </w:t>
      </w:r>
    </w:p>
    <w:p w14:paraId="44E093B4" w14:textId="6C8B7C69" w:rsidR="0002433D" w:rsidRPr="0002433D" w:rsidRDefault="0002433D" w:rsidP="0002433D">
      <w:pPr>
        <w:spacing w:line="360" w:lineRule="auto"/>
        <w:rPr>
          <w:rFonts w:ascii="Arial" w:hAnsi="Arial" w:cs="Arial"/>
          <w:sz w:val="24"/>
          <w:szCs w:val="24"/>
        </w:rPr>
      </w:pPr>
      <w:r w:rsidRPr="0002433D">
        <w:rPr>
          <w:rFonts w:ascii="Arial" w:hAnsi="Arial" w:cs="Arial"/>
          <w:sz w:val="24"/>
          <w:szCs w:val="24"/>
        </w:rPr>
        <w:t xml:space="preserve"> Food Standards Agency. (2024) </w:t>
      </w:r>
      <w:r w:rsidRPr="0002433D">
        <w:rPr>
          <w:rFonts w:ascii="Arial" w:hAnsi="Arial" w:cs="Arial"/>
          <w:i/>
          <w:iCs/>
          <w:sz w:val="24"/>
          <w:szCs w:val="24"/>
        </w:rPr>
        <w:t>Household food insecurity in the UK: data and research landscape</w:t>
      </w:r>
      <w:r w:rsidRPr="0002433D">
        <w:rPr>
          <w:rFonts w:ascii="Arial" w:hAnsi="Arial" w:cs="Arial"/>
          <w:sz w:val="24"/>
          <w:szCs w:val="24"/>
        </w:rPr>
        <w:t xml:space="preserve">. London: Food Standards Agency. Available at: </w:t>
      </w:r>
      <w:hyperlink r:id="rId9" w:tgtFrame="_blank" w:tooltip="autolink" w:history="1">
        <w:r w:rsidRPr="0002433D">
          <w:rPr>
            <w:rStyle w:val="Hyperlink"/>
            <w:rFonts w:ascii="Arial" w:hAnsi="Arial" w:cs="Arial"/>
            <w:sz w:val="24"/>
            <w:szCs w:val="24"/>
          </w:rPr>
          <w:t>https://science.food.gov.uk/article/157772-household-food-insecurity-in-the-uk-data-and-research-landscape.pdf</w:t>
        </w:r>
      </w:hyperlink>
      <w:r w:rsidRPr="0002433D">
        <w:rPr>
          <w:rFonts w:ascii="Arial" w:hAnsi="Arial" w:cs="Arial"/>
          <w:sz w:val="24"/>
          <w:szCs w:val="24"/>
        </w:rPr>
        <w:t xml:space="preserve"> (Accessed: 4 August 2026) </w:t>
      </w:r>
    </w:p>
    <w:p w14:paraId="768F3655" w14:textId="463042B9" w:rsidR="0002433D" w:rsidRPr="0002433D" w:rsidRDefault="0002433D" w:rsidP="0002433D">
      <w:pPr>
        <w:spacing w:line="360" w:lineRule="auto"/>
        <w:rPr>
          <w:rFonts w:ascii="Arial" w:hAnsi="Arial" w:cs="Arial"/>
          <w:sz w:val="24"/>
          <w:szCs w:val="24"/>
        </w:rPr>
      </w:pPr>
      <w:r w:rsidRPr="0002433D">
        <w:rPr>
          <w:rFonts w:ascii="Arial" w:hAnsi="Arial" w:cs="Arial"/>
          <w:sz w:val="24"/>
          <w:szCs w:val="24"/>
        </w:rPr>
        <w:lastRenderedPageBreak/>
        <w:t xml:space="preserve">Department of Health and Social Care. (2023) </w:t>
      </w:r>
      <w:r w:rsidRPr="0002433D">
        <w:rPr>
          <w:rFonts w:ascii="Arial" w:hAnsi="Arial" w:cs="Arial"/>
          <w:i/>
          <w:iCs/>
          <w:sz w:val="24"/>
          <w:szCs w:val="24"/>
        </w:rPr>
        <w:t>Tackling obesity: empowering adults and children to live healthier lives</w:t>
      </w:r>
      <w:r w:rsidRPr="0002433D">
        <w:rPr>
          <w:rFonts w:ascii="Arial" w:hAnsi="Arial" w:cs="Arial"/>
          <w:sz w:val="24"/>
          <w:szCs w:val="24"/>
        </w:rPr>
        <w:t xml:space="preserve">. London: HM Government. Available at: </w:t>
      </w:r>
      <w:hyperlink r:id="rId10" w:tgtFrame="_blank" w:tooltip="autolink" w:history="1">
        <w:r w:rsidRPr="0002433D">
          <w:rPr>
            <w:rStyle w:val="Hyperlink"/>
            <w:rFonts w:ascii="Arial" w:hAnsi="Arial" w:cs="Arial"/>
            <w:sz w:val="24"/>
            <w:szCs w:val="24"/>
          </w:rPr>
          <w:t>https://www.gov.uk/government/publications/tackling-obesity-empowering-adults-and-children-to-live-healthier-lives</w:t>
        </w:r>
      </w:hyperlink>
      <w:r w:rsidRPr="0002433D">
        <w:rPr>
          <w:rFonts w:ascii="Arial" w:hAnsi="Arial" w:cs="Arial"/>
          <w:sz w:val="24"/>
          <w:szCs w:val="24"/>
        </w:rPr>
        <w:t xml:space="preserve"> (Accessed: 3 August 2026) </w:t>
      </w:r>
    </w:p>
    <w:p w14:paraId="6F2441D4" w14:textId="3A9DAE3D" w:rsidR="0002433D" w:rsidRPr="0002433D" w:rsidRDefault="0002433D" w:rsidP="0002433D">
      <w:pPr>
        <w:spacing w:line="360" w:lineRule="auto"/>
        <w:rPr>
          <w:rFonts w:ascii="Arial" w:hAnsi="Arial" w:cs="Arial"/>
          <w:sz w:val="24"/>
          <w:szCs w:val="24"/>
        </w:rPr>
      </w:pPr>
      <w:r w:rsidRPr="0002433D">
        <w:rPr>
          <w:rFonts w:ascii="Arial" w:hAnsi="Arial" w:cs="Arial"/>
          <w:sz w:val="24"/>
          <w:szCs w:val="24"/>
        </w:rPr>
        <w:t xml:space="preserve">Khan, K., Atas, N., Clarkson, D., Heaton, L. and Shaw, B. (2026) ‘Voices from the foodbank: experiencing food insecurity in North-West England during the cost-of-living crisis’, </w:t>
      </w:r>
      <w:r w:rsidRPr="0002433D">
        <w:rPr>
          <w:rFonts w:ascii="Arial" w:hAnsi="Arial" w:cs="Arial"/>
          <w:i/>
          <w:iCs/>
          <w:sz w:val="24"/>
          <w:szCs w:val="24"/>
        </w:rPr>
        <w:t>Journal of Public Health</w:t>
      </w:r>
      <w:r w:rsidRPr="0002433D">
        <w:rPr>
          <w:rFonts w:ascii="Arial" w:hAnsi="Arial" w:cs="Arial"/>
          <w:sz w:val="24"/>
          <w:szCs w:val="24"/>
        </w:rPr>
        <w:t xml:space="preserve">, 48(2), p. fdag036. Available at: </w:t>
      </w:r>
      <w:hyperlink r:id="rId11" w:tgtFrame="_blank" w:tooltip="autolink" w:history="1">
        <w:r w:rsidRPr="0002433D">
          <w:rPr>
            <w:rStyle w:val="Hyperlink"/>
            <w:rFonts w:ascii="Arial" w:hAnsi="Arial" w:cs="Arial"/>
            <w:sz w:val="24"/>
            <w:szCs w:val="24"/>
          </w:rPr>
          <w:t>https://doi.org/10.1093/pubmed/fdag036</w:t>
        </w:r>
      </w:hyperlink>
      <w:r w:rsidRPr="0002433D">
        <w:rPr>
          <w:rFonts w:ascii="Arial" w:hAnsi="Arial" w:cs="Arial"/>
          <w:sz w:val="24"/>
          <w:szCs w:val="24"/>
        </w:rPr>
        <w:t xml:space="preserve"> (Accessed: 4 August 2026) </w:t>
      </w:r>
    </w:p>
    <w:p w14:paraId="5CFE5208" w14:textId="784966ED" w:rsidR="0002433D" w:rsidRPr="0002433D" w:rsidRDefault="0002433D" w:rsidP="0002433D">
      <w:pPr>
        <w:spacing w:line="360" w:lineRule="auto"/>
        <w:rPr>
          <w:rFonts w:ascii="Arial" w:hAnsi="Arial" w:cs="Arial"/>
          <w:sz w:val="24"/>
          <w:szCs w:val="24"/>
        </w:rPr>
      </w:pPr>
      <w:r w:rsidRPr="0002433D">
        <w:rPr>
          <w:rFonts w:ascii="Arial" w:hAnsi="Arial" w:cs="Arial"/>
          <w:sz w:val="24"/>
          <w:szCs w:val="24"/>
        </w:rPr>
        <w:t xml:space="preserve"> Francis-Devine, B. (2024) </w:t>
      </w:r>
      <w:r w:rsidRPr="0002433D">
        <w:rPr>
          <w:rFonts w:ascii="Arial" w:hAnsi="Arial" w:cs="Arial"/>
          <w:i/>
          <w:iCs/>
          <w:sz w:val="24"/>
          <w:szCs w:val="24"/>
        </w:rPr>
        <w:t xml:space="preserve">Who is experiencing food insecurity in the </w:t>
      </w:r>
      <w:proofErr w:type="gramStart"/>
      <w:r w:rsidRPr="0002433D">
        <w:rPr>
          <w:rFonts w:ascii="Arial" w:hAnsi="Arial" w:cs="Arial"/>
          <w:i/>
          <w:iCs/>
          <w:sz w:val="24"/>
          <w:szCs w:val="24"/>
        </w:rPr>
        <w:t>UK?</w:t>
      </w:r>
      <w:r w:rsidRPr="0002433D">
        <w:rPr>
          <w:rFonts w:ascii="Arial" w:hAnsi="Arial" w:cs="Arial"/>
          <w:sz w:val="24"/>
          <w:szCs w:val="24"/>
        </w:rPr>
        <w:t>.</w:t>
      </w:r>
      <w:proofErr w:type="gramEnd"/>
      <w:r w:rsidRPr="0002433D">
        <w:rPr>
          <w:rFonts w:ascii="Arial" w:hAnsi="Arial" w:cs="Arial"/>
          <w:sz w:val="24"/>
          <w:szCs w:val="24"/>
        </w:rPr>
        <w:t xml:space="preserve"> London: House of Commons Library. Available at: </w:t>
      </w:r>
      <w:hyperlink r:id="rId12" w:tgtFrame="_blank" w:tooltip="autolink" w:history="1">
        <w:r w:rsidRPr="0002433D">
          <w:rPr>
            <w:rStyle w:val="Hyperlink"/>
            <w:rFonts w:ascii="Arial" w:hAnsi="Arial" w:cs="Arial"/>
            <w:sz w:val="24"/>
            <w:szCs w:val="24"/>
          </w:rPr>
          <w:t>https://commonslibrary.parliament.uk/who-is-experiencing-food-insecurity-in-the-uk/</w:t>
        </w:r>
      </w:hyperlink>
      <w:r w:rsidRPr="0002433D">
        <w:rPr>
          <w:rFonts w:ascii="Arial" w:hAnsi="Arial" w:cs="Arial"/>
          <w:sz w:val="24"/>
          <w:szCs w:val="24"/>
        </w:rPr>
        <w:t xml:space="preserve"> (Accessed: 2 August 2026) </w:t>
      </w:r>
    </w:p>
    <w:p w14:paraId="239DEC07" w14:textId="69C3F6CA" w:rsidR="0002433D" w:rsidRPr="0002433D" w:rsidRDefault="0002433D" w:rsidP="0002433D">
      <w:pPr>
        <w:spacing w:line="360" w:lineRule="auto"/>
        <w:rPr>
          <w:rFonts w:ascii="Arial" w:hAnsi="Arial" w:cs="Arial"/>
          <w:sz w:val="24"/>
          <w:szCs w:val="24"/>
        </w:rPr>
      </w:pPr>
      <w:r w:rsidRPr="0002433D">
        <w:rPr>
          <w:rFonts w:ascii="Arial" w:hAnsi="Arial" w:cs="Arial"/>
          <w:sz w:val="24"/>
          <w:szCs w:val="24"/>
        </w:rPr>
        <w:t xml:space="preserve"> Bull, R., Miles, C. and Newbury, E. (2023) ‘Food insecurity and health outcomes in the UK: a systematic review’, </w:t>
      </w:r>
      <w:r w:rsidRPr="0002433D">
        <w:rPr>
          <w:rFonts w:ascii="Arial" w:hAnsi="Arial" w:cs="Arial"/>
          <w:i/>
          <w:iCs/>
          <w:sz w:val="24"/>
          <w:szCs w:val="24"/>
        </w:rPr>
        <w:t>Public Health Nutrition</w:t>
      </w:r>
      <w:r w:rsidRPr="0002433D">
        <w:rPr>
          <w:rFonts w:ascii="Arial" w:hAnsi="Arial" w:cs="Arial"/>
          <w:sz w:val="24"/>
          <w:szCs w:val="24"/>
        </w:rPr>
        <w:t xml:space="preserve">, 26(1), pp. 1–14. Available at: </w:t>
      </w:r>
      <w:hyperlink r:id="rId13" w:tgtFrame="_blank" w:tooltip="autolink" w:history="1">
        <w:r w:rsidRPr="0002433D">
          <w:rPr>
            <w:rStyle w:val="Hyperlink"/>
            <w:rFonts w:ascii="Arial" w:hAnsi="Arial" w:cs="Arial"/>
            <w:sz w:val="24"/>
            <w:szCs w:val="24"/>
          </w:rPr>
          <w:t>https://doi.org/10.1017/S1368980023001245</w:t>
        </w:r>
      </w:hyperlink>
      <w:r w:rsidRPr="0002433D">
        <w:rPr>
          <w:rFonts w:ascii="Arial" w:hAnsi="Arial" w:cs="Arial"/>
          <w:sz w:val="24"/>
          <w:szCs w:val="24"/>
        </w:rPr>
        <w:t xml:space="preserve"> (Accessed: 5 August 2026) </w:t>
      </w:r>
    </w:p>
    <w:p w14:paraId="7C748A54" w14:textId="2D42105C" w:rsidR="0002433D" w:rsidRPr="0002433D" w:rsidRDefault="0002433D" w:rsidP="0002433D">
      <w:pPr>
        <w:spacing w:line="360" w:lineRule="auto"/>
        <w:rPr>
          <w:rFonts w:ascii="Arial" w:hAnsi="Arial" w:cs="Arial"/>
          <w:sz w:val="24"/>
          <w:szCs w:val="24"/>
        </w:rPr>
      </w:pPr>
      <w:r w:rsidRPr="0002433D">
        <w:rPr>
          <w:rFonts w:ascii="Arial" w:hAnsi="Arial" w:cs="Arial"/>
          <w:sz w:val="24"/>
          <w:szCs w:val="24"/>
        </w:rPr>
        <w:t xml:space="preserve">NHS England. (2024) </w:t>
      </w:r>
      <w:r w:rsidRPr="0002433D">
        <w:rPr>
          <w:rFonts w:ascii="Arial" w:hAnsi="Arial" w:cs="Arial"/>
          <w:i/>
          <w:iCs/>
          <w:sz w:val="24"/>
          <w:szCs w:val="24"/>
        </w:rPr>
        <w:t>NHS Long Term Plan: Prevention and Population Health</w:t>
      </w:r>
      <w:r w:rsidRPr="0002433D">
        <w:rPr>
          <w:rFonts w:ascii="Arial" w:hAnsi="Arial" w:cs="Arial"/>
          <w:sz w:val="24"/>
          <w:szCs w:val="24"/>
        </w:rPr>
        <w:t xml:space="preserve">. London: NHS England. Available at: </w:t>
      </w:r>
      <w:hyperlink r:id="rId14" w:tgtFrame="_blank" w:tooltip="autolink" w:history="1">
        <w:r w:rsidRPr="0002433D">
          <w:rPr>
            <w:rStyle w:val="Hyperlink"/>
            <w:rFonts w:ascii="Arial" w:hAnsi="Arial" w:cs="Arial"/>
            <w:sz w:val="24"/>
            <w:szCs w:val="24"/>
          </w:rPr>
          <w:t>https://www.england.nhs.uk/long-term-plan/prevention/</w:t>
        </w:r>
      </w:hyperlink>
      <w:r w:rsidRPr="0002433D">
        <w:rPr>
          <w:rFonts w:ascii="Arial" w:hAnsi="Arial" w:cs="Arial"/>
          <w:sz w:val="24"/>
          <w:szCs w:val="24"/>
        </w:rPr>
        <w:t xml:space="preserve"> (Accessed: 3 August 2026) </w:t>
      </w:r>
    </w:p>
    <w:p w14:paraId="1DEBA4CA" w14:textId="01AC4386" w:rsidR="0002433D" w:rsidRPr="0002433D" w:rsidRDefault="0002433D" w:rsidP="0002433D">
      <w:pPr>
        <w:spacing w:line="360" w:lineRule="auto"/>
        <w:rPr>
          <w:rFonts w:ascii="Arial" w:hAnsi="Arial" w:cs="Arial"/>
          <w:sz w:val="24"/>
          <w:szCs w:val="24"/>
        </w:rPr>
      </w:pPr>
      <w:r w:rsidRPr="0002433D">
        <w:rPr>
          <w:rFonts w:ascii="Arial" w:hAnsi="Arial" w:cs="Arial"/>
          <w:sz w:val="24"/>
          <w:szCs w:val="24"/>
        </w:rPr>
        <w:t xml:space="preserve">United Nations Children’s Fund (UNICEF) UK. (2024) </w:t>
      </w:r>
      <w:r w:rsidRPr="0002433D">
        <w:rPr>
          <w:rFonts w:ascii="Arial" w:hAnsi="Arial" w:cs="Arial"/>
          <w:i/>
          <w:iCs/>
          <w:sz w:val="24"/>
          <w:szCs w:val="24"/>
        </w:rPr>
        <w:t>Child Malnutrition and Food Insecurity in the United Kingdom</w:t>
      </w:r>
      <w:r w:rsidRPr="0002433D">
        <w:rPr>
          <w:rFonts w:ascii="Arial" w:hAnsi="Arial" w:cs="Arial"/>
          <w:sz w:val="24"/>
          <w:szCs w:val="24"/>
        </w:rPr>
        <w:t xml:space="preserve">. London: UNICEF UK. Available at: </w:t>
      </w:r>
      <w:hyperlink r:id="rId15" w:tgtFrame="_blank" w:tooltip="autolink" w:history="1">
        <w:r w:rsidRPr="0002433D">
          <w:rPr>
            <w:rStyle w:val="Hyperlink"/>
            <w:rFonts w:ascii="Arial" w:hAnsi="Arial" w:cs="Arial"/>
            <w:sz w:val="24"/>
            <w:szCs w:val="24"/>
          </w:rPr>
          <w:t>https://www.unicef.org/uk/reports/child-malnutrition-uk</w:t>
        </w:r>
      </w:hyperlink>
      <w:r w:rsidRPr="0002433D">
        <w:rPr>
          <w:rFonts w:ascii="Arial" w:hAnsi="Arial" w:cs="Arial"/>
          <w:sz w:val="24"/>
          <w:szCs w:val="24"/>
        </w:rPr>
        <w:t xml:space="preserve"> (Accessed: 1 August 2026) </w:t>
      </w:r>
    </w:p>
    <w:p w14:paraId="741D9EFD" w14:textId="3DFED579" w:rsidR="0002433D" w:rsidRPr="0002433D" w:rsidRDefault="0002433D" w:rsidP="0002433D">
      <w:pPr>
        <w:spacing w:line="360" w:lineRule="auto"/>
        <w:rPr>
          <w:rFonts w:ascii="Arial" w:hAnsi="Arial" w:cs="Arial"/>
          <w:sz w:val="24"/>
          <w:szCs w:val="24"/>
        </w:rPr>
      </w:pPr>
      <w:r w:rsidRPr="0002433D">
        <w:rPr>
          <w:rFonts w:ascii="Arial" w:hAnsi="Arial" w:cs="Arial"/>
          <w:sz w:val="24"/>
          <w:szCs w:val="24"/>
        </w:rPr>
        <w:t xml:space="preserve">The King’s Fund. (2025) </w:t>
      </w:r>
      <w:r w:rsidRPr="0002433D">
        <w:rPr>
          <w:rFonts w:ascii="Arial" w:hAnsi="Arial" w:cs="Arial"/>
          <w:i/>
          <w:iCs/>
          <w:sz w:val="24"/>
          <w:szCs w:val="24"/>
        </w:rPr>
        <w:t>Health inequalities in the UK: food, diet and socioeconomic status</w:t>
      </w:r>
      <w:r w:rsidRPr="0002433D">
        <w:rPr>
          <w:rFonts w:ascii="Arial" w:hAnsi="Arial" w:cs="Arial"/>
          <w:sz w:val="24"/>
          <w:szCs w:val="24"/>
        </w:rPr>
        <w:t xml:space="preserve">. London: The King’s Fund. Available at: </w:t>
      </w:r>
      <w:hyperlink r:id="rId16" w:tgtFrame="_blank" w:tooltip="autolink" w:history="1">
        <w:r w:rsidRPr="0002433D">
          <w:rPr>
            <w:rStyle w:val="Hyperlink"/>
            <w:rFonts w:ascii="Arial" w:hAnsi="Arial" w:cs="Arial"/>
            <w:sz w:val="24"/>
            <w:szCs w:val="24"/>
          </w:rPr>
          <w:t>https://www.kingsfund.org.uk/publications/health-inequalities-food-diet-socioeconomic-status</w:t>
        </w:r>
      </w:hyperlink>
      <w:r w:rsidRPr="0002433D">
        <w:rPr>
          <w:rFonts w:ascii="Arial" w:hAnsi="Arial" w:cs="Arial"/>
          <w:sz w:val="24"/>
          <w:szCs w:val="24"/>
        </w:rPr>
        <w:t xml:space="preserve"> (Accessed: 4 August 2026) </w:t>
      </w:r>
    </w:p>
    <w:p w14:paraId="70436381" w14:textId="77777777" w:rsidR="0002433D" w:rsidRDefault="0002433D" w:rsidP="0002433D">
      <w:pPr>
        <w:spacing w:line="360" w:lineRule="auto"/>
        <w:rPr>
          <w:rFonts w:ascii="Arial" w:hAnsi="Arial" w:cs="Arial"/>
          <w:sz w:val="24"/>
          <w:szCs w:val="24"/>
        </w:rPr>
      </w:pPr>
      <w:r w:rsidRPr="0002433D">
        <w:rPr>
          <w:rFonts w:ascii="Arial" w:hAnsi="Arial" w:cs="Arial"/>
          <w:sz w:val="24"/>
          <w:szCs w:val="24"/>
        </w:rPr>
        <w:t xml:space="preserve">Transforming UK Food Systems Programme. (2025) ‘Key action areas for population and planetary health’, </w:t>
      </w:r>
      <w:r w:rsidRPr="0002433D">
        <w:rPr>
          <w:rFonts w:ascii="Arial" w:hAnsi="Arial" w:cs="Arial"/>
          <w:i/>
          <w:iCs/>
          <w:sz w:val="24"/>
          <w:szCs w:val="24"/>
        </w:rPr>
        <w:t>Nutrition Bulletin</w:t>
      </w:r>
      <w:r w:rsidRPr="0002433D">
        <w:rPr>
          <w:rFonts w:ascii="Arial" w:hAnsi="Arial" w:cs="Arial"/>
          <w:sz w:val="24"/>
          <w:szCs w:val="24"/>
        </w:rPr>
        <w:t xml:space="preserve">, 50(4), pp. 412–420. Available at: </w:t>
      </w:r>
      <w:hyperlink r:id="rId17" w:tgtFrame="_blank" w:tooltip="autolink" w:history="1">
        <w:r w:rsidRPr="0002433D">
          <w:rPr>
            <w:rStyle w:val="Hyperlink"/>
            <w:rFonts w:ascii="Arial" w:hAnsi="Arial" w:cs="Arial"/>
            <w:sz w:val="24"/>
            <w:szCs w:val="24"/>
          </w:rPr>
          <w:t>https://doi.org/10.1111/nbu.70035</w:t>
        </w:r>
      </w:hyperlink>
      <w:r w:rsidRPr="0002433D">
        <w:rPr>
          <w:rFonts w:ascii="Arial" w:hAnsi="Arial" w:cs="Arial"/>
          <w:sz w:val="24"/>
          <w:szCs w:val="24"/>
        </w:rPr>
        <w:t xml:space="preserve"> (Accessed: 5 August 2026) </w:t>
      </w:r>
    </w:p>
    <w:p w14:paraId="74BAAB25" w14:textId="7BA47C59" w:rsidR="0002433D" w:rsidRPr="0002433D" w:rsidRDefault="0002433D" w:rsidP="0002433D">
      <w:pPr>
        <w:spacing w:line="360" w:lineRule="auto"/>
        <w:rPr>
          <w:rFonts w:ascii="Arial" w:hAnsi="Arial" w:cs="Arial"/>
          <w:sz w:val="24"/>
          <w:szCs w:val="24"/>
        </w:rPr>
      </w:pPr>
      <w:r w:rsidRPr="0002433D">
        <w:rPr>
          <w:rFonts w:ascii="Arial" w:hAnsi="Arial" w:cs="Arial"/>
          <w:sz w:val="24"/>
          <w:szCs w:val="24"/>
        </w:rPr>
        <w:t xml:space="preserve"> Office for National Statistics. (2024) </w:t>
      </w:r>
      <w:r w:rsidRPr="0002433D">
        <w:rPr>
          <w:rFonts w:ascii="Arial" w:hAnsi="Arial" w:cs="Arial"/>
          <w:i/>
          <w:iCs/>
          <w:sz w:val="24"/>
          <w:szCs w:val="24"/>
        </w:rPr>
        <w:t>Lifestyle, diet and nutrition in England: 2024</w:t>
      </w:r>
      <w:r w:rsidRPr="0002433D">
        <w:rPr>
          <w:rFonts w:ascii="Arial" w:hAnsi="Arial" w:cs="Arial"/>
          <w:sz w:val="24"/>
          <w:szCs w:val="24"/>
        </w:rPr>
        <w:t xml:space="preserve">. Newport: ONS. Available at: </w:t>
      </w:r>
      <w:hyperlink r:id="rId18" w:tgtFrame="_blank" w:tooltip="autolink" w:history="1">
        <w:r w:rsidRPr="0002433D">
          <w:rPr>
            <w:rStyle w:val="Hyperlink"/>
            <w:rFonts w:ascii="Arial" w:hAnsi="Arial" w:cs="Arial"/>
            <w:sz w:val="24"/>
            <w:szCs w:val="24"/>
          </w:rPr>
          <w:t>https://www.ons.gov.uk/peoplepopulationandcommunity/healthandsocialcare/dietandnutrition/bulletins/lifestyledietandnutritioninengland/2024</w:t>
        </w:r>
      </w:hyperlink>
      <w:r w:rsidRPr="0002433D">
        <w:rPr>
          <w:rFonts w:ascii="Arial" w:hAnsi="Arial" w:cs="Arial"/>
          <w:sz w:val="24"/>
          <w:szCs w:val="24"/>
        </w:rPr>
        <w:t xml:space="preserve"> (Accessed: 2 August 2026) </w:t>
      </w:r>
    </w:p>
    <w:p w14:paraId="2E872743" w14:textId="7A4722C8" w:rsidR="0002433D" w:rsidRPr="0002433D" w:rsidRDefault="0002433D" w:rsidP="0002433D">
      <w:pPr>
        <w:spacing w:line="360" w:lineRule="auto"/>
        <w:rPr>
          <w:rFonts w:ascii="Arial" w:hAnsi="Arial" w:cs="Arial"/>
          <w:sz w:val="24"/>
          <w:szCs w:val="24"/>
        </w:rPr>
      </w:pPr>
      <w:r w:rsidRPr="0002433D">
        <w:rPr>
          <w:rFonts w:ascii="Arial" w:hAnsi="Arial" w:cs="Arial"/>
          <w:sz w:val="24"/>
          <w:szCs w:val="24"/>
        </w:rPr>
        <w:t xml:space="preserve">Eleanor Crook Foundation. (2025) </w:t>
      </w:r>
      <w:r w:rsidRPr="0002433D">
        <w:rPr>
          <w:rFonts w:ascii="Arial" w:hAnsi="Arial" w:cs="Arial"/>
          <w:i/>
          <w:iCs/>
          <w:sz w:val="24"/>
          <w:szCs w:val="24"/>
        </w:rPr>
        <w:t>Written evidence to the International Development Committee: UK progress on SDG 2 Zero Hunger</w:t>
      </w:r>
      <w:r w:rsidRPr="0002433D">
        <w:rPr>
          <w:rFonts w:ascii="Arial" w:hAnsi="Arial" w:cs="Arial"/>
          <w:sz w:val="24"/>
          <w:szCs w:val="24"/>
        </w:rPr>
        <w:t xml:space="preserve">. London: Eleanor Crook Foundation. Available at: </w:t>
      </w:r>
      <w:hyperlink r:id="rId19" w:tgtFrame="_blank" w:tooltip="autolink" w:history="1">
        <w:r w:rsidRPr="0002433D">
          <w:rPr>
            <w:rStyle w:val="Hyperlink"/>
            <w:rFonts w:ascii="Arial" w:hAnsi="Arial" w:cs="Arial"/>
            <w:sz w:val="24"/>
            <w:szCs w:val="24"/>
          </w:rPr>
          <w:t>https://committees.parliament.uk/writtenevidence/126853/html/</w:t>
        </w:r>
      </w:hyperlink>
      <w:r w:rsidRPr="0002433D">
        <w:rPr>
          <w:rFonts w:ascii="Arial" w:hAnsi="Arial" w:cs="Arial"/>
          <w:sz w:val="24"/>
          <w:szCs w:val="24"/>
        </w:rPr>
        <w:t xml:space="preserve"> (Accessed: 5 August 2026)</w:t>
      </w:r>
    </w:p>
    <w:sectPr w:rsidR="0002433D" w:rsidRPr="000243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C25"/>
    <w:rsid w:val="0002433D"/>
    <w:rsid w:val="0009507D"/>
    <w:rsid w:val="00260CEA"/>
    <w:rsid w:val="003D7C25"/>
    <w:rsid w:val="0043261A"/>
    <w:rsid w:val="0072317F"/>
    <w:rsid w:val="00AD58C8"/>
    <w:rsid w:val="00D46E43"/>
    <w:rsid w:val="00EF460A"/>
    <w:rsid w:val="00F925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C0328"/>
  <w15:chartTrackingRefBased/>
  <w15:docId w15:val="{7FABA62C-29EE-408C-8137-A58C4D6956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7C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7C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7C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7C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7C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7C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7C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7C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7C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7C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7C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7C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7C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7C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7C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7C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7C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7C25"/>
    <w:rPr>
      <w:rFonts w:eastAsiaTheme="majorEastAsia" w:cstheme="majorBidi"/>
      <w:color w:val="272727" w:themeColor="text1" w:themeTint="D8"/>
    </w:rPr>
  </w:style>
  <w:style w:type="paragraph" w:styleId="Title">
    <w:name w:val="Title"/>
    <w:basedOn w:val="Normal"/>
    <w:next w:val="Normal"/>
    <w:link w:val="TitleChar"/>
    <w:uiPriority w:val="10"/>
    <w:qFormat/>
    <w:rsid w:val="003D7C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7C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7C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7C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7C25"/>
    <w:pPr>
      <w:spacing w:before="160"/>
      <w:jc w:val="center"/>
    </w:pPr>
    <w:rPr>
      <w:i/>
      <w:iCs/>
      <w:color w:val="404040" w:themeColor="text1" w:themeTint="BF"/>
    </w:rPr>
  </w:style>
  <w:style w:type="character" w:customStyle="1" w:styleId="QuoteChar">
    <w:name w:val="Quote Char"/>
    <w:basedOn w:val="DefaultParagraphFont"/>
    <w:link w:val="Quote"/>
    <w:uiPriority w:val="29"/>
    <w:rsid w:val="003D7C25"/>
    <w:rPr>
      <w:i/>
      <w:iCs/>
      <w:color w:val="404040" w:themeColor="text1" w:themeTint="BF"/>
    </w:rPr>
  </w:style>
  <w:style w:type="paragraph" w:styleId="ListParagraph">
    <w:name w:val="List Paragraph"/>
    <w:basedOn w:val="Normal"/>
    <w:uiPriority w:val="34"/>
    <w:qFormat/>
    <w:rsid w:val="003D7C25"/>
    <w:pPr>
      <w:ind w:left="720"/>
      <w:contextualSpacing/>
    </w:pPr>
  </w:style>
  <w:style w:type="character" w:styleId="IntenseEmphasis">
    <w:name w:val="Intense Emphasis"/>
    <w:basedOn w:val="DefaultParagraphFont"/>
    <w:uiPriority w:val="21"/>
    <w:qFormat/>
    <w:rsid w:val="003D7C25"/>
    <w:rPr>
      <w:i/>
      <w:iCs/>
      <w:color w:val="0F4761" w:themeColor="accent1" w:themeShade="BF"/>
    </w:rPr>
  </w:style>
  <w:style w:type="paragraph" w:styleId="IntenseQuote">
    <w:name w:val="Intense Quote"/>
    <w:basedOn w:val="Normal"/>
    <w:next w:val="Normal"/>
    <w:link w:val="IntenseQuoteChar"/>
    <w:uiPriority w:val="30"/>
    <w:qFormat/>
    <w:rsid w:val="003D7C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7C25"/>
    <w:rPr>
      <w:i/>
      <w:iCs/>
      <w:color w:val="0F4761" w:themeColor="accent1" w:themeShade="BF"/>
    </w:rPr>
  </w:style>
  <w:style w:type="character" w:styleId="IntenseReference">
    <w:name w:val="Intense Reference"/>
    <w:basedOn w:val="DefaultParagraphFont"/>
    <w:uiPriority w:val="32"/>
    <w:qFormat/>
    <w:rsid w:val="003D7C25"/>
    <w:rPr>
      <w:b/>
      <w:bCs/>
      <w:smallCaps/>
      <w:color w:val="0F4761" w:themeColor="accent1" w:themeShade="BF"/>
      <w:spacing w:val="5"/>
    </w:rPr>
  </w:style>
  <w:style w:type="character" w:styleId="Hyperlink">
    <w:name w:val="Hyperlink"/>
    <w:basedOn w:val="DefaultParagraphFont"/>
    <w:uiPriority w:val="99"/>
    <w:unhideWhenUsed/>
    <w:rsid w:val="0002433D"/>
    <w:rPr>
      <w:color w:val="467886" w:themeColor="hyperlink"/>
      <w:u w:val="single"/>
    </w:rPr>
  </w:style>
  <w:style w:type="character" w:styleId="UnresolvedMention">
    <w:name w:val="Unresolved Mention"/>
    <w:basedOn w:val="DefaultParagraphFont"/>
    <w:uiPriority w:val="99"/>
    <w:semiHidden/>
    <w:unhideWhenUsed/>
    <w:rsid w:val="000243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g-link.byteoversea.com/?target=https%3A%2F%2Ffoodfoundation.org.uk%2Fpress-release%2Ffood-insecurity-affecting-one-eight-households-uk&amp;scene=im&amp;aid=582465&amp;lang=en-US" TargetMode="External"/><Relationship Id="rId13" Type="http://schemas.openxmlformats.org/officeDocument/2006/relationships/hyperlink" Target="https://sg-link.byteoversea.com/?target=https%3A%2F%2Fdoi.org%2F10.1017%2FS1368980023001245&amp;scene=im&amp;aid=582465&amp;lang=en-US" TargetMode="External"/><Relationship Id="rId18" Type="http://schemas.openxmlformats.org/officeDocument/2006/relationships/hyperlink" Target="https://sg-link.byteoversea.com/?target=https%3A%2F%2Fwww.ons.gov.uk%2Fpeoplepopulationandcommunity%2Fhealthandsocialcare%2Fdietandnutrition%2Fbulletins%2Flifestyledietandnutritioninengland%2F2024&amp;scene=im&amp;aid=582465&amp;lang=en-US"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sg-link.byteoversea.com/?target=https%3A%2F%2Fcms.trussell.org.uk%2Fsites%2Fdefault%2Ffiles%2F2025-09%2Fhunger_in_uk_sept25.pdf&amp;scene=im&amp;aid=582465&amp;lang=en-US" TargetMode="External"/><Relationship Id="rId12" Type="http://schemas.openxmlformats.org/officeDocument/2006/relationships/hyperlink" Target="https://sg-link.byteoversea.com/?target=https%3A%2F%2Fcommonslibrary.parliament.uk%2Fwho-is-experiencing-food-insecurity-in-the-uk%2F&amp;scene=im&amp;aid=582465&amp;lang=en-US" TargetMode="External"/><Relationship Id="rId17" Type="http://schemas.openxmlformats.org/officeDocument/2006/relationships/hyperlink" Target="https://sg-link.byteoversea.com/?target=https%3A%2F%2Fdoi.org%2F10.1111%2Fnbu.70035&amp;scene=im&amp;aid=582465&amp;lang=en-US" TargetMode="External"/><Relationship Id="rId2" Type="http://schemas.openxmlformats.org/officeDocument/2006/relationships/settings" Target="settings.xml"/><Relationship Id="rId16" Type="http://schemas.openxmlformats.org/officeDocument/2006/relationships/hyperlink" Target="https://sg-link.byteoversea.com/?target=https%3A%2F%2Fwww.kingsfund.org.uk%2Fpublications%2Fhealth-inequalities-food-diet-socioeconomic-status&amp;scene=im&amp;aid=582465&amp;lang=en-U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sg-link.byteoversea.com/?target=https%3A%2F%2Fcommittees.parliament.uk%2Fpublications%2F62142%2F&amp;scene=im&amp;aid=582465&amp;lang=en-US" TargetMode="External"/><Relationship Id="rId11" Type="http://schemas.openxmlformats.org/officeDocument/2006/relationships/hyperlink" Target="https://sg-link.byteoversea.com/?target=https%3A%2F%2Fdoi.org%2F10.1093%2Fpubmed%2Ffdag036&amp;scene=im&amp;aid=582465&amp;lang=en-US" TargetMode="External"/><Relationship Id="rId5" Type="http://schemas.openxmlformats.org/officeDocument/2006/relationships/hyperlink" Target="https://sg-link.byteoversea.com/?target=https%3A%2F%2Fwww.gov.uk%2Fgovernment%2Fstatistics%2Funited-kingdom-food-security-digest-2025%2Funited-kingdom-food-security-digest-2025&amp;scene=im&amp;aid=582465&amp;lang=en-US" TargetMode="External"/><Relationship Id="rId15" Type="http://schemas.openxmlformats.org/officeDocument/2006/relationships/hyperlink" Target="https://sg-link.byteoversea.com/?target=https%3A%2F%2Fwww.unicef.org%2Fuk%2Freports%2Fchild-malnutrition-uk&amp;scene=im&amp;aid=582465&amp;lang=en-US" TargetMode="External"/><Relationship Id="rId10" Type="http://schemas.openxmlformats.org/officeDocument/2006/relationships/hyperlink" Target="https://sg-link.byteoversea.com/?target=https%3A%2F%2Fwww.gov.uk%2Fgovernment%2Fpublications%2Ftackling-obesity-empowering-adults-and-children-to-live-healthier-lives&amp;scene=im&amp;aid=582465&amp;lang=en-US" TargetMode="External"/><Relationship Id="rId19" Type="http://schemas.openxmlformats.org/officeDocument/2006/relationships/hyperlink" Target="https://sg-link.byteoversea.com/?target=https%3A%2F%2Fcommittees.parliament.uk%2Fwrittenevidence%2F126853%2Fhtml%2F&amp;scene=im&amp;aid=582465&amp;lang=en-US" TargetMode="External"/><Relationship Id="rId4" Type="http://schemas.openxmlformats.org/officeDocument/2006/relationships/image" Target="media/image1.png"/><Relationship Id="rId9" Type="http://schemas.openxmlformats.org/officeDocument/2006/relationships/hyperlink" Target="https://sg-link.byteoversea.com/?target=https%3A%2F%2Fscience.food.gov.uk%2Farticle%2F157772-household-food-insecurity-in-the-uk-data-and-research-landscape.pdf&amp;scene=im&amp;aid=582465&amp;lang=en-US" TargetMode="External"/><Relationship Id="rId14" Type="http://schemas.openxmlformats.org/officeDocument/2006/relationships/hyperlink" Target="https://sg-link.byteoversea.com/?target=https%3A%2F%2Fwww.england.nhs.uk%2Flong-term-plan%2Fprevention%2F&amp;scene=im&amp;aid=582465&amp;lang=en-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3910</Words>
  <Characters>22290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Katarzyna Gluba (2316845)</dc:creator>
  <cp:keywords/>
  <dc:description/>
  <cp:lastModifiedBy>Katarzyna Gluba (2316845)</cp:lastModifiedBy>
  <cp:revision>2</cp:revision>
  <dcterms:created xsi:type="dcterms:W3CDTF">2026-08-08T13:27:00Z</dcterms:created>
  <dcterms:modified xsi:type="dcterms:W3CDTF">2026-08-08T13:27:00Z</dcterms:modified>
</cp:coreProperties>
</file>