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6B27E9A5"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FC527C">
              <w:rPr>
                <w:rFonts w:ascii="Times New Roman" w:hAnsi="Times New Roman" w:cs="Times New Roman"/>
                <w:b/>
                <w:color w:val="auto"/>
                <w:sz w:val="48"/>
              </w:rPr>
              <w:t>Laura Button</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15230042"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Email </w:t>
            </w:r>
            <w:proofErr w:type="gramStart"/>
            <w:r>
              <w:rPr>
                <w:rFonts w:ascii="Times New Roman" w:hAnsi="Times New Roman" w:cs="Times New Roman"/>
                <w:b/>
                <w:color w:val="auto"/>
                <w:sz w:val="48"/>
              </w:rPr>
              <w:t>address:</w:t>
            </w:r>
            <w:r w:rsidR="00FC527C">
              <w:rPr>
                <w:rFonts w:ascii="Times New Roman" w:hAnsi="Times New Roman" w:cs="Times New Roman"/>
                <w:b/>
                <w:color w:val="auto"/>
                <w:sz w:val="48"/>
              </w:rPr>
              <w:t>l.button@npt.gov.uk</w:t>
            </w:r>
            <w:proofErr w:type="gramEnd"/>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1FC13EDA" w14:textId="77777777" w:rsidR="00FC527C" w:rsidRPr="005D3F07" w:rsidRDefault="00FC527C" w:rsidP="00FC527C">
            <w:pPr>
              <w:overflowPunct/>
              <w:autoSpaceDE/>
              <w:autoSpaceDN/>
              <w:adjustRightInd/>
              <w:ind w:right="-957"/>
              <w:textAlignment w:val="auto"/>
              <w:rPr>
                <w:rFonts w:ascii="Times New Roman" w:hAnsi="Times New Roman" w:cs="Times New Roman"/>
                <w:b/>
                <w:color w:val="auto"/>
                <w:sz w:val="48"/>
              </w:rPr>
            </w:pPr>
            <w:r w:rsidRPr="00F31CB4">
              <w:rPr>
                <w:rFonts w:ascii="Times New Roman" w:hAnsi="Times New Roman" w:cs="Times New Roman"/>
                <w:b/>
                <w:sz w:val="48"/>
              </w:rPr>
              <w:t>2521894</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048C9EAF"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B037B0">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r>
        <w:rPr>
          <w:b/>
          <w:color w:val="auto"/>
          <w:sz w:val="24"/>
          <w:szCs w:val="24"/>
        </w:rPr>
        <w:t>Guidance</w:t>
      </w:r>
      <w:r w:rsidR="00084DA6">
        <w:rPr>
          <w:b/>
          <w:color w:val="auto"/>
          <w:sz w:val="24"/>
          <w:szCs w:val="24"/>
        </w:rPr>
        <w:t>;</w:t>
      </w:r>
    </w:p>
    <w:p w14:paraId="104AED32" w14:textId="7E0942CD"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appendix </w:t>
      </w:r>
      <w:r w:rsidR="6D1B720D" w:rsidRPr="00A5656A">
        <w:rPr>
          <w:i/>
          <w:iCs/>
          <w:sz w:val="24"/>
          <w:szCs w:val="24"/>
        </w:rPr>
        <w:t>5 and 6 of the 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064063">
            <w:pPr>
              <w:jc w:val="both"/>
              <w:rPr>
                <w:sz w:val="24"/>
                <w:szCs w:val="24"/>
              </w:rPr>
            </w:pPr>
          </w:p>
          <w:p w14:paraId="20A5906F" w14:textId="77777777" w:rsidR="008D5999" w:rsidRDefault="008D5999" w:rsidP="00064063">
            <w:pPr>
              <w:jc w:val="both"/>
              <w:rPr>
                <w:sz w:val="24"/>
                <w:szCs w:val="24"/>
              </w:rPr>
            </w:pPr>
          </w:p>
          <w:p w14:paraId="51AF4546" w14:textId="476CB9AF"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701D8D4D" w14:textId="38C2B218" w:rsidR="00D3203C" w:rsidRDefault="00D3203C" w:rsidP="00FF7EBB">
            <w:pPr>
              <w:jc w:val="both"/>
              <w:rPr>
                <w:i/>
                <w:sz w:val="24"/>
                <w:szCs w:val="24"/>
              </w:rPr>
            </w:pPr>
          </w:p>
          <w:p w14:paraId="20370495" w14:textId="79B79501" w:rsidR="00D3203C" w:rsidRPr="00FC527C" w:rsidRDefault="00D3203C" w:rsidP="00FC527C">
            <w:pPr>
              <w:spacing w:line="360" w:lineRule="auto"/>
              <w:jc w:val="both"/>
              <w:rPr>
                <w:i/>
                <w:sz w:val="24"/>
                <w:szCs w:val="24"/>
              </w:rPr>
            </w:pPr>
          </w:p>
          <w:p w14:paraId="0B24329A" w14:textId="77777777" w:rsidR="00FC527C" w:rsidRPr="00FC527C" w:rsidRDefault="00FC527C" w:rsidP="00FC527C">
            <w:pPr>
              <w:spacing w:line="360" w:lineRule="auto"/>
              <w:rPr>
                <w:sz w:val="24"/>
                <w:szCs w:val="24"/>
              </w:rPr>
            </w:pPr>
            <w:r w:rsidRPr="00FC527C">
              <w:rPr>
                <w:sz w:val="24"/>
                <w:szCs w:val="24"/>
              </w:rPr>
              <w:t>The case study presented is based upon a safeguarding assessment undertaken as part of my role within a Children's Services Single Point of Access Team in Wales. The assessment was chosen following a discussion with my mentor during supervision, with careful consideration given to the ethical consequences of using practice examples within academic work. To protect the privacy of the family it is concerning, all identifying information has been removed. Family members will therefore be referred to as Child 1, Child 2, Child 3, Mother 1, Father 1, Grandmother 1 and Grandfather 1. The details relating to geographical location, the local authority and other potentially identifying information have also been removed. The use of pseudonyms and the removal of identifiable information ensure that confidentiality is maintained whilst allowing for meaningful critical reflection on my practice.</w:t>
            </w:r>
          </w:p>
          <w:p w14:paraId="06B5EA62" w14:textId="77777777" w:rsidR="00FC527C" w:rsidRPr="00FC527C" w:rsidRDefault="00FC527C" w:rsidP="00FC527C">
            <w:pPr>
              <w:spacing w:line="360" w:lineRule="auto"/>
              <w:rPr>
                <w:sz w:val="24"/>
                <w:szCs w:val="24"/>
              </w:rPr>
            </w:pPr>
          </w:p>
          <w:p w14:paraId="0BED5A11" w14:textId="77777777" w:rsidR="00FC527C" w:rsidRPr="00FC527C" w:rsidRDefault="00FC527C" w:rsidP="00FC527C">
            <w:pPr>
              <w:spacing w:line="360" w:lineRule="auto"/>
              <w:rPr>
                <w:sz w:val="24"/>
                <w:szCs w:val="24"/>
              </w:rPr>
            </w:pPr>
            <w:r w:rsidRPr="00FC527C">
              <w:rPr>
                <w:sz w:val="24"/>
                <w:szCs w:val="24"/>
              </w:rPr>
              <w:t xml:space="preserve">Social workers have a fine balance as professional to ensure they respect and protect individuals' privacy while ensuring information is appropriately shared when there are </w:t>
            </w:r>
            <w:r w:rsidRPr="00FC527C">
              <w:rPr>
                <w:sz w:val="24"/>
                <w:szCs w:val="24"/>
              </w:rPr>
              <w:lastRenderedPageBreak/>
              <w:t xml:space="preserve">safeguarding concerns. The Social Care Wales Code of Professional Practice (2026) requires social workers to maintain confidentiality, respect the rights of individuals and promote their well-being whilst balancing these duties against the need to protect children from harm. These professional standards are essential in developing trusting relationships with children and families and underpin ethical social work practice in Wales (Social Care Wales, 2026). </w:t>
            </w:r>
          </w:p>
          <w:p w14:paraId="2BA4F4F3" w14:textId="77777777" w:rsidR="00FC527C" w:rsidRPr="00FC527C" w:rsidRDefault="00FC527C" w:rsidP="00FC527C">
            <w:pPr>
              <w:spacing w:line="360" w:lineRule="auto"/>
              <w:rPr>
                <w:sz w:val="24"/>
                <w:szCs w:val="24"/>
              </w:rPr>
            </w:pPr>
          </w:p>
          <w:p w14:paraId="7255DFA6" w14:textId="77777777" w:rsidR="00FC527C" w:rsidRPr="00FC527C" w:rsidRDefault="00FC527C" w:rsidP="00FC527C">
            <w:pPr>
              <w:spacing w:line="360" w:lineRule="auto"/>
              <w:rPr>
                <w:sz w:val="24"/>
                <w:szCs w:val="24"/>
              </w:rPr>
            </w:pPr>
            <w:r w:rsidRPr="00FC527C">
              <w:rPr>
                <w:sz w:val="24"/>
                <w:szCs w:val="24"/>
              </w:rPr>
              <w:t xml:space="preserve">Safeguarding is a central to my role within the Single Point of Access team and is integral to social work practice in general. According to Welsh Government (2019) “Safeguarding is the process of protecting children from abuse, neglect and other forms of harm, and promoting their welfare to ensure they grow up in safe and effective care environments”. Effective safeguarding requires practitioners to work in partnership with children, families and </w:t>
            </w:r>
            <w:proofErr w:type="spellStart"/>
            <w:r w:rsidRPr="00FC527C">
              <w:rPr>
                <w:sz w:val="24"/>
                <w:szCs w:val="24"/>
              </w:rPr>
              <w:t>multi agency</w:t>
            </w:r>
            <w:proofErr w:type="spellEnd"/>
            <w:r w:rsidRPr="00FC527C">
              <w:rPr>
                <w:sz w:val="24"/>
                <w:szCs w:val="24"/>
              </w:rPr>
              <w:t xml:space="preserve"> professionals to identify risks, analysis needs and use professional judgement to implement protective interventions where necessary. The balance between protecting and empowering is reflected within the legislative framework The Social Services and Well-being (Wales) Act 2014 which places a duty on practitioners to promote the well-being of children and families, recognising the importance of strengths-based and person-centred approaches while ensuring safeguarding responsibilities are fulfilled. The Act emphasises voice, choice, participation and co-production, requiring social workers to work collaboratively with families, ensuring they are involved in any plans whilst maintaining a clear focus on the child's welfare and safety ensuring that their voice </w:t>
            </w:r>
            <w:proofErr w:type="gramStart"/>
            <w:r w:rsidRPr="00FC527C">
              <w:rPr>
                <w:sz w:val="24"/>
                <w:szCs w:val="24"/>
              </w:rPr>
              <w:t>are</w:t>
            </w:r>
            <w:proofErr w:type="gramEnd"/>
            <w:r w:rsidRPr="00FC527C">
              <w:rPr>
                <w:sz w:val="24"/>
                <w:szCs w:val="24"/>
              </w:rPr>
              <w:t xml:space="preserve"> heard (Welsh Government, 2014). </w:t>
            </w:r>
          </w:p>
          <w:p w14:paraId="6B960647" w14:textId="77777777" w:rsidR="005B3B4D" w:rsidRDefault="005B3B4D" w:rsidP="00FC527C">
            <w:pPr>
              <w:spacing w:line="360" w:lineRule="auto"/>
              <w:rPr>
                <w:sz w:val="24"/>
                <w:szCs w:val="24"/>
              </w:rPr>
            </w:pPr>
          </w:p>
          <w:p w14:paraId="733FAD24" w14:textId="140A561B" w:rsidR="00FC527C" w:rsidRPr="00FC527C" w:rsidRDefault="00FC527C" w:rsidP="00FC527C">
            <w:pPr>
              <w:spacing w:line="360" w:lineRule="auto"/>
              <w:rPr>
                <w:sz w:val="24"/>
                <w:szCs w:val="24"/>
              </w:rPr>
            </w:pPr>
            <w:r w:rsidRPr="00FC527C">
              <w:rPr>
                <w:sz w:val="24"/>
                <w:szCs w:val="24"/>
              </w:rPr>
              <w:t xml:space="preserve">This case study will critically reflect upon my assessment practice within a complex safeguarding context. It will consider how safeguarding legislation, policy and procedures informed decision-making; how analysis was integrated throughout the assessment process; the contribution of collaborative working; and the application of professional judgement in managing risk and uncertainty. Particular consideration will be given to the safeguarding duties outlined within Part 7 of the Social Services and Well-being (Wales) Act 2014, which provides the statutory framework for safeguarding and protecting children at risk in Wales (Social Services and Well-being (Wales) Act 2014, Part 7)and the role of Section 47 of the </w:t>
            </w:r>
            <w:r w:rsidRPr="00FC527C">
              <w:rPr>
                <w:sz w:val="24"/>
                <w:szCs w:val="24"/>
              </w:rPr>
              <w:lastRenderedPageBreak/>
              <w:t xml:space="preserve">Children Act 1989, which places a duty on local authorities to undertake enquiries where there is reasonable cause to suspect that a child is suffering, or is likely to suffer, significant harm (Welsh Government, 2014) Relevant social work theories will also be import to demonstrate how theoretical knowledge informed assessment and intervention. Throughout the discussion, attention will be given to the Welsh legislative and policy context and the ways in which social work practice in Wales operates within wider United Kingdom, European Union and outside of the European Union. </w:t>
            </w:r>
          </w:p>
          <w:p w14:paraId="6CE23A62" w14:textId="77777777" w:rsidR="00FC527C" w:rsidRPr="00FC527C" w:rsidRDefault="00FC527C" w:rsidP="00FC527C">
            <w:pPr>
              <w:spacing w:line="360" w:lineRule="auto"/>
              <w:rPr>
                <w:sz w:val="24"/>
                <w:szCs w:val="24"/>
              </w:rPr>
            </w:pPr>
          </w:p>
          <w:p w14:paraId="3DE6A8A1" w14:textId="77777777" w:rsidR="00FC527C" w:rsidRPr="00FC527C" w:rsidRDefault="00FC527C" w:rsidP="00FC527C">
            <w:pPr>
              <w:spacing w:line="360" w:lineRule="auto"/>
              <w:rPr>
                <w:sz w:val="24"/>
                <w:szCs w:val="24"/>
              </w:rPr>
            </w:pPr>
            <w:r w:rsidRPr="00FC527C">
              <w:rPr>
                <w:sz w:val="24"/>
                <w:szCs w:val="24"/>
              </w:rPr>
              <w:t xml:space="preserve">To provide an overview of the case, a referral was received from a Health Visitor regarding significant concerns for the safety of three children, referred to within this case study as Child 1, Child 2 and Child 3. The Health Visitor had been providing enhanced Health Visiting support to Mother who had a positive and trusting professional relationship with her. During a routine home visit, Mother disclosed she had been using substances, her mental health was </w:t>
            </w:r>
            <w:proofErr w:type="spellStart"/>
            <w:r w:rsidRPr="00FC527C">
              <w:rPr>
                <w:sz w:val="24"/>
                <w:szCs w:val="24"/>
              </w:rPr>
              <w:t>deteriating</w:t>
            </w:r>
            <w:proofErr w:type="spellEnd"/>
            <w:r w:rsidRPr="00FC527C">
              <w:rPr>
                <w:sz w:val="24"/>
                <w:szCs w:val="24"/>
              </w:rPr>
              <w:t xml:space="preserve"> and thoughts of harming both herself and her children. </w:t>
            </w:r>
          </w:p>
          <w:p w14:paraId="54DFF909" w14:textId="77777777" w:rsidR="00FC527C" w:rsidRPr="00FC527C" w:rsidRDefault="00FC527C" w:rsidP="00FC527C">
            <w:pPr>
              <w:spacing w:line="360" w:lineRule="auto"/>
              <w:rPr>
                <w:sz w:val="24"/>
                <w:szCs w:val="24"/>
              </w:rPr>
            </w:pPr>
          </w:p>
          <w:p w14:paraId="2F61B23A" w14:textId="7AB47681" w:rsidR="00FC527C" w:rsidRPr="00FC527C" w:rsidRDefault="00FC527C" w:rsidP="00FC527C">
            <w:pPr>
              <w:spacing w:line="360" w:lineRule="auto"/>
              <w:rPr>
                <w:sz w:val="24"/>
                <w:szCs w:val="24"/>
              </w:rPr>
            </w:pPr>
            <w:r w:rsidRPr="00FC527C">
              <w:rPr>
                <w:sz w:val="24"/>
                <w:szCs w:val="24"/>
              </w:rPr>
              <w:t xml:space="preserve">As the duty social worker that day, I undertook a home visit. During my visit, Mother openly repeated the concerns she had shared with the Health Visitor. Whilst her openness was as huge strength, the disclosure of active thoughts of harming the children meant I was required to balance a strengths-based approach with my statutory duty to safeguard and promote the </w:t>
            </w:r>
            <w:proofErr w:type="spellStart"/>
            <w:r w:rsidR="005B3B4D">
              <w:rPr>
                <w:sz w:val="24"/>
                <w:szCs w:val="24"/>
              </w:rPr>
              <w:t>saftey</w:t>
            </w:r>
            <w:proofErr w:type="spellEnd"/>
            <w:r w:rsidRPr="00FC527C">
              <w:rPr>
                <w:sz w:val="24"/>
                <w:szCs w:val="24"/>
              </w:rPr>
              <w:t xml:space="preserve"> of the children. However, given the active thought of harm, management gave consideration of safeguarding procedures under Part 7 of the Social Services and Well-being (Wales) Act 2014 and the duty to consider whether the threshold for child protection intervention under Section 47 of the Children Act 1989 had been met (Welsh Government, 2014; Children Act 1989).</w:t>
            </w:r>
          </w:p>
          <w:p w14:paraId="51FF1A62" w14:textId="77777777" w:rsidR="00FC527C" w:rsidRPr="00FC527C" w:rsidRDefault="00FC527C" w:rsidP="00FC527C">
            <w:pPr>
              <w:spacing w:line="360" w:lineRule="auto"/>
              <w:rPr>
                <w:sz w:val="24"/>
                <w:szCs w:val="24"/>
              </w:rPr>
            </w:pPr>
          </w:p>
          <w:p w14:paraId="42A40E19" w14:textId="77777777" w:rsidR="00FC527C" w:rsidRPr="00FC527C" w:rsidRDefault="00FC527C" w:rsidP="00FC527C">
            <w:pPr>
              <w:spacing w:line="360" w:lineRule="auto"/>
              <w:rPr>
                <w:sz w:val="24"/>
                <w:szCs w:val="24"/>
              </w:rPr>
            </w:pPr>
            <w:r w:rsidRPr="00FC527C">
              <w:rPr>
                <w:sz w:val="24"/>
                <w:szCs w:val="24"/>
              </w:rPr>
              <w:t xml:space="preserve">The main priority was to explore whether a robust safety plan could be implemented to mitigate the immediate risks to the children. In line with the principles of the Social Services and Well-being (Wales) Act 2014, I considered the least restrictive option and whether the children could safely remain within their family home with support. Consistent with the Wales Safeguarding Procedures, I initially explored whether the children’s </w:t>
            </w:r>
            <w:proofErr w:type="gramStart"/>
            <w:r w:rsidRPr="00FC527C">
              <w:rPr>
                <w:sz w:val="24"/>
                <w:szCs w:val="24"/>
              </w:rPr>
              <w:t>Father</w:t>
            </w:r>
            <w:proofErr w:type="gramEnd"/>
            <w:r w:rsidRPr="00FC527C">
              <w:rPr>
                <w:sz w:val="24"/>
                <w:szCs w:val="24"/>
              </w:rPr>
              <w:t xml:space="preserve"> could take care of the children, given his parental responsibility and the principle that children should </w:t>
            </w:r>
            <w:r w:rsidRPr="00FC527C">
              <w:rPr>
                <w:sz w:val="24"/>
                <w:szCs w:val="24"/>
              </w:rPr>
              <w:lastRenderedPageBreak/>
              <w:t xml:space="preserve">generally remain within their family where safe to do so. However, this option was not viable due to an ongoing police investigation which meant Father was not currently having contact with the children. This required me to exercise professional judgement and consider alternative protective arrangements, while keeping them at least restrictive as possible with the children best interest at the heart of my decision making. </w:t>
            </w:r>
          </w:p>
          <w:p w14:paraId="2ABDAF86" w14:textId="77777777" w:rsidR="00FC527C" w:rsidRPr="00FC527C" w:rsidRDefault="00FC527C" w:rsidP="00FC527C">
            <w:pPr>
              <w:spacing w:line="360" w:lineRule="auto"/>
              <w:rPr>
                <w:sz w:val="24"/>
                <w:szCs w:val="24"/>
              </w:rPr>
            </w:pPr>
          </w:p>
          <w:p w14:paraId="4A03645F" w14:textId="4517A198" w:rsidR="00FC527C" w:rsidRPr="00FC527C" w:rsidRDefault="00FC527C" w:rsidP="00FC527C">
            <w:pPr>
              <w:spacing w:line="360" w:lineRule="auto"/>
              <w:rPr>
                <w:sz w:val="24"/>
                <w:szCs w:val="24"/>
              </w:rPr>
            </w:pPr>
            <w:r w:rsidRPr="00FC527C">
              <w:rPr>
                <w:sz w:val="24"/>
                <w:szCs w:val="24"/>
              </w:rPr>
              <w:t xml:space="preserve">It was </w:t>
            </w:r>
            <w:r w:rsidR="00A340B1">
              <w:rPr>
                <w:sz w:val="24"/>
                <w:szCs w:val="24"/>
              </w:rPr>
              <w:t xml:space="preserve">important </w:t>
            </w:r>
            <w:r w:rsidRPr="00FC527C">
              <w:rPr>
                <w:sz w:val="24"/>
                <w:szCs w:val="24"/>
              </w:rPr>
              <w:t xml:space="preserve">I worked collaboratively with the </w:t>
            </w:r>
            <w:proofErr w:type="gramStart"/>
            <w:r w:rsidRPr="00FC527C">
              <w:rPr>
                <w:sz w:val="24"/>
                <w:szCs w:val="24"/>
              </w:rPr>
              <w:t>Mother</w:t>
            </w:r>
            <w:proofErr w:type="gramEnd"/>
            <w:r w:rsidRPr="00FC527C">
              <w:rPr>
                <w:sz w:val="24"/>
                <w:szCs w:val="24"/>
              </w:rPr>
              <w:t xml:space="preserve">, so we were able to co-produce a safety plan.  rather than imposing arrangements. Together we explored individuals within her support network who could support her to help keep the children safe whilst </w:t>
            </w:r>
            <w:r w:rsidR="003024D6">
              <w:rPr>
                <w:sz w:val="24"/>
                <w:szCs w:val="24"/>
              </w:rPr>
              <w:t>M</w:t>
            </w:r>
            <w:r w:rsidRPr="00FC527C">
              <w:rPr>
                <w:sz w:val="24"/>
                <w:szCs w:val="24"/>
              </w:rPr>
              <w:t xml:space="preserve">other accessed support for her mental health and substance misuse. </w:t>
            </w:r>
            <w:r w:rsidR="003024D6" w:rsidRPr="00FC527C">
              <w:rPr>
                <w:sz w:val="24"/>
                <w:szCs w:val="24"/>
              </w:rPr>
              <w:t>A</w:t>
            </w:r>
            <w:r w:rsidR="003024D6">
              <w:rPr>
                <w:sz w:val="24"/>
                <w:szCs w:val="24"/>
              </w:rPr>
              <w:t xml:space="preserve"> </w:t>
            </w:r>
            <w:r w:rsidRPr="00FC527C">
              <w:rPr>
                <w:sz w:val="24"/>
                <w:szCs w:val="24"/>
              </w:rPr>
              <w:t>safety plan was agreed with mother whereby a family friend would remain in the family home to provide supervision and support. The family friend was familiar to the children, understood the concerns and was willing to help. Reflecting on this decision, I recognised the value of relationship-based practice. The family's living within a small Welsh village meant that informal support was more accessible. Research suggests that individuals are more likely to engage with and stick to plans whereby they have been actively involved in their development, as co-production promotes ownership, empowerment and meaningful participation (Social Care Institute for Excellence, 2022). Reflecting on the process, I believe Mother's openness and honesty was reinforced because she felt listened to despite the seriousness of the concerns.</w:t>
            </w:r>
          </w:p>
          <w:p w14:paraId="10E97BC8" w14:textId="77777777" w:rsidR="003024D6" w:rsidRDefault="003024D6" w:rsidP="00FC527C">
            <w:pPr>
              <w:spacing w:line="360" w:lineRule="auto"/>
              <w:rPr>
                <w:sz w:val="24"/>
                <w:szCs w:val="24"/>
              </w:rPr>
            </w:pPr>
          </w:p>
          <w:p w14:paraId="7F17CC51" w14:textId="001598AA" w:rsidR="00FC527C" w:rsidRPr="00FC527C" w:rsidRDefault="00FC527C" w:rsidP="00FC527C">
            <w:pPr>
              <w:spacing w:line="360" w:lineRule="auto"/>
              <w:rPr>
                <w:sz w:val="24"/>
                <w:szCs w:val="24"/>
              </w:rPr>
            </w:pPr>
            <w:r w:rsidRPr="00FC527C">
              <w:rPr>
                <w:sz w:val="24"/>
                <w:szCs w:val="24"/>
              </w:rPr>
              <w:t xml:space="preserve">Throughout the assessment, collaborative working was central to my decision-making. Information sharing with the Health Visitor was particularly important due to her long involvement with the family and her have extensive information  of the children's lived experiences and mother history, also. Successful multi-agency working is established as a key part of safeguarding </w:t>
            </w:r>
            <w:r w:rsidR="003024D6" w:rsidRPr="00FC527C">
              <w:rPr>
                <w:sz w:val="24"/>
                <w:szCs w:val="24"/>
              </w:rPr>
              <w:t>practice,</w:t>
            </w:r>
            <w:r w:rsidRPr="00FC527C">
              <w:rPr>
                <w:sz w:val="24"/>
                <w:szCs w:val="24"/>
              </w:rPr>
              <w:t xml:space="preserve"> and it enabled a more holistic assessment. The information provided by the Health Visitor contributed significantly to my analysis and supported proportionate decision-making.</w:t>
            </w:r>
          </w:p>
          <w:p w14:paraId="4F064CBD" w14:textId="77777777" w:rsidR="00FC527C" w:rsidRPr="00FC527C" w:rsidRDefault="00FC527C" w:rsidP="00FC527C">
            <w:pPr>
              <w:spacing w:line="360" w:lineRule="auto"/>
              <w:rPr>
                <w:sz w:val="24"/>
                <w:szCs w:val="24"/>
              </w:rPr>
            </w:pPr>
          </w:p>
          <w:p w14:paraId="7EFD81E3" w14:textId="65B8E02E" w:rsidR="00FC527C" w:rsidRPr="00FC527C" w:rsidRDefault="00FC527C" w:rsidP="00FC527C">
            <w:pPr>
              <w:spacing w:line="360" w:lineRule="auto"/>
              <w:rPr>
                <w:sz w:val="24"/>
                <w:szCs w:val="24"/>
              </w:rPr>
            </w:pPr>
            <w:r w:rsidRPr="00FC527C">
              <w:rPr>
                <w:sz w:val="24"/>
                <w:szCs w:val="24"/>
              </w:rPr>
              <w:t xml:space="preserve">The safety plan included clear expectations that Mother would not care for the children alone, would not consume alcohol or substances whilst the children </w:t>
            </w:r>
            <w:r w:rsidRPr="00A340B1">
              <w:rPr>
                <w:sz w:val="24"/>
                <w:szCs w:val="24"/>
              </w:rPr>
              <w:t>were presen</w:t>
            </w:r>
            <w:r w:rsidR="00A340B1" w:rsidRPr="00A340B1">
              <w:rPr>
                <w:sz w:val="24"/>
                <w:szCs w:val="24"/>
              </w:rPr>
              <w:t>t</w:t>
            </w:r>
            <w:r w:rsidR="00A340B1">
              <w:rPr>
                <w:sz w:val="24"/>
                <w:szCs w:val="24"/>
              </w:rPr>
              <w:t xml:space="preserve">, </w:t>
            </w:r>
            <w:r w:rsidRPr="00FC527C">
              <w:rPr>
                <w:sz w:val="24"/>
                <w:szCs w:val="24"/>
              </w:rPr>
              <w:t xml:space="preserve">would engage with mental health and substance misuse services, and would immediately seek </w:t>
            </w:r>
            <w:r w:rsidRPr="00FC527C">
              <w:rPr>
                <w:sz w:val="24"/>
                <w:szCs w:val="24"/>
              </w:rPr>
              <w:lastRenderedPageBreak/>
              <w:t>support from emergency services or Children's Services should risks escalate or the safety plan could no longer be meet. The agreed family friend would provide practical supervision and support, and regular visits were arranged by professionals to review the effectiveness of the plan. Whilst the safety plan reduced immediate risks, I remained mindful that safety plans alone cannot eliminate safeguarding concerns and require ongoing review and analysis to ensure children's safety is paramount.</w:t>
            </w:r>
          </w:p>
          <w:p w14:paraId="5E6CE902" w14:textId="77777777" w:rsidR="00FC527C" w:rsidRPr="00FC527C" w:rsidRDefault="00FC527C" w:rsidP="00FC527C">
            <w:pPr>
              <w:spacing w:line="360" w:lineRule="auto"/>
              <w:rPr>
                <w:sz w:val="24"/>
                <w:szCs w:val="24"/>
              </w:rPr>
            </w:pPr>
          </w:p>
          <w:p w14:paraId="1333E232" w14:textId="77777777" w:rsidR="00FC527C" w:rsidRPr="00FC527C" w:rsidRDefault="00FC527C" w:rsidP="00FC527C">
            <w:pPr>
              <w:spacing w:line="360" w:lineRule="auto"/>
              <w:rPr>
                <w:sz w:val="24"/>
                <w:szCs w:val="24"/>
              </w:rPr>
            </w:pPr>
            <w:r w:rsidRPr="00FC527C">
              <w:rPr>
                <w:sz w:val="24"/>
                <w:szCs w:val="24"/>
              </w:rPr>
              <w:t>I contacted NHS 111 with Mother present and supported her to access mental health support. In addition, with Mother's consent, a referral was made to local substance misuse services which was quickly put in place and mother engaged was good.  This mirrored the preventative and person-centred principles supporting the Social Services and Well-being (Wales) Act 2014, distinguishing that safeguarding children often requires the social worker to address parental needs alongside the needs of the children.</w:t>
            </w:r>
          </w:p>
          <w:p w14:paraId="4879644B" w14:textId="77777777" w:rsidR="00FC527C" w:rsidRPr="00FC527C" w:rsidRDefault="00FC527C" w:rsidP="00FC527C">
            <w:pPr>
              <w:spacing w:line="360" w:lineRule="auto"/>
              <w:rPr>
                <w:sz w:val="24"/>
                <w:szCs w:val="24"/>
              </w:rPr>
            </w:pPr>
          </w:p>
          <w:p w14:paraId="740959B3" w14:textId="5CC3C84C" w:rsidR="00FC527C" w:rsidRPr="00FC527C" w:rsidRDefault="00FC527C" w:rsidP="00FC527C">
            <w:pPr>
              <w:spacing w:line="360" w:lineRule="auto"/>
              <w:rPr>
                <w:sz w:val="24"/>
                <w:szCs w:val="24"/>
              </w:rPr>
            </w:pPr>
            <w:r w:rsidRPr="00FC527C">
              <w:rPr>
                <w:sz w:val="24"/>
                <w:szCs w:val="24"/>
              </w:rPr>
              <w:t xml:space="preserve">Unfortunately, despite the comprehensive safety plan, Mother later advised that she no longer thought that it was safe for the children to be in her care at all </w:t>
            </w:r>
            <w:proofErr w:type="gramStart"/>
            <w:r w:rsidRPr="00FC527C">
              <w:rPr>
                <w:sz w:val="24"/>
                <w:szCs w:val="24"/>
              </w:rPr>
              <w:t>due</w:t>
            </w:r>
            <w:proofErr w:type="gramEnd"/>
            <w:r w:rsidRPr="00FC527C">
              <w:rPr>
                <w:sz w:val="24"/>
                <w:szCs w:val="24"/>
              </w:rPr>
              <w:t xml:space="preserve"> to a further deterioration in her mental health. It was at this point the use of professional </w:t>
            </w:r>
            <w:r w:rsidR="003024D6" w:rsidRPr="00FC527C">
              <w:rPr>
                <w:sz w:val="24"/>
                <w:szCs w:val="24"/>
              </w:rPr>
              <w:t>judgement was</w:t>
            </w:r>
            <w:r w:rsidRPr="00FC527C">
              <w:rPr>
                <w:sz w:val="24"/>
                <w:szCs w:val="24"/>
              </w:rPr>
              <w:t xml:space="preserve"> crucial while continuing to use strengths-based and person-centred approach inform my practice. Rather than making decisions for </w:t>
            </w:r>
            <w:r w:rsidR="00A340B1" w:rsidRPr="00FC527C">
              <w:rPr>
                <w:sz w:val="24"/>
                <w:szCs w:val="24"/>
              </w:rPr>
              <w:t xml:space="preserve">Mother, </w:t>
            </w:r>
            <w:r w:rsidR="003024D6" w:rsidRPr="00FC527C">
              <w:rPr>
                <w:sz w:val="24"/>
                <w:szCs w:val="24"/>
              </w:rPr>
              <w:t>again I</w:t>
            </w:r>
            <w:r w:rsidRPr="00FC527C">
              <w:rPr>
                <w:sz w:val="24"/>
                <w:szCs w:val="24"/>
              </w:rPr>
              <w:t xml:space="preserve"> worked collaboratively with her to explore alternative safeguarding </w:t>
            </w:r>
            <w:r w:rsidR="00A340B1" w:rsidRPr="00FC527C">
              <w:rPr>
                <w:sz w:val="24"/>
                <w:szCs w:val="24"/>
              </w:rPr>
              <w:t>measures</w:t>
            </w:r>
            <w:r w:rsidR="00A340B1">
              <w:rPr>
                <w:sz w:val="24"/>
                <w:szCs w:val="24"/>
              </w:rPr>
              <w:t>.</w:t>
            </w:r>
            <w:r w:rsidRPr="00FC527C">
              <w:rPr>
                <w:sz w:val="24"/>
                <w:szCs w:val="24"/>
              </w:rPr>
              <w:t xml:space="preserve"> This reflected the principles of co-production embedded within the Social Services and Well-being (Wales) Act 2014, which emphasises voice, choice and participation in decision-making</w:t>
            </w:r>
          </w:p>
          <w:p w14:paraId="25C31AAB" w14:textId="77777777" w:rsidR="00FC527C" w:rsidRPr="00FC527C" w:rsidRDefault="00FC527C" w:rsidP="00FC527C">
            <w:pPr>
              <w:spacing w:line="360" w:lineRule="auto"/>
              <w:rPr>
                <w:sz w:val="24"/>
                <w:szCs w:val="24"/>
              </w:rPr>
            </w:pPr>
          </w:p>
          <w:p w14:paraId="48E2E8AA" w14:textId="77777777" w:rsidR="00FC527C" w:rsidRPr="00FC527C" w:rsidRDefault="00FC527C" w:rsidP="00FC527C">
            <w:pPr>
              <w:spacing w:line="360" w:lineRule="auto"/>
              <w:rPr>
                <w:sz w:val="24"/>
                <w:szCs w:val="24"/>
              </w:rPr>
            </w:pPr>
            <w:r w:rsidRPr="00FC527C">
              <w:rPr>
                <w:sz w:val="24"/>
                <w:szCs w:val="24"/>
              </w:rPr>
              <w:t>Multi-agency working was particularly important during this stage of the assessment. I worked closely with the police to gather and analyse information regarding potential family members who could safely support the children. Police information-sharing assisted in identifying risks within the maternal family support network and informed decision-making regarding the suitability of proposed carers. Effective collaboration between agencies is recognised as a key safeguarding responsibility and enabled a more comprehensive analysis of both risk and protective factors (Department for Education, 2026)</w:t>
            </w:r>
          </w:p>
          <w:p w14:paraId="440493BB" w14:textId="77777777" w:rsidR="00FC527C" w:rsidRPr="00FC527C" w:rsidRDefault="00FC527C" w:rsidP="00FC527C">
            <w:pPr>
              <w:spacing w:line="360" w:lineRule="auto"/>
              <w:rPr>
                <w:sz w:val="24"/>
                <w:szCs w:val="24"/>
              </w:rPr>
            </w:pPr>
          </w:p>
          <w:p w14:paraId="7EA43BD4" w14:textId="77777777" w:rsidR="00FC527C" w:rsidRPr="00FC527C" w:rsidRDefault="00FC527C" w:rsidP="00FC527C">
            <w:pPr>
              <w:spacing w:line="360" w:lineRule="auto"/>
              <w:rPr>
                <w:sz w:val="24"/>
                <w:szCs w:val="24"/>
              </w:rPr>
            </w:pPr>
          </w:p>
          <w:p w14:paraId="7D983E7B" w14:textId="0C9CE872" w:rsidR="00FC527C" w:rsidRPr="00FC527C" w:rsidRDefault="00FC527C" w:rsidP="00FC527C">
            <w:pPr>
              <w:spacing w:line="360" w:lineRule="auto"/>
              <w:rPr>
                <w:sz w:val="24"/>
                <w:szCs w:val="24"/>
              </w:rPr>
            </w:pPr>
            <w:r w:rsidRPr="00FC527C">
              <w:rPr>
                <w:sz w:val="24"/>
                <w:szCs w:val="24"/>
              </w:rPr>
              <w:t xml:space="preserve">Alternative family arrangements were explored. In partnership with Mother, it was agreed that the children would temporarily reside with paternal family members. Although this represented the least intrusive safeguarding </w:t>
            </w:r>
            <w:r w:rsidR="00A340B1" w:rsidRPr="00FC527C">
              <w:rPr>
                <w:sz w:val="24"/>
                <w:szCs w:val="24"/>
              </w:rPr>
              <w:t>intervention,</w:t>
            </w:r>
            <w:r w:rsidRPr="00FC527C">
              <w:rPr>
                <w:sz w:val="24"/>
                <w:szCs w:val="24"/>
              </w:rPr>
              <w:t xml:space="preserve"> the situation was complicated by the fact that the paternal family lived in England. This required careful consideration of the practical arrangements, and the responsibilities of agencies operating across national boundaries within the United Kingdom. </w:t>
            </w:r>
          </w:p>
          <w:p w14:paraId="54A1E84C" w14:textId="77777777" w:rsidR="00FC527C" w:rsidRPr="00FC527C" w:rsidRDefault="00FC527C" w:rsidP="00FC527C">
            <w:pPr>
              <w:spacing w:line="360" w:lineRule="auto"/>
              <w:rPr>
                <w:sz w:val="24"/>
                <w:szCs w:val="24"/>
              </w:rPr>
            </w:pPr>
          </w:p>
          <w:p w14:paraId="62598FF0" w14:textId="355361B6" w:rsidR="00FC527C" w:rsidRPr="00FC527C" w:rsidRDefault="00FC527C" w:rsidP="00FC527C">
            <w:pPr>
              <w:spacing w:line="360" w:lineRule="auto"/>
              <w:rPr>
                <w:sz w:val="24"/>
                <w:szCs w:val="24"/>
              </w:rPr>
            </w:pPr>
            <w:r w:rsidRPr="00FC527C">
              <w:rPr>
                <w:sz w:val="24"/>
                <w:szCs w:val="24"/>
              </w:rPr>
              <w:t xml:space="preserve">The decision to utilise the paternal family network can be viewed through the lens of Bronfenbrenner's Ecological Systems Theory (Bronfenbrenner, 1979). This theory highlights how children develop within interconnected systems, including their immediate family, wider family </w:t>
            </w:r>
            <w:r w:rsidR="00A340B1" w:rsidRPr="00FC527C">
              <w:rPr>
                <w:sz w:val="24"/>
                <w:szCs w:val="24"/>
              </w:rPr>
              <w:t>network.</w:t>
            </w:r>
            <w:r w:rsidRPr="00FC527C">
              <w:rPr>
                <w:sz w:val="24"/>
                <w:szCs w:val="24"/>
              </w:rPr>
              <w:t xml:space="preserve"> The paternal family represented an established and familiar system capable of providing stability, safety during a period of significant family crisis. The theory supported my analysis that safeguarding children does not necessarily require removal from family relationships but instead requires practitioners to identify and strengthen protective systems surrounding the child.</w:t>
            </w:r>
          </w:p>
          <w:p w14:paraId="20F3CC59" w14:textId="77777777" w:rsidR="00FC527C" w:rsidRPr="00FC527C" w:rsidRDefault="00FC527C" w:rsidP="00FC527C">
            <w:pPr>
              <w:spacing w:line="360" w:lineRule="auto"/>
              <w:rPr>
                <w:sz w:val="24"/>
                <w:szCs w:val="24"/>
              </w:rPr>
            </w:pPr>
          </w:p>
          <w:p w14:paraId="43F323DC" w14:textId="5241D713" w:rsidR="00FC527C" w:rsidRPr="00FC527C" w:rsidRDefault="00FC527C" w:rsidP="00FC527C">
            <w:pPr>
              <w:spacing w:line="360" w:lineRule="auto"/>
              <w:rPr>
                <w:sz w:val="24"/>
                <w:szCs w:val="24"/>
              </w:rPr>
            </w:pPr>
            <w:r w:rsidRPr="00FC527C">
              <w:rPr>
                <w:sz w:val="24"/>
                <w:szCs w:val="24"/>
              </w:rPr>
              <w:t>The arrangements were therefore implemented whereby the children and Mother travelled to the paternal family's home in England. Once satisfied that the children were settled and safe, Mother returned home to focus on engaging with mental health and substance misuse services. The paternal family continued to provide day</w:t>
            </w:r>
            <w:r w:rsidR="003024D6">
              <w:rPr>
                <w:sz w:val="24"/>
                <w:szCs w:val="24"/>
              </w:rPr>
              <w:t xml:space="preserve"> </w:t>
            </w:r>
            <w:r w:rsidRPr="00FC527C">
              <w:rPr>
                <w:sz w:val="24"/>
                <w:szCs w:val="24"/>
              </w:rPr>
              <w:t>to</w:t>
            </w:r>
            <w:r w:rsidR="003024D6">
              <w:rPr>
                <w:sz w:val="24"/>
                <w:szCs w:val="24"/>
              </w:rPr>
              <w:t xml:space="preserve"> </w:t>
            </w:r>
            <w:r w:rsidRPr="00FC527C">
              <w:rPr>
                <w:sz w:val="24"/>
                <w:szCs w:val="24"/>
              </w:rPr>
              <w:t xml:space="preserve">day care and supervision for the children whilst Mother's was getting her own support. Reflecting on this intervention, I believe the outcome demonstrated the importance of balancing risk management with strengths-based practice. Rather than pursuing a more intrusive statutory intervention, it was possible to utilise family resources to maintain the children's safety whilst </w:t>
            </w:r>
            <w:r w:rsidR="003024D6" w:rsidRPr="00FC527C">
              <w:rPr>
                <w:sz w:val="24"/>
                <w:szCs w:val="24"/>
              </w:rPr>
              <w:t>maintaining</w:t>
            </w:r>
            <w:r w:rsidRPr="00FC527C">
              <w:rPr>
                <w:sz w:val="24"/>
                <w:szCs w:val="24"/>
              </w:rPr>
              <w:t xml:space="preserve"> important family relationships and supporting Mother's recovery.</w:t>
            </w:r>
          </w:p>
          <w:p w14:paraId="61B38B3B" w14:textId="77777777" w:rsidR="00FC527C" w:rsidRPr="00FC527C" w:rsidRDefault="00FC527C" w:rsidP="00FC527C">
            <w:pPr>
              <w:spacing w:line="360" w:lineRule="auto"/>
              <w:rPr>
                <w:sz w:val="24"/>
                <w:szCs w:val="24"/>
              </w:rPr>
            </w:pPr>
          </w:p>
          <w:p w14:paraId="3FF14E3F" w14:textId="60500F78" w:rsidR="00FC527C" w:rsidRPr="00FC527C" w:rsidRDefault="00FC527C" w:rsidP="00FC527C">
            <w:pPr>
              <w:spacing w:line="360" w:lineRule="auto"/>
              <w:rPr>
                <w:sz w:val="24"/>
                <w:szCs w:val="24"/>
              </w:rPr>
            </w:pPr>
            <w:r w:rsidRPr="00FC527C">
              <w:rPr>
                <w:sz w:val="24"/>
                <w:szCs w:val="24"/>
              </w:rPr>
              <w:t xml:space="preserve">The temporary placement of the children with paternal family members in England highlighted the complexities of safeguarding practice across national boundaries within the United Kingdom. Whilst responsibility for the children's </w:t>
            </w:r>
            <w:proofErr w:type="spellStart"/>
            <w:r w:rsidR="0022071D">
              <w:rPr>
                <w:sz w:val="24"/>
                <w:szCs w:val="24"/>
              </w:rPr>
              <w:t>saftey</w:t>
            </w:r>
            <w:proofErr w:type="spellEnd"/>
            <w:r w:rsidRPr="00FC527C">
              <w:rPr>
                <w:sz w:val="24"/>
                <w:szCs w:val="24"/>
              </w:rPr>
              <w:t xml:space="preserve"> remained with Children's Services in Wales, effective safeguarding required collaborative working with health visiting </w:t>
            </w:r>
            <w:r w:rsidRPr="00FC527C">
              <w:rPr>
                <w:sz w:val="24"/>
                <w:szCs w:val="24"/>
              </w:rPr>
              <w:lastRenderedPageBreak/>
              <w:t xml:space="preserve">services in England to ensure the children's needs continued to be met. Liaison was therefore undertaken with health visiting services in England to ensure continuity of support, information sharing and monitoring arrangements whilst the children remained outside of Wales. This demonstrated the importance of multi-agency and cross-border working in safeguarding practice, recognising that children's needs do not cease when families move between local authority areas and in fact </w:t>
            </w:r>
            <w:r w:rsidR="00A340B1" w:rsidRPr="00FC527C">
              <w:rPr>
                <w:sz w:val="24"/>
                <w:szCs w:val="24"/>
              </w:rPr>
              <w:t>it provide</w:t>
            </w:r>
            <w:r w:rsidRPr="00FC527C">
              <w:rPr>
                <w:sz w:val="24"/>
                <w:szCs w:val="24"/>
              </w:rPr>
              <w:t xml:space="preserve"> a </w:t>
            </w:r>
            <w:proofErr w:type="gramStart"/>
            <w:r w:rsidRPr="00FC527C">
              <w:rPr>
                <w:sz w:val="24"/>
                <w:szCs w:val="24"/>
              </w:rPr>
              <w:t>joined</w:t>
            </w:r>
            <w:r w:rsidR="0022071D">
              <w:rPr>
                <w:sz w:val="24"/>
                <w:szCs w:val="24"/>
              </w:rPr>
              <w:t xml:space="preserve"> </w:t>
            </w:r>
            <w:r w:rsidRPr="00FC527C">
              <w:rPr>
                <w:sz w:val="24"/>
                <w:szCs w:val="24"/>
              </w:rPr>
              <w:t>up</w:t>
            </w:r>
            <w:proofErr w:type="gramEnd"/>
            <w:r w:rsidRPr="00FC527C">
              <w:rPr>
                <w:sz w:val="24"/>
                <w:szCs w:val="24"/>
              </w:rPr>
              <w:t xml:space="preserve"> safeguarding response (Wales Safeguarding Procedures, 2025). At this point I thought about </w:t>
            </w:r>
            <w:r w:rsidRPr="00FC527C">
              <w:rPr>
                <w:color w:val="auto"/>
                <w:sz w:val="24"/>
                <w:szCs w:val="24"/>
              </w:rPr>
              <w:t>Zimmerman’s (2000) Empowerment Theory and how often parents and in this case Mother when in child protection enquiries can feel powerless, this helped me reflect on my own practice to ensure to include Mother in any decision making as much a</w:t>
            </w:r>
            <w:r w:rsidR="0022071D">
              <w:rPr>
                <w:color w:val="auto"/>
                <w:sz w:val="24"/>
                <w:szCs w:val="24"/>
              </w:rPr>
              <w:t>s</w:t>
            </w:r>
            <w:r w:rsidRPr="00FC527C">
              <w:rPr>
                <w:color w:val="auto"/>
                <w:sz w:val="24"/>
                <w:szCs w:val="24"/>
              </w:rPr>
              <w:t xml:space="preserve"> it was safe to do so. </w:t>
            </w:r>
          </w:p>
          <w:p w14:paraId="27538B5F" w14:textId="77777777" w:rsidR="00FC527C" w:rsidRPr="00FC527C" w:rsidRDefault="00FC527C" w:rsidP="00FC527C">
            <w:pPr>
              <w:spacing w:line="360" w:lineRule="auto"/>
              <w:rPr>
                <w:sz w:val="24"/>
                <w:szCs w:val="24"/>
              </w:rPr>
            </w:pPr>
          </w:p>
          <w:p w14:paraId="3C892E13" w14:textId="631EB01A" w:rsidR="00FC527C" w:rsidRDefault="00FC527C" w:rsidP="00FC527C">
            <w:pPr>
              <w:spacing w:line="360" w:lineRule="auto"/>
              <w:rPr>
                <w:sz w:val="24"/>
                <w:szCs w:val="24"/>
              </w:rPr>
            </w:pPr>
            <w:r w:rsidRPr="00FC527C">
              <w:rPr>
                <w:sz w:val="24"/>
                <w:szCs w:val="24"/>
              </w:rPr>
              <w:t>Effective information sharing between professionals was essential in ensuring that risks were understood and that appropriate support remained in place, consistent with the principles of partnership working outlined within the Social Services and Well-being (Wales) Act 2014 and the Wales Safeguarding Procedures (Welsh Government, 2014; Wales Safeguarding Procedures, 2019)</w:t>
            </w:r>
          </w:p>
          <w:p w14:paraId="76F6F84D" w14:textId="77777777" w:rsidR="0022071D" w:rsidRPr="00FC527C" w:rsidRDefault="0022071D" w:rsidP="00FC527C">
            <w:pPr>
              <w:spacing w:line="360" w:lineRule="auto"/>
              <w:rPr>
                <w:sz w:val="24"/>
                <w:szCs w:val="24"/>
              </w:rPr>
            </w:pPr>
          </w:p>
          <w:p w14:paraId="75B96571" w14:textId="77777777" w:rsidR="00FC527C" w:rsidRPr="00FC527C" w:rsidRDefault="00FC527C" w:rsidP="00FC527C">
            <w:pPr>
              <w:spacing w:line="360" w:lineRule="auto"/>
              <w:rPr>
                <w:sz w:val="24"/>
                <w:szCs w:val="24"/>
              </w:rPr>
            </w:pPr>
            <w:r w:rsidRPr="00FC527C">
              <w:rPr>
                <w:sz w:val="24"/>
                <w:szCs w:val="24"/>
              </w:rPr>
              <w:t xml:space="preserve">The move, however, was not without challenges. Child 1 and Child 2 were required to spend a period away from their school in Wales whilst residing with paternal family members. Although the school was highly supportive of the safeguarding plan and facilitated online learning opportunities, tensions arose between </w:t>
            </w:r>
            <w:proofErr w:type="gramStart"/>
            <w:r w:rsidRPr="00FC527C">
              <w:rPr>
                <w:sz w:val="24"/>
                <w:szCs w:val="24"/>
              </w:rPr>
              <w:t>myself</w:t>
            </w:r>
            <w:proofErr w:type="gramEnd"/>
            <w:r w:rsidRPr="00FC527C">
              <w:rPr>
                <w:sz w:val="24"/>
                <w:szCs w:val="24"/>
              </w:rPr>
              <w:t xml:space="preserve"> and the Education Welfare Officer (EWO). The EWO's position was that the children should be de-registered from their Welsh school and enrolled in England, given that they were temporarily residing there. From a safeguarding perspective, however, I considered whether this approach was proportionate </w:t>
            </w:r>
            <w:proofErr w:type="gramStart"/>
            <w:r w:rsidRPr="00FC527C">
              <w:rPr>
                <w:sz w:val="24"/>
                <w:szCs w:val="24"/>
              </w:rPr>
              <w:t>and in the children's</w:t>
            </w:r>
            <w:proofErr w:type="gramEnd"/>
            <w:r w:rsidRPr="00FC527C">
              <w:rPr>
                <w:sz w:val="24"/>
                <w:szCs w:val="24"/>
              </w:rPr>
              <w:t xml:space="preserve"> best interests.</w:t>
            </w:r>
          </w:p>
          <w:p w14:paraId="64759862" w14:textId="77777777" w:rsidR="00FC527C" w:rsidRPr="00FC527C" w:rsidRDefault="00FC527C" w:rsidP="00FC527C">
            <w:pPr>
              <w:spacing w:line="360" w:lineRule="auto"/>
              <w:rPr>
                <w:sz w:val="24"/>
                <w:szCs w:val="24"/>
              </w:rPr>
            </w:pPr>
          </w:p>
          <w:p w14:paraId="0E63DD04" w14:textId="1539E35A" w:rsidR="00FC527C" w:rsidRPr="00FC527C" w:rsidRDefault="00FC527C" w:rsidP="00FC527C">
            <w:pPr>
              <w:spacing w:line="360" w:lineRule="auto"/>
              <w:rPr>
                <w:sz w:val="24"/>
                <w:szCs w:val="24"/>
              </w:rPr>
            </w:pPr>
            <w:r w:rsidRPr="00FC527C">
              <w:rPr>
                <w:sz w:val="24"/>
                <w:szCs w:val="24"/>
              </w:rPr>
              <w:t xml:space="preserve">Reflecting on this situation, I recognised the importance of professional judgement when balancing competing needs and </w:t>
            </w:r>
            <w:r w:rsidR="0022071D">
              <w:rPr>
                <w:sz w:val="24"/>
                <w:szCs w:val="24"/>
              </w:rPr>
              <w:t xml:space="preserve">different professional </w:t>
            </w:r>
            <w:r w:rsidRPr="00FC527C">
              <w:rPr>
                <w:sz w:val="24"/>
                <w:szCs w:val="24"/>
              </w:rPr>
              <w:t xml:space="preserve">perspectives. Whilst education is a fundamental protective factor for children, I was concerned that requiring the children to move schools would create further instability at a time when they were already experiencing significant disruption due to their mother's deteriorating mental health and staying out of the </w:t>
            </w:r>
            <w:r w:rsidRPr="00FC527C">
              <w:rPr>
                <w:sz w:val="24"/>
                <w:szCs w:val="24"/>
              </w:rPr>
              <w:lastRenderedPageBreak/>
              <w:t xml:space="preserve">country away from their mother. Furthermore, the safeguarding plan was intended to be a temporary arrangement whilst Mother engaged with support services, with reunification remaining the long-term objective. Consequently, changing schools could have increased stress for both </w:t>
            </w:r>
            <w:proofErr w:type="gramStart"/>
            <w:r w:rsidRPr="00FC527C">
              <w:rPr>
                <w:sz w:val="24"/>
                <w:szCs w:val="24"/>
              </w:rPr>
              <w:t>Mother</w:t>
            </w:r>
            <w:proofErr w:type="gramEnd"/>
            <w:r w:rsidRPr="00FC527C">
              <w:rPr>
                <w:sz w:val="24"/>
                <w:szCs w:val="24"/>
              </w:rPr>
              <w:t xml:space="preserve"> and the children upon their return to Wales, requiring them to navigate a further transition for a short term. This was decided following reflect of the Bronfenbrenner's Ecological Systems Theory (1979), which recognises the importance of stability and consistency across the systems that influence a child's development. School forms a significant part of a child's microsystem, providing social relationships, routine and emotional security. Whilst safeguarding concerns required temporary changes to the children's living arrangements, maintaining their connection to their existing school promoted continuity and minimised further disruption. This understanding strengthened my view that safeguarding should consider not only immediate safety but also children's wider emotional, developmental and educational needs.</w:t>
            </w:r>
          </w:p>
          <w:p w14:paraId="2822AE22" w14:textId="77777777" w:rsidR="00FC527C" w:rsidRPr="00FC527C" w:rsidRDefault="00FC527C" w:rsidP="00FC527C">
            <w:pPr>
              <w:spacing w:line="360" w:lineRule="auto"/>
              <w:rPr>
                <w:sz w:val="24"/>
                <w:szCs w:val="24"/>
              </w:rPr>
            </w:pPr>
          </w:p>
          <w:p w14:paraId="557F135C" w14:textId="034548E6" w:rsidR="00FC527C" w:rsidRPr="00FC527C" w:rsidRDefault="00FC527C" w:rsidP="00FC527C">
            <w:pPr>
              <w:spacing w:line="360" w:lineRule="auto"/>
              <w:rPr>
                <w:sz w:val="24"/>
                <w:szCs w:val="24"/>
              </w:rPr>
            </w:pPr>
            <w:r w:rsidRPr="00FC527C">
              <w:rPr>
                <w:sz w:val="24"/>
                <w:szCs w:val="24"/>
              </w:rPr>
              <w:t>This case showed the importance of understanding the safeguarding framework across the United Kingdom especially when in this case the children are living temporarily outside the nation in which the assessment is being undertaken. Although my practice was undertaken within Wales under the Social Services and Well-being (Wales) Act 2014 and the Wales Safeguarding Procedures (2019), the children's safety plan required them to reside with family members in England. This needed me to be understanding of the interface between Welsh and English safeguarding and reinforced the importance of effective cross-border partnership working. Whilst safeguarding legislation differs across the UK, the core principles remain consistent, namely promoting children's welfare, protecting them from significant harm, ensuring multi-agency working and prioritising the child's voice. In England, these principles are reflected within the Children Act 1989 and Working Together to Safeguard Children (HM Government, 2023), which closely mirror the duties and responsibilities placed upon professionals in Wales. Reflecting on this aspect of practice, I recognised that safeguarding children effectively extends beyond geographical boundaries and requires professionals to understand how different legislative frameworks operate whilst maintaining a shared commitment to children's safety and wellbeing. The temporary placement in England reduced the immediate sa</w:t>
            </w:r>
            <w:r w:rsidR="005B3B4D">
              <w:rPr>
                <w:sz w:val="24"/>
                <w:szCs w:val="24"/>
              </w:rPr>
              <w:t>fe</w:t>
            </w:r>
            <w:r w:rsidRPr="00FC527C">
              <w:rPr>
                <w:sz w:val="24"/>
                <w:szCs w:val="24"/>
              </w:rPr>
              <w:t xml:space="preserve">guarding concern and demonstrated how </w:t>
            </w:r>
            <w:r w:rsidRPr="00FC527C">
              <w:rPr>
                <w:sz w:val="24"/>
                <w:szCs w:val="24"/>
              </w:rPr>
              <w:lastRenderedPageBreak/>
              <w:t>safeguarding responsibilities can be implemented consistently across UK jurisdictions. Through collaborative communication with professionals and family members, I was able to remain assured that the safety plan continued to meet the children's needs despite them residing outside Wales. This experience strengthened my understanding that effective safeguarding is not dependent upon a single legislative framework but upon the consistent application of shared child-centred principles, professional curiosity and multi-agency partnership working (Welsh Government, 2014; HM Government, 2023).</w:t>
            </w:r>
          </w:p>
          <w:p w14:paraId="0716956E" w14:textId="77777777" w:rsidR="00FC527C" w:rsidRPr="00FC527C" w:rsidRDefault="00FC527C" w:rsidP="00FC527C">
            <w:pPr>
              <w:spacing w:line="360" w:lineRule="auto"/>
              <w:rPr>
                <w:sz w:val="24"/>
                <w:szCs w:val="24"/>
              </w:rPr>
            </w:pPr>
          </w:p>
          <w:p w14:paraId="30933430" w14:textId="19E1AD58" w:rsidR="00FC527C" w:rsidRPr="00FC527C" w:rsidRDefault="00FC527C" w:rsidP="00FC527C">
            <w:pPr>
              <w:spacing w:line="360" w:lineRule="auto"/>
              <w:rPr>
                <w:sz w:val="24"/>
                <w:szCs w:val="24"/>
              </w:rPr>
            </w:pPr>
            <w:r w:rsidRPr="00A340B1">
              <w:rPr>
                <w:sz w:val="24"/>
                <w:szCs w:val="24"/>
              </w:rPr>
              <w:t xml:space="preserve">My </w:t>
            </w:r>
            <w:r w:rsidR="00A340B1" w:rsidRPr="00A340B1">
              <w:rPr>
                <w:sz w:val="24"/>
                <w:szCs w:val="24"/>
              </w:rPr>
              <w:t>analysis</w:t>
            </w:r>
            <w:r w:rsidRPr="00A340B1">
              <w:rPr>
                <w:sz w:val="24"/>
                <w:szCs w:val="24"/>
              </w:rPr>
              <w:t xml:space="preserve"> for the child protection enquiries needed me to use my professional </w:t>
            </w:r>
            <w:r w:rsidR="00A340B1" w:rsidRPr="00A340B1">
              <w:rPr>
                <w:sz w:val="24"/>
                <w:szCs w:val="24"/>
              </w:rPr>
              <w:t>judgement</w:t>
            </w:r>
            <w:r w:rsidRPr="00A340B1">
              <w:rPr>
                <w:sz w:val="24"/>
                <w:szCs w:val="24"/>
              </w:rPr>
              <w:t>,</w:t>
            </w:r>
            <w:r w:rsidRPr="00FC527C">
              <w:rPr>
                <w:sz w:val="24"/>
                <w:szCs w:val="24"/>
              </w:rPr>
              <w:t xml:space="preserve"> I was able to </w:t>
            </w:r>
            <w:r w:rsidR="006377E4" w:rsidRPr="00FC527C">
              <w:rPr>
                <w:sz w:val="24"/>
                <w:szCs w:val="24"/>
              </w:rPr>
              <w:t>recognise</w:t>
            </w:r>
            <w:r w:rsidRPr="00FC527C">
              <w:rPr>
                <w:sz w:val="24"/>
                <w:szCs w:val="24"/>
              </w:rPr>
              <w:t xml:space="preserve"> that the immediate safeguarding concerns </w:t>
            </w:r>
            <w:r w:rsidR="0022071D" w:rsidRPr="00FC527C">
              <w:rPr>
                <w:sz w:val="24"/>
                <w:szCs w:val="24"/>
              </w:rPr>
              <w:t>were</w:t>
            </w:r>
            <w:r w:rsidRPr="00FC527C">
              <w:rPr>
                <w:sz w:val="24"/>
                <w:szCs w:val="24"/>
              </w:rPr>
              <w:t xml:space="preserve"> reduced due to the children no longer residing in their mother's care due to the agreed safety plan. Consequently, the outcome of the enquiry was that an Initial Child Protection Conference was not required at that time. Reaching this decision required the exercise of professional judgement, balancing both the risks and protective factors identified throughout the enquiries (Social Care Wales, 2024). Rather than concentrating merely on the presenting risks, I adopted a strengths-based approach, recognising the protective capacity demonstrated by the mother. She had been open and honest about her deteriorating mental health, engaged positively with professionals and consistently adhered to the safety plan. This reflected principles of partnership and empowerment promoted within the Social Services and Well-being (Wales) Act 2014, which highlights working with families to recognise their strengths and achieve positive outcomes (Welsh Government, 2014).</w:t>
            </w:r>
          </w:p>
          <w:p w14:paraId="1A45F520" w14:textId="77777777" w:rsidR="00FC527C" w:rsidRPr="00FC527C" w:rsidRDefault="00FC527C" w:rsidP="00FC527C">
            <w:pPr>
              <w:spacing w:line="360" w:lineRule="auto"/>
              <w:rPr>
                <w:sz w:val="24"/>
                <w:szCs w:val="24"/>
              </w:rPr>
            </w:pPr>
          </w:p>
          <w:p w14:paraId="08D97E62" w14:textId="77777777" w:rsidR="00FC527C" w:rsidRPr="00FC527C" w:rsidRDefault="00FC527C" w:rsidP="00FC527C">
            <w:pPr>
              <w:spacing w:line="360" w:lineRule="auto"/>
              <w:rPr>
                <w:sz w:val="24"/>
                <w:szCs w:val="24"/>
              </w:rPr>
            </w:pPr>
            <w:r w:rsidRPr="00FC527C">
              <w:rPr>
                <w:sz w:val="24"/>
                <w:szCs w:val="24"/>
              </w:rPr>
              <w:t xml:space="preserve">Critically reflecting on this decision, I recognise that there was potential for confirmation bias by placing significant weight on the </w:t>
            </w:r>
            <w:proofErr w:type="gramStart"/>
            <w:r w:rsidRPr="00FC527C">
              <w:rPr>
                <w:sz w:val="24"/>
                <w:szCs w:val="24"/>
              </w:rPr>
              <w:t>mother's</w:t>
            </w:r>
            <w:proofErr w:type="gramEnd"/>
            <w:r w:rsidRPr="00FC527C">
              <w:rPr>
                <w:sz w:val="24"/>
                <w:szCs w:val="24"/>
              </w:rPr>
              <w:t xml:space="preserve"> honestly. Whilst parental engagement is a protective factor, research highlights that compliance does not always mean it reduces risk (Munro, 2011). </w:t>
            </w:r>
          </w:p>
          <w:p w14:paraId="1AD21A18" w14:textId="77777777" w:rsidR="00FC527C" w:rsidRPr="00FC527C" w:rsidRDefault="00FC527C" w:rsidP="00FC527C">
            <w:pPr>
              <w:spacing w:line="360" w:lineRule="auto"/>
              <w:rPr>
                <w:sz w:val="24"/>
                <w:szCs w:val="24"/>
              </w:rPr>
            </w:pPr>
          </w:p>
          <w:p w14:paraId="093FCFCE" w14:textId="739349EE" w:rsidR="00FC527C" w:rsidRPr="00FC527C" w:rsidRDefault="00FC527C" w:rsidP="00FC527C">
            <w:pPr>
              <w:spacing w:line="360" w:lineRule="auto"/>
              <w:rPr>
                <w:sz w:val="24"/>
                <w:szCs w:val="24"/>
              </w:rPr>
            </w:pPr>
            <w:r w:rsidRPr="00FC527C">
              <w:rPr>
                <w:sz w:val="24"/>
                <w:szCs w:val="24"/>
              </w:rPr>
              <w:t xml:space="preserve">My analysis was informed by systems theory, which emphasises the interconnected nature of family functioning and the wider environmental factors affecting children's wellbeing (Payne, 2021). Applying this perspective enabled me to understand the mother's mental health difficulties within the broader context of family stressors and support networks, rather </w:t>
            </w:r>
            <w:r w:rsidRPr="00FC527C">
              <w:rPr>
                <w:sz w:val="24"/>
                <w:szCs w:val="24"/>
              </w:rPr>
              <w:lastRenderedPageBreak/>
              <w:t xml:space="preserve">than viewing risk in isolation. The temporary safety arrangement created an opportunity for further assessment through a Child and Young Person Assessment, allowing the family's needs to be explored holistically and for mother to have the time to access support she needed so the plan of reunification could be worked towards </w:t>
            </w:r>
            <w:r w:rsidR="00A340B1" w:rsidRPr="00FC527C">
              <w:rPr>
                <w:sz w:val="24"/>
                <w:szCs w:val="24"/>
              </w:rPr>
              <w:t>in line</w:t>
            </w:r>
            <w:r w:rsidRPr="00FC527C">
              <w:rPr>
                <w:sz w:val="24"/>
                <w:szCs w:val="24"/>
              </w:rPr>
              <w:t xml:space="preserve"> with the children and mother wishes and </w:t>
            </w:r>
            <w:r w:rsidR="00A340B1" w:rsidRPr="00FC527C">
              <w:rPr>
                <w:sz w:val="24"/>
                <w:szCs w:val="24"/>
              </w:rPr>
              <w:t>feelings.</w:t>
            </w:r>
            <w:r w:rsidRPr="00FC527C">
              <w:rPr>
                <w:sz w:val="24"/>
                <w:szCs w:val="24"/>
              </w:rPr>
              <w:t xml:space="preserve"> Consistent with the United Nations Convention on the Rights of the Child (UNCRC), particularly Article 9, children should not be separated from their parents unless such separation is necessary for their safety and welfare (United Nations, 1989). Therefore, whilst safeguarding remained paramount, the assessment sought to balance the children safety with the children's right to family life, as reflected in Article 8 of the European Convention on Human Rights (Council of Europe, 1950). Which would be continued to </w:t>
            </w:r>
            <w:r w:rsidR="00A340B1" w:rsidRPr="00FC527C">
              <w:rPr>
                <w:sz w:val="24"/>
                <w:szCs w:val="24"/>
              </w:rPr>
              <w:t>be assessed</w:t>
            </w:r>
            <w:r w:rsidRPr="00FC527C">
              <w:rPr>
                <w:sz w:val="24"/>
                <w:szCs w:val="24"/>
              </w:rPr>
              <w:t xml:space="preserve"> in the Child and Young Person assessment where the view and reports of other professional would inform the assessment to ensure multi-agency oversight to ensure that any future escalation in risk would be identified. </w:t>
            </w:r>
          </w:p>
          <w:p w14:paraId="7013D771" w14:textId="77777777" w:rsidR="00FC527C" w:rsidRPr="00FC527C" w:rsidRDefault="00FC527C" w:rsidP="00FC527C">
            <w:pPr>
              <w:spacing w:line="360" w:lineRule="auto"/>
              <w:rPr>
                <w:sz w:val="24"/>
                <w:szCs w:val="24"/>
              </w:rPr>
            </w:pPr>
          </w:p>
          <w:p w14:paraId="443D0070" w14:textId="77777777" w:rsidR="00FC527C" w:rsidRPr="00FC527C" w:rsidRDefault="00FC527C" w:rsidP="00FC527C">
            <w:pPr>
              <w:spacing w:line="360" w:lineRule="auto"/>
              <w:rPr>
                <w:sz w:val="24"/>
                <w:szCs w:val="24"/>
              </w:rPr>
            </w:pPr>
            <w:r w:rsidRPr="00FC527C">
              <w:rPr>
                <w:sz w:val="24"/>
                <w:szCs w:val="24"/>
              </w:rPr>
              <w:t xml:space="preserve">This case also promoted me to consider safeguarding within a wider context beyond the United Kingdom and the European Union. The United Nations Convention on the Rights of the Child (UNCRC) provides a worldwide framework for promoting and protecting children's rights and has significantly influenced safeguarding policy and practice within Wales. In particular, Article 3 states that the best interests of the child should be a primary consideration in all actions concerning children, whilst Article 19 highlights the responsibility of states to protect children from all forms of abuse and neglect (United Nations, 1989) Reflecting on my practice, these principles were central to the decision-making process throughout. Although the children were temporarily living in England under a safety plan, the focus remained on ensuring their safety, wellbeing and long-term outcomes. This reinforced my understanding that safeguarding is not solely driven by national legislation but is underpinned by internationally recognised children's rights. The UNCRC helped me maintain a child-centred approach by ensuring that the children remained paramount whilst balancing their wishes to return to their mother's care when it was safe to do so. Critically, this case demonstrated how international rights-based principles can support professional judgement in safeguarding situations by providing a consistent framework for assessing risk, protection </w:t>
            </w:r>
            <w:r w:rsidRPr="00FC527C">
              <w:rPr>
                <w:sz w:val="24"/>
                <w:szCs w:val="24"/>
              </w:rPr>
              <w:lastRenderedPageBreak/>
              <w:t>and the children best interests, regardless of the geographical boundaries (United Nations, 1989; Welsh Government, 2011).</w:t>
            </w:r>
          </w:p>
          <w:p w14:paraId="7346A239" w14:textId="77777777" w:rsidR="00FC527C" w:rsidRPr="00FC527C" w:rsidRDefault="00FC527C" w:rsidP="00FC527C">
            <w:pPr>
              <w:spacing w:line="360" w:lineRule="auto"/>
              <w:rPr>
                <w:sz w:val="24"/>
                <w:szCs w:val="24"/>
              </w:rPr>
            </w:pPr>
          </w:p>
          <w:p w14:paraId="77CA673B" w14:textId="27886B99" w:rsidR="00FC527C" w:rsidRPr="00FC527C" w:rsidRDefault="00FC527C" w:rsidP="00FC527C">
            <w:pPr>
              <w:spacing w:line="360" w:lineRule="auto"/>
              <w:rPr>
                <w:sz w:val="24"/>
                <w:szCs w:val="24"/>
              </w:rPr>
            </w:pPr>
            <w:r w:rsidRPr="00FC527C">
              <w:rPr>
                <w:sz w:val="24"/>
                <w:szCs w:val="24"/>
              </w:rPr>
              <w:t xml:space="preserve">Due to the nature of my role within the Single Point of Contact (SPOC) team, my involvement with the family was limited. SPOC provides the initial intervention and assessment, gathering and analysing the information gather to determine the level of need, assess risk and identify the most appropriate </w:t>
            </w:r>
            <w:r w:rsidR="0022071D" w:rsidRPr="00FC527C">
              <w:rPr>
                <w:sz w:val="24"/>
                <w:szCs w:val="24"/>
              </w:rPr>
              <w:t>outcome.</w:t>
            </w:r>
            <w:r w:rsidRPr="00FC527C">
              <w:rPr>
                <w:sz w:val="24"/>
                <w:szCs w:val="24"/>
              </w:rPr>
              <w:t xml:space="preserve"> Once the assessment had been completed and a longer-term plan identified, the case was transferred to the locality team within the Local Authority for the family to have a </w:t>
            </w:r>
            <w:proofErr w:type="gramStart"/>
            <w:r w:rsidRPr="00FC527C">
              <w:rPr>
                <w:sz w:val="24"/>
                <w:szCs w:val="24"/>
              </w:rPr>
              <w:t>long term</w:t>
            </w:r>
            <w:proofErr w:type="gramEnd"/>
            <w:r w:rsidRPr="00FC527C">
              <w:rPr>
                <w:sz w:val="24"/>
                <w:szCs w:val="24"/>
              </w:rPr>
              <w:t xml:space="preserve"> social </w:t>
            </w:r>
            <w:r w:rsidR="0022071D" w:rsidRPr="00FC527C">
              <w:rPr>
                <w:sz w:val="24"/>
                <w:szCs w:val="24"/>
              </w:rPr>
              <w:t>worker.</w:t>
            </w:r>
            <w:r w:rsidRPr="00FC527C">
              <w:rPr>
                <w:sz w:val="24"/>
                <w:szCs w:val="24"/>
              </w:rPr>
              <w:t xml:space="preserve"> At the conclusion of my assessment, the children remained in England under the agreed safety plan, with the long-term objective being reunification with their mother. The plan centred on supporting mother to continue engaging with substance misuse services, complete her recovery programme and maintain involvement with mental health services. Although mother continued to use substances at the point of transfer, she had significantly reduced her usage and remained open and honest about her circumstances. Reflecting on this aspect of the case, I recognised the importance of balancing evidence of progress with the ongoing safeguarding concerns associated with parental substance misuse. Research suggests that parental substance misuse can continue to impact parenting capacity, emotional availability and the ability to provide consistent care, even where reductions in use have been achieved (Cleaver, </w:t>
            </w:r>
            <w:proofErr w:type="spellStart"/>
            <w:r w:rsidRPr="00FC527C">
              <w:rPr>
                <w:sz w:val="24"/>
                <w:szCs w:val="24"/>
              </w:rPr>
              <w:t>Unell</w:t>
            </w:r>
            <w:proofErr w:type="spellEnd"/>
            <w:r w:rsidRPr="00FC527C">
              <w:rPr>
                <w:sz w:val="24"/>
                <w:szCs w:val="24"/>
              </w:rPr>
              <w:t xml:space="preserve"> and Aldgate, 2011). Therefore, whilst the level of risk had reduced, it could not be considered eliminated.</w:t>
            </w:r>
          </w:p>
          <w:p w14:paraId="2AE72C75" w14:textId="77777777" w:rsidR="00FC527C" w:rsidRPr="00FC527C" w:rsidRDefault="00FC527C" w:rsidP="00FC527C">
            <w:pPr>
              <w:spacing w:line="360" w:lineRule="auto"/>
              <w:rPr>
                <w:sz w:val="24"/>
                <w:szCs w:val="24"/>
              </w:rPr>
            </w:pPr>
          </w:p>
          <w:p w14:paraId="01A15F3F" w14:textId="77777777" w:rsidR="00FC527C" w:rsidRPr="00FC527C" w:rsidRDefault="00FC527C" w:rsidP="00FC527C">
            <w:pPr>
              <w:spacing w:line="360" w:lineRule="auto"/>
              <w:rPr>
                <w:sz w:val="24"/>
                <w:szCs w:val="24"/>
              </w:rPr>
            </w:pPr>
            <w:r w:rsidRPr="00FC527C">
              <w:rPr>
                <w:sz w:val="24"/>
                <w:szCs w:val="24"/>
              </w:rPr>
              <w:t xml:space="preserve">Equally I provide a </w:t>
            </w:r>
            <w:proofErr w:type="spellStart"/>
            <w:r w:rsidRPr="00FC527C">
              <w:rPr>
                <w:sz w:val="24"/>
                <w:szCs w:val="24"/>
              </w:rPr>
              <w:t>a</w:t>
            </w:r>
            <w:proofErr w:type="spellEnd"/>
            <w:r w:rsidRPr="00FC527C">
              <w:rPr>
                <w:sz w:val="24"/>
                <w:szCs w:val="24"/>
              </w:rPr>
              <w:t xml:space="preserve"> strengths-based analysis whereby i acknowledged the protective factors. Mother's willingness to engage openly with professionals, accept support and demonstrate insight into her difficulties represented significant strengths and indicators of positive change (Forrester et al., 2013). Throughout the assessment, both mother and the children consistently expressed a wish for reunification, requiring careful consideration alongside safeguarding responsibilities. This reflected the principles of the United Nations Convention on the Rights of the Child, which recognises the importance of family relationships whilst maintaining that children's welfare must remain the primary consideration (United Nations, 1989). Critically reflecting on my professional judgement, I </w:t>
            </w:r>
            <w:r w:rsidRPr="00FC527C">
              <w:rPr>
                <w:sz w:val="24"/>
                <w:szCs w:val="24"/>
              </w:rPr>
              <w:lastRenderedPageBreak/>
              <w:t>concluded that the continued use of the safety plan alongside ongoing support and monitoring by the community team provided the most proportionate response. This approach recognised the progress mother had made whilst ensuring that any future reunification would be informed by sustained evidence of change rather than professional optimism. The transfer to the longer-term social work team therefore ensured continued oversight of risk, support for the family and progression towards the agreed reunification plan.</w:t>
            </w:r>
          </w:p>
          <w:p w14:paraId="26CFA617" w14:textId="77777777" w:rsidR="00FC527C" w:rsidRPr="00FC527C" w:rsidRDefault="00FC527C" w:rsidP="00FC527C">
            <w:pPr>
              <w:spacing w:line="360" w:lineRule="auto"/>
              <w:rPr>
                <w:sz w:val="24"/>
                <w:szCs w:val="24"/>
              </w:rPr>
            </w:pPr>
          </w:p>
          <w:p w14:paraId="07238EA9" w14:textId="5DD712C6" w:rsidR="00FC527C" w:rsidRPr="00FC527C" w:rsidRDefault="00FC527C" w:rsidP="00FC527C">
            <w:pPr>
              <w:spacing w:line="360" w:lineRule="auto"/>
              <w:rPr>
                <w:sz w:val="24"/>
                <w:szCs w:val="24"/>
              </w:rPr>
            </w:pPr>
            <w:r w:rsidRPr="00FC527C">
              <w:rPr>
                <w:sz w:val="24"/>
                <w:szCs w:val="24"/>
              </w:rPr>
              <w:t xml:space="preserve">As I reflect on my future practice, this case has strengthened my understanding of the complexities associated with working collaboratively with children and families within safeguarding processes (Social Care Wales, 2024). Whilst social work practice seeks to empower families, promote participation and ensure that the wishes and feelings of children and parents are heard, safeguarding decisions cannot always result in the outcome desired by the individuals involved. In this case, both mother and the children consistently expressed their wish to be reunited; however, my responsibility was to ensure that any decision remained centred on the children's safety. This reinforced my understanding that partnership working does not mean agreeing with all family </w:t>
            </w:r>
            <w:proofErr w:type="gramStart"/>
            <w:r w:rsidRPr="00FC527C">
              <w:rPr>
                <w:sz w:val="24"/>
                <w:szCs w:val="24"/>
              </w:rPr>
              <w:t>wishes, but</w:t>
            </w:r>
            <w:proofErr w:type="gramEnd"/>
            <w:r w:rsidRPr="00FC527C">
              <w:rPr>
                <w:sz w:val="24"/>
                <w:szCs w:val="24"/>
              </w:rPr>
              <w:t xml:space="preserve"> instead working transparently and collaboratively towards shared goals where these can be achieved safely. In my future practice, I will continue to value and promote the views, wishes and feelings of children and families, whilst recognising that professional judgement and safeguarding responsibilities may require alternative plans when risks remain present. However, by adopting a strengths-based and relationship-based approach (</w:t>
            </w:r>
            <w:proofErr w:type="spellStart"/>
            <w:r w:rsidRPr="00FC527C">
              <w:rPr>
                <w:sz w:val="24"/>
                <w:szCs w:val="24"/>
              </w:rPr>
              <w:t>Saleebey</w:t>
            </w:r>
            <w:proofErr w:type="spellEnd"/>
            <w:r w:rsidRPr="00FC527C">
              <w:rPr>
                <w:sz w:val="24"/>
                <w:szCs w:val="24"/>
              </w:rPr>
              <w:t>, 2013) I can work alongside families to support them in achieving their desired outcomes wherever it is safe and appropriate to do so. This case has reinforced the importance of maintaining hope whilst remaining professionally curious, ensuring that decisions are informed by evidence of sustained change rather than aspirations alone. It has also strengthened my confidence in balancing children's rights, family autonomy and protection from harm, ensuring that safeguarding remains the paramount consideration throughout assessment and intervention (United Nations, 1989; Welsh Government, 2014; Social Care Wales, 2024)</w:t>
            </w:r>
            <w:r>
              <w:rPr>
                <w:sz w:val="24"/>
                <w:szCs w:val="24"/>
              </w:rPr>
              <w:t xml:space="preserve">. </w:t>
            </w:r>
          </w:p>
          <w:p w14:paraId="7A24A140" w14:textId="77777777" w:rsidR="00FC527C" w:rsidRPr="00FC527C" w:rsidRDefault="00FC527C" w:rsidP="00FC527C">
            <w:pPr>
              <w:spacing w:line="360" w:lineRule="auto"/>
              <w:rPr>
                <w:sz w:val="24"/>
                <w:szCs w:val="24"/>
              </w:rPr>
            </w:pPr>
          </w:p>
          <w:p w14:paraId="6A4B111E" w14:textId="77777777" w:rsidR="00FC527C" w:rsidRDefault="00FC527C" w:rsidP="00FC527C"/>
          <w:p w14:paraId="5CDC8DAE" w14:textId="77777777" w:rsidR="00FC527C" w:rsidRDefault="00FC527C" w:rsidP="00FC527C"/>
          <w:p w14:paraId="143427A0" w14:textId="1B3FEB76" w:rsidR="00FC527C" w:rsidRPr="00A340B1" w:rsidRDefault="00FC527C" w:rsidP="00FC527C">
            <w:pPr>
              <w:rPr>
                <w:sz w:val="24"/>
                <w:szCs w:val="24"/>
              </w:rPr>
            </w:pPr>
            <w:r w:rsidRPr="00A340B1">
              <w:rPr>
                <w:sz w:val="24"/>
                <w:szCs w:val="24"/>
              </w:rPr>
              <w:lastRenderedPageBreak/>
              <w:t>Word count 39</w:t>
            </w:r>
            <w:r w:rsidR="00C0508A">
              <w:rPr>
                <w:sz w:val="24"/>
                <w:szCs w:val="24"/>
              </w:rPr>
              <w:t>95</w:t>
            </w:r>
            <w:r w:rsidRPr="00A340B1">
              <w:rPr>
                <w:sz w:val="24"/>
                <w:szCs w:val="24"/>
              </w:rPr>
              <w:t xml:space="preserve"> </w:t>
            </w:r>
          </w:p>
          <w:p w14:paraId="12DC2F24" w14:textId="24094196" w:rsidR="00D3203C" w:rsidRPr="00FC527C" w:rsidRDefault="00D3203C" w:rsidP="00FF7EBB">
            <w:pPr>
              <w:jc w:val="both"/>
              <w:rPr>
                <w:iCs/>
                <w:sz w:val="24"/>
                <w:szCs w:val="24"/>
              </w:rPr>
            </w:pPr>
          </w:p>
          <w:p w14:paraId="1225D23D" w14:textId="4FFF3138" w:rsidR="00D3203C" w:rsidRDefault="00D3203C" w:rsidP="00FF7EBB">
            <w:pPr>
              <w:jc w:val="both"/>
              <w:rPr>
                <w:i/>
                <w:sz w:val="24"/>
                <w:szCs w:val="24"/>
              </w:rPr>
            </w:pPr>
          </w:p>
          <w:p w14:paraId="0C1020FE" w14:textId="61CE561C" w:rsidR="00D3203C" w:rsidRDefault="00D3203C" w:rsidP="00FF7EBB">
            <w:pPr>
              <w:jc w:val="both"/>
              <w:rPr>
                <w:i/>
                <w:sz w:val="24"/>
                <w:szCs w:val="24"/>
              </w:rPr>
            </w:pPr>
          </w:p>
          <w:p w14:paraId="43CA65F6" w14:textId="46B65686" w:rsidR="00D3203C" w:rsidRDefault="00D3203C" w:rsidP="00FF7EBB">
            <w:pPr>
              <w:jc w:val="both"/>
              <w:rPr>
                <w:i/>
                <w:sz w:val="24"/>
                <w:szCs w:val="24"/>
              </w:rPr>
            </w:pPr>
          </w:p>
          <w:p w14:paraId="5C222972" w14:textId="259CE14B" w:rsidR="00D3203C" w:rsidRDefault="00D3203C" w:rsidP="00FF7EBB">
            <w:pPr>
              <w:jc w:val="both"/>
              <w:rPr>
                <w:i/>
                <w:sz w:val="24"/>
                <w:szCs w:val="24"/>
              </w:rPr>
            </w:pPr>
          </w:p>
          <w:p w14:paraId="0E7BBCC9" w14:textId="77777777" w:rsidR="00D3203C" w:rsidRDefault="00D3203C" w:rsidP="00FF7EBB">
            <w:pPr>
              <w:jc w:val="both"/>
              <w:rPr>
                <w:i/>
                <w:sz w:val="24"/>
                <w:szCs w:val="24"/>
              </w:rPr>
            </w:pPr>
          </w:p>
          <w:p w14:paraId="47F21B6A" w14:textId="007FFCCE" w:rsidR="007A628F" w:rsidRPr="008B28E7" w:rsidRDefault="007A628F" w:rsidP="00FF7EBB">
            <w:pPr>
              <w:jc w:val="both"/>
              <w:rPr>
                <w:sz w:val="24"/>
                <w:szCs w:val="24"/>
              </w:rPr>
            </w:pP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7F4433FA" w14:textId="247A8309" w:rsidR="00CC135E" w:rsidRPr="003B29BC" w:rsidRDefault="00CC135E" w:rsidP="003B29BC">
      <w:pPr>
        <w:rPr>
          <w:color w:val="auto"/>
          <w:sz w:val="24"/>
          <w:szCs w:val="24"/>
        </w:rPr>
      </w:pPr>
    </w:p>
    <w:sectPr w:rsidR="00CC135E" w:rsidRPr="003B29BC"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2680ACD" w14:textId="77777777" w:rsidR="00DC0195" w:rsidRDefault="00DC0195">
      <w:r>
        <w:separator/>
      </w:r>
    </w:p>
  </w:endnote>
  <w:endnote w:type="continuationSeparator" w:id="0">
    <w:p w14:paraId="5A5196BE" w14:textId="77777777" w:rsidR="00DC0195" w:rsidRDefault="00DC019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3D63B92" w14:textId="77777777" w:rsidR="00DC0195" w:rsidRDefault="00DC0195">
      <w:r>
        <w:separator/>
      </w:r>
    </w:p>
  </w:footnote>
  <w:footnote w:type="continuationSeparator" w:id="0">
    <w:p w14:paraId="1F17864B" w14:textId="77777777" w:rsidR="00DC0195" w:rsidRDefault="00DC019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4F9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266D"/>
    <w:rsid w:val="001C4DB8"/>
    <w:rsid w:val="001C50B8"/>
    <w:rsid w:val="001D229F"/>
    <w:rsid w:val="001E2EB6"/>
    <w:rsid w:val="001F4552"/>
    <w:rsid w:val="002019EB"/>
    <w:rsid w:val="00204B58"/>
    <w:rsid w:val="00205051"/>
    <w:rsid w:val="00211F65"/>
    <w:rsid w:val="00214047"/>
    <w:rsid w:val="00216563"/>
    <w:rsid w:val="0021792F"/>
    <w:rsid w:val="0022071D"/>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024D6"/>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29BC"/>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06A4C"/>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2BE6"/>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382"/>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B3B4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377E4"/>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471ED"/>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40B1"/>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37B0"/>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0508A"/>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B5A5D"/>
    <w:rsid w:val="00DC0195"/>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5754C"/>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27C"/>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4338</Words>
  <Characters>24728</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29008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Laura Button</cp:lastModifiedBy>
  <cp:revision>2</cp:revision>
  <cp:lastPrinted>2020-02-11T19:20:00Z</cp:lastPrinted>
  <dcterms:created xsi:type="dcterms:W3CDTF">2026-10-06T23:04:00Z</dcterms:created>
  <dcterms:modified xsi:type="dcterms:W3CDTF">2026-10-06T23:04:00Z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