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8B3B2B" w14:textId="4CABE845" w:rsidR="00C960EA" w:rsidRPr="00C960EA" w:rsidRDefault="00C960EA" w:rsidP="00C960EA">
      <w:pPr>
        <w:jc w:val="center"/>
        <w:rPr>
          <w:b/>
          <w:bCs/>
          <w:sz w:val="36"/>
          <w:szCs w:val="36"/>
          <w:lang w:val="en-US"/>
        </w:rPr>
      </w:pPr>
      <w:r w:rsidRPr="00C960EA">
        <w:rPr>
          <w:b/>
          <w:bCs/>
          <w:sz w:val="36"/>
          <w:szCs w:val="36"/>
          <w:lang w:val="en-US"/>
        </w:rPr>
        <w:drawing>
          <wp:inline distT="0" distB="0" distL="0" distR="0" wp14:anchorId="2EF7C69D" wp14:editId="4DC2FE8B">
            <wp:extent cx="2019300" cy="809625"/>
            <wp:effectExtent l="0" t="0" r="0" b="0"/>
            <wp:docPr id="11868357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9300" cy="809625"/>
                    </a:xfrm>
                    <a:prstGeom prst="rect">
                      <a:avLst/>
                    </a:prstGeom>
                    <a:noFill/>
                    <a:ln>
                      <a:noFill/>
                    </a:ln>
                  </pic:spPr>
                </pic:pic>
              </a:graphicData>
            </a:graphic>
          </wp:inline>
        </w:drawing>
      </w:r>
    </w:p>
    <w:p w14:paraId="6269D210" w14:textId="77777777" w:rsidR="00C960EA" w:rsidRPr="00C960EA" w:rsidRDefault="00C960EA" w:rsidP="00C960EA">
      <w:pPr>
        <w:jc w:val="center"/>
        <w:rPr>
          <w:b/>
          <w:bCs/>
          <w:sz w:val="36"/>
          <w:szCs w:val="36"/>
          <w:lang w:val="en-US"/>
        </w:rPr>
      </w:pPr>
    </w:p>
    <w:p w14:paraId="10AC89F4" w14:textId="77777777" w:rsidR="00C960EA" w:rsidRPr="00C960EA" w:rsidRDefault="00C960EA" w:rsidP="00C960EA">
      <w:pPr>
        <w:jc w:val="center"/>
        <w:rPr>
          <w:b/>
          <w:bCs/>
          <w:sz w:val="36"/>
          <w:szCs w:val="36"/>
          <w:lang w:val="en-US"/>
        </w:rPr>
      </w:pPr>
      <w:r w:rsidRPr="00C960EA">
        <w:rPr>
          <w:b/>
          <w:bCs/>
          <w:sz w:val="36"/>
          <w:szCs w:val="36"/>
          <w:lang w:val="en-US"/>
        </w:rPr>
        <w:t>PROGRAMME: MASTER OF BUSINESS ADMINISTRATION</w:t>
      </w:r>
    </w:p>
    <w:p w14:paraId="46351CD3" w14:textId="15F9EF8A" w:rsidR="00C960EA" w:rsidRPr="00C960EA" w:rsidRDefault="00C960EA" w:rsidP="00C960EA">
      <w:pPr>
        <w:jc w:val="center"/>
        <w:rPr>
          <w:b/>
          <w:bCs/>
          <w:sz w:val="36"/>
          <w:szCs w:val="36"/>
          <w:lang w:val="en-US"/>
        </w:rPr>
      </w:pPr>
      <w:r w:rsidRPr="00C960EA">
        <w:rPr>
          <w:b/>
          <w:bCs/>
          <w:sz w:val="36"/>
          <w:szCs w:val="36"/>
          <w:lang w:val="en-US"/>
        </w:rPr>
        <w:t xml:space="preserve">MODULE: </w:t>
      </w:r>
      <w:r w:rsidRPr="00C960EA">
        <w:rPr>
          <w:b/>
          <w:bCs/>
          <w:sz w:val="36"/>
          <w:szCs w:val="36"/>
          <w:lang w:val="en-US"/>
        </w:rPr>
        <w:t>MARKETING MANAGEMENT</w:t>
      </w:r>
    </w:p>
    <w:p w14:paraId="7E9F938E" w14:textId="05508E85" w:rsidR="00C960EA" w:rsidRPr="00C960EA" w:rsidRDefault="00C960EA" w:rsidP="00C960EA">
      <w:pPr>
        <w:jc w:val="center"/>
        <w:rPr>
          <w:b/>
          <w:bCs/>
          <w:sz w:val="36"/>
          <w:szCs w:val="36"/>
          <w:lang w:val="en-US"/>
        </w:rPr>
      </w:pPr>
      <w:r w:rsidRPr="00C960EA">
        <w:rPr>
          <w:b/>
          <w:bCs/>
          <w:sz w:val="36"/>
          <w:szCs w:val="36"/>
          <w:lang w:val="en-US"/>
        </w:rPr>
        <w:t>MODULE CODE: LCMB7024</w:t>
      </w:r>
      <w:r w:rsidRPr="00C960EA">
        <w:rPr>
          <w:b/>
          <w:bCs/>
          <w:sz w:val="36"/>
          <w:szCs w:val="36"/>
          <w:lang w:val="en-US"/>
        </w:rPr>
        <w:tab/>
      </w:r>
    </w:p>
    <w:p w14:paraId="73763E83" w14:textId="674A12CA" w:rsidR="00C960EA" w:rsidRPr="00C960EA" w:rsidRDefault="00C960EA" w:rsidP="00C960EA">
      <w:pPr>
        <w:jc w:val="center"/>
        <w:rPr>
          <w:b/>
          <w:bCs/>
          <w:sz w:val="36"/>
          <w:szCs w:val="36"/>
          <w:lang w:val="en-US"/>
        </w:rPr>
      </w:pPr>
      <w:r w:rsidRPr="00C960EA">
        <w:rPr>
          <w:b/>
          <w:bCs/>
          <w:sz w:val="36"/>
          <w:szCs w:val="36"/>
          <w:lang w:val="en-US"/>
        </w:rPr>
        <w:tab/>
      </w:r>
    </w:p>
    <w:p w14:paraId="74AD4ADC" w14:textId="77777777" w:rsidR="00C960EA" w:rsidRDefault="00C960EA" w:rsidP="00C960EA">
      <w:pPr>
        <w:jc w:val="center"/>
        <w:rPr>
          <w:b/>
          <w:bCs/>
          <w:sz w:val="36"/>
          <w:szCs w:val="36"/>
          <w:lang w:val="en-US"/>
        </w:rPr>
      </w:pPr>
      <w:r w:rsidRPr="00C960EA">
        <w:rPr>
          <w:b/>
          <w:bCs/>
          <w:sz w:val="36"/>
          <w:szCs w:val="36"/>
          <w:lang w:val="en-US"/>
        </w:rPr>
        <w:t>ASSIGNMENT TITLE: MACRO-ENVIRONMENTAL FORCES AND COMPETITIVE STRATEGY</w:t>
      </w:r>
    </w:p>
    <w:p w14:paraId="0EB335E5" w14:textId="77777777" w:rsidR="00C960EA" w:rsidRDefault="00C960EA" w:rsidP="00C960EA">
      <w:pPr>
        <w:jc w:val="center"/>
        <w:rPr>
          <w:b/>
          <w:bCs/>
          <w:sz w:val="36"/>
          <w:szCs w:val="36"/>
          <w:lang w:val="en-US"/>
        </w:rPr>
      </w:pPr>
    </w:p>
    <w:p w14:paraId="009A2A53" w14:textId="61C69A3E" w:rsidR="00C960EA" w:rsidRPr="00C960EA" w:rsidRDefault="00C960EA" w:rsidP="00C960EA">
      <w:pPr>
        <w:jc w:val="center"/>
        <w:rPr>
          <w:b/>
          <w:bCs/>
          <w:sz w:val="36"/>
          <w:szCs w:val="36"/>
          <w:lang w:val="en-US"/>
        </w:rPr>
      </w:pPr>
      <w:r w:rsidRPr="00C960EA">
        <w:rPr>
          <w:b/>
          <w:bCs/>
          <w:sz w:val="36"/>
          <w:szCs w:val="36"/>
          <w:lang w:val="en-US"/>
        </w:rPr>
        <w:t>STUDENT NAME:</w:t>
      </w:r>
      <w:r>
        <w:rPr>
          <w:b/>
          <w:bCs/>
          <w:sz w:val="36"/>
          <w:szCs w:val="36"/>
          <w:lang w:val="en-US"/>
        </w:rPr>
        <w:t xml:space="preserve"> </w:t>
      </w:r>
      <w:r w:rsidRPr="00C960EA">
        <w:rPr>
          <w:b/>
          <w:bCs/>
          <w:sz w:val="36"/>
          <w:szCs w:val="36"/>
        </w:rPr>
        <w:t>Wares Sikder Anik</w:t>
      </w:r>
      <w:r w:rsidRPr="00C960EA">
        <w:rPr>
          <w:b/>
          <w:bCs/>
          <w:sz w:val="36"/>
          <w:szCs w:val="36"/>
          <w:lang w:val="en-US"/>
        </w:rPr>
        <w:tab/>
        <w:t xml:space="preserve">     </w:t>
      </w:r>
    </w:p>
    <w:p w14:paraId="3556748A" w14:textId="31B33D45" w:rsidR="00C960EA" w:rsidRPr="00C960EA" w:rsidRDefault="00C960EA" w:rsidP="00C960EA">
      <w:pPr>
        <w:jc w:val="center"/>
        <w:rPr>
          <w:b/>
          <w:bCs/>
          <w:sz w:val="36"/>
          <w:szCs w:val="36"/>
          <w:lang w:val="en-US"/>
        </w:rPr>
      </w:pPr>
      <w:r w:rsidRPr="00C960EA">
        <w:rPr>
          <w:b/>
          <w:bCs/>
          <w:sz w:val="36"/>
          <w:szCs w:val="36"/>
          <w:lang w:val="en-US"/>
        </w:rPr>
        <w:t>STUDENT ID NUMBER:</w:t>
      </w:r>
      <w:r>
        <w:rPr>
          <w:b/>
          <w:bCs/>
          <w:sz w:val="36"/>
          <w:szCs w:val="36"/>
          <w:lang w:val="en-US"/>
        </w:rPr>
        <w:t xml:space="preserve"> </w:t>
      </w:r>
      <w:r w:rsidRPr="00C960EA">
        <w:rPr>
          <w:b/>
          <w:bCs/>
          <w:sz w:val="36"/>
          <w:szCs w:val="36"/>
        </w:rPr>
        <w:t>2518993</w:t>
      </w:r>
      <w:r w:rsidRPr="00C960EA">
        <w:rPr>
          <w:b/>
          <w:bCs/>
          <w:sz w:val="36"/>
          <w:szCs w:val="36"/>
          <w:lang w:val="en-US"/>
        </w:rPr>
        <w:tab/>
      </w:r>
    </w:p>
    <w:p w14:paraId="50C1A96D" w14:textId="77777777" w:rsidR="00C960EA" w:rsidRPr="00C960EA" w:rsidRDefault="00C960EA" w:rsidP="00C960EA">
      <w:pPr>
        <w:jc w:val="center"/>
        <w:rPr>
          <w:b/>
          <w:bCs/>
          <w:sz w:val="36"/>
          <w:szCs w:val="36"/>
          <w:lang w:val="en-US"/>
        </w:rPr>
      </w:pPr>
      <w:r w:rsidRPr="00C960EA">
        <w:rPr>
          <w:b/>
          <w:bCs/>
          <w:sz w:val="36"/>
          <w:szCs w:val="36"/>
          <w:lang w:val="en-US"/>
        </w:rPr>
        <w:t xml:space="preserve">WORD COUNT: 2,500 </w:t>
      </w:r>
    </w:p>
    <w:p w14:paraId="64F10175" w14:textId="0E30EBC8" w:rsidR="00CA2267" w:rsidRPr="00C960EA" w:rsidRDefault="00CA2267" w:rsidP="00CA2267">
      <w:pPr>
        <w:jc w:val="center"/>
        <w:rPr>
          <w:b/>
          <w:bCs/>
          <w:sz w:val="36"/>
          <w:szCs w:val="36"/>
          <w:lang w:val="en-US"/>
        </w:rPr>
      </w:pPr>
    </w:p>
    <w:p w14:paraId="0736C1C9" w14:textId="77777777" w:rsidR="00CA2267" w:rsidRDefault="00CA2267" w:rsidP="0088583F">
      <w:pPr>
        <w:rPr>
          <w:b/>
          <w:bCs/>
          <w:sz w:val="36"/>
          <w:szCs w:val="36"/>
        </w:rPr>
      </w:pPr>
    </w:p>
    <w:p w14:paraId="6923FA84" w14:textId="77777777" w:rsidR="00CA2267" w:rsidRDefault="00CA2267" w:rsidP="00CA2267">
      <w:pPr>
        <w:jc w:val="center"/>
        <w:rPr>
          <w:b/>
          <w:bCs/>
          <w:sz w:val="36"/>
          <w:szCs w:val="36"/>
        </w:rPr>
      </w:pPr>
    </w:p>
    <w:sdt>
      <w:sdtPr>
        <w:rPr>
          <w:rFonts w:ascii="Arial" w:eastAsiaTheme="minorHAnsi" w:hAnsi="Arial" w:cs="Arial"/>
          <w:color w:val="auto"/>
          <w:kern w:val="2"/>
          <w:sz w:val="24"/>
          <w:szCs w:val="24"/>
          <w:lang w:val="en-GB"/>
          <w14:ligatures w14:val="standardContextual"/>
        </w:rPr>
        <w:id w:val="-1707170229"/>
        <w:docPartObj>
          <w:docPartGallery w:val="Table of Contents"/>
          <w:docPartUnique/>
        </w:docPartObj>
      </w:sdtPr>
      <w:sdtEndPr>
        <w:rPr>
          <w:rFonts w:cstheme="minorBidi"/>
          <w:b/>
          <w:bCs/>
          <w:noProof/>
        </w:rPr>
      </w:sdtEndPr>
      <w:sdtContent>
        <w:p w14:paraId="53887E93" w14:textId="76A5AE61" w:rsidR="00EC6686" w:rsidRPr="00EC6686" w:rsidRDefault="00EC6686" w:rsidP="00EC6686">
          <w:pPr>
            <w:pStyle w:val="TOCHeading"/>
            <w:spacing w:line="360" w:lineRule="auto"/>
            <w:jc w:val="center"/>
            <w:rPr>
              <w:rFonts w:ascii="Arial" w:hAnsi="Arial" w:cs="Arial"/>
              <w:b/>
              <w:bCs/>
              <w:color w:val="000000" w:themeColor="text1"/>
              <w:sz w:val="24"/>
              <w:szCs w:val="24"/>
            </w:rPr>
          </w:pPr>
          <w:r w:rsidRPr="00EC6686">
            <w:rPr>
              <w:rFonts w:ascii="Arial" w:hAnsi="Arial" w:cs="Arial"/>
              <w:b/>
              <w:bCs/>
              <w:color w:val="000000" w:themeColor="text1"/>
              <w:sz w:val="24"/>
              <w:szCs w:val="24"/>
            </w:rPr>
            <w:t>Table of Contents</w:t>
          </w:r>
        </w:p>
        <w:p w14:paraId="0BC63B4A" w14:textId="77777777" w:rsidR="001673AE" w:rsidRDefault="00EC6686">
          <w:pPr>
            <w:pStyle w:val="TOC1"/>
            <w:tabs>
              <w:tab w:val="right" w:leader="dot" w:pos="9350"/>
            </w:tabs>
            <w:rPr>
              <w:rFonts w:asciiTheme="minorHAnsi" w:eastAsiaTheme="minorEastAsia" w:hAnsiTheme="minorHAnsi"/>
              <w:noProof/>
              <w:kern w:val="0"/>
              <w:sz w:val="22"/>
              <w:szCs w:val="22"/>
              <w:lang w:val="en-US"/>
              <w14:ligatures w14:val="none"/>
            </w:rPr>
          </w:pPr>
          <w:r w:rsidRPr="00EC6686">
            <w:rPr>
              <w:rFonts w:cs="Arial"/>
            </w:rPr>
            <w:fldChar w:fldCharType="begin"/>
          </w:r>
          <w:r w:rsidRPr="00EC6686">
            <w:rPr>
              <w:rFonts w:cs="Arial"/>
            </w:rPr>
            <w:instrText xml:space="preserve"> TOC \o "1-3" \h \z \u </w:instrText>
          </w:r>
          <w:r w:rsidRPr="00EC6686">
            <w:rPr>
              <w:rFonts w:cs="Arial"/>
            </w:rPr>
            <w:fldChar w:fldCharType="separate"/>
          </w:r>
          <w:hyperlink w:anchor="_Toc221817754" w:history="1">
            <w:r w:rsidR="001673AE" w:rsidRPr="00747E7E">
              <w:rPr>
                <w:rStyle w:val="Hyperlink"/>
                <w:noProof/>
                <w:lang w:val="en-US"/>
              </w:rPr>
              <w:t>Introduction</w:t>
            </w:r>
            <w:r w:rsidR="001673AE">
              <w:rPr>
                <w:noProof/>
                <w:webHidden/>
              </w:rPr>
              <w:tab/>
            </w:r>
            <w:r w:rsidR="001673AE">
              <w:rPr>
                <w:noProof/>
                <w:webHidden/>
              </w:rPr>
              <w:fldChar w:fldCharType="begin"/>
            </w:r>
            <w:r w:rsidR="001673AE">
              <w:rPr>
                <w:noProof/>
                <w:webHidden/>
              </w:rPr>
              <w:instrText xml:space="preserve"> PAGEREF _Toc221817754 \h </w:instrText>
            </w:r>
            <w:r w:rsidR="001673AE">
              <w:rPr>
                <w:noProof/>
                <w:webHidden/>
              </w:rPr>
            </w:r>
            <w:r w:rsidR="001673AE">
              <w:rPr>
                <w:noProof/>
                <w:webHidden/>
              </w:rPr>
              <w:fldChar w:fldCharType="separate"/>
            </w:r>
            <w:r w:rsidR="001673AE">
              <w:rPr>
                <w:noProof/>
                <w:webHidden/>
              </w:rPr>
              <w:t>3</w:t>
            </w:r>
            <w:r w:rsidR="001673AE">
              <w:rPr>
                <w:noProof/>
                <w:webHidden/>
              </w:rPr>
              <w:fldChar w:fldCharType="end"/>
            </w:r>
          </w:hyperlink>
        </w:p>
        <w:p w14:paraId="4EDD2D98" w14:textId="77777777" w:rsidR="001673AE" w:rsidRDefault="001673AE">
          <w:pPr>
            <w:pStyle w:val="TOC2"/>
            <w:tabs>
              <w:tab w:val="right" w:leader="dot" w:pos="9350"/>
            </w:tabs>
            <w:rPr>
              <w:rFonts w:asciiTheme="minorHAnsi" w:eastAsiaTheme="minorEastAsia" w:hAnsiTheme="minorHAnsi"/>
              <w:noProof/>
              <w:kern w:val="0"/>
              <w:sz w:val="22"/>
              <w:szCs w:val="22"/>
              <w:lang w:val="en-US"/>
              <w14:ligatures w14:val="none"/>
            </w:rPr>
          </w:pPr>
          <w:hyperlink w:anchor="_Toc221817755" w:history="1">
            <w:r w:rsidRPr="00747E7E">
              <w:rPr>
                <w:rStyle w:val="Hyperlink"/>
                <w:noProof/>
                <w:lang w:val="en-US"/>
              </w:rPr>
              <w:t>Industry Context and Strategic Positioning</w:t>
            </w:r>
            <w:r>
              <w:rPr>
                <w:noProof/>
                <w:webHidden/>
              </w:rPr>
              <w:tab/>
            </w:r>
            <w:r>
              <w:rPr>
                <w:noProof/>
                <w:webHidden/>
              </w:rPr>
              <w:fldChar w:fldCharType="begin"/>
            </w:r>
            <w:r>
              <w:rPr>
                <w:noProof/>
                <w:webHidden/>
              </w:rPr>
              <w:instrText xml:space="preserve"> PAGEREF _Toc221817755 \h </w:instrText>
            </w:r>
            <w:r>
              <w:rPr>
                <w:noProof/>
                <w:webHidden/>
              </w:rPr>
            </w:r>
            <w:r>
              <w:rPr>
                <w:noProof/>
                <w:webHidden/>
              </w:rPr>
              <w:fldChar w:fldCharType="separate"/>
            </w:r>
            <w:r>
              <w:rPr>
                <w:noProof/>
                <w:webHidden/>
              </w:rPr>
              <w:t>3</w:t>
            </w:r>
            <w:r>
              <w:rPr>
                <w:noProof/>
                <w:webHidden/>
              </w:rPr>
              <w:fldChar w:fldCharType="end"/>
            </w:r>
          </w:hyperlink>
        </w:p>
        <w:p w14:paraId="162B0467" w14:textId="77777777" w:rsidR="001673AE" w:rsidRDefault="001673AE">
          <w:pPr>
            <w:pStyle w:val="TOC1"/>
            <w:tabs>
              <w:tab w:val="right" w:leader="dot" w:pos="9350"/>
            </w:tabs>
            <w:rPr>
              <w:rFonts w:asciiTheme="minorHAnsi" w:eastAsiaTheme="minorEastAsia" w:hAnsiTheme="minorHAnsi"/>
              <w:noProof/>
              <w:kern w:val="0"/>
              <w:sz w:val="22"/>
              <w:szCs w:val="22"/>
              <w:lang w:val="en-US"/>
              <w14:ligatures w14:val="none"/>
            </w:rPr>
          </w:pPr>
          <w:hyperlink w:anchor="_Toc221817756" w:history="1">
            <w:r w:rsidRPr="00747E7E">
              <w:rPr>
                <w:rStyle w:val="Hyperlink"/>
                <w:noProof/>
                <w:lang w:val="en-US"/>
              </w:rPr>
              <w:t>Task 1: Macro-Marketing Environment Analysis</w:t>
            </w:r>
            <w:r>
              <w:rPr>
                <w:noProof/>
                <w:webHidden/>
              </w:rPr>
              <w:tab/>
            </w:r>
            <w:r>
              <w:rPr>
                <w:noProof/>
                <w:webHidden/>
              </w:rPr>
              <w:fldChar w:fldCharType="begin"/>
            </w:r>
            <w:r>
              <w:rPr>
                <w:noProof/>
                <w:webHidden/>
              </w:rPr>
              <w:instrText xml:space="preserve"> PAGEREF _Toc221817756 \h </w:instrText>
            </w:r>
            <w:r>
              <w:rPr>
                <w:noProof/>
                <w:webHidden/>
              </w:rPr>
            </w:r>
            <w:r>
              <w:rPr>
                <w:noProof/>
                <w:webHidden/>
              </w:rPr>
              <w:fldChar w:fldCharType="separate"/>
            </w:r>
            <w:r>
              <w:rPr>
                <w:noProof/>
                <w:webHidden/>
              </w:rPr>
              <w:t>4</w:t>
            </w:r>
            <w:r>
              <w:rPr>
                <w:noProof/>
                <w:webHidden/>
              </w:rPr>
              <w:fldChar w:fldCharType="end"/>
            </w:r>
          </w:hyperlink>
        </w:p>
        <w:p w14:paraId="0B549147" w14:textId="77777777" w:rsidR="001673AE" w:rsidRDefault="001673AE">
          <w:pPr>
            <w:pStyle w:val="TOC2"/>
            <w:tabs>
              <w:tab w:val="right" w:leader="dot" w:pos="9350"/>
            </w:tabs>
            <w:rPr>
              <w:rFonts w:asciiTheme="minorHAnsi" w:eastAsiaTheme="minorEastAsia" w:hAnsiTheme="minorHAnsi"/>
              <w:noProof/>
              <w:kern w:val="0"/>
              <w:sz w:val="22"/>
              <w:szCs w:val="22"/>
              <w:lang w:val="en-US"/>
              <w14:ligatures w14:val="none"/>
            </w:rPr>
          </w:pPr>
          <w:hyperlink w:anchor="_Toc221817757" w:history="1">
            <w:r w:rsidRPr="00747E7E">
              <w:rPr>
                <w:rStyle w:val="Hyperlink"/>
                <w:noProof/>
                <w:lang w:val="en-US"/>
              </w:rPr>
              <w:t>Technological Environment</w:t>
            </w:r>
            <w:r>
              <w:rPr>
                <w:noProof/>
                <w:webHidden/>
              </w:rPr>
              <w:tab/>
            </w:r>
            <w:r>
              <w:rPr>
                <w:noProof/>
                <w:webHidden/>
              </w:rPr>
              <w:fldChar w:fldCharType="begin"/>
            </w:r>
            <w:r>
              <w:rPr>
                <w:noProof/>
                <w:webHidden/>
              </w:rPr>
              <w:instrText xml:space="preserve"> PAGEREF _Toc221817757 \h </w:instrText>
            </w:r>
            <w:r>
              <w:rPr>
                <w:noProof/>
                <w:webHidden/>
              </w:rPr>
            </w:r>
            <w:r>
              <w:rPr>
                <w:noProof/>
                <w:webHidden/>
              </w:rPr>
              <w:fldChar w:fldCharType="separate"/>
            </w:r>
            <w:r>
              <w:rPr>
                <w:noProof/>
                <w:webHidden/>
              </w:rPr>
              <w:t>4</w:t>
            </w:r>
            <w:r>
              <w:rPr>
                <w:noProof/>
                <w:webHidden/>
              </w:rPr>
              <w:fldChar w:fldCharType="end"/>
            </w:r>
          </w:hyperlink>
        </w:p>
        <w:p w14:paraId="46560A90" w14:textId="77777777" w:rsidR="001673AE" w:rsidRDefault="001673AE">
          <w:pPr>
            <w:pStyle w:val="TOC2"/>
            <w:tabs>
              <w:tab w:val="right" w:leader="dot" w:pos="9350"/>
            </w:tabs>
            <w:rPr>
              <w:rFonts w:asciiTheme="minorHAnsi" w:eastAsiaTheme="minorEastAsia" w:hAnsiTheme="minorHAnsi"/>
              <w:noProof/>
              <w:kern w:val="0"/>
              <w:sz w:val="22"/>
              <w:szCs w:val="22"/>
              <w:lang w:val="en-US"/>
              <w14:ligatures w14:val="none"/>
            </w:rPr>
          </w:pPr>
          <w:hyperlink w:anchor="_Toc221817758" w:history="1">
            <w:r w:rsidRPr="00747E7E">
              <w:rPr>
                <w:rStyle w:val="Hyperlink"/>
                <w:noProof/>
                <w:lang w:val="en-US"/>
              </w:rPr>
              <w:t>Legal and Regulatory Environment</w:t>
            </w:r>
            <w:r>
              <w:rPr>
                <w:noProof/>
                <w:webHidden/>
              </w:rPr>
              <w:tab/>
            </w:r>
            <w:r>
              <w:rPr>
                <w:noProof/>
                <w:webHidden/>
              </w:rPr>
              <w:fldChar w:fldCharType="begin"/>
            </w:r>
            <w:r>
              <w:rPr>
                <w:noProof/>
                <w:webHidden/>
              </w:rPr>
              <w:instrText xml:space="preserve"> PAGEREF _Toc221817758 \h </w:instrText>
            </w:r>
            <w:r>
              <w:rPr>
                <w:noProof/>
                <w:webHidden/>
              </w:rPr>
            </w:r>
            <w:r>
              <w:rPr>
                <w:noProof/>
                <w:webHidden/>
              </w:rPr>
              <w:fldChar w:fldCharType="separate"/>
            </w:r>
            <w:r>
              <w:rPr>
                <w:noProof/>
                <w:webHidden/>
              </w:rPr>
              <w:t>6</w:t>
            </w:r>
            <w:r>
              <w:rPr>
                <w:noProof/>
                <w:webHidden/>
              </w:rPr>
              <w:fldChar w:fldCharType="end"/>
            </w:r>
          </w:hyperlink>
        </w:p>
        <w:p w14:paraId="6DE011DF" w14:textId="77777777" w:rsidR="001673AE" w:rsidRDefault="001673AE">
          <w:pPr>
            <w:pStyle w:val="TOC1"/>
            <w:tabs>
              <w:tab w:val="right" w:leader="dot" w:pos="9350"/>
            </w:tabs>
            <w:rPr>
              <w:rFonts w:asciiTheme="minorHAnsi" w:eastAsiaTheme="minorEastAsia" w:hAnsiTheme="minorHAnsi"/>
              <w:noProof/>
              <w:kern w:val="0"/>
              <w:sz w:val="22"/>
              <w:szCs w:val="22"/>
              <w:lang w:val="en-US"/>
              <w14:ligatures w14:val="none"/>
            </w:rPr>
          </w:pPr>
          <w:hyperlink w:anchor="_Toc221817759" w:history="1">
            <w:r w:rsidRPr="00747E7E">
              <w:rPr>
                <w:rStyle w:val="Hyperlink"/>
                <w:noProof/>
                <w:lang w:val="en-US"/>
              </w:rPr>
              <w:t>Task 2: Strategic Responses and Growth Evaluation</w:t>
            </w:r>
            <w:r>
              <w:rPr>
                <w:noProof/>
                <w:webHidden/>
              </w:rPr>
              <w:tab/>
            </w:r>
            <w:r>
              <w:rPr>
                <w:noProof/>
                <w:webHidden/>
              </w:rPr>
              <w:fldChar w:fldCharType="begin"/>
            </w:r>
            <w:r>
              <w:rPr>
                <w:noProof/>
                <w:webHidden/>
              </w:rPr>
              <w:instrText xml:space="preserve"> PAGEREF _Toc221817759 \h </w:instrText>
            </w:r>
            <w:r>
              <w:rPr>
                <w:noProof/>
                <w:webHidden/>
              </w:rPr>
            </w:r>
            <w:r>
              <w:rPr>
                <w:noProof/>
                <w:webHidden/>
              </w:rPr>
              <w:fldChar w:fldCharType="separate"/>
            </w:r>
            <w:r>
              <w:rPr>
                <w:noProof/>
                <w:webHidden/>
              </w:rPr>
              <w:t>9</w:t>
            </w:r>
            <w:r>
              <w:rPr>
                <w:noProof/>
                <w:webHidden/>
              </w:rPr>
              <w:fldChar w:fldCharType="end"/>
            </w:r>
          </w:hyperlink>
        </w:p>
        <w:p w14:paraId="481A96DD" w14:textId="77777777" w:rsidR="001673AE" w:rsidRDefault="001673AE">
          <w:pPr>
            <w:pStyle w:val="TOC2"/>
            <w:tabs>
              <w:tab w:val="right" w:leader="dot" w:pos="9350"/>
            </w:tabs>
            <w:rPr>
              <w:rFonts w:asciiTheme="minorHAnsi" w:eastAsiaTheme="minorEastAsia" w:hAnsiTheme="minorHAnsi"/>
              <w:noProof/>
              <w:kern w:val="0"/>
              <w:sz w:val="22"/>
              <w:szCs w:val="22"/>
              <w:lang w:val="en-US"/>
              <w14:ligatures w14:val="none"/>
            </w:rPr>
          </w:pPr>
          <w:hyperlink w:anchor="_Toc221817760" w:history="1">
            <w:r w:rsidRPr="00747E7E">
              <w:rPr>
                <w:rStyle w:val="Hyperlink"/>
                <w:noProof/>
                <w:lang w:val="en-US"/>
              </w:rPr>
              <w:t>Microsoft’s Strategic Response</w:t>
            </w:r>
            <w:r>
              <w:rPr>
                <w:noProof/>
                <w:webHidden/>
              </w:rPr>
              <w:tab/>
            </w:r>
            <w:r>
              <w:rPr>
                <w:noProof/>
                <w:webHidden/>
              </w:rPr>
              <w:fldChar w:fldCharType="begin"/>
            </w:r>
            <w:r>
              <w:rPr>
                <w:noProof/>
                <w:webHidden/>
              </w:rPr>
              <w:instrText xml:space="preserve"> PAGEREF _Toc221817760 \h </w:instrText>
            </w:r>
            <w:r>
              <w:rPr>
                <w:noProof/>
                <w:webHidden/>
              </w:rPr>
            </w:r>
            <w:r>
              <w:rPr>
                <w:noProof/>
                <w:webHidden/>
              </w:rPr>
              <w:fldChar w:fldCharType="separate"/>
            </w:r>
            <w:r>
              <w:rPr>
                <w:noProof/>
                <w:webHidden/>
              </w:rPr>
              <w:t>9</w:t>
            </w:r>
            <w:r>
              <w:rPr>
                <w:noProof/>
                <w:webHidden/>
              </w:rPr>
              <w:fldChar w:fldCharType="end"/>
            </w:r>
          </w:hyperlink>
        </w:p>
        <w:p w14:paraId="3F1A8A0E" w14:textId="77777777" w:rsidR="001673AE" w:rsidRDefault="001673AE">
          <w:pPr>
            <w:pStyle w:val="TOC2"/>
            <w:tabs>
              <w:tab w:val="right" w:leader="dot" w:pos="9350"/>
            </w:tabs>
            <w:rPr>
              <w:rFonts w:asciiTheme="minorHAnsi" w:eastAsiaTheme="minorEastAsia" w:hAnsiTheme="minorHAnsi"/>
              <w:noProof/>
              <w:kern w:val="0"/>
              <w:sz w:val="22"/>
              <w:szCs w:val="22"/>
              <w:lang w:val="en-US"/>
              <w14:ligatures w14:val="none"/>
            </w:rPr>
          </w:pPr>
          <w:hyperlink w:anchor="_Toc221817761" w:history="1">
            <w:r w:rsidRPr="00747E7E">
              <w:rPr>
                <w:rStyle w:val="Hyperlink"/>
                <w:noProof/>
                <w:lang w:val="en-US"/>
              </w:rPr>
              <w:t>Zoom’s Strategic Response</w:t>
            </w:r>
            <w:r>
              <w:rPr>
                <w:noProof/>
                <w:webHidden/>
              </w:rPr>
              <w:tab/>
            </w:r>
            <w:r>
              <w:rPr>
                <w:noProof/>
                <w:webHidden/>
              </w:rPr>
              <w:fldChar w:fldCharType="begin"/>
            </w:r>
            <w:r>
              <w:rPr>
                <w:noProof/>
                <w:webHidden/>
              </w:rPr>
              <w:instrText xml:space="preserve"> PAGEREF _Toc221817761 \h </w:instrText>
            </w:r>
            <w:r>
              <w:rPr>
                <w:noProof/>
                <w:webHidden/>
              </w:rPr>
            </w:r>
            <w:r>
              <w:rPr>
                <w:noProof/>
                <w:webHidden/>
              </w:rPr>
              <w:fldChar w:fldCharType="separate"/>
            </w:r>
            <w:r>
              <w:rPr>
                <w:noProof/>
                <w:webHidden/>
              </w:rPr>
              <w:t>10</w:t>
            </w:r>
            <w:r>
              <w:rPr>
                <w:noProof/>
                <w:webHidden/>
              </w:rPr>
              <w:fldChar w:fldCharType="end"/>
            </w:r>
          </w:hyperlink>
        </w:p>
        <w:p w14:paraId="782F18E5" w14:textId="77777777" w:rsidR="001673AE" w:rsidRDefault="001673AE">
          <w:pPr>
            <w:pStyle w:val="TOC2"/>
            <w:tabs>
              <w:tab w:val="right" w:leader="dot" w:pos="9350"/>
            </w:tabs>
            <w:rPr>
              <w:rFonts w:asciiTheme="minorHAnsi" w:eastAsiaTheme="minorEastAsia" w:hAnsiTheme="minorHAnsi"/>
              <w:noProof/>
              <w:kern w:val="0"/>
              <w:sz w:val="22"/>
              <w:szCs w:val="22"/>
              <w:lang w:val="en-US"/>
              <w14:ligatures w14:val="none"/>
            </w:rPr>
          </w:pPr>
          <w:hyperlink w:anchor="_Toc221817762" w:history="1">
            <w:r w:rsidRPr="00747E7E">
              <w:rPr>
                <w:rStyle w:val="Hyperlink"/>
                <w:noProof/>
                <w:lang w:val="en-US"/>
              </w:rPr>
              <w:t>Comparative Synthesis and Strategic Implications</w:t>
            </w:r>
            <w:r>
              <w:rPr>
                <w:noProof/>
                <w:webHidden/>
              </w:rPr>
              <w:tab/>
            </w:r>
            <w:r>
              <w:rPr>
                <w:noProof/>
                <w:webHidden/>
              </w:rPr>
              <w:fldChar w:fldCharType="begin"/>
            </w:r>
            <w:r>
              <w:rPr>
                <w:noProof/>
                <w:webHidden/>
              </w:rPr>
              <w:instrText xml:space="preserve"> PAGEREF _Toc221817762 \h </w:instrText>
            </w:r>
            <w:r>
              <w:rPr>
                <w:noProof/>
                <w:webHidden/>
              </w:rPr>
            </w:r>
            <w:r>
              <w:rPr>
                <w:noProof/>
                <w:webHidden/>
              </w:rPr>
              <w:fldChar w:fldCharType="separate"/>
            </w:r>
            <w:r>
              <w:rPr>
                <w:noProof/>
                <w:webHidden/>
              </w:rPr>
              <w:t>11</w:t>
            </w:r>
            <w:r>
              <w:rPr>
                <w:noProof/>
                <w:webHidden/>
              </w:rPr>
              <w:fldChar w:fldCharType="end"/>
            </w:r>
          </w:hyperlink>
        </w:p>
        <w:p w14:paraId="41DAF2EA" w14:textId="77777777" w:rsidR="001673AE" w:rsidRDefault="001673AE">
          <w:pPr>
            <w:pStyle w:val="TOC1"/>
            <w:tabs>
              <w:tab w:val="right" w:leader="dot" w:pos="9350"/>
            </w:tabs>
            <w:rPr>
              <w:rFonts w:asciiTheme="minorHAnsi" w:eastAsiaTheme="minorEastAsia" w:hAnsiTheme="minorHAnsi"/>
              <w:noProof/>
              <w:kern w:val="0"/>
              <w:sz w:val="22"/>
              <w:szCs w:val="22"/>
              <w:lang w:val="en-US"/>
              <w14:ligatures w14:val="none"/>
            </w:rPr>
          </w:pPr>
          <w:hyperlink w:anchor="_Toc221817763" w:history="1">
            <w:r w:rsidRPr="00747E7E">
              <w:rPr>
                <w:rStyle w:val="Hyperlink"/>
                <w:noProof/>
                <w:lang w:val="en-US"/>
              </w:rPr>
              <w:t>Conclusion</w:t>
            </w:r>
            <w:r>
              <w:rPr>
                <w:noProof/>
                <w:webHidden/>
              </w:rPr>
              <w:tab/>
            </w:r>
            <w:r>
              <w:rPr>
                <w:noProof/>
                <w:webHidden/>
              </w:rPr>
              <w:fldChar w:fldCharType="begin"/>
            </w:r>
            <w:r>
              <w:rPr>
                <w:noProof/>
                <w:webHidden/>
              </w:rPr>
              <w:instrText xml:space="preserve"> PAGEREF _Toc221817763 \h </w:instrText>
            </w:r>
            <w:r>
              <w:rPr>
                <w:noProof/>
                <w:webHidden/>
              </w:rPr>
            </w:r>
            <w:r>
              <w:rPr>
                <w:noProof/>
                <w:webHidden/>
              </w:rPr>
              <w:fldChar w:fldCharType="separate"/>
            </w:r>
            <w:r>
              <w:rPr>
                <w:noProof/>
                <w:webHidden/>
              </w:rPr>
              <w:t>12</w:t>
            </w:r>
            <w:r>
              <w:rPr>
                <w:noProof/>
                <w:webHidden/>
              </w:rPr>
              <w:fldChar w:fldCharType="end"/>
            </w:r>
          </w:hyperlink>
        </w:p>
        <w:p w14:paraId="07A5E03D" w14:textId="77777777" w:rsidR="001673AE" w:rsidRDefault="001673AE">
          <w:pPr>
            <w:pStyle w:val="TOC1"/>
            <w:tabs>
              <w:tab w:val="right" w:leader="dot" w:pos="9350"/>
            </w:tabs>
            <w:rPr>
              <w:rFonts w:asciiTheme="minorHAnsi" w:eastAsiaTheme="minorEastAsia" w:hAnsiTheme="minorHAnsi"/>
              <w:noProof/>
              <w:kern w:val="0"/>
              <w:sz w:val="22"/>
              <w:szCs w:val="22"/>
              <w:lang w:val="en-US"/>
              <w14:ligatures w14:val="none"/>
            </w:rPr>
          </w:pPr>
          <w:hyperlink w:anchor="_Toc221817764" w:history="1">
            <w:r w:rsidRPr="00747E7E">
              <w:rPr>
                <w:rStyle w:val="Hyperlink"/>
                <w:noProof/>
                <w:lang w:val="en-US"/>
              </w:rPr>
              <w:t>Reference List</w:t>
            </w:r>
            <w:r>
              <w:rPr>
                <w:noProof/>
                <w:webHidden/>
              </w:rPr>
              <w:tab/>
            </w:r>
            <w:r>
              <w:rPr>
                <w:noProof/>
                <w:webHidden/>
              </w:rPr>
              <w:fldChar w:fldCharType="begin"/>
            </w:r>
            <w:r>
              <w:rPr>
                <w:noProof/>
                <w:webHidden/>
              </w:rPr>
              <w:instrText xml:space="preserve"> PAGEREF _Toc221817764 \h </w:instrText>
            </w:r>
            <w:r>
              <w:rPr>
                <w:noProof/>
                <w:webHidden/>
              </w:rPr>
            </w:r>
            <w:r>
              <w:rPr>
                <w:noProof/>
                <w:webHidden/>
              </w:rPr>
              <w:fldChar w:fldCharType="separate"/>
            </w:r>
            <w:r>
              <w:rPr>
                <w:noProof/>
                <w:webHidden/>
              </w:rPr>
              <w:t>13</w:t>
            </w:r>
            <w:r>
              <w:rPr>
                <w:noProof/>
                <w:webHidden/>
              </w:rPr>
              <w:fldChar w:fldCharType="end"/>
            </w:r>
          </w:hyperlink>
        </w:p>
        <w:p w14:paraId="366C9DE0" w14:textId="0D28F0AC" w:rsidR="00EC6686" w:rsidRDefault="00EC6686" w:rsidP="00EC6686">
          <w:r w:rsidRPr="00EC6686">
            <w:rPr>
              <w:rFonts w:cs="Arial"/>
              <w:b/>
              <w:bCs/>
              <w:noProof/>
            </w:rPr>
            <w:fldChar w:fldCharType="end"/>
          </w:r>
        </w:p>
      </w:sdtContent>
    </w:sdt>
    <w:p w14:paraId="7B39F274" w14:textId="77777777" w:rsidR="00601134" w:rsidRDefault="00601134" w:rsidP="00B51B78">
      <w:pPr>
        <w:rPr>
          <w:b/>
          <w:bCs/>
          <w:lang w:val="en-US"/>
        </w:rPr>
      </w:pPr>
      <w:r>
        <w:rPr>
          <w:b/>
          <w:bCs/>
          <w:lang w:val="en-US"/>
        </w:rPr>
        <w:br w:type="page"/>
      </w:r>
    </w:p>
    <w:p w14:paraId="43253BAB" w14:textId="1FE44AEF" w:rsidR="005E299C" w:rsidRDefault="005E299C" w:rsidP="00B51B78">
      <w:pPr>
        <w:pStyle w:val="Heading1"/>
        <w:rPr>
          <w:lang w:val="en-US"/>
        </w:rPr>
      </w:pPr>
      <w:bookmarkStart w:id="0" w:name="_Toc221817754"/>
      <w:r w:rsidRPr="005E299C">
        <w:rPr>
          <w:lang w:val="en-US"/>
        </w:rPr>
        <w:lastRenderedPageBreak/>
        <w:t>Introduction</w:t>
      </w:r>
      <w:bookmarkEnd w:id="0"/>
      <w:r w:rsidRPr="005E299C">
        <w:rPr>
          <w:lang w:val="en-US"/>
        </w:rPr>
        <w:t xml:space="preserve"> </w:t>
      </w:r>
    </w:p>
    <w:p w14:paraId="03D80099" w14:textId="2ECA61D2" w:rsidR="000E666F" w:rsidRPr="000E666F" w:rsidRDefault="000E666F" w:rsidP="000E666F">
      <w:pPr>
        <w:rPr>
          <w:lang w:val="en-US"/>
        </w:rPr>
      </w:pPr>
      <w:r w:rsidRPr="000E666F">
        <w:rPr>
          <w:lang w:val="en-US"/>
        </w:rPr>
        <w:t xml:space="preserve">The digital collaboration industry has turned into a strategically significant field that is the foundation of </w:t>
      </w:r>
      <w:r w:rsidR="00BE7E5C" w:rsidRPr="000E666F">
        <w:rPr>
          <w:lang w:val="en-US"/>
        </w:rPr>
        <w:t>contemporary</w:t>
      </w:r>
      <w:r w:rsidRPr="000E666F">
        <w:rPr>
          <w:lang w:val="en-US"/>
        </w:rPr>
        <w:t xml:space="preserve"> organisational communication, hybrid labour, and global connection. Video conferencing and enterprise messaging and </w:t>
      </w:r>
      <w:r w:rsidR="00A32ABF" w:rsidRPr="000E666F">
        <w:rPr>
          <w:lang w:val="en-US"/>
        </w:rPr>
        <w:t>cloud-based</w:t>
      </w:r>
      <w:r w:rsidRPr="000E666F">
        <w:rPr>
          <w:lang w:val="en-US"/>
        </w:rPr>
        <w:t xml:space="preserve"> collaborations and artificial intelligence integrations platforms are no longer supportive resources but business infrastructure. </w:t>
      </w:r>
    </w:p>
    <w:p w14:paraId="109BA52F" w14:textId="7E636B36" w:rsidR="000E666F" w:rsidRPr="000E666F" w:rsidRDefault="000E666F" w:rsidP="000E666F">
      <w:pPr>
        <w:rPr>
          <w:lang w:val="en-US"/>
        </w:rPr>
      </w:pPr>
      <w:r w:rsidRPr="000E666F">
        <w:rPr>
          <w:lang w:val="en-US"/>
        </w:rPr>
        <w:t xml:space="preserve">This report critically assesses the </w:t>
      </w:r>
      <w:r w:rsidR="0059791C" w:rsidRPr="000E666F">
        <w:rPr>
          <w:lang w:val="en-US"/>
        </w:rPr>
        <w:t>impact</w:t>
      </w:r>
      <w:r w:rsidRPr="000E666F">
        <w:rPr>
          <w:lang w:val="en-US"/>
        </w:rPr>
        <w:t xml:space="preserve"> of the macro-marketing environment on two organisations that operate within this sector: Microsoft as a leader organisation, and Zoom as a follower organisation. Microsoft is an industry pioneer due to the </w:t>
      </w:r>
      <w:r w:rsidR="00D927FF" w:rsidRPr="000E666F">
        <w:rPr>
          <w:lang w:val="en-US"/>
        </w:rPr>
        <w:t>long-accrued</w:t>
      </w:r>
      <w:r w:rsidRPr="000E666F">
        <w:rPr>
          <w:lang w:val="en-US"/>
        </w:rPr>
        <w:t xml:space="preserve"> technology ecosystem and enterprise integration, and Zoom’s post-pandemic rapid expansion can be defined as a fast-follower strategy depending on a single-minded innovation in video communication.</w:t>
      </w:r>
    </w:p>
    <w:p w14:paraId="3E1CA702" w14:textId="4C88E2D4" w:rsidR="000E666F" w:rsidRPr="000E666F" w:rsidRDefault="000E666F" w:rsidP="000E666F">
      <w:pPr>
        <w:rPr>
          <w:lang w:val="en-US"/>
        </w:rPr>
      </w:pPr>
      <w:r w:rsidRPr="000E666F">
        <w:rPr>
          <w:lang w:val="en-US"/>
        </w:rPr>
        <w:t xml:space="preserve">Two macro-environmental </w:t>
      </w:r>
      <w:r w:rsidR="00500959" w:rsidRPr="000E666F">
        <w:rPr>
          <w:lang w:val="en-US"/>
        </w:rPr>
        <w:t>factors</w:t>
      </w:r>
      <w:r w:rsidRPr="000E666F">
        <w:rPr>
          <w:lang w:val="en-US"/>
        </w:rPr>
        <w:t xml:space="preserve"> will be discussed, i.e. the technological environment and the legal and regulatory environment. These have been evaluated through the opportunities and threats they present and their </w:t>
      </w:r>
      <w:r w:rsidR="006F1F6A" w:rsidRPr="000E666F">
        <w:rPr>
          <w:lang w:val="en-US"/>
        </w:rPr>
        <w:t>impact</w:t>
      </w:r>
      <w:r w:rsidRPr="000E666F">
        <w:rPr>
          <w:lang w:val="en-US"/>
        </w:rPr>
        <w:t xml:space="preserve"> on the positions of competition.</w:t>
      </w:r>
    </w:p>
    <w:p w14:paraId="16AF5C92" w14:textId="43313904" w:rsidR="00D33B0A" w:rsidRPr="00D33B0A" w:rsidRDefault="000E666F" w:rsidP="000E666F">
      <w:pPr>
        <w:rPr>
          <w:lang w:val="en-US"/>
        </w:rPr>
      </w:pPr>
      <w:r w:rsidRPr="000E666F">
        <w:rPr>
          <w:lang w:val="en-US"/>
        </w:rPr>
        <w:t>The report employs a systematic analysis approach which makes use of PESTLE analysis as a tool to assess the macro-environment and strategic marketing models that are Porters Generic Strategies and Ansoff</w:t>
      </w:r>
      <w:r w:rsidR="008913E7">
        <w:rPr>
          <w:lang w:val="en-US"/>
        </w:rPr>
        <w:t>’</w:t>
      </w:r>
      <w:r w:rsidRPr="000E666F">
        <w:rPr>
          <w:lang w:val="en-US"/>
        </w:rPr>
        <w:t xml:space="preserve">s Growth Matrix to determine the strategic response and </w:t>
      </w:r>
      <w:r w:rsidR="002374CF" w:rsidRPr="000E666F">
        <w:rPr>
          <w:lang w:val="en-US"/>
        </w:rPr>
        <w:t>long-term</w:t>
      </w:r>
      <w:r w:rsidRPr="000E666F">
        <w:rPr>
          <w:lang w:val="en-US"/>
        </w:rPr>
        <w:t xml:space="preserve"> sustainability of each organisation.</w:t>
      </w:r>
    </w:p>
    <w:p w14:paraId="7DB84EB7" w14:textId="6CD109B7" w:rsidR="005E299C" w:rsidRDefault="005E299C" w:rsidP="001673AE">
      <w:pPr>
        <w:pStyle w:val="Heading2"/>
        <w:rPr>
          <w:lang w:val="en-US"/>
        </w:rPr>
      </w:pPr>
      <w:bookmarkStart w:id="1" w:name="_Toc221817755"/>
      <w:r w:rsidRPr="005E299C">
        <w:rPr>
          <w:lang w:val="en-US"/>
        </w:rPr>
        <w:t>Industry Context and Strategic Positioning</w:t>
      </w:r>
      <w:bookmarkEnd w:id="1"/>
    </w:p>
    <w:p w14:paraId="68D55C3C" w14:textId="1C81D480" w:rsidR="00BF6BA3" w:rsidRPr="001673AE" w:rsidRDefault="00BF6BA3" w:rsidP="00BF6BA3">
      <w:pPr>
        <w:rPr>
          <w:b/>
          <w:bCs/>
          <w:i/>
          <w:lang w:val="en-US"/>
        </w:rPr>
      </w:pPr>
      <w:r w:rsidRPr="001673AE">
        <w:rPr>
          <w:b/>
          <w:bCs/>
          <w:i/>
          <w:lang w:val="en-US"/>
        </w:rPr>
        <w:t>Industry Overview</w:t>
      </w:r>
    </w:p>
    <w:p w14:paraId="4AB27754" w14:textId="0FA834A4" w:rsidR="006F73AA" w:rsidRPr="006F73AA" w:rsidRDefault="006F73AA" w:rsidP="006F73AA">
      <w:pPr>
        <w:rPr>
          <w:lang w:val="en-US"/>
        </w:rPr>
      </w:pPr>
      <w:r w:rsidRPr="006F73AA">
        <w:rPr>
          <w:lang w:val="en-US"/>
        </w:rPr>
        <w:t>Digital communication and collaboration marketplace is one of the most dynamic and strategically valuable industries of the world of technology. Companies are becoming more inclined to rely on integrated platforms, that include video conferencing, instant messaging, cloud storage, documents collaboration, and artificial intelligence-based productivity applications (Reim, A</w:t>
      </w:r>
      <w:r w:rsidR="001673AE">
        <w:rPr>
          <w:lang w:val="en-US"/>
        </w:rPr>
        <w:t>ndersson and Eckerwall, 2023).</w:t>
      </w:r>
    </w:p>
    <w:p w14:paraId="28FF4F6C" w14:textId="5BD5C323" w:rsidR="00BF6BA3" w:rsidRPr="00BF6BA3" w:rsidRDefault="006F73AA" w:rsidP="006F73AA">
      <w:pPr>
        <w:rPr>
          <w:lang w:val="en-US"/>
        </w:rPr>
      </w:pPr>
      <w:r w:rsidRPr="006F73AA">
        <w:rPr>
          <w:lang w:val="en-US"/>
        </w:rPr>
        <w:t xml:space="preserve">The competition in this industry goes past the product qualities to control over the ecosystem. The market rivals are </w:t>
      </w:r>
      <w:r w:rsidR="000817F8" w:rsidRPr="006F73AA">
        <w:rPr>
          <w:lang w:val="en-US"/>
        </w:rPr>
        <w:t>fighting</w:t>
      </w:r>
      <w:r w:rsidRPr="006F73AA">
        <w:rPr>
          <w:lang w:val="en-US"/>
        </w:rPr>
        <w:t xml:space="preserve"> platform integration, interoperability, control of </w:t>
      </w:r>
      <w:r w:rsidRPr="006F73AA">
        <w:rPr>
          <w:lang w:val="en-US"/>
        </w:rPr>
        <w:lastRenderedPageBreak/>
        <w:t xml:space="preserve">cloud infrastructure and integration services entrenchment in the community enterprise systems. The long-term demand is founded on long-term value creation, technological innovation and regulatory compliance, not </w:t>
      </w:r>
      <w:r w:rsidR="00492C57" w:rsidRPr="006F73AA">
        <w:rPr>
          <w:lang w:val="en-US"/>
        </w:rPr>
        <w:t>emergency</w:t>
      </w:r>
      <w:r w:rsidRPr="006F73AA">
        <w:rPr>
          <w:lang w:val="en-US"/>
        </w:rPr>
        <w:t xml:space="preserve"> adoption, with further use of hybrid and remote working models</w:t>
      </w:r>
      <w:r w:rsidR="00BF6BA3" w:rsidRPr="00BF6BA3">
        <w:rPr>
          <w:lang w:val="en-US"/>
        </w:rPr>
        <w:t>.</w:t>
      </w:r>
    </w:p>
    <w:p w14:paraId="6596AD63" w14:textId="2A6E9F67" w:rsidR="00BF6BA3" w:rsidRPr="001673AE" w:rsidRDefault="00BF6BA3" w:rsidP="00BF6BA3">
      <w:pPr>
        <w:rPr>
          <w:b/>
          <w:bCs/>
          <w:i/>
          <w:lang w:val="en-US"/>
        </w:rPr>
      </w:pPr>
      <w:r w:rsidRPr="001673AE">
        <w:rPr>
          <w:b/>
          <w:bCs/>
          <w:i/>
          <w:lang w:val="en-US"/>
        </w:rPr>
        <w:t>Pioneer vs Follower Conceptual Framing</w:t>
      </w:r>
    </w:p>
    <w:p w14:paraId="512E5879" w14:textId="77777777" w:rsidR="00E270A2" w:rsidRPr="00E270A2" w:rsidRDefault="00E270A2" w:rsidP="00E270A2">
      <w:pPr>
        <w:rPr>
          <w:lang w:val="en-US"/>
        </w:rPr>
      </w:pPr>
      <w:r w:rsidRPr="00E270A2">
        <w:rPr>
          <w:lang w:val="en-US"/>
        </w:rPr>
        <w:t>Early entry, the state of high research and development, technological leadership and capability to establish industry norms are usually characteristic of a pioneering organisation. First-mover advantages may include brand recognition, ecosystem lock-in, structural barriers to entry, and so on (Nabil et al., 2023). Conversely, a follower organisation adheres to the fast-follower strategy and capitalizes on market validation and refines or simplifies or concentrates on pre-existing innovations.</w:t>
      </w:r>
    </w:p>
    <w:p w14:paraId="254C2C39" w14:textId="2D5F8FE2" w:rsidR="00BF6BA3" w:rsidRPr="00BF6BA3" w:rsidRDefault="00E270A2" w:rsidP="00E270A2">
      <w:pPr>
        <w:rPr>
          <w:lang w:val="en-US"/>
        </w:rPr>
      </w:pPr>
      <w:r w:rsidRPr="00E270A2">
        <w:rPr>
          <w:lang w:val="en-US"/>
        </w:rPr>
        <w:t>In this regard, Microsoft is a pioneering organisation that has an established track record of dominance in enterprise ecosystems and dominance in cloud infrastructure. The example of Zoom is of a follower who rose fast with focused differentiation in video communication and user convenience and then expanded to other correlation enterprise services</w:t>
      </w:r>
      <w:r w:rsidR="00BF6BA3" w:rsidRPr="00BF6BA3">
        <w:rPr>
          <w:lang w:val="en-US"/>
        </w:rPr>
        <w:t>.</w:t>
      </w:r>
    </w:p>
    <w:p w14:paraId="175E1EE6" w14:textId="13061A0A" w:rsidR="005E299C" w:rsidRDefault="005E299C" w:rsidP="00D803E2">
      <w:pPr>
        <w:pStyle w:val="Heading1"/>
        <w:rPr>
          <w:lang w:val="en-US"/>
        </w:rPr>
      </w:pPr>
      <w:bookmarkStart w:id="2" w:name="_Toc221817756"/>
      <w:r w:rsidRPr="005E299C">
        <w:rPr>
          <w:lang w:val="en-US"/>
        </w:rPr>
        <w:t>Task 1: Macro-Marketing Environment Analysis</w:t>
      </w:r>
      <w:bookmarkEnd w:id="2"/>
      <w:r w:rsidRPr="005E299C">
        <w:rPr>
          <w:lang w:val="en-US"/>
        </w:rPr>
        <w:t xml:space="preserve"> </w:t>
      </w:r>
    </w:p>
    <w:p w14:paraId="4E9E9A8B" w14:textId="3D9115D0" w:rsidR="00BC750A" w:rsidRPr="00BC750A" w:rsidRDefault="00BC750A" w:rsidP="001673AE">
      <w:pPr>
        <w:pStyle w:val="Heading2"/>
        <w:rPr>
          <w:lang w:val="en-US"/>
        </w:rPr>
      </w:pPr>
      <w:bookmarkStart w:id="3" w:name="_Toc221817757"/>
      <w:r w:rsidRPr="00BC750A">
        <w:rPr>
          <w:lang w:val="en-US"/>
        </w:rPr>
        <w:t>Technological Environment</w:t>
      </w:r>
      <w:bookmarkEnd w:id="3"/>
      <w:r w:rsidRPr="00BC750A">
        <w:rPr>
          <w:lang w:val="en-US"/>
        </w:rPr>
        <w:t xml:space="preserve"> </w:t>
      </w:r>
    </w:p>
    <w:p w14:paraId="307C5CBB" w14:textId="6200289C" w:rsidR="00BC750A" w:rsidRPr="00BC750A" w:rsidRDefault="00BC750A" w:rsidP="00BC750A">
      <w:pPr>
        <w:rPr>
          <w:b/>
          <w:bCs/>
          <w:lang w:val="en-US"/>
        </w:rPr>
      </w:pPr>
      <w:r>
        <w:rPr>
          <w:b/>
          <w:bCs/>
          <w:lang w:val="en-US"/>
        </w:rPr>
        <w:t xml:space="preserve">a) </w:t>
      </w:r>
      <w:r w:rsidRPr="00BC750A">
        <w:rPr>
          <w:b/>
          <w:bCs/>
          <w:lang w:val="en-US"/>
        </w:rPr>
        <w:t>Technological Landscape in the Industry</w:t>
      </w:r>
    </w:p>
    <w:p w14:paraId="6F945A0E" w14:textId="5155DDA5" w:rsidR="00CA11CD" w:rsidRPr="00CA11CD" w:rsidRDefault="00CA11CD" w:rsidP="00CA11CD">
      <w:pPr>
        <w:rPr>
          <w:lang w:val="en-US"/>
        </w:rPr>
      </w:pPr>
      <w:r w:rsidRPr="00CA11CD">
        <w:rPr>
          <w:lang w:val="en-US"/>
        </w:rPr>
        <w:t xml:space="preserve">The technological environment is the strongest force in digital collaboration industry macro-marketing. Novel, far-reaching change in artificial intelligence, cloud computing, convergence of cybersecurity infrastructure and platforms is radically redefining competitive parameters (Chen and Zou, 2025). The competition axis </w:t>
      </w:r>
      <w:r w:rsidR="0027774E" w:rsidRPr="00CA11CD">
        <w:rPr>
          <w:lang w:val="en-US"/>
        </w:rPr>
        <w:t>is</w:t>
      </w:r>
      <w:r w:rsidRPr="00CA11CD">
        <w:rPr>
          <w:lang w:val="en-US"/>
        </w:rPr>
        <w:t xml:space="preserve"> no longer considered on the quality of video or the interface design, but competitive advantage is evaluated </w:t>
      </w:r>
      <w:r w:rsidR="00940CEC" w:rsidRPr="00CA11CD">
        <w:rPr>
          <w:lang w:val="en-US"/>
        </w:rPr>
        <w:t>based on</w:t>
      </w:r>
      <w:r w:rsidRPr="00CA11CD">
        <w:rPr>
          <w:lang w:val="en-US"/>
        </w:rPr>
        <w:t xml:space="preserve"> AI integration, ecosystem interoperability and scalable cloud architecture.</w:t>
      </w:r>
    </w:p>
    <w:p w14:paraId="0F1B2333" w14:textId="294FC406" w:rsidR="00BC750A" w:rsidRPr="00BC750A" w:rsidRDefault="00CA11CD" w:rsidP="00CA11CD">
      <w:pPr>
        <w:rPr>
          <w:lang w:val="en-US"/>
        </w:rPr>
      </w:pPr>
      <w:r w:rsidRPr="00CA11CD">
        <w:rPr>
          <w:lang w:val="en-US"/>
        </w:rPr>
        <w:t xml:space="preserve">Automated meeting summaries, predictive assistance, transcript capability, and workflow integration has become an important strategic differentiator with AI. Simultaneously, cloud </w:t>
      </w:r>
      <w:r w:rsidRPr="00CA11CD">
        <w:rPr>
          <w:lang w:val="en-US"/>
        </w:rPr>
        <w:lastRenderedPageBreak/>
        <w:t>infrastructure recognizes the scalability capability, latency and data sovereignty control. Cybersecurity advances also enhance competition as organisations need end-to-end encryption, identity verification, and protection of regulatory quality (Sarin et al., 2025).</w:t>
      </w:r>
    </w:p>
    <w:p w14:paraId="1F2220EA" w14:textId="1F08ABD1" w:rsidR="00BC750A" w:rsidRPr="00BC750A" w:rsidRDefault="00F9123C" w:rsidP="00BC750A">
      <w:pPr>
        <w:rPr>
          <w:b/>
          <w:bCs/>
          <w:lang w:val="en-US"/>
        </w:rPr>
      </w:pPr>
      <w:r>
        <w:rPr>
          <w:b/>
          <w:bCs/>
          <w:lang w:val="en-US"/>
        </w:rPr>
        <w:t xml:space="preserve">b) </w:t>
      </w:r>
      <w:r w:rsidR="00BC750A" w:rsidRPr="00BC750A">
        <w:rPr>
          <w:b/>
          <w:bCs/>
          <w:lang w:val="en-US"/>
        </w:rPr>
        <w:t>Opportunities and Threats for Microsoft</w:t>
      </w:r>
    </w:p>
    <w:p w14:paraId="63035477" w14:textId="7DB00BE6" w:rsidR="00C669AE" w:rsidRPr="00C669AE" w:rsidRDefault="00C669AE" w:rsidP="00C669AE">
      <w:pPr>
        <w:rPr>
          <w:lang w:val="en-US"/>
        </w:rPr>
      </w:pPr>
      <w:r w:rsidRPr="00C669AE">
        <w:rPr>
          <w:lang w:val="en-US"/>
        </w:rPr>
        <w:t xml:space="preserve">Technological change is a significant opportunity in the case of Microsoft since it already has an established cloud infrastructure and integration of ecosystems. Its Enterprise Suite serves to increase </w:t>
      </w:r>
      <w:r w:rsidR="007E51FE" w:rsidRPr="00C669AE">
        <w:rPr>
          <w:lang w:val="en-US"/>
        </w:rPr>
        <w:t>product</w:t>
      </w:r>
      <w:r w:rsidRPr="00C669AE">
        <w:rPr>
          <w:lang w:val="en-US"/>
        </w:rPr>
        <w:t xml:space="preserve"> differentiation and customer dependency by adding </w:t>
      </w:r>
      <w:r w:rsidR="0093132C" w:rsidRPr="00C669AE">
        <w:rPr>
          <w:lang w:val="en-US"/>
        </w:rPr>
        <w:t>artificial</w:t>
      </w:r>
      <w:r w:rsidRPr="00C669AE">
        <w:rPr>
          <w:lang w:val="en-US"/>
        </w:rPr>
        <w:t xml:space="preserve"> intelligence into its collaboration tools (Campbell, 2025). Proprietary cloud architecture control enhances scaling, data governance and performance stability, amplifying structural competitive advantage.</w:t>
      </w:r>
    </w:p>
    <w:p w14:paraId="11CC39D1" w14:textId="12FA80C0" w:rsidR="00C669AE" w:rsidRPr="00C669AE" w:rsidRDefault="00C669AE" w:rsidP="00C669AE">
      <w:pPr>
        <w:rPr>
          <w:lang w:val="en-US"/>
        </w:rPr>
      </w:pPr>
      <w:r w:rsidRPr="00C669AE">
        <w:rPr>
          <w:lang w:val="en-US"/>
        </w:rPr>
        <w:t xml:space="preserve">Besides this, Microsoft has a high research and development capability that has made the company invest massively in innovations, a factor that has made the company shape the industry standards rather than </w:t>
      </w:r>
      <w:r w:rsidR="00080B48" w:rsidRPr="00C669AE">
        <w:rPr>
          <w:lang w:val="en-US"/>
        </w:rPr>
        <w:t>shaped</w:t>
      </w:r>
      <w:r w:rsidRPr="00C669AE">
        <w:rPr>
          <w:lang w:val="en-US"/>
        </w:rPr>
        <w:t xml:space="preserve"> by them. </w:t>
      </w:r>
    </w:p>
    <w:p w14:paraId="0BA22F16" w14:textId="2F2A0750" w:rsidR="00BC750A" w:rsidRPr="00BC750A" w:rsidRDefault="00C669AE" w:rsidP="00C669AE">
      <w:pPr>
        <w:rPr>
          <w:lang w:val="en-US"/>
        </w:rPr>
      </w:pPr>
      <w:r w:rsidRPr="00C669AE">
        <w:rPr>
          <w:lang w:val="en-US"/>
        </w:rPr>
        <w:t xml:space="preserve">However technological dynamism also presents threats. Quick innovation cycles are pressurizing the need to always explain premium positioning. Multicompletion results in complexity that can make the tasks easier than other more specialized competitors (Torres-Nunez et al., 2024). </w:t>
      </w:r>
    </w:p>
    <w:p w14:paraId="67F506B4" w14:textId="2153531D" w:rsidR="00BC750A" w:rsidRPr="00BC750A" w:rsidRDefault="00F9123C" w:rsidP="00BC750A">
      <w:pPr>
        <w:rPr>
          <w:b/>
          <w:bCs/>
          <w:lang w:val="en-US"/>
        </w:rPr>
      </w:pPr>
      <w:r>
        <w:rPr>
          <w:b/>
          <w:bCs/>
          <w:lang w:val="en-US"/>
        </w:rPr>
        <w:t xml:space="preserve">c) </w:t>
      </w:r>
      <w:r w:rsidR="00BC750A" w:rsidRPr="00BC750A">
        <w:rPr>
          <w:b/>
          <w:bCs/>
          <w:lang w:val="en-US"/>
        </w:rPr>
        <w:t>Opportunities and Threats for Zoom</w:t>
      </w:r>
    </w:p>
    <w:p w14:paraId="3C8BC633" w14:textId="77777777" w:rsidR="00454576" w:rsidRPr="00454576" w:rsidRDefault="00454576" w:rsidP="00454576">
      <w:pPr>
        <w:rPr>
          <w:lang w:val="en-US"/>
        </w:rPr>
      </w:pPr>
      <w:r w:rsidRPr="00454576">
        <w:rPr>
          <w:lang w:val="en-US"/>
        </w:rPr>
        <w:t>The technological change in case of Zoom has opportunity of agility and structural vulnerability. The targeted design enables rapid feature additions and simplified user interfaces. This has allowed Zoom to respond quickly to user demand and market shifts in the past cementing its reputation of ease and reliability.</w:t>
      </w:r>
    </w:p>
    <w:p w14:paraId="623BB442" w14:textId="07E7C1B4" w:rsidR="00BC750A" w:rsidRPr="00BC750A" w:rsidRDefault="00454576" w:rsidP="00454576">
      <w:pPr>
        <w:rPr>
          <w:lang w:val="en-US"/>
        </w:rPr>
      </w:pPr>
      <w:r w:rsidRPr="00454576">
        <w:rPr>
          <w:lang w:val="en-US"/>
        </w:rPr>
        <w:t>However, Zoom is based on third-party cloud computing, which restricts its capacity to control performance scalability and cost models. It lacks a bigger proprietary ecosystem unlike Microsoft because it limits the advantages of cross-platform integration. The rate of artificial intelligence diffusion via platforms of competitors also presents Zoom with an imitation threat and innovation void (Andreani et al., 2023). Despite the introduction of AI-</w:t>
      </w:r>
      <w:r w:rsidRPr="00454576">
        <w:rPr>
          <w:lang w:val="en-US"/>
        </w:rPr>
        <w:lastRenderedPageBreak/>
        <w:t>enhanced services, Zoom is still at a constant strategic risk to maintain a comparable position with more technologically advanced companies</w:t>
      </w:r>
      <w:r w:rsidR="00BC750A" w:rsidRPr="00BC750A">
        <w:rPr>
          <w:lang w:val="en-US"/>
        </w:rPr>
        <w:t>.</w:t>
      </w:r>
    </w:p>
    <w:p w14:paraId="277F281D" w14:textId="06FEABFC" w:rsidR="00BC750A" w:rsidRPr="00BC750A" w:rsidRDefault="00F9123C" w:rsidP="00BC750A">
      <w:pPr>
        <w:rPr>
          <w:b/>
          <w:bCs/>
          <w:lang w:val="en-US"/>
        </w:rPr>
      </w:pPr>
      <w:r>
        <w:rPr>
          <w:b/>
          <w:bCs/>
          <w:lang w:val="en-US"/>
        </w:rPr>
        <w:t xml:space="preserve">d) </w:t>
      </w:r>
      <w:r w:rsidR="00BC750A" w:rsidRPr="00BC750A">
        <w:rPr>
          <w:b/>
          <w:bCs/>
          <w:lang w:val="en-US"/>
        </w:rPr>
        <w:t>Comparative Competitive Impact</w:t>
      </w:r>
    </w:p>
    <w:p w14:paraId="00585744" w14:textId="7A675F6D" w:rsidR="009253C8" w:rsidRPr="009253C8" w:rsidRDefault="009253C8" w:rsidP="009253C8">
      <w:pPr>
        <w:rPr>
          <w:lang w:val="en-US"/>
        </w:rPr>
      </w:pPr>
      <w:r w:rsidRPr="009253C8">
        <w:rPr>
          <w:lang w:val="en-US"/>
        </w:rPr>
        <w:t xml:space="preserve">The technological environment, in relative terms, consolidates the structural advantage of Microsoft, since it can control the ecosystem and own the clouds, which is sustainable competitive positioning. Zoom has a competitive edge over systemic dominance but not agility and focused differentiation (Krakowski, Luger and Raisch, 2023). </w:t>
      </w:r>
    </w:p>
    <w:p w14:paraId="33A725CA" w14:textId="5818804D" w:rsidR="00BC750A" w:rsidRDefault="009253C8" w:rsidP="009253C8">
      <w:pPr>
        <w:rPr>
          <w:lang w:val="en-US"/>
        </w:rPr>
      </w:pPr>
      <w:r w:rsidRPr="009253C8">
        <w:rPr>
          <w:lang w:val="en-US"/>
        </w:rPr>
        <w:t>Subsequently, there appears to be technological forces that enhance the strategic differences between the pioneer and the follower, which supports innovation based on ecosystems over competition based on features in the long term.</w:t>
      </w:r>
    </w:p>
    <w:p w14:paraId="5FB20FB7" w14:textId="77777777" w:rsidR="00D32409" w:rsidRPr="00F50C12" w:rsidRDefault="00D32409" w:rsidP="001673AE">
      <w:pPr>
        <w:pStyle w:val="Heading2"/>
        <w:rPr>
          <w:lang w:val="en-US"/>
        </w:rPr>
      </w:pPr>
      <w:bookmarkStart w:id="4" w:name="_Toc221817758"/>
      <w:r w:rsidRPr="00F50C12">
        <w:rPr>
          <w:lang w:val="en-US"/>
        </w:rPr>
        <w:t>Legal and Regulatory Environment</w:t>
      </w:r>
      <w:bookmarkEnd w:id="4"/>
      <w:r w:rsidRPr="00F50C12">
        <w:rPr>
          <w:lang w:val="en-US"/>
        </w:rPr>
        <w:t xml:space="preserve"> </w:t>
      </w:r>
    </w:p>
    <w:p w14:paraId="4D11CF20" w14:textId="77777777" w:rsidR="00D32409" w:rsidRPr="00F50C12" w:rsidRDefault="00D32409" w:rsidP="00D32409">
      <w:pPr>
        <w:rPr>
          <w:b/>
          <w:bCs/>
          <w:lang w:val="en-US"/>
        </w:rPr>
      </w:pPr>
      <w:r>
        <w:rPr>
          <w:b/>
          <w:bCs/>
          <w:lang w:val="en-US"/>
        </w:rPr>
        <w:t xml:space="preserve">a) </w:t>
      </w:r>
      <w:r w:rsidRPr="00F50C12">
        <w:rPr>
          <w:b/>
          <w:bCs/>
          <w:lang w:val="en-US"/>
        </w:rPr>
        <w:t>Regulatory Landscape</w:t>
      </w:r>
    </w:p>
    <w:p w14:paraId="7934679F" w14:textId="6AC4D0DB" w:rsidR="00B23EC3" w:rsidRPr="00B23EC3" w:rsidRDefault="00B23EC3" w:rsidP="00B23EC3">
      <w:pPr>
        <w:rPr>
          <w:lang w:val="en-US"/>
        </w:rPr>
      </w:pPr>
      <w:r w:rsidRPr="00B23EC3">
        <w:rPr>
          <w:lang w:val="en-US"/>
        </w:rPr>
        <w:t xml:space="preserve">The legal and regulatory environment has also become central to the digital collaboration industry, particularly in relation to data protection, adherence to cybersecurity and competition law. Because collaboration environments carry massive volumes of personal and organisational data, privacy and cross-border data flows regulation systems impose gigantic operating burdens. To address the data protection regimes, organisations need to maintain the data in a transparent manner, process it legally, and provide proper storage and user consent mechanisms (Mallikaradhya, Pothukuchi and Kota, 2023). </w:t>
      </w:r>
    </w:p>
    <w:p w14:paraId="26C8F671" w14:textId="12A55172" w:rsidR="00D32409" w:rsidRPr="00F50C12" w:rsidRDefault="00B23EC3" w:rsidP="00B23EC3">
      <w:pPr>
        <w:rPr>
          <w:lang w:val="en-US"/>
        </w:rPr>
      </w:pPr>
      <w:r w:rsidRPr="00B23EC3">
        <w:rPr>
          <w:lang w:val="en-US"/>
        </w:rPr>
        <w:t xml:space="preserve">Furthermore, cybersecurity laws are tightening due to the rise of online attacks. Encryption integrity, identity management privacy and response measures to breaches </w:t>
      </w:r>
      <w:r w:rsidR="00D03254" w:rsidRPr="00B23EC3">
        <w:rPr>
          <w:lang w:val="en-US"/>
        </w:rPr>
        <w:t>must</w:t>
      </w:r>
      <w:r w:rsidRPr="00B23EC3">
        <w:rPr>
          <w:lang w:val="en-US"/>
        </w:rPr>
        <w:t xml:space="preserve"> be demonstrated by organisations. Besides data privacy, the tech industry has faced a higher level of competition law scrutiny (Kretschmer et al., 2022). Major ecosystem providers face antitrust scrutiny regarding market dominance, vertical integration practices and bundling practices. All these regulations are barriers to entry as also strategic constraints to the industry.</w:t>
      </w:r>
    </w:p>
    <w:p w14:paraId="06A31536" w14:textId="77777777" w:rsidR="00D32409" w:rsidRPr="00F50C12" w:rsidRDefault="00D32409" w:rsidP="00D32409">
      <w:pPr>
        <w:rPr>
          <w:b/>
          <w:bCs/>
          <w:lang w:val="en-US"/>
        </w:rPr>
      </w:pPr>
      <w:r>
        <w:rPr>
          <w:b/>
          <w:bCs/>
          <w:lang w:val="en-US"/>
        </w:rPr>
        <w:t xml:space="preserve">b) </w:t>
      </w:r>
      <w:r w:rsidRPr="00F50C12">
        <w:rPr>
          <w:b/>
          <w:bCs/>
          <w:lang w:val="en-US"/>
        </w:rPr>
        <w:t>Impact on Microsoft</w:t>
      </w:r>
    </w:p>
    <w:p w14:paraId="15E873F4" w14:textId="2339BF1F" w:rsidR="004F4120" w:rsidRPr="004F4120" w:rsidRDefault="004F4120" w:rsidP="004F4120">
      <w:pPr>
        <w:rPr>
          <w:lang w:val="en-US"/>
        </w:rPr>
      </w:pPr>
      <w:r w:rsidRPr="004F4120">
        <w:rPr>
          <w:lang w:val="en-US"/>
        </w:rPr>
        <w:lastRenderedPageBreak/>
        <w:t xml:space="preserve">The regulatory environment in the case of Microsoft presents a dynamic of opportunity and constraint of two folds. Regulatory frameworks and compliance systems are </w:t>
      </w:r>
      <w:r w:rsidR="00F100E3" w:rsidRPr="004F4120">
        <w:rPr>
          <w:lang w:val="en-US"/>
        </w:rPr>
        <w:t>designed</w:t>
      </w:r>
      <w:r w:rsidRPr="004F4120">
        <w:rPr>
          <w:lang w:val="en-US"/>
        </w:rPr>
        <w:t xml:space="preserve"> to assimilate regulatory changes more readily than smaller competitors do (Huang and Tang, 2025). Microsoft can make compliance capability a differentiating feature by investing in global data centres and security infrastructures particularly in cases where they are dealing with enterprise and public sector customers who are more sensitive to regulatory guarantees.</w:t>
      </w:r>
    </w:p>
    <w:p w14:paraId="11B526FE" w14:textId="77777777" w:rsidR="004F4120" w:rsidRPr="004F4120" w:rsidRDefault="004F4120" w:rsidP="004F4120">
      <w:pPr>
        <w:rPr>
          <w:lang w:val="en-US"/>
        </w:rPr>
      </w:pPr>
      <w:r w:rsidRPr="004F4120">
        <w:rPr>
          <w:lang w:val="en-US"/>
        </w:rPr>
        <w:t>Reputational credibility and trust are boosted by good governance systems, contributing to the retention of customers in compliance-sensitive markets (Kero and Bogale, 2023). In addition, the complexity of the regulations will keep off small entrants, which will indirectly centralize the market positions of Microsoft.</w:t>
      </w:r>
    </w:p>
    <w:p w14:paraId="21512E34" w14:textId="7013F32B" w:rsidR="00D32409" w:rsidRPr="00F50C12" w:rsidRDefault="004F4120" w:rsidP="004F4120">
      <w:pPr>
        <w:rPr>
          <w:lang w:val="en-US"/>
        </w:rPr>
      </w:pPr>
      <w:r w:rsidRPr="004F4120">
        <w:rPr>
          <w:lang w:val="en-US"/>
        </w:rPr>
        <w:t xml:space="preserve">However, the size and preeminence of Microsoft ecosystem on the market also </w:t>
      </w:r>
      <w:r w:rsidR="00CE47BF" w:rsidRPr="004F4120">
        <w:rPr>
          <w:lang w:val="en-US"/>
        </w:rPr>
        <w:t>comes</w:t>
      </w:r>
      <w:r w:rsidRPr="004F4120">
        <w:rPr>
          <w:lang w:val="en-US"/>
        </w:rPr>
        <w:t xml:space="preserve"> under the revised antitrust scrutiny. The integration of coupling collaboration tools with bigger enterprise packages can be regarded as anti-competitive conduct, potentially causing legal problems or business restrictions (Shahid et al., 2022). Regulatory investigations can involve fines, reputation and strategy limitations. </w:t>
      </w:r>
    </w:p>
    <w:p w14:paraId="42663FC1" w14:textId="77777777" w:rsidR="00D32409" w:rsidRPr="00F50C12" w:rsidRDefault="00D32409" w:rsidP="00D32409">
      <w:pPr>
        <w:rPr>
          <w:b/>
          <w:bCs/>
          <w:lang w:val="en-US"/>
        </w:rPr>
      </w:pPr>
      <w:r>
        <w:rPr>
          <w:b/>
          <w:bCs/>
          <w:lang w:val="en-US"/>
        </w:rPr>
        <w:t xml:space="preserve">c) </w:t>
      </w:r>
      <w:r w:rsidRPr="00F50C12">
        <w:rPr>
          <w:b/>
          <w:bCs/>
          <w:lang w:val="en-US"/>
        </w:rPr>
        <w:t>Impact on Zoom</w:t>
      </w:r>
    </w:p>
    <w:p w14:paraId="49C59A40" w14:textId="77777777" w:rsidR="00214915" w:rsidRPr="00214915" w:rsidRDefault="00214915" w:rsidP="00214915">
      <w:pPr>
        <w:rPr>
          <w:lang w:val="en-US"/>
        </w:rPr>
      </w:pPr>
      <w:r w:rsidRPr="00214915">
        <w:rPr>
          <w:lang w:val="en-US"/>
        </w:rPr>
        <w:t>Regulatory pressures have historically been a reputational weakness in the case of Zoom. The weaknesses in encryption transparency and regulation of privacy were seen during historical security problems in times of rapid growth. Such scandals resulted in the heightened regulatory focus and created a temporary ding in the confidence of enterprise clients.</w:t>
      </w:r>
    </w:p>
    <w:p w14:paraId="3CBB5B12" w14:textId="77777777" w:rsidR="00214915" w:rsidRPr="00214915" w:rsidRDefault="00214915" w:rsidP="00214915">
      <w:pPr>
        <w:rPr>
          <w:lang w:val="en-US"/>
        </w:rPr>
      </w:pPr>
      <w:r w:rsidRPr="00214915">
        <w:rPr>
          <w:lang w:val="en-US"/>
        </w:rPr>
        <w:t>In response to this, Zoom has invested heavily in security upgrades and compliance solutions. Nevertheless, a smaller organisation bears a disproportionately high cost when it concerns regulatory compliance (Vethachalam, 2024). The implementation of global data infrastructure, provision of cybersecurity certification, and keeping pace with different regional legal standards require serious investments.</w:t>
      </w:r>
    </w:p>
    <w:p w14:paraId="01DF5043" w14:textId="48649E86" w:rsidR="00D32409" w:rsidRPr="00F50C12" w:rsidRDefault="00214915" w:rsidP="00214915">
      <w:pPr>
        <w:rPr>
          <w:lang w:val="en-US"/>
        </w:rPr>
      </w:pPr>
      <w:r w:rsidRPr="00214915">
        <w:rPr>
          <w:lang w:val="en-US"/>
        </w:rPr>
        <w:t xml:space="preserve">In comparison to Microsoft, the antitrust risk of Zoom is lower due to a comparatively smaller ecosystem footprint. However, its low level of diversification renders it more </w:t>
      </w:r>
      <w:r w:rsidRPr="00214915">
        <w:rPr>
          <w:lang w:val="en-US"/>
        </w:rPr>
        <w:lastRenderedPageBreak/>
        <w:t xml:space="preserve">dependent on maintaining </w:t>
      </w:r>
      <w:r w:rsidR="003E3AE1" w:rsidRPr="00214915">
        <w:rPr>
          <w:lang w:val="en-US"/>
        </w:rPr>
        <w:t>trust</w:t>
      </w:r>
      <w:r w:rsidRPr="00214915">
        <w:rPr>
          <w:lang w:val="en-US"/>
        </w:rPr>
        <w:t xml:space="preserve"> within its core market (Kosutic and Pigni, 2022). The cost of regulatory failure would therefore be with an imbalanced reputational cost. </w:t>
      </w:r>
    </w:p>
    <w:p w14:paraId="6F16C186" w14:textId="77777777" w:rsidR="00D32409" w:rsidRPr="00F50C12" w:rsidRDefault="00D32409" w:rsidP="00D32409">
      <w:pPr>
        <w:rPr>
          <w:b/>
          <w:bCs/>
          <w:lang w:val="en-US"/>
        </w:rPr>
      </w:pPr>
      <w:r>
        <w:rPr>
          <w:b/>
          <w:bCs/>
          <w:lang w:val="en-US"/>
        </w:rPr>
        <w:t xml:space="preserve">d) </w:t>
      </w:r>
      <w:r w:rsidRPr="00F50C12">
        <w:rPr>
          <w:b/>
          <w:bCs/>
          <w:lang w:val="en-US"/>
        </w:rPr>
        <w:t>Competitive Implications</w:t>
      </w:r>
    </w:p>
    <w:p w14:paraId="570B31CF" w14:textId="7644CD70" w:rsidR="00D32409" w:rsidRDefault="00EC38C3" w:rsidP="00D32409">
      <w:pPr>
        <w:rPr>
          <w:lang w:val="en-US"/>
        </w:rPr>
      </w:pPr>
      <w:r w:rsidRPr="00EC38C3">
        <w:t>The legal setting enhances the structural inequity between pioneer and follower to a relatively strong degree. Regulation acts as a block to entry and reputation differentiator. Microsoft can also abide and this increases its enterprise credibility, although antitrust scrutiny puts a check. Even though Zoom does not appear to be as vulnerable to competition law studies, it is more prone to trust loss and compliance pressure (Wörsdorfer, 2022).</w:t>
      </w:r>
    </w:p>
    <w:p w14:paraId="6382B3FB" w14:textId="77777777" w:rsidR="00D32409" w:rsidRPr="001673AE" w:rsidRDefault="00D32409" w:rsidP="001673AE">
      <w:pPr>
        <w:rPr>
          <w:b/>
          <w:i/>
          <w:lang w:val="en-US"/>
        </w:rPr>
      </w:pPr>
      <w:r w:rsidRPr="001673AE">
        <w:rPr>
          <w:b/>
          <w:i/>
        </w:rPr>
        <w:t>PESTLE-Based Comparative Macro Analysis:</w:t>
      </w:r>
    </w:p>
    <w:tbl>
      <w:tblPr>
        <w:tblStyle w:val="TableGrid"/>
        <w:tblW w:w="0" w:type="auto"/>
        <w:jc w:val="center"/>
        <w:tblLook w:val="04A0" w:firstRow="1" w:lastRow="0" w:firstColumn="1" w:lastColumn="0" w:noHBand="0" w:noVBand="1"/>
      </w:tblPr>
      <w:tblGrid>
        <w:gridCol w:w="1675"/>
        <w:gridCol w:w="1747"/>
        <w:gridCol w:w="2094"/>
        <w:gridCol w:w="1967"/>
        <w:gridCol w:w="1867"/>
      </w:tblGrid>
      <w:tr w:rsidR="00D32409" w:rsidRPr="00F50C12" w14:paraId="788363F6" w14:textId="77777777" w:rsidTr="00073632">
        <w:trPr>
          <w:jc w:val="center"/>
        </w:trPr>
        <w:tc>
          <w:tcPr>
            <w:tcW w:w="0" w:type="auto"/>
            <w:hideMark/>
          </w:tcPr>
          <w:p w14:paraId="270EDB23" w14:textId="77777777" w:rsidR="00D32409" w:rsidRPr="00F50C12" w:rsidRDefault="00D32409" w:rsidP="00073632">
            <w:pPr>
              <w:spacing w:after="160" w:line="240" w:lineRule="auto"/>
              <w:jc w:val="center"/>
              <w:rPr>
                <w:b/>
                <w:bCs/>
                <w:lang w:val="en-US"/>
              </w:rPr>
            </w:pPr>
            <w:r w:rsidRPr="00F50C12">
              <w:rPr>
                <w:b/>
                <w:bCs/>
                <w:lang w:val="en-US"/>
              </w:rPr>
              <w:t>Macro Factor</w:t>
            </w:r>
          </w:p>
        </w:tc>
        <w:tc>
          <w:tcPr>
            <w:tcW w:w="0" w:type="auto"/>
            <w:hideMark/>
          </w:tcPr>
          <w:p w14:paraId="7FF99D49" w14:textId="77777777" w:rsidR="00D32409" w:rsidRPr="00F50C12" w:rsidRDefault="00D32409" w:rsidP="00073632">
            <w:pPr>
              <w:spacing w:after="160" w:line="240" w:lineRule="auto"/>
              <w:jc w:val="center"/>
              <w:rPr>
                <w:b/>
                <w:bCs/>
                <w:lang w:val="en-US"/>
              </w:rPr>
            </w:pPr>
            <w:r w:rsidRPr="00F50C12">
              <w:rPr>
                <w:b/>
                <w:bCs/>
                <w:lang w:val="en-US"/>
              </w:rPr>
              <w:t>Key Issue</w:t>
            </w:r>
          </w:p>
        </w:tc>
        <w:tc>
          <w:tcPr>
            <w:tcW w:w="0" w:type="auto"/>
            <w:hideMark/>
          </w:tcPr>
          <w:p w14:paraId="2613F5FA" w14:textId="77777777" w:rsidR="00D32409" w:rsidRPr="00F50C12" w:rsidRDefault="00D32409" w:rsidP="00073632">
            <w:pPr>
              <w:spacing w:after="160" w:line="240" w:lineRule="auto"/>
              <w:jc w:val="center"/>
              <w:rPr>
                <w:b/>
                <w:bCs/>
                <w:lang w:val="en-US"/>
              </w:rPr>
            </w:pPr>
            <w:r w:rsidRPr="00F50C12">
              <w:rPr>
                <w:b/>
                <w:bCs/>
                <w:lang w:val="en-US"/>
              </w:rPr>
              <w:t>Impact on Microsoft (Pioneer)</w:t>
            </w:r>
          </w:p>
        </w:tc>
        <w:tc>
          <w:tcPr>
            <w:tcW w:w="0" w:type="auto"/>
            <w:hideMark/>
          </w:tcPr>
          <w:p w14:paraId="66D0466B" w14:textId="77777777" w:rsidR="00D32409" w:rsidRPr="00F50C12" w:rsidRDefault="00D32409" w:rsidP="00073632">
            <w:pPr>
              <w:spacing w:after="160" w:line="240" w:lineRule="auto"/>
              <w:jc w:val="center"/>
              <w:rPr>
                <w:b/>
                <w:bCs/>
                <w:lang w:val="en-US"/>
              </w:rPr>
            </w:pPr>
            <w:r w:rsidRPr="00F50C12">
              <w:rPr>
                <w:b/>
                <w:bCs/>
                <w:lang w:val="en-US"/>
              </w:rPr>
              <w:t>Impact on Zoom (Follower)</w:t>
            </w:r>
          </w:p>
        </w:tc>
        <w:tc>
          <w:tcPr>
            <w:tcW w:w="0" w:type="auto"/>
            <w:hideMark/>
          </w:tcPr>
          <w:p w14:paraId="5F2A6577" w14:textId="77777777" w:rsidR="00D32409" w:rsidRPr="00F50C12" w:rsidRDefault="00D32409" w:rsidP="00073632">
            <w:pPr>
              <w:spacing w:after="160" w:line="240" w:lineRule="auto"/>
              <w:jc w:val="center"/>
              <w:rPr>
                <w:b/>
                <w:bCs/>
                <w:lang w:val="en-US"/>
              </w:rPr>
            </w:pPr>
            <w:r w:rsidRPr="00F50C12">
              <w:rPr>
                <w:b/>
                <w:bCs/>
                <w:lang w:val="en-US"/>
              </w:rPr>
              <w:t>Competitive Implication</w:t>
            </w:r>
          </w:p>
        </w:tc>
      </w:tr>
      <w:tr w:rsidR="00D32409" w:rsidRPr="00F50C12" w14:paraId="7D88C0C5" w14:textId="77777777" w:rsidTr="00073632">
        <w:trPr>
          <w:jc w:val="center"/>
        </w:trPr>
        <w:tc>
          <w:tcPr>
            <w:tcW w:w="0" w:type="auto"/>
            <w:hideMark/>
          </w:tcPr>
          <w:p w14:paraId="639EDD7C" w14:textId="77777777" w:rsidR="00D32409" w:rsidRPr="00F50C12" w:rsidRDefault="00D32409" w:rsidP="00073632">
            <w:pPr>
              <w:spacing w:after="160" w:line="240" w:lineRule="auto"/>
              <w:jc w:val="center"/>
              <w:rPr>
                <w:lang w:val="en-US"/>
              </w:rPr>
            </w:pPr>
            <w:r w:rsidRPr="00F50C12">
              <w:rPr>
                <w:lang w:val="en-US"/>
              </w:rPr>
              <w:t>Technological</w:t>
            </w:r>
          </w:p>
        </w:tc>
        <w:tc>
          <w:tcPr>
            <w:tcW w:w="0" w:type="auto"/>
            <w:hideMark/>
          </w:tcPr>
          <w:p w14:paraId="60A3C778" w14:textId="77777777" w:rsidR="00D32409" w:rsidRPr="00F50C12" w:rsidRDefault="00D32409" w:rsidP="00073632">
            <w:pPr>
              <w:spacing w:after="160" w:line="240" w:lineRule="auto"/>
              <w:jc w:val="center"/>
              <w:rPr>
                <w:lang w:val="en-US"/>
              </w:rPr>
            </w:pPr>
            <w:r w:rsidRPr="00F50C12">
              <w:rPr>
                <w:lang w:val="en-US"/>
              </w:rPr>
              <w:t>AI integration</w:t>
            </w:r>
          </w:p>
        </w:tc>
        <w:tc>
          <w:tcPr>
            <w:tcW w:w="0" w:type="auto"/>
            <w:hideMark/>
          </w:tcPr>
          <w:p w14:paraId="0628363E" w14:textId="77777777" w:rsidR="00D32409" w:rsidRPr="00F50C12" w:rsidRDefault="00D32409" w:rsidP="00073632">
            <w:pPr>
              <w:spacing w:after="160" w:line="240" w:lineRule="auto"/>
              <w:jc w:val="left"/>
              <w:rPr>
                <w:lang w:val="en-US"/>
              </w:rPr>
            </w:pPr>
            <w:r w:rsidRPr="00F50C12">
              <w:rPr>
                <w:lang w:val="en-US"/>
              </w:rPr>
              <w:t>Ecosystem-wide AI deployment strengthens differentiation</w:t>
            </w:r>
          </w:p>
        </w:tc>
        <w:tc>
          <w:tcPr>
            <w:tcW w:w="0" w:type="auto"/>
            <w:hideMark/>
          </w:tcPr>
          <w:p w14:paraId="4FB58E5D" w14:textId="77777777" w:rsidR="00D32409" w:rsidRPr="00F50C12" w:rsidRDefault="00D32409" w:rsidP="00073632">
            <w:pPr>
              <w:spacing w:after="160" w:line="240" w:lineRule="auto"/>
              <w:jc w:val="left"/>
              <w:rPr>
                <w:lang w:val="en-US"/>
              </w:rPr>
            </w:pPr>
            <w:r w:rsidRPr="00F50C12">
              <w:rPr>
                <w:lang w:val="en-US"/>
              </w:rPr>
              <w:t>Rapid feature adoption but limited ecosystem depth</w:t>
            </w:r>
          </w:p>
        </w:tc>
        <w:tc>
          <w:tcPr>
            <w:tcW w:w="0" w:type="auto"/>
            <w:hideMark/>
          </w:tcPr>
          <w:p w14:paraId="03235537" w14:textId="77777777" w:rsidR="00D32409" w:rsidRPr="00F50C12" w:rsidRDefault="00D32409" w:rsidP="00073632">
            <w:pPr>
              <w:spacing w:after="160" w:line="240" w:lineRule="auto"/>
              <w:jc w:val="left"/>
              <w:rPr>
                <w:lang w:val="en-US"/>
              </w:rPr>
            </w:pPr>
            <w:r w:rsidRPr="00F50C12">
              <w:rPr>
                <w:lang w:val="en-US"/>
              </w:rPr>
              <w:t>Structural advantage for Microsoft</w:t>
            </w:r>
          </w:p>
        </w:tc>
      </w:tr>
      <w:tr w:rsidR="00D32409" w:rsidRPr="00F50C12" w14:paraId="6CCA9B4D" w14:textId="77777777" w:rsidTr="00073632">
        <w:trPr>
          <w:jc w:val="center"/>
        </w:trPr>
        <w:tc>
          <w:tcPr>
            <w:tcW w:w="0" w:type="auto"/>
            <w:hideMark/>
          </w:tcPr>
          <w:p w14:paraId="025842B4" w14:textId="77777777" w:rsidR="00D32409" w:rsidRPr="00F50C12" w:rsidRDefault="00D32409" w:rsidP="00073632">
            <w:pPr>
              <w:spacing w:after="160" w:line="240" w:lineRule="auto"/>
              <w:jc w:val="center"/>
              <w:rPr>
                <w:lang w:val="en-US"/>
              </w:rPr>
            </w:pPr>
            <w:r w:rsidRPr="00F50C12">
              <w:rPr>
                <w:lang w:val="en-US"/>
              </w:rPr>
              <w:t>Technological</w:t>
            </w:r>
          </w:p>
        </w:tc>
        <w:tc>
          <w:tcPr>
            <w:tcW w:w="0" w:type="auto"/>
            <w:hideMark/>
          </w:tcPr>
          <w:p w14:paraId="0F03A49F" w14:textId="77777777" w:rsidR="00D32409" w:rsidRPr="00F50C12" w:rsidRDefault="00D32409" w:rsidP="00073632">
            <w:pPr>
              <w:spacing w:after="160" w:line="240" w:lineRule="auto"/>
              <w:jc w:val="center"/>
              <w:rPr>
                <w:lang w:val="en-US"/>
              </w:rPr>
            </w:pPr>
            <w:r w:rsidRPr="00F50C12">
              <w:rPr>
                <w:lang w:val="en-US"/>
              </w:rPr>
              <w:t>Cloud infrastructure</w:t>
            </w:r>
          </w:p>
        </w:tc>
        <w:tc>
          <w:tcPr>
            <w:tcW w:w="0" w:type="auto"/>
            <w:hideMark/>
          </w:tcPr>
          <w:p w14:paraId="19CF2834" w14:textId="77777777" w:rsidR="00D32409" w:rsidRPr="00F50C12" w:rsidRDefault="00D32409" w:rsidP="00073632">
            <w:pPr>
              <w:spacing w:after="160" w:line="240" w:lineRule="auto"/>
              <w:jc w:val="left"/>
              <w:rPr>
                <w:lang w:val="en-US"/>
              </w:rPr>
            </w:pPr>
            <w:r w:rsidRPr="00F50C12">
              <w:rPr>
                <w:lang w:val="en-US"/>
              </w:rPr>
              <w:t>Proprietary cloud control enhances scalability and compliance</w:t>
            </w:r>
          </w:p>
        </w:tc>
        <w:tc>
          <w:tcPr>
            <w:tcW w:w="0" w:type="auto"/>
            <w:hideMark/>
          </w:tcPr>
          <w:p w14:paraId="3B462576" w14:textId="77777777" w:rsidR="00D32409" w:rsidRPr="00F50C12" w:rsidRDefault="00D32409" w:rsidP="00073632">
            <w:pPr>
              <w:spacing w:after="160" w:line="240" w:lineRule="auto"/>
              <w:jc w:val="left"/>
              <w:rPr>
                <w:lang w:val="en-US"/>
              </w:rPr>
            </w:pPr>
            <w:r w:rsidRPr="00F50C12">
              <w:rPr>
                <w:lang w:val="en-US"/>
              </w:rPr>
              <w:t>Dependence on external infrastructure</w:t>
            </w:r>
          </w:p>
        </w:tc>
        <w:tc>
          <w:tcPr>
            <w:tcW w:w="0" w:type="auto"/>
            <w:hideMark/>
          </w:tcPr>
          <w:p w14:paraId="0D180027" w14:textId="77777777" w:rsidR="00D32409" w:rsidRPr="00F50C12" w:rsidRDefault="00D32409" w:rsidP="00073632">
            <w:pPr>
              <w:spacing w:after="160" w:line="240" w:lineRule="auto"/>
              <w:jc w:val="left"/>
              <w:rPr>
                <w:lang w:val="en-US"/>
              </w:rPr>
            </w:pPr>
            <w:r w:rsidRPr="00F50C12">
              <w:rPr>
                <w:lang w:val="en-US"/>
              </w:rPr>
              <w:t>Microsoft gains systemic resilience</w:t>
            </w:r>
          </w:p>
        </w:tc>
      </w:tr>
      <w:tr w:rsidR="00D32409" w:rsidRPr="00F50C12" w14:paraId="685B7302" w14:textId="77777777" w:rsidTr="00073632">
        <w:trPr>
          <w:jc w:val="center"/>
        </w:trPr>
        <w:tc>
          <w:tcPr>
            <w:tcW w:w="0" w:type="auto"/>
            <w:hideMark/>
          </w:tcPr>
          <w:p w14:paraId="33B4CF96" w14:textId="77777777" w:rsidR="00D32409" w:rsidRPr="00F50C12" w:rsidRDefault="00D32409" w:rsidP="00073632">
            <w:pPr>
              <w:spacing w:after="160" w:line="240" w:lineRule="auto"/>
              <w:jc w:val="center"/>
              <w:rPr>
                <w:lang w:val="en-US"/>
              </w:rPr>
            </w:pPr>
            <w:r w:rsidRPr="00F50C12">
              <w:rPr>
                <w:lang w:val="en-US"/>
              </w:rPr>
              <w:t>Legal</w:t>
            </w:r>
          </w:p>
        </w:tc>
        <w:tc>
          <w:tcPr>
            <w:tcW w:w="0" w:type="auto"/>
            <w:hideMark/>
          </w:tcPr>
          <w:p w14:paraId="3A8C75A6" w14:textId="77777777" w:rsidR="00D32409" w:rsidRPr="00F50C12" w:rsidRDefault="00D32409" w:rsidP="00073632">
            <w:pPr>
              <w:spacing w:after="160" w:line="240" w:lineRule="auto"/>
              <w:jc w:val="center"/>
              <w:rPr>
                <w:lang w:val="en-US"/>
              </w:rPr>
            </w:pPr>
            <w:r w:rsidRPr="00F50C12">
              <w:rPr>
                <w:lang w:val="en-US"/>
              </w:rPr>
              <w:t>Data protection compliance</w:t>
            </w:r>
          </w:p>
        </w:tc>
        <w:tc>
          <w:tcPr>
            <w:tcW w:w="0" w:type="auto"/>
            <w:hideMark/>
          </w:tcPr>
          <w:p w14:paraId="398A3813" w14:textId="77777777" w:rsidR="00D32409" w:rsidRPr="00F50C12" w:rsidRDefault="00D32409" w:rsidP="00073632">
            <w:pPr>
              <w:spacing w:after="160" w:line="240" w:lineRule="auto"/>
              <w:jc w:val="left"/>
              <w:rPr>
                <w:lang w:val="en-US"/>
              </w:rPr>
            </w:pPr>
            <w:r w:rsidRPr="00F50C12">
              <w:rPr>
                <w:lang w:val="en-US"/>
              </w:rPr>
              <w:t>Strong governance reinforces enterprise trust</w:t>
            </w:r>
          </w:p>
        </w:tc>
        <w:tc>
          <w:tcPr>
            <w:tcW w:w="0" w:type="auto"/>
            <w:hideMark/>
          </w:tcPr>
          <w:p w14:paraId="0695F16B" w14:textId="77777777" w:rsidR="00D32409" w:rsidRPr="00F50C12" w:rsidRDefault="00D32409" w:rsidP="00073632">
            <w:pPr>
              <w:spacing w:after="160" w:line="240" w:lineRule="auto"/>
              <w:jc w:val="left"/>
              <w:rPr>
                <w:lang w:val="en-US"/>
              </w:rPr>
            </w:pPr>
            <w:r w:rsidRPr="00F50C12">
              <w:rPr>
                <w:lang w:val="en-US"/>
              </w:rPr>
              <w:t>Higher relative compliance burden</w:t>
            </w:r>
          </w:p>
        </w:tc>
        <w:tc>
          <w:tcPr>
            <w:tcW w:w="0" w:type="auto"/>
            <w:hideMark/>
          </w:tcPr>
          <w:p w14:paraId="415B5868" w14:textId="77777777" w:rsidR="00D32409" w:rsidRPr="00F50C12" w:rsidRDefault="00D32409" w:rsidP="00073632">
            <w:pPr>
              <w:spacing w:after="160" w:line="240" w:lineRule="auto"/>
              <w:jc w:val="left"/>
              <w:rPr>
                <w:lang w:val="en-US"/>
              </w:rPr>
            </w:pPr>
            <w:r w:rsidRPr="00F50C12">
              <w:rPr>
                <w:lang w:val="en-US"/>
              </w:rPr>
              <w:t>Regulation favours scale</w:t>
            </w:r>
          </w:p>
        </w:tc>
      </w:tr>
      <w:tr w:rsidR="00D32409" w:rsidRPr="00F50C12" w14:paraId="3EDE6E40" w14:textId="77777777" w:rsidTr="00073632">
        <w:trPr>
          <w:jc w:val="center"/>
        </w:trPr>
        <w:tc>
          <w:tcPr>
            <w:tcW w:w="0" w:type="auto"/>
            <w:hideMark/>
          </w:tcPr>
          <w:p w14:paraId="1757FCC7" w14:textId="77777777" w:rsidR="00D32409" w:rsidRPr="00F50C12" w:rsidRDefault="00D32409" w:rsidP="00073632">
            <w:pPr>
              <w:spacing w:after="160" w:line="240" w:lineRule="auto"/>
              <w:jc w:val="center"/>
              <w:rPr>
                <w:lang w:val="en-US"/>
              </w:rPr>
            </w:pPr>
            <w:r w:rsidRPr="00F50C12">
              <w:rPr>
                <w:lang w:val="en-US"/>
              </w:rPr>
              <w:t>Legal</w:t>
            </w:r>
          </w:p>
        </w:tc>
        <w:tc>
          <w:tcPr>
            <w:tcW w:w="0" w:type="auto"/>
            <w:hideMark/>
          </w:tcPr>
          <w:p w14:paraId="25892B19" w14:textId="77777777" w:rsidR="00D32409" w:rsidRPr="00F50C12" w:rsidRDefault="00D32409" w:rsidP="00073632">
            <w:pPr>
              <w:spacing w:after="160" w:line="240" w:lineRule="auto"/>
              <w:jc w:val="center"/>
              <w:rPr>
                <w:lang w:val="en-US"/>
              </w:rPr>
            </w:pPr>
            <w:r w:rsidRPr="00F50C12">
              <w:rPr>
                <w:lang w:val="en-US"/>
              </w:rPr>
              <w:t>Antitrust scrutiny</w:t>
            </w:r>
          </w:p>
        </w:tc>
        <w:tc>
          <w:tcPr>
            <w:tcW w:w="0" w:type="auto"/>
            <w:hideMark/>
          </w:tcPr>
          <w:p w14:paraId="1A471887" w14:textId="77777777" w:rsidR="00D32409" w:rsidRPr="00F50C12" w:rsidRDefault="00D32409" w:rsidP="00073632">
            <w:pPr>
              <w:spacing w:after="160" w:line="240" w:lineRule="auto"/>
              <w:jc w:val="left"/>
              <w:rPr>
                <w:lang w:val="en-US"/>
              </w:rPr>
            </w:pPr>
            <w:r w:rsidRPr="00F50C12">
              <w:rPr>
                <w:lang w:val="en-US"/>
              </w:rPr>
              <w:t>Increased regulatory investigation risk</w:t>
            </w:r>
          </w:p>
        </w:tc>
        <w:tc>
          <w:tcPr>
            <w:tcW w:w="0" w:type="auto"/>
            <w:hideMark/>
          </w:tcPr>
          <w:p w14:paraId="3484C098" w14:textId="77777777" w:rsidR="00D32409" w:rsidRPr="00F50C12" w:rsidRDefault="00D32409" w:rsidP="00073632">
            <w:pPr>
              <w:spacing w:after="160" w:line="240" w:lineRule="auto"/>
              <w:jc w:val="left"/>
              <w:rPr>
                <w:lang w:val="en-US"/>
              </w:rPr>
            </w:pPr>
            <w:r w:rsidRPr="00F50C12">
              <w:rPr>
                <w:lang w:val="en-US"/>
              </w:rPr>
              <w:t>Lower scrutiny due to limited dominance</w:t>
            </w:r>
          </w:p>
        </w:tc>
        <w:tc>
          <w:tcPr>
            <w:tcW w:w="0" w:type="auto"/>
            <w:hideMark/>
          </w:tcPr>
          <w:p w14:paraId="63DD60FB" w14:textId="77777777" w:rsidR="00D32409" w:rsidRPr="00F50C12" w:rsidRDefault="00D32409" w:rsidP="00073632">
            <w:pPr>
              <w:spacing w:after="160" w:line="240" w:lineRule="auto"/>
              <w:jc w:val="left"/>
              <w:rPr>
                <w:lang w:val="en-US"/>
              </w:rPr>
            </w:pPr>
            <w:r w:rsidRPr="00F50C12">
              <w:rPr>
                <w:lang w:val="en-US"/>
              </w:rPr>
              <w:t>Mixed but manageable impact for Microsoft</w:t>
            </w:r>
          </w:p>
        </w:tc>
      </w:tr>
    </w:tbl>
    <w:p w14:paraId="76386AC2" w14:textId="77777777" w:rsidR="00D32409" w:rsidRDefault="00D32409" w:rsidP="00D32409">
      <w:pPr>
        <w:jc w:val="center"/>
      </w:pPr>
      <w:r w:rsidRPr="00F50C12">
        <w:rPr>
          <w:b/>
          <w:bCs/>
          <w:lang w:val="en-US"/>
        </w:rPr>
        <w:t>Table 1: Comparative Macro-Environmental Impact on Microsoft and Zoom</w:t>
      </w:r>
    </w:p>
    <w:p w14:paraId="3B6879A3" w14:textId="6C21B597" w:rsidR="005E299C" w:rsidRDefault="005E299C" w:rsidP="00DD3946">
      <w:pPr>
        <w:pStyle w:val="Heading1"/>
        <w:rPr>
          <w:lang w:val="en-US"/>
        </w:rPr>
      </w:pPr>
      <w:bookmarkStart w:id="5" w:name="_Toc221817759"/>
      <w:r w:rsidRPr="005E299C">
        <w:rPr>
          <w:lang w:val="en-US"/>
        </w:rPr>
        <w:lastRenderedPageBreak/>
        <w:t>Task 2: Strategic Responses and Growth Evaluation</w:t>
      </w:r>
      <w:bookmarkEnd w:id="5"/>
      <w:r w:rsidRPr="005E299C">
        <w:rPr>
          <w:lang w:val="en-US"/>
        </w:rPr>
        <w:t xml:space="preserve"> </w:t>
      </w:r>
    </w:p>
    <w:p w14:paraId="05D5E825" w14:textId="77777777" w:rsidR="006A19F6" w:rsidRPr="00583C94" w:rsidRDefault="006A19F6" w:rsidP="001673AE">
      <w:pPr>
        <w:pStyle w:val="Heading2"/>
        <w:rPr>
          <w:lang w:val="en-US"/>
        </w:rPr>
      </w:pPr>
      <w:bookmarkStart w:id="6" w:name="_Toc221817760"/>
      <w:r w:rsidRPr="00583C94">
        <w:rPr>
          <w:lang w:val="en-US"/>
        </w:rPr>
        <w:t>Microsoft’s Strategic Response</w:t>
      </w:r>
      <w:bookmarkEnd w:id="6"/>
      <w:r w:rsidRPr="00583C94">
        <w:rPr>
          <w:lang w:val="en-US"/>
        </w:rPr>
        <w:t xml:space="preserve"> </w:t>
      </w:r>
    </w:p>
    <w:p w14:paraId="7A378724" w14:textId="77777777" w:rsidR="006A19F6" w:rsidRPr="00583C94" w:rsidRDefault="006A19F6" w:rsidP="006A19F6">
      <w:pPr>
        <w:rPr>
          <w:b/>
          <w:bCs/>
          <w:lang w:val="en-US"/>
        </w:rPr>
      </w:pPr>
      <w:r>
        <w:rPr>
          <w:b/>
          <w:bCs/>
          <w:lang w:val="en-US"/>
        </w:rPr>
        <w:t xml:space="preserve">a) </w:t>
      </w:r>
      <w:r w:rsidRPr="00583C94">
        <w:rPr>
          <w:b/>
          <w:bCs/>
          <w:lang w:val="en-US"/>
        </w:rPr>
        <w:t>Porter’s Generic Strategy</w:t>
      </w:r>
    </w:p>
    <w:p w14:paraId="6ED23EA0" w14:textId="4F36300C" w:rsidR="0057607D" w:rsidRPr="0057607D" w:rsidRDefault="0057607D" w:rsidP="0057607D">
      <w:pPr>
        <w:rPr>
          <w:lang w:val="en-US"/>
        </w:rPr>
      </w:pPr>
      <w:r w:rsidRPr="0057607D">
        <w:rPr>
          <w:lang w:val="en-US"/>
        </w:rPr>
        <w:t xml:space="preserve">The strategic positioning of Microsoft is rather a broad differentiation strategy with part of a cost advantage on bundling. Microsoft does not merely compete on the functionality of individual products, </w:t>
      </w:r>
      <w:r w:rsidR="00F21F42" w:rsidRPr="0057607D">
        <w:rPr>
          <w:lang w:val="en-US"/>
        </w:rPr>
        <w:t>but</w:t>
      </w:r>
      <w:r w:rsidRPr="0057607D">
        <w:rPr>
          <w:lang w:val="en-US"/>
        </w:rPr>
        <w:t xml:space="preserve"> with ecosystems. Its collaborative platform is part of an extended enterprise platform and integrates productivity software, cloud services, cybersecurity, and artificial intelligence tools (Alnoor et al., 2022). This is an interrelated design that offers value beyond single functionality and makes Microsoft a provider of fully digital infrastructure.</w:t>
      </w:r>
    </w:p>
    <w:p w14:paraId="55313822" w14:textId="52042C83" w:rsidR="006A19F6" w:rsidRPr="00583C94" w:rsidRDefault="0057607D" w:rsidP="0057607D">
      <w:pPr>
        <w:rPr>
          <w:lang w:val="en-US"/>
        </w:rPr>
      </w:pPr>
      <w:r w:rsidRPr="0057607D">
        <w:rPr>
          <w:lang w:val="en-US"/>
        </w:rPr>
        <w:t xml:space="preserve">Meanwhile, the bundling of collaboration tools into enterprise subscriptions gives the organisational customers the perception of cost-efficiency. Microsoft is not pursuing pure cost leadership, but its economies of scale allow it to offer integrated services at </w:t>
      </w:r>
      <w:r w:rsidR="003825A6" w:rsidRPr="0057607D">
        <w:rPr>
          <w:lang w:val="en-US"/>
        </w:rPr>
        <w:t>competitive prices</w:t>
      </w:r>
      <w:r w:rsidRPr="0057607D">
        <w:rPr>
          <w:lang w:val="en-US"/>
        </w:rPr>
        <w:t xml:space="preserve"> with platform purchases made individually. This type of investment positioning increases switching power and loyalty to the client that increases retention on a </w:t>
      </w:r>
      <w:r w:rsidR="003362B9" w:rsidRPr="0057607D">
        <w:rPr>
          <w:lang w:val="en-US"/>
        </w:rPr>
        <w:t>long-term</w:t>
      </w:r>
      <w:r w:rsidRPr="0057607D">
        <w:rPr>
          <w:lang w:val="en-US"/>
        </w:rPr>
        <w:t xml:space="preserve"> basis.</w:t>
      </w:r>
    </w:p>
    <w:p w14:paraId="5C4346AB" w14:textId="77777777" w:rsidR="006A19F6" w:rsidRPr="00583C94" w:rsidRDefault="006A19F6" w:rsidP="006A19F6">
      <w:pPr>
        <w:rPr>
          <w:b/>
          <w:bCs/>
          <w:lang w:val="en-US"/>
        </w:rPr>
      </w:pPr>
      <w:r>
        <w:rPr>
          <w:b/>
          <w:bCs/>
          <w:lang w:val="en-US"/>
        </w:rPr>
        <w:t xml:space="preserve">b) </w:t>
      </w:r>
      <w:r w:rsidRPr="00583C94">
        <w:rPr>
          <w:b/>
          <w:bCs/>
          <w:lang w:val="en-US"/>
        </w:rPr>
        <w:t>Ansoff Growth Strategy</w:t>
      </w:r>
    </w:p>
    <w:p w14:paraId="5188EF01" w14:textId="77777777" w:rsidR="00301572" w:rsidRPr="00301572" w:rsidRDefault="00301572" w:rsidP="00301572">
      <w:pPr>
        <w:rPr>
          <w:lang w:val="en-US"/>
        </w:rPr>
      </w:pPr>
      <w:r w:rsidRPr="00301572">
        <w:rPr>
          <w:lang w:val="en-US"/>
        </w:rPr>
        <w:t>The Microsoft market penetration, product development and diversification strategy may be described as the growth path. The market penetration is evidenced by the aggressive deployment of collaboration tools in existing enterprise accounts and growing usage across geographical regions and across departments (Böttcher et al., 2024). The development of the products is emphasized by the fact that the routine improvement of the artificial intelligence features and workflow automation made the products more useful in the already developed markets.</w:t>
      </w:r>
    </w:p>
    <w:p w14:paraId="0511897D" w14:textId="488A482F" w:rsidR="006A19F6" w:rsidRPr="00583C94" w:rsidRDefault="00301572" w:rsidP="00301572">
      <w:pPr>
        <w:rPr>
          <w:lang w:val="en-US"/>
        </w:rPr>
      </w:pPr>
      <w:r w:rsidRPr="00301572">
        <w:rPr>
          <w:lang w:val="en-US"/>
        </w:rPr>
        <w:t xml:space="preserve">It is diversified by entering other related technological areas mostly cloud computing and AI informed services. By integrating collaboration features into larger cloud ecosystems, Microsoft removes the reliance on a single source of revenue and becomes more resilient to the whims of the industry (Palmié et al., 2022). </w:t>
      </w:r>
    </w:p>
    <w:p w14:paraId="0CD43D08" w14:textId="77777777" w:rsidR="006A19F6" w:rsidRPr="00583C94" w:rsidRDefault="006A19F6" w:rsidP="006A19F6">
      <w:pPr>
        <w:rPr>
          <w:b/>
          <w:bCs/>
          <w:lang w:val="en-US"/>
        </w:rPr>
      </w:pPr>
      <w:r>
        <w:rPr>
          <w:b/>
          <w:bCs/>
          <w:lang w:val="en-US"/>
        </w:rPr>
        <w:lastRenderedPageBreak/>
        <w:t xml:space="preserve">c) </w:t>
      </w:r>
      <w:r w:rsidRPr="00583C94">
        <w:rPr>
          <w:b/>
          <w:bCs/>
          <w:lang w:val="en-US"/>
        </w:rPr>
        <w:t>Critical Evaluation</w:t>
      </w:r>
    </w:p>
    <w:p w14:paraId="70973735" w14:textId="46976020" w:rsidR="001603E3" w:rsidRPr="001603E3" w:rsidRDefault="001603E3" w:rsidP="001603E3">
      <w:pPr>
        <w:rPr>
          <w:lang w:val="en-US"/>
        </w:rPr>
      </w:pPr>
      <w:r w:rsidRPr="001603E3">
        <w:rPr>
          <w:lang w:val="en-US"/>
        </w:rPr>
        <w:t xml:space="preserve">The ecosystem-based approach strengthens Microsoft competitive advantage, yet, to stay on the technological edge, without triggering excessive regulation, is one of the secrets of sustainability. </w:t>
      </w:r>
    </w:p>
    <w:p w14:paraId="45AB57C4" w14:textId="742DD992" w:rsidR="006A19F6" w:rsidRPr="00583C94" w:rsidRDefault="001603E3" w:rsidP="001603E3">
      <w:pPr>
        <w:rPr>
          <w:lang w:val="en-US"/>
        </w:rPr>
      </w:pPr>
      <w:r w:rsidRPr="001603E3">
        <w:rPr>
          <w:lang w:val="en-US"/>
        </w:rPr>
        <w:t>Nevertheless, Microsoft has got the right size, resource base, and integrated innovation strategy that put it in a position to keep growing despite its technological and regulatory challenges (Zupic et al., 2025). Its strategic reaction is an initiative to get adjusted and not a defensive copying.</w:t>
      </w:r>
    </w:p>
    <w:p w14:paraId="5952CFC5" w14:textId="77777777" w:rsidR="006A19F6" w:rsidRPr="00B8314E" w:rsidRDefault="006A19F6" w:rsidP="001673AE">
      <w:pPr>
        <w:pStyle w:val="Heading2"/>
        <w:rPr>
          <w:lang w:val="en-US"/>
        </w:rPr>
      </w:pPr>
      <w:bookmarkStart w:id="7" w:name="_Toc221817761"/>
      <w:r w:rsidRPr="00B8314E">
        <w:rPr>
          <w:lang w:val="en-US"/>
        </w:rPr>
        <w:t>Zoom’s Strategic Response</w:t>
      </w:r>
      <w:bookmarkEnd w:id="7"/>
      <w:r w:rsidRPr="00B8314E">
        <w:rPr>
          <w:lang w:val="en-US"/>
        </w:rPr>
        <w:t xml:space="preserve"> </w:t>
      </w:r>
    </w:p>
    <w:p w14:paraId="58F9A30A" w14:textId="77777777" w:rsidR="006A19F6" w:rsidRPr="00B8314E" w:rsidRDefault="006A19F6" w:rsidP="006A19F6">
      <w:pPr>
        <w:rPr>
          <w:b/>
          <w:bCs/>
          <w:lang w:val="en-US"/>
        </w:rPr>
      </w:pPr>
      <w:r>
        <w:rPr>
          <w:b/>
          <w:bCs/>
          <w:lang w:val="en-US"/>
        </w:rPr>
        <w:t xml:space="preserve">a) </w:t>
      </w:r>
      <w:r w:rsidRPr="00B8314E">
        <w:rPr>
          <w:b/>
          <w:bCs/>
          <w:lang w:val="en-US"/>
        </w:rPr>
        <w:t>Porter’s Generic Strategy</w:t>
      </w:r>
    </w:p>
    <w:p w14:paraId="5E67E9C7" w14:textId="1BD14903" w:rsidR="00B07275" w:rsidRPr="00B07275" w:rsidRDefault="00B07275" w:rsidP="00B07275">
      <w:pPr>
        <w:rPr>
          <w:lang w:val="en-US"/>
        </w:rPr>
      </w:pPr>
      <w:r w:rsidRPr="00B07275">
        <w:rPr>
          <w:lang w:val="en-US"/>
        </w:rPr>
        <w:t xml:space="preserve">Zooms competitive positioning is closer to the focused differentiation approach. Unlike the dominance of Microsoft implemented in the ecosystem, Zoom established a position </w:t>
      </w:r>
      <w:r w:rsidR="006734E5" w:rsidRPr="00B07275">
        <w:rPr>
          <w:lang w:val="en-US"/>
        </w:rPr>
        <w:t>based</w:t>
      </w:r>
      <w:r w:rsidRPr="00B07275">
        <w:rPr>
          <w:lang w:val="en-US"/>
        </w:rPr>
        <w:t xml:space="preserve"> on simplicity, reliability and usability. Its simplicity of use and ability to display high-quality video contrasted with more advanced enterprise solutions, particularly when the adoption of remote working was rapidly increasing.</w:t>
      </w:r>
    </w:p>
    <w:p w14:paraId="57871C42" w14:textId="384F90C7" w:rsidR="006A19F6" w:rsidRPr="00B8314E" w:rsidRDefault="002659FE" w:rsidP="00B07275">
      <w:pPr>
        <w:rPr>
          <w:lang w:val="en-US"/>
        </w:rPr>
      </w:pPr>
      <w:r w:rsidRPr="00B07275">
        <w:rPr>
          <w:lang w:val="en-US"/>
        </w:rPr>
        <w:t>First</w:t>
      </w:r>
      <w:r w:rsidR="00B07275" w:rsidRPr="00B07275">
        <w:rPr>
          <w:lang w:val="en-US"/>
        </w:rPr>
        <w:t xml:space="preserve">, Zoom initially has a very small value proposition with the focus on high-quality video communication. Such a strategic orientation contributed towards rapid brand recognition and client base. As the competition intensified, Zoom began to enter the business communication infrastructure (telephony, team collaboration features), etc. (Ng, 2022). </w:t>
      </w:r>
    </w:p>
    <w:p w14:paraId="7553E4B8" w14:textId="77777777" w:rsidR="006A19F6" w:rsidRPr="00B8314E" w:rsidRDefault="006A19F6" w:rsidP="006A19F6">
      <w:pPr>
        <w:rPr>
          <w:b/>
          <w:bCs/>
          <w:lang w:val="en-US"/>
        </w:rPr>
      </w:pPr>
      <w:r w:rsidRPr="00360514">
        <w:rPr>
          <w:b/>
          <w:bCs/>
        </w:rPr>
        <w:t>Porter’s Generic Strategies Comparison</w:t>
      </w:r>
      <w:r>
        <w:rPr>
          <w:b/>
          <w:bCs/>
        </w:rPr>
        <w:t>:</w:t>
      </w:r>
    </w:p>
    <w:tbl>
      <w:tblPr>
        <w:tblStyle w:val="TableGrid"/>
        <w:tblW w:w="0" w:type="auto"/>
        <w:jc w:val="center"/>
        <w:tblLook w:val="04A0" w:firstRow="1" w:lastRow="0" w:firstColumn="1" w:lastColumn="0" w:noHBand="0" w:noVBand="1"/>
      </w:tblPr>
      <w:tblGrid>
        <w:gridCol w:w="1697"/>
        <w:gridCol w:w="1748"/>
        <w:gridCol w:w="2029"/>
        <w:gridCol w:w="2077"/>
        <w:gridCol w:w="1799"/>
      </w:tblGrid>
      <w:tr w:rsidR="006A19F6" w:rsidRPr="00B8314E" w14:paraId="305251E5" w14:textId="77777777" w:rsidTr="00073632">
        <w:trPr>
          <w:jc w:val="center"/>
        </w:trPr>
        <w:tc>
          <w:tcPr>
            <w:tcW w:w="0" w:type="auto"/>
            <w:hideMark/>
          </w:tcPr>
          <w:p w14:paraId="2E7A5165" w14:textId="77777777" w:rsidR="006A19F6" w:rsidRPr="00B8314E" w:rsidRDefault="006A19F6" w:rsidP="00073632">
            <w:pPr>
              <w:spacing w:after="160" w:line="240" w:lineRule="auto"/>
              <w:jc w:val="center"/>
              <w:rPr>
                <w:b/>
                <w:bCs/>
                <w:lang w:val="en-US"/>
              </w:rPr>
            </w:pPr>
            <w:r w:rsidRPr="00B8314E">
              <w:rPr>
                <w:b/>
                <w:bCs/>
                <w:lang w:val="en-US"/>
              </w:rPr>
              <w:t>Organisation</w:t>
            </w:r>
          </w:p>
        </w:tc>
        <w:tc>
          <w:tcPr>
            <w:tcW w:w="0" w:type="auto"/>
            <w:hideMark/>
          </w:tcPr>
          <w:p w14:paraId="25914E8F" w14:textId="77777777" w:rsidR="006A19F6" w:rsidRPr="00B8314E" w:rsidRDefault="006A19F6" w:rsidP="00073632">
            <w:pPr>
              <w:spacing w:after="160" w:line="240" w:lineRule="auto"/>
              <w:jc w:val="center"/>
              <w:rPr>
                <w:b/>
                <w:bCs/>
                <w:lang w:val="en-US"/>
              </w:rPr>
            </w:pPr>
            <w:r w:rsidRPr="00B8314E">
              <w:rPr>
                <w:b/>
                <w:bCs/>
                <w:lang w:val="en-US"/>
              </w:rPr>
              <w:t>Cost Leadership</w:t>
            </w:r>
          </w:p>
        </w:tc>
        <w:tc>
          <w:tcPr>
            <w:tcW w:w="0" w:type="auto"/>
            <w:hideMark/>
          </w:tcPr>
          <w:p w14:paraId="527F86A2" w14:textId="77777777" w:rsidR="006A19F6" w:rsidRPr="00B8314E" w:rsidRDefault="006A19F6" w:rsidP="00073632">
            <w:pPr>
              <w:spacing w:after="160" w:line="240" w:lineRule="auto"/>
              <w:jc w:val="center"/>
              <w:rPr>
                <w:b/>
                <w:bCs/>
                <w:lang w:val="en-US"/>
              </w:rPr>
            </w:pPr>
            <w:r w:rsidRPr="00B8314E">
              <w:rPr>
                <w:b/>
                <w:bCs/>
                <w:lang w:val="en-US"/>
              </w:rPr>
              <w:t>Differentiation</w:t>
            </w:r>
          </w:p>
        </w:tc>
        <w:tc>
          <w:tcPr>
            <w:tcW w:w="0" w:type="auto"/>
            <w:hideMark/>
          </w:tcPr>
          <w:p w14:paraId="015CE805" w14:textId="77777777" w:rsidR="006A19F6" w:rsidRPr="00B8314E" w:rsidRDefault="006A19F6" w:rsidP="00073632">
            <w:pPr>
              <w:spacing w:after="160" w:line="240" w:lineRule="auto"/>
              <w:jc w:val="center"/>
              <w:rPr>
                <w:b/>
                <w:bCs/>
                <w:lang w:val="en-US"/>
              </w:rPr>
            </w:pPr>
            <w:r w:rsidRPr="00B8314E">
              <w:rPr>
                <w:b/>
                <w:bCs/>
                <w:lang w:val="en-US"/>
              </w:rPr>
              <w:t>Focus</w:t>
            </w:r>
          </w:p>
        </w:tc>
        <w:tc>
          <w:tcPr>
            <w:tcW w:w="0" w:type="auto"/>
            <w:hideMark/>
          </w:tcPr>
          <w:p w14:paraId="643DC242" w14:textId="77777777" w:rsidR="006A19F6" w:rsidRPr="00B8314E" w:rsidRDefault="006A19F6" w:rsidP="00073632">
            <w:pPr>
              <w:spacing w:after="160" w:line="240" w:lineRule="auto"/>
              <w:jc w:val="center"/>
              <w:rPr>
                <w:b/>
                <w:bCs/>
                <w:lang w:val="en-US"/>
              </w:rPr>
            </w:pPr>
            <w:r w:rsidRPr="00B8314E">
              <w:rPr>
                <w:b/>
                <w:bCs/>
                <w:lang w:val="en-US"/>
              </w:rPr>
              <w:t>Strategic Position</w:t>
            </w:r>
          </w:p>
        </w:tc>
      </w:tr>
      <w:tr w:rsidR="006A19F6" w:rsidRPr="00B8314E" w14:paraId="521C7E17" w14:textId="77777777" w:rsidTr="00073632">
        <w:trPr>
          <w:jc w:val="center"/>
        </w:trPr>
        <w:tc>
          <w:tcPr>
            <w:tcW w:w="0" w:type="auto"/>
            <w:hideMark/>
          </w:tcPr>
          <w:p w14:paraId="611C7D0E" w14:textId="77777777" w:rsidR="006A19F6" w:rsidRPr="00B8314E" w:rsidRDefault="006A19F6" w:rsidP="00073632">
            <w:pPr>
              <w:spacing w:after="160" w:line="240" w:lineRule="auto"/>
              <w:jc w:val="center"/>
              <w:rPr>
                <w:lang w:val="en-US"/>
              </w:rPr>
            </w:pPr>
            <w:r w:rsidRPr="00B8314E">
              <w:rPr>
                <w:lang w:val="en-US"/>
              </w:rPr>
              <w:t>Microsoft</w:t>
            </w:r>
          </w:p>
        </w:tc>
        <w:tc>
          <w:tcPr>
            <w:tcW w:w="0" w:type="auto"/>
            <w:hideMark/>
          </w:tcPr>
          <w:p w14:paraId="1CF66B23" w14:textId="77777777" w:rsidR="006A19F6" w:rsidRPr="00B8314E" w:rsidRDefault="006A19F6" w:rsidP="00073632">
            <w:pPr>
              <w:spacing w:after="160" w:line="240" w:lineRule="auto"/>
              <w:jc w:val="center"/>
              <w:rPr>
                <w:lang w:val="en-US"/>
              </w:rPr>
            </w:pPr>
            <w:r w:rsidRPr="00B8314E">
              <w:rPr>
                <w:lang w:val="en-US"/>
              </w:rPr>
              <w:t>Economies of scale via bundling</w:t>
            </w:r>
          </w:p>
        </w:tc>
        <w:tc>
          <w:tcPr>
            <w:tcW w:w="0" w:type="auto"/>
            <w:hideMark/>
          </w:tcPr>
          <w:p w14:paraId="3478EA84" w14:textId="77777777" w:rsidR="006A19F6" w:rsidRPr="00B8314E" w:rsidRDefault="006A19F6" w:rsidP="00073632">
            <w:pPr>
              <w:spacing w:after="160" w:line="240" w:lineRule="auto"/>
              <w:jc w:val="center"/>
              <w:rPr>
                <w:lang w:val="en-US"/>
              </w:rPr>
            </w:pPr>
            <w:r w:rsidRPr="00B8314E">
              <w:rPr>
                <w:lang w:val="en-US"/>
              </w:rPr>
              <w:t>AI-driven ecosystem integration</w:t>
            </w:r>
          </w:p>
        </w:tc>
        <w:tc>
          <w:tcPr>
            <w:tcW w:w="0" w:type="auto"/>
            <w:hideMark/>
          </w:tcPr>
          <w:p w14:paraId="1DC9AAC3" w14:textId="77777777" w:rsidR="006A19F6" w:rsidRPr="00B8314E" w:rsidRDefault="006A19F6" w:rsidP="00073632">
            <w:pPr>
              <w:spacing w:after="160" w:line="240" w:lineRule="auto"/>
              <w:jc w:val="center"/>
              <w:rPr>
                <w:lang w:val="en-US"/>
              </w:rPr>
            </w:pPr>
            <w:r w:rsidRPr="00B8314E">
              <w:rPr>
                <w:lang w:val="en-US"/>
              </w:rPr>
              <w:t>Broad enterprise coverage</w:t>
            </w:r>
          </w:p>
        </w:tc>
        <w:tc>
          <w:tcPr>
            <w:tcW w:w="0" w:type="auto"/>
            <w:hideMark/>
          </w:tcPr>
          <w:p w14:paraId="5CA8C864" w14:textId="77777777" w:rsidR="006A19F6" w:rsidRPr="00B8314E" w:rsidRDefault="006A19F6" w:rsidP="00073632">
            <w:pPr>
              <w:spacing w:after="160" w:line="240" w:lineRule="auto"/>
              <w:jc w:val="center"/>
              <w:rPr>
                <w:lang w:val="en-US"/>
              </w:rPr>
            </w:pPr>
            <w:r w:rsidRPr="00B8314E">
              <w:rPr>
                <w:lang w:val="en-US"/>
              </w:rPr>
              <w:t>Broad Differentiation</w:t>
            </w:r>
          </w:p>
        </w:tc>
      </w:tr>
      <w:tr w:rsidR="006A19F6" w:rsidRPr="00B8314E" w14:paraId="2C608A5E" w14:textId="77777777" w:rsidTr="00073632">
        <w:trPr>
          <w:jc w:val="center"/>
        </w:trPr>
        <w:tc>
          <w:tcPr>
            <w:tcW w:w="0" w:type="auto"/>
            <w:hideMark/>
          </w:tcPr>
          <w:p w14:paraId="2A1E296D" w14:textId="77777777" w:rsidR="006A19F6" w:rsidRPr="00B8314E" w:rsidRDefault="006A19F6" w:rsidP="00073632">
            <w:pPr>
              <w:spacing w:after="160" w:line="240" w:lineRule="auto"/>
              <w:jc w:val="center"/>
              <w:rPr>
                <w:lang w:val="en-US"/>
              </w:rPr>
            </w:pPr>
            <w:r w:rsidRPr="00B8314E">
              <w:rPr>
                <w:lang w:val="en-US"/>
              </w:rPr>
              <w:t>Zoom</w:t>
            </w:r>
          </w:p>
        </w:tc>
        <w:tc>
          <w:tcPr>
            <w:tcW w:w="0" w:type="auto"/>
            <w:hideMark/>
          </w:tcPr>
          <w:p w14:paraId="6227F1BE" w14:textId="77777777" w:rsidR="006A19F6" w:rsidRPr="00B8314E" w:rsidRDefault="006A19F6" w:rsidP="00073632">
            <w:pPr>
              <w:spacing w:after="160" w:line="240" w:lineRule="auto"/>
              <w:jc w:val="center"/>
              <w:rPr>
                <w:lang w:val="en-US"/>
              </w:rPr>
            </w:pPr>
            <w:r w:rsidRPr="00B8314E">
              <w:rPr>
                <w:lang w:val="en-US"/>
              </w:rPr>
              <w:t>Limited scale-based cost leverage</w:t>
            </w:r>
          </w:p>
        </w:tc>
        <w:tc>
          <w:tcPr>
            <w:tcW w:w="0" w:type="auto"/>
            <w:hideMark/>
          </w:tcPr>
          <w:p w14:paraId="3171FA3D" w14:textId="77777777" w:rsidR="006A19F6" w:rsidRPr="00B8314E" w:rsidRDefault="006A19F6" w:rsidP="00073632">
            <w:pPr>
              <w:spacing w:after="160" w:line="240" w:lineRule="auto"/>
              <w:jc w:val="center"/>
              <w:rPr>
                <w:lang w:val="en-US"/>
              </w:rPr>
            </w:pPr>
            <w:r w:rsidRPr="00B8314E">
              <w:rPr>
                <w:lang w:val="en-US"/>
              </w:rPr>
              <w:t>Simplicity and video excellence</w:t>
            </w:r>
          </w:p>
        </w:tc>
        <w:tc>
          <w:tcPr>
            <w:tcW w:w="0" w:type="auto"/>
            <w:hideMark/>
          </w:tcPr>
          <w:p w14:paraId="7C99C56E" w14:textId="77777777" w:rsidR="006A19F6" w:rsidRPr="00B8314E" w:rsidRDefault="006A19F6" w:rsidP="00073632">
            <w:pPr>
              <w:spacing w:after="160" w:line="240" w:lineRule="auto"/>
              <w:jc w:val="center"/>
              <w:rPr>
                <w:lang w:val="en-US"/>
              </w:rPr>
            </w:pPr>
            <w:r w:rsidRPr="00B8314E">
              <w:rPr>
                <w:lang w:val="en-US"/>
              </w:rPr>
              <w:t>Communication niche expansion</w:t>
            </w:r>
          </w:p>
        </w:tc>
        <w:tc>
          <w:tcPr>
            <w:tcW w:w="0" w:type="auto"/>
            <w:hideMark/>
          </w:tcPr>
          <w:p w14:paraId="323813E8" w14:textId="77777777" w:rsidR="006A19F6" w:rsidRPr="00B8314E" w:rsidRDefault="006A19F6" w:rsidP="00073632">
            <w:pPr>
              <w:spacing w:after="160" w:line="240" w:lineRule="auto"/>
              <w:jc w:val="center"/>
              <w:rPr>
                <w:lang w:val="en-US"/>
              </w:rPr>
            </w:pPr>
            <w:r w:rsidRPr="00B8314E">
              <w:rPr>
                <w:lang w:val="en-US"/>
              </w:rPr>
              <w:t>Focused Differentiation</w:t>
            </w:r>
          </w:p>
        </w:tc>
      </w:tr>
    </w:tbl>
    <w:p w14:paraId="0EA8FEE2" w14:textId="77777777" w:rsidR="006A19F6" w:rsidRDefault="006A19F6" w:rsidP="006A19F6">
      <w:pPr>
        <w:jc w:val="center"/>
        <w:rPr>
          <w:b/>
          <w:bCs/>
          <w:lang w:val="en-US"/>
        </w:rPr>
      </w:pPr>
      <w:r w:rsidRPr="00B8314E">
        <w:rPr>
          <w:b/>
          <w:bCs/>
          <w:lang w:val="en-US"/>
        </w:rPr>
        <w:t xml:space="preserve">Table 2: </w:t>
      </w:r>
      <w:r w:rsidRPr="00360514">
        <w:rPr>
          <w:b/>
          <w:bCs/>
        </w:rPr>
        <w:t>Porter’s Generic Strategy Positioning of Microsoft and Zoom</w:t>
      </w:r>
    </w:p>
    <w:p w14:paraId="0446E990" w14:textId="77777777" w:rsidR="006A19F6" w:rsidRPr="00B8314E" w:rsidRDefault="006A19F6" w:rsidP="006A19F6">
      <w:pPr>
        <w:rPr>
          <w:b/>
          <w:bCs/>
          <w:lang w:val="en-US"/>
        </w:rPr>
      </w:pPr>
      <w:r>
        <w:rPr>
          <w:b/>
          <w:bCs/>
          <w:lang w:val="en-US"/>
        </w:rPr>
        <w:lastRenderedPageBreak/>
        <w:t xml:space="preserve">b) </w:t>
      </w:r>
      <w:r w:rsidRPr="00B8314E">
        <w:rPr>
          <w:b/>
          <w:bCs/>
          <w:lang w:val="en-US"/>
        </w:rPr>
        <w:t>Ansoff Growth Strategy</w:t>
      </w:r>
    </w:p>
    <w:p w14:paraId="30773942" w14:textId="77777777" w:rsidR="00775CD7" w:rsidRPr="00775CD7" w:rsidRDefault="00775CD7" w:rsidP="00775CD7">
      <w:pPr>
        <w:rPr>
          <w:lang w:val="en-US"/>
        </w:rPr>
      </w:pPr>
      <w:r w:rsidRPr="00775CD7">
        <w:rPr>
          <w:lang w:val="en-US"/>
        </w:rPr>
        <w:t>The growth strategy of Zoom can be described as a product development and market development mix. A meeting assistant powered by AI, an enterprise security upgrade, and more communication tools are examples of product development. These are initiatives that are supposed to help it retain its customers in its core market and create value perception.</w:t>
      </w:r>
    </w:p>
    <w:p w14:paraId="1C0B59D7" w14:textId="68DC6B05" w:rsidR="006A19F6" w:rsidRPr="00B8314E" w:rsidRDefault="00775CD7" w:rsidP="00775CD7">
      <w:pPr>
        <w:rPr>
          <w:lang w:val="en-US"/>
        </w:rPr>
      </w:pPr>
      <w:r w:rsidRPr="00775CD7">
        <w:rPr>
          <w:lang w:val="en-US"/>
        </w:rPr>
        <w:t>Examples of market growth include geographic expansion and targeting enterprise customers who were traditionally the preserve of ecosystem providers (Witkowski and Wodecki, 2025). Introduction of telephony services is not full diversification but adjacent expansion as this is still in communication infrastructure.</w:t>
      </w:r>
    </w:p>
    <w:p w14:paraId="7A824227" w14:textId="77777777" w:rsidR="006A19F6" w:rsidRPr="00B8314E" w:rsidRDefault="006A19F6" w:rsidP="006A19F6">
      <w:pPr>
        <w:rPr>
          <w:b/>
          <w:bCs/>
          <w:lang w:val="en-US"/>
        </w:rPr>
      </w:pPr>
      <w:r w:rsidRPr="00360514">
        <w:rPr>
          <w:b/>
          <w:bCs/>
        </w:rPr>
        <w:t>Ansoff Growth Matrix Application</w:t>
      </w:r>
      <w:r>
        <w:rPr>
          <w:b/>
          <w:bCs/>
        </w:rPr>
        <w:t>:</w:t>
      </w:r>
    </w:p>
    <w:tbl>
      <w:tblPr>
        <w:tblStyle w:val="TableGrid"/>
        <w:tblW w:w="0" w:type="auto"/>
        <w:jc w:val="center"/>
        <w:tblLook w:val="04A0" w:firstRow="1" w:lastRow="0" w:firstColumn="1" w:lastColumn="0" w:noHBand="0" w:noVBand="1"/>
      </w:tblPr>
      <w:tblGrid>
        <w:gridCol w:w="1697"/>
        <w:gridCol w:w="1708"/>
        <w:gridCol w:w="1923"/>
        <w:gridCol w:w="1896"/>
        <w:gridCol w:w="2126"/>
      </w:tblGrid>
      <w:tr w:rsidR="006A19F6" w:rsidRPr="00B8314E" w14:paraId="6314115A" w14:textId="77777777" w:rsidTr="00073632">
        <w:trPr>
          <w:jc w:val="center"/>
        </w:trPr>
        <w:tc>
          <w:tcPr>
            <w:tcW w:w="0" w:type="auto"/>
            <w:hideMark/>
          </w:tcPr>
          <w:p w14:paraId="7230C315" w14:textId="77777777" w:rsidR="006A19F6" w:rsidRPr="00B8314E" w:rsidRDefault="006A19F6" w:rsidP="00073632">
            <w:pPr>
              <w:spacing w:after="160" w:line="240" w:lineRule="auto"/>
              <w:jc w:val="center"/>
              <w:rPr>
                <w:b/>
                <w:bCs/>
                <w:lang w:val="en-US"/>
              </w:rPr>
            </w:pPr>
            <w:r w:rsidRPr="00B8314E">
              <w:rPr>
                <w:b/>
                <w:bCs/>
                <w:lang w:val="en-US"/>
              </w:rPr>
              <w:t>Organisation</w:t>
            </w:r>
          </w:p>
        </w:tc>
        <w:tc>
          <w:tcPr>
            <w:tcW w:w="0" w:type="auto"/>
            <w:hideMark/>
          </w:tcPr>
          <w:p w14:paraId="53B8F2A4" w14:textId="77777777" w:rsidR="006A19F6" w:rsidRPr="00B8314E" w:rsidRDefault="006A19F6" w:rsidP="00073632">
            <w:pPr>
              <w:spacing w:after="160" w:line="240" w:lineRule="auto"/>
              <w:jc w:val="center"/>
              <w:rPr>
                <w:b/>
                <w:bCs/>
                <w:lang w:val="en-US"/>
              </w:rPr>
            </w:pPr>
            <w:r w:rsidRPr="00B8314E">
              <w:rPr>
                <w:b/>
                <w:bCs/>
                <w:lang w:val="en-US"/>
              </w:rPr>
              <w:t>Market Penetration</w:t>
            </w:r>
          </w:p>
        </w:tc>
        <w:tc>
          <w:tcPr>
            <w:tcW w:w="0" w:type="auto"/>
            <w:hideMark/>
          </w:tcPr>
          <w:p w14:paraId="79415AB6" w14:textId="77777777" w:rsidR="006A19F6" w:rsidRPr="00B8314E" w:rsidRDefault="006A19F6" w:rsidP="00073632">
            <w:pPr>
              <w:spacing w:after="160" w:line="240" w:lineRule="auto"/>
              <w:jc w:val="center"/>
              <w:rPr>
                <w:b/>
                <w:bCs/>
                <w:lang w:val="en-US"/>
              </w:rPr>
            </w:pPr>
            <w:r w:rsidRPr="00B8314E">
              <w:rPr>
                <w:b/>
                <w:bCs/>
                <w:lang w:val="en-US"/>
              </w:rPr>
              <w:t>Product Development</w:t>
            </w:r>
          </w:p>
        </w:tc>
        <w:tc>
          <w:tcPr>
            <w:tcW w:w="0" w:type="auto"/>
            <w:hideMark/>
          </w:tcPr>
          <w:p w14:paraId="5B41EFDA" w14:textId="77777777" w:rsidR="006A19F6" w:rsidRPr="00B8314E" w:rsidRDefault="006A19F6" w:rsidP="00073632">
            <w:pPr>
              <w:spacing w:after="160" w:line="240" w:lineRule="auto"/>
              <w:jc w:val="center"/>
              <w:rPr>
                <w:b/>
                <w:bCs/>
                <w:lang w:val="en-US"/>
              </w:rPr>
            </w:pPr>
            <w:r w:rsidRPr="00B8314E">
              <w:rPr>
                <w:b/>
                <w:bCs/>
                <w:lang w:val="en-US"/>
              </w:rPr>
              <w:t>Market Development</w:t>
            </w:r>
          </w:p>
        </w:tc>
        <w:tc>
          <w:tcPr>
            <w:tcW w:w="0" w:type="auto"/>
            <w:hideMark/>
          </w:tcPr>
          <w:p w14:paraId="0B9B623A" w14:textId="77777777" w:rsidR="006A19F6" w:rsidRPr="00B8314E" w:rsidRDefault="006A19F6" w:rsidP="00073632">
            <w:pPr>
              <w:spacing w:after="160" w:line="240" w:lineRule="auto"/>
              <w:jc w:val="center"/>
              <w:rPr>
                <w:b/>
                <w:bCs/>
                <w:lang w:val="en-US"/>
              </w:rPr>
            </w:pPr>
            <w:r w:rsidRPr="00B8314E">
              <w:rPr>
                <w:b/>
                <w:bCs/>
                <w:lang w:val="en-US"/>
              </w:rPr>
              <w:t>Diversification</w:t>
            </w:r>
          </w:p>
        </w:tc>
      </w:tr>
      <w:tr w:rsidR="006A19F6" w:rsidRPr="00B8314E" w14:paraId="13B2CA6E" w14:textId="77777777" w:rsidTr="00073632">
        <w:trPr>
          <w:jc w:val="center"/>
        </w:trPr>
        <w:tc>
          <w:tcPr>
            <w:tcW w:w="0" w:type="auto"/>
            <w:hideMark/>
          </w:tcPr>
          <w:p w14:paraId="13EA9213" w14:textId="77777777" w:rsidR="006A19F6" w:rsidRPr="00B8314E" w:rsidRDefault="006A19F6" w:rsidP="00073632">
            <w:pPr>
              <w:spacing w:after="160" w:line="240" w:lineRule="auto"/>
              <w:jc w:val="center"/>
              <w:rPr>
                <w:lang w:val="en-US"/>
              </w:rPr>
            </w:pPr>
            <w:r w:rsidRPr="00B8314E">
              <w:rPr>
                <w:lang w:val="en-US"/>
              </w:rPr>
              <w:t>Microsoft</w:t>
            </w:r>
          </w:p>
        </w:tc>
        <w:tc>
          <w:tcPr>
            <w:tcW w:w="0" w:type="auto"/>
            <w:hideMark/>
          </w:tcPr>
          <w:p w14:paraId="28F2975B" w14:textId="77777777" w:rsidR="006A19F6" w:rsidRPr="00B8314E" w:rsidRDefault="006A19F6" w:rsidP="00073632">
            <w:pPr>
              <w:spacing w:after="160" w:line="240" w:lineRule="auto"/>
              <w:jc w:val="center"/>
              <w:rPr>
                <w:lang w:val="en-US"/>
              </w:rPr>
            </w:pPr>
            <w:r w:rsidRPr="00B8314E">
              <w:rPr>
                <w:lang w:val="en-US"/>
              </w:rPr>
              <w:t>Enterprise bundling</w:t>
            </w:r>
          </w:p>
        </w:tc>
        <w:tc>
          <w:tcPr>
            <w:tcW w:w="0" w:type="auto"/>
            <w:hideMark/>
          </w:tcPr>
          <w:p w14:paraId="7DA5373A" w14:textId="77777777" w:rsidR="006A19F6" w:rsidRPr="00B8314E" w:rsidRDefault="006A19F6" w:rsidP="00073632">
            <w:pPr>
              <w:spacing w:after="160" w:line="240" w:lineRule="auto"/>
              <w:jc w:val="center"/>
              <w:rPr>
                <w:lang w:val="en-US"/>
              </w:rPr>
            </w:pPr>
            <w:r w:rsidRPr="00B8314E">
              <w:rPr>
                <w:lang w:val="en-US"/>
              </w:rPr>
              <w:t>AI integration</w:t>
            </w:r>
          </w:p>
        </w:tc>
        <w:tc>
          <w:tcPr>
            <w:tcW w:w="0" w:type="auto"/>
            <w:hideMark/>
          </w:tcPr>
          <w:p w14:paraId="46449C9D" w14:textId="77777777" w:rsidR="006A19F6" w:rsidRPr="00B8314E" w:rsidRDefault="006A19F6" w:rsidP="00073632">
            <w:pPr>
              <w:spacing w:after="160" w:line="240" w:lineRule="auto"/>
              <w:jc w:val="center"/>
              <w:rPr>
                <w:lang w:val="en-US"/>
              </w:rPr>
            </w:pPr>
            <w:r w:rsidRPr="00B8314E">
              <w:rPr>
                <w:lang w:val="en-US"/>
              </w:rPr>
              <w:t>Global expansion</w:t>
            </w:r>
          </w:p>
        </w:tc>
        <w:tc>
          <w:tcPr>
            <w:tcW w:w="0" w:type="auto"/>
            <w:hideMark/>
          </w:tcPr>
          <w:p w14:paraId="51390648" w14:textId="77777777" w:rsidR="006A19F6" w:rsidRPr="00B8314E" w:rsidRDefault="006A19F6" w:rsidP="00073632">
            <w:pPr>
              <w:spacing w:after="160" w:line="240" w:lineRule="auto"/>
              <w:jc w:val="center"/>
              <w:rPr>
                <w:lang w:val="en-US"/>
              </w:rPr>
            </w:pPr>
            <w:r w:rsidRPr="00B8314E">
              <w:rPr>
                <w:lang w:val="en-US"/>
              </w:rPr>
              <w:t>Cloud and AI services</w:t>
            </w:r>
          </w:p>
        </w:tc>
      </w:tr>
      <w:tr w:rsidR="006A19F6" w:rsidRPr="00B8314E" w14:paraId="0F7A5471" w14:textId="77777777" w:rsidTr="00073632">
        <w:trPr>
          <w:jc w:val="center"/>
        </w:trPr>
        <w:tc>
          <w:tcPr>
            <w:tcW w:w="0" w:type="auto"/>
            <w:hideMark/>
          </w:tcPr>
          <w:p w14:paraId="4D0CA25F" w14:textId="77777777" w:rsidR="006A19F6" w:rsidRPr="00B8314E" w:rsidRDefault="006A19F6" w:rsidP="00073632">
            <w:pPr>
              <w:spacing w:after="160" w:line="240" w:lineRule="auto"/>
              <w:jc w:val="center"/>
              <w:rPr>
                <w:lang w:val="en-US"/>
              </w:rPr>
            </w:pPr>
            <w:r w:rsidRPr="00B8314E">
              <w:rPr>
                <w:lang w:val="en-US"/>
              </w:rPr>
              <w:t>Zoom</w:t>
            </w:r>
          </w:p>
        </w:tc>
        <w:tc>
          <w:tcPr>
            <w:tcW w:w="0" w:type="auto"/>
            <w:hideMark/>
          </w:tcPr>
          <w:p w14:paraId="78BDEA21" w14:textId="77777777" w:rsidR="006A19F6" w:rsidRPr="00B8314E" w:rsidRDefault="006A19F6" w:rsidP="00073632">
            <w:pPr>
              <w:spacing w:after="160" w:line="240" w:lineRule="auto"/>
              <w:jc w:val="center"/>
              <w:rPr>
                <w:lang w:val="en-US"/>
              </w:rPr>
            </w:pPr>
            <w:r w:rsidRPr="00B8314E">
              <w:rPr>
                <w:lang w:val="en-US"/>
              </w:rPr>
              <w:t>SME retention</w:t>
            </w:r>
          </w:p>
        </w:tc>
        <w:tc>
          <w:tcPr>
            <w:tcW w:w="0" w:type="auto"/>
            <w:hideMark/>
          </w:tcPr>
          <w:p w14:paraId="28CBE91A" w14:textId="77777777" w:rsidR="006A19F6" w:rsidRPr="00B8314E" w:rsidRDefault="006A19F6" w:rsidP="00073632">
            <w:pPr>
              <w:spacing w:after="160" w:line="240" w:lineRule="auto"/>
              <w:jc w:val="center"/>
              <w:rPr>
                <w:lang w:val="en-US"/>
              </w:rPr>
            </w:pPr>
            <w:r w:rsidRPr="00B8314E">
              <w:rPr>
                <w:lang w:val="en-US"/>
              </w:rPr>
              <w:t>AI companion tools</w:t>
            </w:r>
          </w:p>
        </w:tc>
        <w:tc>
          <w:tcPr>
            <w:tcW w:w="0" w:type="auto"/>
            <w:hideMark/>
          </w:tcPr>
          <w:p w14:paraId="31BA60B0" w14:textId="77777777" w:rsidR="006A19F6" w:rsidRPr="00B8314E" w:rsidRDefault="006A19F6" w:rsidP="00073632">
            <w:pPr>
              <w:spacing w:after="160" w:line="240" w:lineRule="auto"/>
              <w:jc w:val="center"/>
              <w:rPr>
                <w:lang w:val="en-US"/>
              </w:rPr>
            </w:pPr>
            <w:r w:rsidRPr="00B8314E">
              <w:rPr>
                <w:lang w:val="en-US"/>
              </w:rPr>
              <w:t>Enterprise targeting</w:t>
            </w:r>
          </w:p>
        </w:tc>
        <w:tc>
          <w:tcPr>
            <w:tcW w:w="0" w:type="auto"/>
            <w:hideMark/>
          </w:tcPr>
          <w:p w14:paraId="561C1C66" w14:textId="77777777" w:rsidR="006A19F6" w:rsidRPr="00B8314E" w:rsidRDefault="006A19F6" w:rsidP="00073632">
            <w:pPr>
              <w:spacing w:after="160" w:line="240" w:lineRule="auto"/>
              <w:jc w:val="center"/>
              <w:rPr>
                <w:lang w:val="en-US"/>
              </w:rPr>
            </w:pPr>
            <w:r w:rsidRPr="00B8314E">
              <w:rPr>
                <w:lang w:val="en-US"/>
              </w:rPr>
              <w:t>Limited adjacent expansion</w:t>
            </w:r>
          </w:p>
        </w:tc>
      </w:tr>
    </w:tbl>
    <w:p w14:paraId="63062F4B" w14:textId="77777777" w:rsidR="006A19F6" w:rsidRDefault="006A19F6" w:rsidP="006A19F6">
      <w:pPr>
        <w:jc w:val="center"/>
        <w:rPr>
          <w:b/>
          <w:bCs/>
          <w:lang w:val="en-US"/>
        </w:rPr>
      </w:pPr>
      <w:r w:rsidRPr="00B8314E">
        <w:rPr>
          <w:b/>
          <w:bCs/>
          <w:lang w:val="en-US"/>
        </w:rPr>
        <w:t xml:space="preserve">Table 3: </w:t>
      </w:r>
      <w:r w:rsidRPr="00360514">
        <w:rPr>
          <w:b/>
          <w:bCs/>
        </w:rPr>
        <w:t>Ansoff Growth Strategies of Microsoft and Zoom</w:t>
      </w:r>
    </w:p>
    <w:p w14:paraId="7F512B95" w14:textId="77777777" w:rsidR="006A19F6" w:rsidRPr="00B8314E" w:rsidRDefault="006A19F6" w:rsidP="006A19F6">
      <w:pPr>
        <w:rPr>
          <w:b/>
          <w:bCs/>
          <w:lang w:val="en-US"/>
        </w:rPr>
      </w:pPr>
      <w:r>
        <w:rPr>
          <w:b/>
          <w:bCs/>
          <w:lang w:val="en-US"/>
        </w:rPr>
        <w:t xml:space="preserve">c) </w:t>
      </w:r>
      <w:r w:rsidRPr="00B8314E">
        <w:rPr>
          <w:b/>
          <w:bCs/>
          <w:lang w:val="en-US"/>
        </w:rPr>
        <w:t>Critical Evaluation</w:t>
      </w:r>
    </w:p>
    <w:p w14:paraId="6801DD13" w14:textId="3EF6BC4E" w:rsidR="006A19F6" w:rsidRPr="00B8314E" w:rsidRDefault="00B96BF1" w:rsidP="006A19F6">
      <w:pPr>
        <w:rPr>
          <w:lang w:val="en-US"/>
        </w:rPr>
      </w:pPr>
      <w:r w:rsidRPr="00B96BF1">
        <w:t>The Zoom strategy displays adaptive imitation, along with incremental innovation. The speed of agility is not a problem, yet resource bottlenecks and reliance on the ecosystem restrict the sustainability in the long-term (Wirtz et al., 2023). Unless Microsoft can replicate its structural diversification regarding the cloud integration, Zoom is more equipped to the threat of competitive displacement and technological convergence.</w:t>
      </w:r>
    </w:p>
    <w:p w14:paraId="0C67DADF" w14:textId="2EB7E575" w:rsidR="005E299C" w:rsidRDefault="005E299C" w:rsidP="001673AE">
      <w:pPr>
        <w:pStyle w:val="Heading2"/>
        <w:rPr>
          <w:lang w:val="en-US"/>
        </w:rPr>
      </w:pPr>
      <w:bookmarkStart w:id="8" w:name="_Toc221817762"/>
      <w:r w:rsidRPr="005E299C">
        <w:rPr>
          <w:lang w:val="en-US"/>
        </w:rPr>
        <w:t>Comparative Synthesis and Strategic Implications</w:t>
      </w:r>
      <w:bookmarkEnd w:id="8"/>
      <w:r w:rsidRPr="005E299C">
        <w:rPr>
          <w:lang w:val="en-US"/>
        </w:rPr>
        <w:t xml:space="preserve"> </w:t>
      </w:r>
    </w:p>
    <w:p w14:paraId="7E473826" w14:textId="21249110" w:rsidR="0008394C" w:rsidRPr="0008394C" w:rsidRDefault="0008394C" w:rsidP="0008394C">
      <w:pPr>
        <w:rPr>
          <w:lang w:val="en-US"/>
        </w:rPr>
      </w:pPr>
      <w:r w:rsidRPr="0008394C">
        <w:rPr>
          <w:lang w:val="en-US"/>
        </w:rPr>
        <w:t xml:space="preserve">Comparative analysis indicates that both technological and regulatory forces strengthen the structural advantage of Microsoft in the digital collaboration industry. Microsoft has sustainable competitive advantage in creating ecosystem control, proprietary cloud </w:t>
      </w:r>
      <w:r w:rsidRPr="0008394C">
        <w:rPr>
          <w:lang w:val="en-US"/>
        </w:rPr>
        <w:lastRenderedPageBreak/>
        <w:t xml:space="preserve">infrastructure and embedded artificial intelligence capabilities that is difficult to replicate by a follower (Klaser, Cuel and Casari, 2023). </w:t>
      </w:r>
    </w:p>
    <w:p w14:paraId="0D420152" w14:textId="77777777" w:rsidR="0008394C" w:rsidRPr="0008394C" w:rsidRDefault="0008394C" w:rsidP="0008394C">
      <w:pPr>
        <w:rPr>
          <w:lang w:val="en-US"/>
        </w:rPr>
      </w:pPr>
      <w:r w:rsidRPr="0008394C">
        <w:rPr>
          <w:lang w:val="en-US"/>
        </w:rPr>
        <w:t>The case of Zoom is also not yet strategic and rather weak. Its differentiation model fits in the short-to-mid-term competitiveness, but technology convergence and ecosystem concentration prefer diversified infrastructure and scale (Gawer, 2022). Although Zoom has a less exposure to the antitrust, the use of basic communication services makes it difficult to handle long-term changes in the industry.</w:t>
      </w:r>
    </w:p>
    <w:p w14:paraId="1977679B" w14:textId="1415C5E7" w:rsidR="005E299C" w:rsidRDefault="005E299C" w:rsidP="0054528E">
      <w:pPr>
        <w:pStyle w:val="Heading1"/>
        <w:rPr>
          <w:lang w:val="en-US"/>
        </w:rPr>
      </w:pPr>
      <w:bookmarkStart w:id="9" w:name="_Toc221817763"/>
      <w:r w:rsidRPr="005E299C">
        <w:rPr>
          <w:lang w:val="en-US"/>
        </w:rPr>
        <w:t>Conclusion</w:t>
      </w:r>
      <w:bookmarkEnd w:id="9"/>
      <w:r w:rsidRPr="005E299C">
        <w:rPr>
          <w:lang w:val="en-US"/>
        </w:rPr>
        <w:t xml:space="preserve"> </w:t>
      </w:r>
    </w:p>
    <w:p w14:paraId="792B95E4" w14:textId="621DD5A2" w:rsidR="001D17F6" w:rsidRDefault="009976FB" w:rsidP="008B50CD">
      <w:pPr>
        <w:rPr>
          <w:lang w:val="en-US"/>
        </w:rPr>
      </w:pPr>
      <w:r w:rsidRPr="009976FB">
        <w:rPr>
          <w:lang w:val="en-US"/>
        </w:rPr>
        <w:t xml:space="preserve">This report has critically thought through the impact of technology and legal forces on competitive positioning within the digital collaboration industry. The analysis demonstrates that technological innovation, namely, artificial intelligence implementation and cloud infrastructure management, reinforces structural advantages to established ecosystem participants. Proprietary infrastructure and strong compliance have supported the wide differentiation strategy that Microsoft has pursued to enhance long-term sustainability despite regulatory scrutiny. By comparison, </w:t>
      </w:r>
      <w:r w:rsidR="00F4713D">
        <w:rPr>
          <w:lang w:val="en-US"/>
        </w:rPr>
        <w:t>z</w:t>
      </w:r>
      <w:r w:rsidRPr="009976FB">
        <w:rPr>
          <w:lang w:val="en-US"/>
        </w:rPr>
        <w:t xml:space="preserve">oom evolution of focused differentiation and agility makes it relevant in the </w:t>
      </w:r>
      <w:r w:rsidR="00E63707" w:rsidRPr="009976FB">
        <w:rPr>
          <w:lang w:val="en-US"/>
        </w:rPr>
        <w:t>market,</w:t>
      </w:r>
      <w:r w:rsidRPr="009976FB">
        <w:rPr>
          <w:lang w:val="en-US"/>
        </w:rPr>
        <w:t xml:space="preserve"> but it has the risks of imitation and lack of resources. Overall, ecosystem-based integration appears to be more resilient than follower-based specialisation in addressing technological convergence and rising regulatory complexity in an increasingly global </w:t>
      </w:r>
      <w:r w:rsidR="008654D2" w:rsidRPr="009976FB">
        <w:rPr>
          <w:lang w:val="en-US"/>
        </w:rPr>
        <w:t>marketplace</w:t>
      </w:r>
      <w:r w:rsidRPr="009976FB">
        <w:rPr>
          <w:lang w:val="en-US"/>
        </w:rPr>
        <w:t xml:space="preserve">. </w:t>
      </w:r>
      <w:r w:rsidR="001D17F6">
        <w:rPr>
          <w:lang w:val="en-US"/>
        </w:rPr>
        <w:br w:type="page"/>
      </w:r>
    </w:p>
    <w:p w14:paraId="7308ABE6" w14:textId="344D8591" w:rsidR="001D17F6" w:rsidRDefault="001D17F6" w:rsidP="001D17F6">
      <w:pPr>
        <w:pStyle w:val="Heading1"/>
        <w:rPr>
          <w:lang w:val="en-US"/>
        </w:rPr>
      </w:pPr>
      <w:bookmarkStart w:id="10" w:name="_Toc221817764"/>
      <w:r>
        <w:rPr>
          <w:lang w:val="en-US"/>
        </w:rPr>
        <w:lastRenderedPageBreak/>
        <w:t>Reference List</w:t>
      </w:r>
      <w:bookmarkEnd w:id="10"/>
    </w:p>
    <w:p w14:paraId="54345492" w14:textId="77777777" w:rsidR="001673AE" w:rsidRPr="00E902D9" w:rsidRDefault="001673AE" w:rsidP="00E902D9">
      <w:pPr>
        <w:rPr>
          <w:lang w:val="en-US"/>
        </w:rPr>
      </w:pPr>
      <w:r w:rsidRPr="009734AB">
        <w:t xml:space="preserve">Alnoor, A., Khaw, K.W., Al-Abrrow, H. and Alharbi, R.K., </w:t>
      </w:r>
      <w:r>
        <w:t>(</w:t>
      </w:r>
      <w:r w:rsidRPr="009734AB">
        <w:t>2022</w:t>
      </w:r>
      <w:r>
        <w:t>)</w:t>
      </w:r>
      <w:r w:rsidRPr="009734AB">
        <w:t>. The hybrid strategy on the basis of Miles and Snow and Porter’s strategies: An overview of the current state-of-the-art of research. </w:t>
      </w:r>
      <w:r w:rsidRPr="00E902D9">
        <w:rPr>
          <w:i/>
          <w:iCs/>
        </w:rPr>
        <w:t>International Journal of Engineering Business Management</w:t>
      </w:r>
      <w:r w:rsidRPr="009734AB">
        <w:t>, </w:t>
      </w:r>
      <w:r w:rsidRPr="00E902D9">
        <w:rPr>
          <w:i/>
          <w:iCs/>
        </w:rPr>
        <w:t>14</w:t>
      </w:r>
      <w:r w:rsidRPr="009734AB">
        <w:t>, p.18479790221080214.</w:t>
      </w:r>
    </w:p>
    <w:p w14:paraId="769D4E63" w14:textId="77777777" w:rsidR="001673AE" w:rsidRPr="00E902D9" w:rsidRDefault="001673AE" w:rsidP="00E902D9">
      <w:pPr>
        <w:rPr>
          <w:lang w:val="en-US"/>
        </w:rPr>
      </w:pPr>
      <w:r w:rsidRPr="00555862">
        <w:t xml:space="preserve">Andreani, G., Sogari, G., Marti, A., Froldi, F., Dagevos, H. and Martini, D., </w:t>
      </w:r>
      <w:r>
        <w:t>(</w:t>
      </w:r>
      <w:r w:rsidRPr="00555862">
        <w:t>2023</w:t>
      </w:r>
      <w:r>
        <w:t>)</w:t>
      </w:r>
      <w:r w:rsidRPr="00555862">
        <w:t>. Plant-based meat alternatives: Technological, nutritional, environmental, market, and social challenges and opportunities. </w:t>
      </w:r>
      <w:r w:rsidRPr="00E902D9">
        <w:rPr>
          <w:i/>
          <w:iCs/>
        </w:rPr>
        <w:t>Nutrients</w:t>
      </w:r>
      <w:r w:rsidRPr="00555862">
        <w:t>, </w:t>
      </w:r>
      <w:r w:rsidRPr="00E902D9">
        <w:rPr>
          <w:i/>
          <w:iCs/>
        </w:rPr>
        <w:t>15</w:t>
      </w:r>
      <w:r w:rsidRPr="00555862">
        <w:t>(2), p.452.</w:t>
      </w:r>
      <w:r>
        <w:t xml:space="preserve"> </w:t>
      </w:r>
    </w:p>
    <w:p w14:paraId="0BD514A5" w14:textId="77777777" w:rsidR="001673AE" w:rsidRPr="00E902D9" w:rsidRDefault="001673AE" w:rsidP="00E902D9">
      <w:pPr>
        <w:rPr>
          <w:lang w:val="en-US"/>
        </w:rPr>
      </w:pPr>
      <w:r w:rsidRPr="005A3A78">
        <w:t xml:space="preserve">Böttcher, T.P., Empelmann, S., Weking, J., Hein, A. and Krcmar, H., </w:t>
      </w:r>
      <w:r>
        <w:t>(</w:t>
      </w:r>
      <w:r w:rsidRPr="005A3A78">
        <w:t>2024</w:t>
      </w:r>
      <w:r>
        <w:t>)</w:t>
      </w:r>
      <w:r w:rsidRPr="005A3A78">
        <w:t>. Digital sustainable business models: Using digital technology to integrate ecological sustainability into the core of business models. </w:t>
      </w:r>
      <w:r w:rsidRPr="00E902D9">
        <w:rPr>
          <w:i/>
          <w:iCs/>
        </w:rPr>
        <w:t>Information Systems Journal</w:t>
      </w:r>
      <w:r w:rsidRPr="005A3A78">
        <w:t>, </w:t>
      </w:r>
      <w:r w:rsidRPr="00E902D9">
        <w:rPr>
          <w:i/>
          <w:iCs/>
        </w:rPr>
        <w:t>34</w:t>
      </w:r>
      <w:r w:rsidRPr="005A3A78">
        <w:t>(3), pp.736-761.</w:t>
      </w:r>
    </w:p>
    <w:p w14:paraId="0885A7FB" w14:textId="77777777" w:rsidR="001673AE" w:rsidRPr="00E902D9" w:rsidRDefault="001673AE" w:rsidP="00E902D9">
      <w:pPr>
        <w:rPr>
          <w:lang w:val="en-US"/>
        </w:rPr>
      </w:pPr>
      <w:r w:rsidRPr="0035683F">
        <w:t xml:space="preserve">Campbell, B., </w:t>
      </w:r>
      <w:r>
        <w:t>(</w:t>
      </w:r>
      <w:r w:rsidRPr="0035683F">
        <w:t>2025</w:t>
      </w:r>
      <w:r>
        <w:t>)</w:t>
      </w:r>
      <w:r w:rsidRPr="0035683F">
        <w:t>. Timeline Compression in Agricultural Value Capture: A Fast-Follower Framework for CoAee Processing Infrastructure Development. </w:t>
      </w:r>
      <w:r w:rsidRPr="00E902D9">
        <w:rPr>
          <w:i/>
          <w:iCs/>
        </w:rPr>
        <w:t>Available at SSRN 5596031</w:t>
      </w:r>
      <w:r w:rsidRPr="0035683F">
        <w:t>.</w:t>
      </w:r>
      <w:r>
        <w:t>]</w:t>
      </w:r>
    </w:p>
    <w:p w14:paraId="0A89F7D7" w14:textId="77777777" w:rsidR="001673AE" w:rsidRPr="00E902D9" w:rsidRDefault="001673AE" w:rsidP="00E902D9">
      <w:pPr>
        <w:rPr>
          <w:lang w:val="en-US"/>
        </w:rPr>
      </w:pPr>
      <w:r w:rsidRPr="00560FCA">
        <w:t xml:space="preserve">Chen, W. and Zou, Y., </w:t>
      </w:r>
      <w:r>
        <w:t>(</w:t>
      </w:r>
      <w:r w:rsidRPr="00560FCA">
        <w:t>2025</w:t>
      </w:r>
      <w:r>
        <w:t>)</w:t>
      </w:r>
      <w:r w:rsidRPr="00560FCA">
        <w:t>. Why Zoom is not doomed yet: privacy and security Crisis Response in the COVID-19 pandemic. </w:t>
      </w:r>
      <w:r w:rsidRPr="00E902D9">
        <w:rPr>
          <w:i/>
          <w:iCs/>
        </w:rPr>
        <w:t>American Behavioral Scientist</w:t>
      </w:r>
      <w:r w:rsidRPr="00560FCA">
        <w:t>, </w:t>
      </w:r>
      <w:r w:rsidRPr="00E902D9">
        <w:rPr>
          <w:i/>
          <w:iCs/>
        </w:rPr>
        <w:t>69</w:t>
      </w:r>
      <w:r w:rsidRPr="00560FCA">
        <w:t>(9), pp.1053-1074.</w:t>
      </w:r>
    </w:p>
    <w:p w14:paraId="69F5BAA9" w14:textId="77777777" w:rsidR="001673AE" w:rsidRPr="00E902D9" w:rsidRDefault="001673AE" w:rsidP="00E902D9">
      <w:pPr>
        <w:rPr>
          <w:lang w:val="en-US"/>
        </w:rPr>
      </w:pPr>
      <w:r w:rsidRPr="008B1021">
        <w:t xml:space="preserve">Gawer, A., </w:t>
      </w:r>
      <w:r>
        <w:t>(</w:t>
      </w:r>
      <w:r w:rsidRPr="008B1021">
        <w:t>2022</w:t>
      </w:r>
      <w:r>
        <w:t>)</w:t>
      </w:r>
      <w:r w:rsidRPr="008B1021">
        <w:t>. Digital platforms and ecosystems: remarks on the dominant organizational forms of the digital age. </w:t>
      </w:r>
      <w:r w:rsidRPr="00E902D9">
        <w:rPr>
          <w:i/>
          <w:iCs/>
        </w:rPr>
        <w:t>Innovation</w:t>
      </w:r>
      <w:r w:rsidRPr="008B1021">
        <w:t>, </w:t>
      </w:r>
      <w:r w:rsidRPr="00E902D9">
        <w:rPr>
          <w:i/>
          <w:iCs/>
        </w:rPr>
        <w:t>24</w:t>
      </w:r>
      <w:r w:rsidRPr="008B1021">
        <w:t>(1), pp.110-124.</w:t>
      </w:r>
    </w:p>
    <w:p w14:paraId="1306D125" w14:textId="77777777" w:rsidR="001673AE" w:rsidRPr="00E902D9" w:rsidRDefault="001673AE" w:rsidP="00E902D9">
      <w:pPr>
        <w:rPr>
          <w:lang w:val="en-US"/>
        </w:rPr>
      </w:pPr>
      <w:r w:rsidRPr="008C190C">
        <w:t xml:space="preserve">Huang, Q. and Tang, Y., </w:t>
      </w:r>
      <w:r>
        <w:t>(</w:t>
      </w:r>
      <w:r w:rsidRPr="008C190C">
        <w:t>2025</w:t>
      </w:r>
      <w:r>
        <w:t>)</w:t>
      </w:r>
      <w:r w:rsidRPr="008C190C">
        <w:t>. Enterprise Digital Transformation Strategy: The Impact of Digital Platforms. </w:t>
      </w:r>
      <w:r w:rsidRPr="00E902D9">
        <w:rPr>
          <w:i/>
          <w:iCs/>
        </w:rPr>
        <w:t>Entropy</w:t>
      </w:r>
      <w:r w:rsidRPr="008C190C">
        <w:t>, </w:t>
      </w:r>
      <w:r w:rsidRPr="00E902D9">
        <w:rPr>
          <w:i/>
          <w:iCs/>
        </w:rPr>
        <w:t>27</w:t>
      </w:r>
      <w:r w:rsidRPr="008C190C">
        <w:t>(3), p.295.</w:t>
      </w:r>
    </w:p>
    <w:p w14:paraId="07923390" w14:textId="77777777" w:rsidR="001673AE" w:rsidRPr="00E902D9" w:rsidRDefault="001673AE" w:rsidP="00E902D9">
      <w:pPr>
        <w:rPr>
          <w:lang w:val="en-US"/>
        </w:rPr>
      </w:pPr>
      <w:r w:rsidRPr="0014736A">
        <w:t xml:space="preserve">Kero, C.A. and Bogale, A.T., </w:t>
      </w:r>
      <w:r>
        <w:t>(</w:t>
      </w:r>
      <w:r w:rsidRPr="0014736A">
        <w:t>2023</w:t>
      </w:r>
      <w:r>
        <w:t>)</w:t>
      </w:r>
      <w:r w:rsidRPr="0014736A">
        <w:t>. A Systematic Review of Resource-Based View and Dynamic Capabilities of Firms and Future Research Avenues. </w:t>
      </w:r>
      <w:r w:rsidRPr="00E902D9">
        <w:rPr>
          <w:i/>
          <w:iCs/>
        </w:rPr>
        <w:t>International Journal of Sustainable Development &amp; Planning</w:t>
      </w:r>
      <w:r w:rsidRPr="0014736A">
        <w:t>, </w:t>
      </w:r>
      <w:r w:rsidRPr="00E902D9">
        <w:rPr>
          <w:i/>
          <w:iCs/>
        </w:rPr>
        <w:t>18</w:t>
      </w:r>
      <w:r w:rsidRPr="0014736A">
        <w:t>(10).</w:t>
      </w:r>
    </w:p>
    <w:p w14:paraId="0ED0DADB" w14:textId="77777777" w:rsidR="001673AE" w:rsidRPr="00E902D9" w:rsidRDefault="001673AE" w:rsidP="00E902D9">
      <w:pPr>
        <w:rPr>
          <w:lang w:val="en-US"/>
        </w:rPr>
      </w:pPr>
      <w:r w:rsidRPr="00B5735F">
        <w:t xml:space="preserve">Klaser, K., Cuel, R. and Casari, P., </w:t>
      </w:r>
      <w:r>
        <w:t>(</w:t>
      </w:r>
      <w:r w:rsidRPr="00B5735F">
        <w:t>2023</w:t>
      </w:r>
      <w:r>
        <w:t>)</w:t>
      </w:r>
      <w:r w:rsidRPr="00B5735F">
        <w:t>. The future of hybrid work in Italy: A survey-based Socio-Technical-System analysis. </w:t>
      </w:r>
      <w:r w:rsidRPr="00E902D9">
        <w:rPr>
          <w:i/>
          <w:iCs/>
        </w:rPr>
        <w:t>Journal of Innovation &amp; Knowledge</w:t>
      </w:r>
      <w:r w:rsidRPr="00B5735F">
        <w:t>, </w:t>
      </w:r>
      <w:r w:rsidRPr="00E902D9">
        <w:rPr>
          <w:i/>
          <w:iCs/>
        </w:rPr>
        <w:t>8</w:t>
      </w:r>
      <w:r w:rsidRPr="00B5735F">
        <w:t>(4), p.100426.</w:t>
      </w:r>
    </w:p>
    <w:p w14:paraId="7D68B83B" w14:textId="77777777" w:rsidR="001673AE" w:rsidRPr="00E902D9" w:rsidRDefault="001673AE" w:rsidP="00E902D9">
      <w:pPr>
        <w:rPr>
          <w:lang w:val="en-US"/>
        </w:rPr>
      </w:pPr>
      <w:r w:rsidRPr="004A120C">
        <w:lastRenderedPageBreak/>
        <w:t xml:space="preserve">Kosutic, D. and Pigni, F., </w:t>
      </w:r>
      <w:r>
        <w:t>(</w:t>
      </w:r>
      <w:r w:rsidRPr="004A120C">
        <w:t>2022</w:t>
      </w:r>
      <w:r>
        <w:t>)</w:t>
      </w:r>
      <w:r w:rsidRPr="004A120C">
        <w:t>. Cybersecurity: investing for competitive outcomes. </w:t>
      </w:r>
      <w:r w:rsidRPr="00E902D9">
        <w:rPr>
          <w:i/>
          <w:iCs/>
        </w:rPr>
        <w:t>Journal of Business Strategy</w:t>
      </w:r>
      <w:r w:rsidRPr="004A120C">
        <w:t>, </w:t>
      </w:r>
      <w:r w:rsidRPr="00E902D9">
        <w:rPr>
          <w:i/>
          <w:iCs/>
        </w:rPr>
        <w:t>43</w:t>
      </w:r>
      <w:r w:rsidRPr="004A120C">
        <w:t>(1), pp.28-36.</w:t>
      </w:r>
    </w:p>
    <w:p w14:paraId="3570A3E0" w14:textId="77777777" w:rsidR="001673AE" w:rsidRPr="00E902D9" w:rsidRDefault="001673AE" w:rsidP="00E902D9">
      <w:pPr>
        <w:rPr>
          <w:lang w:val="en-US"/>
        </w:rPr>
      </w:pPr>
      <w:r w:rsidRPr="00555862">
        <w:t xml:space="preserve">Krakowski, S., Luger, J. and Raisch, S., </w:t>
      </w:r>
      <w:r>
        <w:t>(</w:t>
      </w:r>
      <w:r w:rsidRPr="00555862">
        <w:t>2023</w:t>
      </w:r>
      <w:r>
        <w:t>)</w:t>
      </w:r>
      <w:r w:rsidRPr="00555862">
        <w:t>. Artificial intelligence and the changing sources of competitive advantage. </w:t>
      </w:r>
      <w:r w:rsidRPr="00E902D9">
        <w:rPr>
          <w:i/>
          <w:iCs/>
        </w:rPr>
        <w:t>Strategic Management Journal</w:t>
      </w:r>
      <w:r w:rsidRPr="00555862">
        <w:t>, </w:t>
      </w:r>
      <w:r w:rsidRPr="00E902D9">
        <w:rPr>
          <w:i/>
          <w:iCs/>
        </w:rPr>
        <w:t>44</w:t>
      </w:r>
      <w:r w:rsidRPr="00555862">
        <w:t>(6), pp.1425-1452.</w:t>
      </w:r>
    </w:p>
    <w:p w14:paraId="3D4B8657" w14:textId="77777777" w:rsidR="001673AE" w:rsidRPr="00E902D9" w:rsidRDefault="001673AE" w:rsidP="00E902D9">
      <w:pPr>
        <w:rPr>
          <w:lang w:val="en-US"/>
        </w:rPr>
      </w:pPr>
      <w:r w:rsidRPr="008C190C">
        <w:t xml:space="preserve">Kretschmer, T., Leiponen, A., Schilling, M. and Vasudeva, G., </w:t>
      </w:r>
      <w:r>
        <w:t>(</w:t>
      </w:r>
      <w:r w:rsidRPr="008C190C">
        <w:t>2022</w:t>
      </w:r>
      <w:r>
        <w:t>)</w:t>
      </w:r>
      <w:r w:rsidRPr="008C190C">
        <w:t>. Platform ecosystems as meta</w:t>
      </w:r>
      <w:r w:rsidRPr="00E902D9">
        <w:rPr>
          <w:rFonts w:ascii="Cambria Math" w:hAnsi="Cambria Math" w:cs="Cambria Math"/>
        </w:rPr>
        <w:t>‐</w:t>
      </w:r>
      <w:r w:rsidRPr="008C190C">
        <w:t>organizations: Implications for platform strategies.</w:t>
      </w:r>
      <w:r w:rsidRPr="00E902D9">
        <w:rPr>
          <w:rFonts w:cs="Arial"/>
        </w:rPr>
        <w:t> </w:t>
      </w:r>
      <w:r w:rsidRPr="00E902D9">
        <w:rPr>
          <w:i/>
          <w:iCs/>
        </w:rPr>
        <w:t>Strategic Management Journal</w:t>
      </w:r>
      <w:r w:rsidRPr="008C190C">
        <w:t>, </w:t>
      </w:r>
      <w:r w:rsidRPr="00E902D9">
        <w:rPr>
          <w:i/>
          <w:iCs/>
        </w:rPr>
        <w:t>43</w:t>
      </w:r>
      <w:r w:rsidRPr="008C190C">
        <w:t>(3), pp.405-424.</w:t>
      </w:r>
    </w:p>
    <w:p w14:paraId="156D99C4" w14:textId="77777777" w:rsidR="001673AE" w:rsidRPr="00E902D9" w:rsidRDefault="001673AE" w:rsidP="00E902D9">
      <w:pPr>
        <w:rPr>
          <w:lang w:val="en-US"/>
        </w:rPr>
      </w:pPr>
      <w:r w:rsidRPr="009043BF">
        <w:t xml:space="preserve">Mallikarjunaradhya, V., Pothukuchi, A.S. and Kota, L.V., </w:t>
      </w:r>
      <w:r>
        <w:t>(</w:t>
      </w:r>
      <w:r w:rsidRPr="009043BF">
        <w:t>2023</w:t>
      </w:r>
      <w:r>
        <w:t>)</w:t>
      </w:r>
      <w:r w:rsidRPr="009043BF">
        <w:t>. An overview of the strategic advantages of AI-powered threat intelligence in the cloud. </w:t>
      </w:r>
      <w:r w:rsidRPr="00E902D9">
        <w:rPr>
          <w:i/>
          <w:iCs/>
        </w:rPr>
        <w:t>Journal of Science &amp; Technology</w:t>
      </w:r>
      <w:r w:rsidRPr="009043BF">
        <w:t>, </w:t>
      </w:r>
      <w:r w:rsidRPr="00E902D9">
        <w:rPr>
          <w:i/>
          <w:iCs/>
        </w:rPr>
        <w:t>4</w:t>
      </w:r>
      <w:r w:rsidRPr="009043BF">
        <w:t>(4), pp.1-12.</w:t>
      </w:r>
    </w:p>
    <w:p w14:paraId="28B0A5BC" w14:textId="77777777" w:rsidR="001673AE" w:rsidRPr="00E902D9" w:rsidRDefault="001673AE" w:rsidP="00E902D9">
      <w:pPr>
        <w:rPr>
          <w:lang w:val="en-US"/>
        </w:rPr>
      </w:pPr>
      <w:r w:rsidRPr="007D5E36">
        <w:t xml:space="preserve">Nabil, D.H., Rahman, M.H., Chowdhury, A.H. and Menezes, B.C., </w:t>
      </w:r>
      <w:r>
        <w:t>(</w:t>
      </w:r>
      <w:r w:rsidRPr="007D5E36">
        <w:t>2023</w:t>
      </w:r>
      <w:r>
        <w:t>)</w:t>
      </w:r>
      <w:r w:rsidRPr="007D5E36">
        <w:t>. Managing supply chain performance using a real time Microsoft Power BI dashboard by action design research (ADR) method. </w:t>
      </w:r>
      <w:r w:rsidRPr="00E902D9">
        <w:rPr>
          <w:i/>
          <w:iCs/>
        </w:rPr>
        <w:t>Cogent Engineering</w:t>
      </w:r>
      <w:r w:rsidRPr="007D5E36">
        <w:t>, </w:t>
      </w:r>
      <w:r w:rsidRPr="00E902D9">
        <w:rPr>
          <w:i/>
          <w:iCs/>
        </w:rPr>
        <w:t>10</w:t>
      </w:r>
      <w:r w:rsidRPr="007D5E36">
        <w:t>(2), p.2257924.</w:t>
      </w:r>
    </w:p>
    <w:p w14:paraId="1BD2D33F" w14:textId="77777777" w:rsidR="001673AE" w:rsidRPr="00E902D9" w:rsidRDefault="001673AE" w:rsidP="00E902D9">
      <w:pPr>
        <w:rPr>
          <w:lang w:val="en-US"/>
        </w:rPr>
      </w:pPr>
      <w:r w:rsidRPr="00DC2C7E">
        <w:t xml:space="preserve">Ng, T., </w:t>
      </w:r>
      <w:r>
        <w:t>(</w:t>
      </w:r>
      <w:r w:rsidRPr="00DC2C7E">
        <w:t>2022</w:t>
      </w:r>
      <w:r>
        <w:t>)</w:t>
      </w:r>
      <w:r w:rsidRPr="00DC2C7E">
        <w:t>. Comparative analysis of business strategy of Vietnamese real estate developers: the use of Hoffer matrix. </w:t>
      </w:r>
      <w:r w:rsidRPr="00E902D9">
        <w:rPr>
          <w:i/>
          <w:iCs/>
        </w:rPr>
        <w:t>International journal of multidisciplinary research and growth evaluation</w:t>
      </w:r>
      <w:r w:rsidRPr="00DC2C7E">
        <w:t>.</w:t>
      </w:r>
    </w:p>
    <w:p w14:paraId="01FEE956" w14:textId="77777777" w:rsidR="001673AE" w:rsidRPr="00E902D9" w:rsidRDefault="001673AE" w:rsidP="00E902D9">
      <w:pPr>
        <w:rPr>
          <w:lang w:val="en-US"/>
        </w:rPr>
      </w:pPr>
      <w:r w:rsidRPr="00ED458A">
        <w:t xml:space="preserve">Palmié, M., Miehé, L., Oghazi, P., Parida, V. and Wincent, J., </w:t>
      </w:r>
      <w:r>
        <w:t>(</w:t>
      </w:r>
      <w:r w:rsidRPr="00ED458A">
        <w:t>2022</w:t>
      </w:r>
      <w:r>
        <w:t>)</w:t>
      </w:r>
      <w:r w:rsidRPr="00ED458A">
        <w:t>. The evolution of the digital service ecosystem and digital business model innovation in retail: The emergence of meta-ecosystems and the value of physical interactions. </w:t>
      </w:r>
      <w:r w:rsidRPr="00E902D9">
        <w:rPr>
          <w:i/>
          <w:iCs/>
        </w:rPr>
        <w:t>Technological Forecasting and Social Change</w:t>
      </w:r>
      <w:r w:rsidRPr="00ED458A">
        <w:t>, </w:t>
      </w:r>
      <w:r w:rsidRPr="00E902D9">
        <w:rPr>
          <w:i/>
          <w:iCs/>
        </w:rPr>
        <w:t>177</w:t>
      </w:r>
      <w:r w:rsidRPr="00ED458A">
        <w:t>, p.121496.</w:t>
      </w:r>
    </w:p>
    <w:p w14:paraId="2B4A4CBA" w14:textId="77777777" w:rsidR="001673AE" w:rsidRPr="00E902D9" w:rsidRDefault="001673AE" w:rsidP="00E902D9">
      <w:pPr>
        <w:rPr>
          <w:lang w:val="en-US"/>
        </w:rPr>
      </w:pPr>
      <w:r w:rsidRPr="00FB1915">
        <w:t xml:space="preserve">Reim, W., Andersson, E. and Eckerwall, K., </w:t>
      </w:r>
      <w:r>
        <w:t>(</w:t>
      </w:r>
      <w:r w:rsidRPr="00FB1915">
        <w:t>2023</w:t>
      </w:r>
      <w:r>
        <w:t>)</w:t>
      </w:r>
      <w:r w:rsidRPr="00FB1915">
        <w:t>. Enabling collaboration on digital platforms: a study of digital twins. </w:t>
      </w:r>
      <w:r w:rsidRPr="00E902D9">
        <w:rPr>
          <w:i/>
          <w:iCs/>
        </w:rPr>
        <w:t>International Journal of Production Research</w:t>
      </w:r>
      <w:r w:rsidRPr="00FB1915">
        <w:t>, </w:t>
      </w:r>
      <w:r w:rsidRPr="00E902D9">
        <w:rPr>
          <w:i/>
          <w:iCs/>
        </w:rPr>
        <w:t>61</w:t>
      </w:r>
      <w:r w:rsidRPr="00FB1915">
        <w:t>(12), pp.3926-3942.</w:t>
      </w:r>
    </w:p>
    <w:p w14:paraId="5C6E5629" w14:textId="77777777" w:rsidR="001673AE" w:rsidRPr="00E902D9" w:rsidRDefault="001673AE" w:rsidP="00E902D9">
      <w:pPr>
        <w:rPr>
          <w:lang w:val="en-US"/>
        </w:rPr>
      </w:pPr>
      <w:r w:rsidRPr="00560FCA">
        <w:t xml:space="preserve">Sarin, S., Sego, T., Di Benedetto, A., Chitturi, R. and Im, S., </w:t>
      </w:r>
      <w:r>
        <w:t>(</w:t>
      </w:r>
      <w:r w:rsidRPr="00560FCA">
        <w:t>2025</w:t>
      </w:r>
      <w:r>
        <w:t>)</w:t>
      </w:r>
      <w:r w:rsidRPr="00560FCA">
        <w:t>. Securing early-mover advantage in technology markets: Insights from the field on the contingent influence of organizational will and skill. </w:t>
      </w:r>
      <w:r w:rsidRPr="00E902D9">
        <w:rPr>
          <w:i/>
          <w:iCs/>
        </w:rPr>
        <w:t>AMS Review</w:t>
      </w:r>
      <w:r w:rsidRPr="00560FCA">
        <w:t>, pp.1-13.</w:t>
      </w:r>
    </w:p>
    <w:p w14:paraId="0FEC4488" w14:textId="77777777" w:rsidR="001673AE" w:rsidRPr="00E902D9" w:rsidRDefault="001673AE" w:rsidP="00E902D9">
      <w:pPr>
        <w:rPr>
          <w:lang w:val="en-US"/>
        </w:rPr>
      </w:pPr>
      <w:r w:rsidRPr="00622C95">
        <w:lastRenderedPageBreak/>
        <w:t xml:space="preserve">Shahid, J., Ahmad, R., Kiani, A.K., Ahmad, T., Saeed, S. and Almuhaideb, A.M., </w:t>
      </w:r>
      <w:r>
        <w:t>(</w:t>
      </w:r>
      <w:r w:rsidRPr="00622C95">
        <w:t>2022</w:t>
      </w:r>
      <w:r>
        <w:t>)</w:t>
      </w:r>
      <w:r w:rsidRPr="00622C95">
        <w:t>. Data protection and privacy of the internet of healthcare things (IoHTs). </w:t>
      </w:r>
      <w:r w:rsidRPr="00E902D9">
        <w:rPr>
          <w:i/>
          <w:iCs/>
        </w:rPr>
        <w:t>Applied Sciences</w:t>
      </w:r>
      <w:r w:rsidRPr="00622C95">
        <w:t>, </w:t>
      </w:r>
      <w:r w:rsidRPr="00E902D9">
        <w:rPr>
          <w:i/>
          <w:iCs/>
        </w:rPr>
        <w:t>12</w:t>
      </w:r>
      <w:r w:rsidRPr="00622C95">
        <w:t>(4), p.1927.</w:t>
      </w:r>
    </w:p>
    <w:p w14:paraId="760DBC84" w14:textId="77777777" w:rsidR="001673AE" w:rsidRPr="00E902D9" w:rsidRDefault="001673AE" w:rsidP="00E902D9">
      <w:pPr>
        <w:rPr>
          <w:lang w:val="en-US"/>
        </w:rPr>
      </w:pPr>
      <w:r w:rsidRPr="0035683F">
        <w:t xml:space="preserve">Torres-Nunez, P., Güemes-Castorena, D., Contreras-Cruz, A. and Elizondo-Noriega, A., </w:t>
      </w:r>
      <w:r>
        <w:t>(</w:t>
      </w:r>
      <w:r w:rsidRPr="0035683F">
        <w:t>2024</w:t>
      </w:r>
      <w:r>
        <w:t>)</w:t>
      </w:r>
      <w:r w:rsidRPr="0035683F">
        <w:t>. A PESTLE analysis of the trucking industry: key insights and implications. </w:t>
      </w:r>
      <w:r w:rsidRPr="00E902D9">
        <w:rPr>
          <w:i/>
          <w:iCs/>
        </w:rPr>
        <w:t>Cogent Business &amp; Management</w:t>
      </w:r>
      <w:r w:rsidRPr="0035683F">
        <w:t>, </w:t>
      </w:r>
      <w:r w:rsidRPr="00E902D9">
        <w:rPr>
          <w:i/>
          <w:iCs/>
        </w:rPr>
        <w:t>11</w:t>
      </w:r>
      <w:r w:rsidRPr="0035683F">
        <w:t>(1), p.2409335.</w:t>
      </w:r>
    </w:p>
    <w:p w14:paraId="08060D1E" w14:textId="77777777" w:rsidR="001673AE" w:rsidRPr="00E902D9" w:rsidRDefault="001673AE" w:rsidP="00E902D9">
      <w:pPr>
        <w:rPr>
          <w:lang w:val="en-US"/>
        </w:rPr>
      </w:pPr>
      <w:r w:rsidRPr="00622C95">
        <w:t xml:space="preserve">Vethachalam, S., </w:t>
      </w:r>
      <w:r>
        <w:t>(</w:t>
      </w:r>
      <w:r w:rsidRPr="00622C95">
        <w:t>2024</w:t>
      </w:r>
      <w:r>
        <w:t>)</w:t>
      </w:r>
      <w:r w:rsidRPr="00622C95">
        <w:t>. Cloud-Driven Security Compliance: Architecting GDPR &amp; CCPA Solutions For Large-Scale Digital Platforms. </w:t>
      </w:r>
      <w:r w:rsidRPr="00E902D9">
        <w:rPr>
          <w:i/>
          <w:iCs/>
        </w:rPr>
        <w:t>International Journal of Technology, Management and Humanities</w:t>
      </w:r>
      <w:r w:rsidRPr="00622C95">
        <w:t>, </w:t>
      </w:r>
      <w:r w:rsidRPr="00E902D9">
        <w:rPr>
          <w:i/>
          <w:iCs/>
        </w:rPr>
        <w:t>10</w:t>
      </w:r>
      <w:r w:rsidRPr="00622C95">
        <w:t>(04), pp.1-11.</w:t>
      </w:r>
    </w:p>
    <w:p w14:paraId="6B31E06F" w14:textId="77777777" w:rsidR="001673AE" w:rsidRPr="00E902D9" w:rsidRDefault="001673AE" w:rsidP="00E902D9">
      <w:pPr>
        <w:rPr>
          <w:lang w:val="en-US"/>
        </w:rPr>
      </w:pPr>
      <w:r w:rsidRPr="008B1021">
        <w:t xml:space="preserve">Wirtz, J., Kunz, W.H., Hartley, N. and Tarbit, J., </w:t>
      </w:r>
      <w:r>
        <w:t>(</w:t>
      </w:r>
      <w:r w:rsidRPr="008B1021">
        <w:t>2023</w:t>
      </w:r>
      <w:r>
        <w:t>)</w:t>
      </w:r>
      <w:r w:rsidRPr="008B1021">
        <w:t>. Corporate digital responsibility in service firms and their ecosystems. </w:t>
      </w:r>
      <w:r w:rsidRPr="00E902D9">
        <w:rPr>
          <w:i/>
          <w:iCs/>
        </w:rPr>
        <w:t>Journal of Service Research</w:t>
      </w:r>
      <w:r w:rsidRPr="008B1021">
        <w:t>, </w:t>
      </w:r>
      <w:r w:rsidRPr="00E902D9">
        <w:rPr>
          <w:i/>
          <w:iCs/>
        </w:rPr>
        <w:t>26</w:t>
      </w:r>
      <w:r w:rsidRPr="008B1021">
        <w:t>(2), pp.173-190.</w:t>
      </w:r>
    </w:p>
    <w:p w14:paraId="737BE66D" w14:textId="77777777" w:rsidR="001673AE" w:rsidRPr="00E902D9" w:rsidRDefault="001673AE" w:rsidP="00E902D9">
      <w:pPr>
        <w:rPr>
          <w:lang w:val="en-US"/>
        </w:rPr>
      </w:pPr>
      <w:r w:rsidRPr="00DC2C7E">
        <w:t xml:space="preserve">Witkowski, A. and Wodecki, A., </w:t>
      </w:r>
      <w:r>
        <w:t>(</w:t>
      </w:r>
      <w:r w:rsidRPr="00DC2C7E">
        <w:t>2025</w:t>
      </w:r>
      <w:r>
        <w:t>)</w:t>
      </w:r>
      <w:r w:rsidRPr="00DC2C7E">
        <w:t>. Where does AI play a major role in the new product development and product management process?. </w:t>
      </w:r>
      <w:r w:rsidRPr="00E902D9">
        <w:rPr>
          <w:i/>
          <w:iCs/>
        </w:rPr>
        <w:t>Management Review Quarterly</w:t>
      </w:r>
      <w:r w:rsidRPr="00DC2C7E">
        <w:t>, pp.1-38.</w:t>
      </w:r>
    </w:p>
    <w:p w14:paraId="7343D736" w14:textId="77777777" w:rsidR="001673AE" w:rsidRPr="00E902D9" w:rsidRDefault="001673AE" w:rsidP="00E902D9">
      <w:pPr>
        <w:rPr>
          <w:lang w:val="en-US"/>
        </w:rPr>
      </w:pPr>
      <w:r w:rsidRPr="004A120C">
        <w:t xml:space="preserve">Wörsdörfer, M., </w:t>
      </w:r>
      <w:r>
        <w:t>(</w:t>
      </w:r>
      <w:r w:rsidRPr="004A120C">
        <w:t>2022</w:t>
      </w:r>
      <w:r>
        <w:t>)</w:t>
      </w:r>
      <w:r w:rsidRPr="004A120C">
        <w:t>. What happened to ‘Big Tech’and antitrust? And how to fix them!. </w:t>
      </w:r>
      <w:r w:rsidRPr="00E902D9">
        <w:rPr>
          <w:i/>
          <w:iCs/>
        </w:rPr>
        <w:t>Philosophy of Management</w:t>
      </w:r>
      <w:r w:rsidRPr="004A120C">
        <w:t>, </w:t>
      </w:r>
      <w:r w:rsidRPr="00E902D9">
        <w:rPr>
          <w:i/>
          <w:iCs/>
        </w:rPr>
        <w:t>21</w:t>
      </w:r>
      <w:r w:rsidRPr="004A120C">
        <w:t>(3), pp.345-369.</w:t>
      </w:r>
    </w:p>
    <w:p w14:paraId="0CA416F3" w14:textId="77777777" w:rsidR="001673AE" w:rsidRPr="00E902D9" w:rsidRDefault="001673AE" w:rsidP="00E902D9">
      <w:pPr>
        <w:rPr>
          <w:lang w:val="en-US"/>
        </w:rPr>
      </w:pPr>
      <w:r w:rsidRPr="005A3A78">
        <w:t xml:space="preserve">Zupic, I., Čater, T., Caputo, A. and Uršič, D., </w:t>
      </w:r>
      <w:r>
        <w:t>(</w:t>
      </w:r>
      <w:r w:rsidRPr="005A3A78">
        <w:t>2025</w:t>
      </w:r>
      <w:r>
        <w:t>)</w:t>
      </w:r>
      <w:r w:rsidRPr="005A3A78">
        <w:t>. Mapping the Influence of Ansoff's Corporate Strategy. </w:t>
      </w:r>
      <w:r w:rsidRPr="00E902D9">
        <w:rPr>
          <w:i/>
          <w:iCs/>
        </w:rPr>
        <w:t>Strategic Change</w:t>
      </w:r>
      <w:r w:rsidRPr="005A3A78">
        <w:t>.</w:t>
      </w:r>
    </w:p>
    <w:p w14:paraId="07A3E525" w14:textId="77777777" w:rsidR="000E33CC" w:rsidRDefault="000E33CC" w:rsidP="00B51B78"/>
    <w:sectPr w:rsidR="000E33CC" w:rsidSect="0088583F">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914B54" w14:textId="77777777" w:rsidR="00E745A0" w:rsidRDefault="00E745A0" w:rsidP="007A0A9E">
      <w:pPr>
        <w:spacing w:after="0" w:line="240" w:lineRule="auto"/>
      </w:pPr>
      <w:r>
        <w:separator/>
      </w:r>
    </w:p>
  </w:endnote>
  <w:endnote w:type="continuationSeparator" w:id="0">
    <w:p w14:paraId="4C2BF616" w14:textId="77777777" w:rsidR="00E745A0" w:rsidRDefault="00E745A0" w:rsidP="007A0A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28460"/>
      <w:docPartObj>
        <w:docPartGallery w:val="Page Numbers (Bottom of Page)"/>
        <w:docPartUnique/>
      </w:docPartObj>
    </w:sdtPr>
    <w:sdtEndPr>
      <w:rPr>
        <w:noProof/>
      </w:rPr>
    </w:sdtEndPr>
    <w:sdtContent>
      <w:p w14:paraId="07A7ECA3" w14:textId="0922335E" w:rsidR="001673AE" w:rsidRDefault="001673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AE7AB3" w14:textId="77777777" w:rsidR="007A0A9E" w:rsidRDefault="007A0A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A3C68D" w14:textId="77777777" w:rsidR="00E745A0" w:rsidRDefault="00E745A0" w:rsidP="007A0A9E">
      <w:pPr>
        <w:spacing w:after="0" w:line="240" w:lineRule="auto"/>
      </w:pPr>
      <w:r>
        <w:separator/>
      </w:r>
    </w:p>
  </w:footnote>
  <w:footnote w:type="continuationSeparator" w:id="0">
    <w:p w14:paraId="4FAD4526" w14:textId="77777777" w:rsidR="00E745A0" w:rsidRDefault="00E745A0" w:rsidP="007A0A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A633FA"/>
    <w:multiLevelType w:val="multilevel"/>
    <w:tmpl w:val="5E8EC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A7332B"/>
    <w:multiLevelType w:val="multilevel"/>
    <w:tmpl w:val="88D60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AB2903"/>
    <w:multiLevelType w:val="multilevel"/>
    <w:tmpl w:val="1D661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513491"/>
    <w:multiLevelType w:val="multilevel"/>
    <w:tmpl w:val="D5188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991E67"/>
    <w:multiLevelType w:val="multilevel"/>
    <w:tmpl w:val="0386AA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DE2684"/>
    <w:multiLevelType w:val="multilevel"/>
    <w:tmpl w:val="79F87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295A3F"/>
    <w:multiLevelType w:val="multilevel"/>
    <w:tmpl w:val="D1BCC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056710"/>
    <w:multiLevelType w:val="hybridMultilevel"/>
    <w:tmpl w:val="296A29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CA63F6D"/>
    <w:multiLevelType w:val="multilevel"/>
    <w:tmpl w:val="F5545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3702D55"/>
    <w:multiLevelType w:val="multilevel"/>
    <w:tmpl w:val="7F068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B804D4"/>
    <w:multiLevelType w:val="multilevel"/>
    <w:tmpl w:val="D4488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87D0B0D"/>
    <w:multiLevelType w:val="multilevel"/>
    <w:tmpl w:val="2B024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5D15A24"/>
    <w:multiLevelType w:val="multilevel"/>
    <w:tmpl w:val="DA7C7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66B74B7"/>
    <w:multiLevelType w:val="multilevel"/>
    <w:tmpl w:val="CC8EF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A17B81"/>
    <w:multiLevelType w:val="multilevel"/>
    <w:tmpl w:val="A8BA8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F9E6102"/>
    <w:multiLevelType w:val="multilevel"/>
    <w:tmpl w:val="A6D60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680FBE"/>
    <w:multiLevelType w:val="multilevel"/>
    <w:tmpl w:val="19764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2B27985"/>
    <w:multiLevelType w:val="multilevel"/>
    <w:tmpl w:val="6972A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C8A1788"/>
    <w:multiLevelType w:val="multilevel"/>
    <w:tmpl w:val="CE7A9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E5B4DBB"/>
    <w:multiLevelType w:val="multilevel"/>
    <w:tmpl w:val="9D263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9683547">
    <w:abstractNumId w:val="4"/>
  </w:num>
  <w:num w:numId="2" w16cid:durableId="1158686808">
    <w:abstractNumId w:val="16"/>
  </w:num>
  <w:num w:numId="3" w16cid:durableId="1918248699">
    <w:abstractNumId w:val="2"/>
  </w:num>
  <w:num w:numId="4" w16cid:durableId="135874835">
    <w:abstractNumId w:val="12"/>
  </w:num>
  <w:num w:numId="5" w16cid:durableId="101922386">
    <w:abstractNumId w:val="1"/>
  </w:num>
  <w:num w:numId="6" w16cid:durableId="1238591064">
    <w:abstractNumId w:val="14"/>
  </w:num>
  <w:num w:numId="7" w16cid:durableId="413430236">
    <w:abstractNumId w:val="6"/>
  </w:num>
  <w:num w:numId="8" w16cid:durableId="1214805678">
    <w:abstractNumId w:val="15"/>
  </w:num>
  <w:num w:numId="9" w16cid:durableId="416095638">
    <w:abstractNumId w:val="19"/>
  </w:num>
  <w:num w:numId="10" w16cid:durableId="595599682">
    <w:abstractNumId w:val="10"/>
  </w:num>
  <w:num w:numId="11" w16cid:durableId="1288467355">
    <w:abstractNumId w:val="13"/>
  </w:num>
  <w:num w:numId="12" w16cid:durableId="1375539496">
    <w:abstractNumId w:val="18"/>
  </w:num>
  <w:num w:numId="13" w16cid:durableId="451634851">
    <w:abstractNumId w:val="3"/>
  </w:num>
  <w:num w:numId="14" w16cid:durableId="1317956140">
    <w:abstractNumId w:val="5"/>
  </w:num>
  <w:num w:numId="15" w16cid:durableId="897323110">
    <w:abstractNumId w:val="8"/>
  </w:num>
  <w:num w:numId="16" w16cid:durableId="1327129311">
    <w:abstractNumId w:val="11"/>
  </w:num>
  <w:num w:numId="17" w16cid:durableId="20741439">
    <w:abstractNumId w:val="9"/>
  </w:num>
  <w:num w:numId="18" w16cid:durableId="683821688">
    <w:abstractNumId w:val="0"/>
  </w:num>
  <w:num w:numId="19" w16cid:durableId="1995791704">
    <w:abstractNumId w:val="17"/>
  </w:num>
  <w:num w:numId="20" w16cid:durableId="191496799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004E"/>
    <w:rsid w:val="000008E2"/>
    <w:rsid w:val="00043655"/>
    <w:rsid w:val="00046E7B"/>
    <w:rsid w:val="00052975"/>
    <w:rsid w:val="00080B48"/>
    <w:rsid w:val="000817F8"/>
    <w:rsid w:val="0008394C"/>
    <w:rsid w:val="00086B43"/>
    <w:rsid w:val="000A57D9"/>
    <w:rsid w:val="000C353B"/>
    <w:rsid w:val="000C5E05"/>
    <w:rsid w:val="000E33CC"/>
    <w:rsid w:val="000E666F"/>
    <w:rsid w:val="000F5DBF"/>
    <w:rsid w:val="0014736A"/>
    <w:rsid w:val="001603E3"/>
    <w:rsid w:val="00163198"/>
    <w:rsid w:val="001673AE"/>
    <w:rsid w:val="001866CB"/>
    <w:rsid w:val="001A4198"/>
    <w:rsid w:val="001D17F6"/>
    <w:rsid w:val="001D2519"/>
    <w:rsid w:val="00214915"/>
    <w:rsid w:val="002374CF"/>
    <w:rsid w:val="00240CCD"/>
    <w:rsid w:val="002659FE"/>
    <w:rsid w:val="00267B08"/>
    <w:rsid w:val="002722C6"/>
    <w:rsid w:val="0027774E"/>
    <w:rsid w:val="002D6773"/>
    <w:rsid w:val="002F3451"/>
    <w:rsid w:val="00301572"/>
    <w:rsid w:val="00310B8F"/>
    <w:rsid w:val="003362B9"/>
    <w:rsid w:val="0035423C"/>
    <w:rsid w:val="0035683F"/>
    <w:rsid w:val="00356FDA"/>
    <w:rsid w:val="003825A6"/>
    <w:rsid w:val="003E3AE1"/>
    <w:rsid w:val="00400896"/>
    <w:rsid w:val="00454576"/>
    <w:rsid w:val="00456E88"/>
    <w:rsid w:val="00492C57"/>
    <w:rsid w:val="004A120C"/>
    <w:rsid w:val="004C1FE3"/>
    <w:rsid w:val="004F4120"/>
    <w:rsid w:val="00500959"/>
    <w:rsid w:val="0054528E"/>
    <w:rsid w:val="00554507"/>
    <w:rsid w:val="00555862"/>
    <w:rsid w:val="00560FCA"/>
    <w:rsid w:val="0057607D"/>
    <w:rsid w:val="005815C2"/>
    <w:rsid w:val="00586191"/>
    <w:rsid w:val="00587EA8"/>
    <w:rsid w:val="0059791C"/>
    <w:rsid w:val="005A3A78"/>
    <w:rsid w:val="005E0FC6"/>
    <w:rsid w:val="005E299C"/>
    <w:rsid w:val="005F35BC"/>
    <w:rsid w:val="005F41C9"/>
    <w:rsid w:val="00601134"/>
    <w:rsid w:val="00622C95"/>
    <w:rsid w:val="00631FD4"/>
    <w:rsid w:val="00652A42"/>
    <w:rsid w:val="006734E5"/>
    <w:rsid w:val="00697460"/>
    <w:rsid w:val="006A19F6"/>
    <w:rsid w:val="006D1AE8"/>
    <w:rsid w:val="006F1F6A"/>
    <w:rsid w:val="006F2856"/>
    <w:rsid w:val="006F73AA"/>
    <w:rsid w:val="007031C9"/>
    <w:rsid w:val="00775CD7"/>
    <w:rsid w:val="007A0A9E"/>
    <w:rsid w:val="007D5E36"/>
    <w:rsid w:val="007E51FE"/>
    <w:rsid w:val="007F653A"/>
    <w:rsid w:val="0082036C"/>
    <w:rsid w:val="008306A5"/>
    <w:rsid w:val="008654D2"/>
    <w:rsid w:val="0088583F"/>
    <w:rsid w:val="008913E7"/>
    <w:rsid w:val="00893327"/>
    <w:rsid w:val="008B1021"/>
    <w:rsid w:val="008B50CD"/>
    <w:rsid w:val="008C190C"/>
    <w:rsid w:val="009043BF"/>
    <w:rsid w:val="009155FE"/>
    <w:rsid w:val="00920DD5"/>
    <w:rsid w:val="00924C92"/>
    <w:rsid w:val="009253C8"/>
    <w:rsid w:val="0093132C"/>
    <w:rsid w:val="00940CEC"/>
    <w:rsid w:val="00947E79"/>
    <w:rsid w:val="009552B1"/>
    <w:rsid w:val="009734AB"/>
    <w:rsid w:val="009976FB"/>
    <w:rsid w:val="009A004E"/>
    <w:rsid w:val="009C13C9"/>
    <w:rsid w:val="00A06346"/>
    <w:rsid w:val="00A32ABF"/>
    <w:rsid w:val="00AB1041"/>
    <w:rsid w:val="00AB5312"/>
    <w:rsid w:val="00AB6044"/>
    <w:rsid w:val="00AF3574"/>
    <w:rsid w:val="00B07275"/>
    <w:rsid w:val="00B11834"/>
    <w:rsid w:val="00B11E7F"/>
    <w:rsid w:val="00B23EC3"/>
    <w:rsid w:val="00B35C32"/>
    <w:rsid w:val="00B51B78"/>
    <w:rsid w:val="00B55913"/>
    <w:rsid w:val="00B5735F"/>
    <w:rsid w:val="00B6048F"/>
    <w:rsid w:val="00B67AF6"/>
    <w:rsid w:val="00B937A4"/>
    <w:rsid w:val="00B96BF1"/>
    <w:rsid w:val="00BB3D21"/>
    <w:rsid w:val="00BC750A"/>
    <w:rsid w:val="00BD4238"/>
    <w:rsid w:val="00BD67D0"/>
    <w:rsid w:val="00BE4459"/>
    <w:rsid w:val="00BE7E5C"/>
    <w:rsid w:val="00BF5545"/>
    <w:rsid w:val="00BF6BA3"/>
    <w:rsid w:val="00BF6C73"/>
    <w:rsid w:val="00C669AE"/>
    <w:rsid w:val="00C960EA"/>
    <w:rsid w:val="00CA11CD"/>
    <w:rsid w:val="00CA2267"/>
    <w:rsid w:val="00CD0A58"/>
    <w:rsid w:val="00CD2F95"/>
    <w:rsid w:val="00CE47BF"/>
    <w:rsid w:val="00D03254"/>
    <w:rsid w:val="00D32409"/>
    <w:rsid w:val="00D33B0A"/>
    <w:rsid w:val="00D803E2"/>
    <w:rsid w:val="00D81F42"/>
    <w:rsid w:val="00D927FF"/>
    <w:rsid w:val="00DC1738"/>
    <w:rsid w:val="00DC2C7E"/>
    <w:rsid w:val="00DD3946"/>
    <w:rsid w:val="00DF7BB1"/>
    <w:rsid w:val="00E11FA2"/>
    <w:rsid w:val="00E15A25"/>
    <w:rsid w:val="00E20F4A"/>
    <w:rsid w:val="00E270A2"/>
    <w:rsid w:val="00E516FB"/>
    <w:rsid w:val="00E614C3"/>
    <w:rsid w:val="00E63707"/>
    <w:rsid w:val="00E745A0"/>
    <w:rsid w:val="00E902D9"/>
    <w:rsid w:val="00E91F5F"/>
    <w:rsid w:val="00EC1B11"/>
    <w:rsid w:val="00EC38C3"/>
    <w:rsid w:val="00EC6686"/>
    <w:rsid w:val="00ED458A"/>
    <w:rsid w:val="00ED5552"/>
    <w:rsid w:val="00ED75EC"/>
    <w:rsid w:val="00EF06A2"/>
    <w:rsid w:val="00F100E3"/>
    <w:rsid w:val="00F21C80"/>
    <w:rsid w:val="00F21F42"/>
    <w:rsid w:val="00F44275"/>
    <w:rsid w:val="00F4713D"/>
    <w:rsid w:val="00F9123C"/>
    <w:rsid w:val="00FA3139"/>
    <w:rsid w:val="00FB0049"/>
    <w:rsid w:val="00FB19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3F99D6"/>
  <w15:chartTrackingRefBased/>
  <w15:docId w15:val="{AA7409E2-E87E-494D-91A0-775351F187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7460"/>
    <w:pPr>
      <w:spacing w:line="360" w:lineRule="auto"/>
      <w:jc w:val="both"/>
    </w:pPr>
    <w:rPr>
      <w:rFonts w:ascii="Arial" w:hAnsi="Arial"/>
      <w:lang w:val="en-GB"/>
    </w:rPr>
  </w:style>
  <w:style w:type="paragraph" w:styleId="Heading1">
    <w:name w:val="heading 1"/>
    <w:basedOn w:val="Normal"/>
    <w:next w:val="Normal"/>
    <w:link w:val="Heading1Char"/>
    <w:autoRedefine/>
    <w:uiPriority w:val="9"/>
    <w:qFormat/>
    <w:rsid w:val="00ED75EC"/>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autoRedefine/>
    <w:uiPriority w:val="9"/>
    <w:unhideWhenUsed/>
    <w:qFormat/>
    <w:rsid w:val="001673AE"/>
    <w:pPr>
      <w:keepNext/>
      <w:keepLines/>
      <w:spacing w:before="160" w:after="80"/>
      <w:outlineLvl w:val="1"/>
    </w:pPr>
    <w:rPr>
      <w:rFonts w:eastAsiaTheme="majorEastAsia" w:cstheme="majorBidi"/>
      <w:color w:val="000000" w:themeColor="text1"/>
      <w:szCs w:val="32"/>
      <w:u w:val="single"/>
    </w:rPr>
  </w:style>
  <w:style w:type="paragraph" w:styleId="Heading3">
    <w:name w:val="heading 3"/>
    <w:basedOn w:val="Normal"/>
    <w:next w:val="Normal"/>
    <w:link w:val="Heading3Char"/>
    <w:autoRedefine/>
    <w:uiPriority w:val="9"/>
    <w:semiHidden/>
    <w:unhideWhenUsed/>
    <w:qFormat/>
    <w:rsid w:val="00554507"/>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9A004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A004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A004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A004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A004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A004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75EC"/>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rsid w:val="001673AE"/>
    <w:rPr>
      <w:rFonts w:ascii="Arial" w:eastAsiaTheme="majorEastAsia" w:hAnsi="Arial" w:cstheme="majorBidi"/>
      <w:color w:val="000000" w:themeColor="text1"/>
      <w:szCs w:val="32"/>
      <w:u w:val="single"/>
      <w:lang w:val="en-GB"/>
    </w:rPr>
  </w:style>
  <w:style w:type="character" w:customStyle="1" w:styleId="Heading3Char">
    <w:name w:val="Heading 3 Char"/>
    <w:basedOn w:val="DefaultParagraphFont"/>
    <w:link w:val="Heading3"/>
    <w:uiPriority w:val="9"/>
    <w:semiHidden/>
    <w:rsid w:val="00554507"/>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9A004E"/>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9A004E"/>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9A004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A004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9A004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A004E"/>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9A00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004E"/>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A004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004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A004E"/>
    <w:pPr>
      <w:spacing w:before="160"/>
      <w:jc w:val="center"/>
    </w:pPr>
    <w:rPr>
      <w:i/>
      <w:iCs/>
      <w:color w:val="404040" w:themeColor="text1" w:themeTint="BF"/>
    </w:rPr>
  </w:style>
  <w:style w:type="character" w:customStyle="1" w:styleId="QuoteChar">
    <w:name w:val="Quote Char"/>
    <w:basedOn w:val="DefaultParagraphFont"/>
    <w:link w:val="Quote"/>
    <w:uiPriority w:val="29"/>
    <w:rsid w:val="009A004E"/>
    <w:rPr>
      <w:rFonts w:ascii="Times New Roman" w:hAnsi="Times New Roman"/>
      <w:i/>
      <w:iCs/>
      <w:color w:val="404040" w:themeColor="text1" w:themeTint="BF"/>
      <w:lang w:val="en-GB"/>
    </w:rPr>
  </w:style>
  <w:style w:type="paragraph" w:styleId="ListParagraph">
    <w:name w:val="List Paragraph"/>
    <w:basedOn w:val="Normal"/>
    <w:uiPriority w:val="34"/>
    <w:qFormat/>
    <w:rsid w:val="009A004E"/>
    <w:pPr>
      <w:ind w:left="720"/>
      <w:contextualSpacing/>
    </w:pPr>
  </w:style>
  <w:style w:type="character" w:styleId="IntenseEmphasis">
    <w:name w:val="Intense Emphasis"/>
    <w:basedOn w:val="DefaultParagraphFont"/>
    <w:uiPriority w:val="21"/>
    <w:qFormat/>
    <w:rsid w:val="009A004E"/>
    <w:rPr>
      <w:i/>
      <w:iCs/>
      <w:color w:val="2F5496" w:themeColor="accent1" w:themeShade="BF"/>
    </w:rPr>
  </w:style>
  <w:style w:type="paragraph" w:styleId="IntenseQuote">
    <w:name w:val="Intense Quote"/>
    <w:basedOn w:val="Normal"/>
    <w:next w:val="Normal"/>
    <w:link w:val="IntenseQuoteChar"/>
    <w:uiPriority w:val="30"/>
    <w:qFormat/>
    <w:rsid w:val="009A004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A004E"/>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9A004E"/>
    <w:rPr>
      <w:b/>
      <w:bCs/>
      <w:smallCaps/>
      <w:color w:val="2F5496" w:themeColor="accent1" w:themeShade="BF"/>
      <w:spacing w:val="5"/>
    </w:rPr>
  </w:style>
  <w:style w:type="paragraph" w:styleId="Header">
    <w:name w:val="header"/>
    <w:basedOn w:val="Normal"/>
    <w:link w:val="HeaderChar"/>
    <w:uiPriority w:val="99"/>
    <w:unhideWhenUsed/>
    <w:rsid w:val="007A0A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0A9E"/>
    <w:rPr>
      <w:rFonts w:ascii="Arial" w:hAnsi="Arial"/>
      <w:lang w:val="en-GB"/>
    </w:rPr>
  </w:style>
  <w:style w:type="paragraph" w:styleId="Footer">
    <w:name w:val="footer"/>
    <w:basedOn w:val="Normal"/>
    <w:link w:val="FooterChar"/>
    <w:uiPriority w:val="99"/>
    <w:unhideWhenUsed/>
    <w:rsid w:val="007A0A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0A9E"/>
    <w:rPr>
      <w:rFonts w:ascii="Arial" w:hAnsi="Arial"/>
      <w:lang w:val="en-GB"/>
    </w:rPr>
  </w:style>
  <w:style w:type="table" w:styleId="TableGrid">
    <w:name w:val="Table Grid"/>
    <w:basedOn w:val="TableNormal"/>
    <w:uiPriority w:val="39"/>
    <w:rsid w:val="00D324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C6686"/>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EC6686"/>
    <w:pPr>
      <w:spacing w:after="100"/>
    </w:pPr>
  </w:style>
  <w:style w:type="character" w:styleId="Hyperlink">
    <w:name w:val="Hyperlink"/>
    <w:basedOn w:val="DefaultParagraphFont"/>
    <w:uiPriority w:val="99"/>
    <w:unhideWhenUsed/>
    <w:rsid w:val="00EC6686"/>
    <w:rPr>
      <w:color w:val="0563C1" w:themeColor="hyperlink"/>
      <w:u w:val="single"/>
    </w:rPr>
  </w:style>
  <w:style w:type="paragraph" w:styleId="TOC2">
    <w:name w:val="toc 2"/>
    <w:basedOn w:val="Normal"/>
    <w:next w:val="Normal"/>
    <w:autoRedefine/>
    <w:uiPriority w:val="39"/>
    <w:unhideWhenUsed/>
    <w:rsid w:val="001673A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25E8AA-0EEC-4E35-8DA7-464DE3C1C3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3764</Words>
  <Characters>21456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Nabi Box</cp:lastModifiedBy>
  <cp:revision>3</cp:revision>
  <dcterms:created xsi:type="dcterms:W3CDTF">2026-02-12T14:12:00Z</dcterms:created>
  <dcterms:modified xsi:type="dcterms:W3CDTF">2026-02-18T11:49:00Z</dcterms:modified>
</cp:coreProperties>
</file>