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95AE54" w14:textId="77777777" w:rsidR="000622BD" w:rsidRDefault="000622BD">
      <w:pPr>
        <w:rPr>
          <w:rFonts w:ascii="Arial" w:hAnsi="Arial" w:cs="Arial"/>
          <w:lang w:val="en-US"/>
        </w:rPr>
      </w:pPr>
    </w:p>
    <w:p w14:paraId="76B1A5B4" w14:textId="2EB87774" w:rsidR="000622BD" w:rsidRDefault="000622BD">
      <w:pPr>
        <w:rPr>
          <w:rFonts w:ascii="Arial" w:hAnsi="Arial" w:cs="Arial"/>
          <w:lang w:val="en-US"/>
        </w:rPr>
      </w:pPr>
      <w:r>
        <w:rPr>
          <w:noProof/>
        </w:rPr>
        <w:drawing>
          <wp:inline distT="0" distB="0" distL="0" distR="0" wp14:anchorId="75CB6824" wp14:editId="76570671">
            <wp:extent cx="5731510" cy="2292350"/>
            <wp:effectExtent l="0" t="0" r="2540" b="0"/>
            <wp:docPr id="1026" name="Picture 2" descr="UWTSD logo | Discover Dylan Thomas">
              <a:extLst xmlns:a="http://schemas.openxmlformats.org/drawingml/2006/main">
                <a:ext uri="{FF2B5EF4-FFF2-40B4-BE49-F238E27FC236}">
                  <a16:creationId xmlns:a16="http://schemas.microsoft.com/office/drawing/2014/main" id="{DB4E5486-661A-3A58-C6BA-CF20E456C3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 Discover Dylan Thomas">
                      <a:extLst>
                        <a:ext uri="{FF2B5EF4-FFF2-40B4-BE49-F238E27FC236}">
                          <a16:creationId xmlns:a16="http://schemas.microsoft.com/office/drawing/2014/main" id="{DB4E5486-661A-3A58-C6BA-CF20E456C34A}"/>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92350"/>
                    </a:xfrm>
                    <a:prstGeom prst="rect">
                      <a:avLst/>
                    </a:prstGeom>
                    <a:noFill/>
                  </pic:spPr>
                </pic:pic>
              </a:graphicData>
            </a:graphic>
          </wp:inline>
        </w:drawing>
      </w:r>
    </w:p>
    <w:p w14:paraId="57CE5EDD" w14:textId="77777777" w:rsidR="000622BD" w:rsidRDefault="000622BD">
      <w:pPr>
        <w:rPr>
          <w:rFonts w:ascii="Arial" w:hAnsi="Arial" w:cs="Arial"/>
          <w:lang w:val="en-US"/>
        </w:rPr>
      </w:pPr>
    </w:p>
    <w:p w14:paraId="3CA09C2F" w14:textId="5DBE97A2" w:rsidR="000622BD" w:rsidRDefault="000622BD">
      <w:pPr>
        <w:rPr>
          <w:rFonts w:ascii="Arial" w:hAnsi="Arial" w:cs="Arial"/>
          <w:lang w:val="en-US"/>
        </w:rPr>
      </w:pPr>
      <w:r>
        <w:rPr>
          <w:rFonts w:ascii="Arial" w:hAnsi="Arial" w:cs="Arial"/>
          <w:lang w:val="en-US"/>
        </w:rPr>
        <w:t xml:space="preserve">    </w:t>
      </w:r>
    </w:p>
    <w:p w14:paraId="7610099D" w14:textId="486D37FD" w:rsidR="000622BD" w:rsidRDefault="000622BD">
      <w:pPr>
        <w:rPr>
          <w:rFonts w:ascii="Arial" w:hAnsi="Arial" w:cs="Arial"/>
          <w:lang w:val="en-US"/>
        </w:rPr>
      </w:pPr>
      <w:r>
        <w:rPr>
          <w:rFonts w:ascii="Arial" w:hAnsi="Arial" w:cs="Arial"/>
          <w:lang w:val="en-US"/>
        </w:rPr>
        <w:t>Student                Name:</w:t>
      </w:r>
      <w:r w:rsidR="0061378B">
        <w:rPr>
          <w:rFonts w:ascii="Arial" w:hAnsi="Arial" w:cs="Arial"/>
          <w:lang w:val="en-US"/>
        </w:rPr>
        <w:t xml:space="preserve">     Kingsley Nwogwugwu</w:t>
      </w:r>
    </w:p>
    <w:p w14:paraId="1C37F4A4" w14:textId="0736FD0A" w:rsidR="000622BD" w:rsidRDefault="000622BD">
      <w:pPr>
        <w:rPr>
          <w:rFonts w:ascii="Arial" w:hAnsi="Arial" w:cs="Arial"/>
          <w:lang w:val="en-US"/>
        </w:rPr>
      </w:pPr>
      <w:r>
        <w:rPr>
          <w:rFonts w:ascii="Arial" w:hAnsi="Arial" w:cs="Arial"/>
          <w:lang w:val="en-US"/>
        </w:rPr>
        <w:t>Student                  ID:</w:t>
      </w:r>
      <w:r w:rsidR="0061378B">
        <w:rPr>
          <w:rFonts w:ascii="Arial" w:hAnsi="Arial" w:cs="Arial"/>
          <w:lang w:val="en-US"/>
        </w:rPr>
        <w:t xml:space="preserve">         2243460</w:t>
      </w:r>
    </w:p>
    <w:p w14:paraId="56E53457" w14:textId="41321FD2" w:rsidR="000622BD" w:rsidRDefault="000622BD" w:rsidP="0061378B">
      <w:pPr>
        <w:tabs>
          <w:tab w:val="left" w:pos="3075"/>
        </w:tabs>
        <w:rPr>
          <w:rFonts w:ascii="Arial" w:hAnsi="Arial" w:cs="Arial"/>
          <w:lang w:val="en-US"/>
        </w:rPr>
      </w:pPr>
      <w:r>
        <w:rPr>
          <w:rFonts w:ascii="Arial" w:hAnsi="Arial" w:cs="Arial"/>
          <w:lang w:val="en-US"/>
        </w:rPr>
        <w:t>Module                  Name</w:t>
      </w:r>
      <w:r w:rsidR="0061378B">
        <w:rPr>
          <w:rFonts w:ascii="Arial" w:hAnsi="Arial" w:cs="Arial"/>
          <w:lang w:val="en-US"/>
        </w:rPr>
        <w:tab/>
        <w:t>Health, Wellbeing and Sustainable  Development</w:t>
      </w:r>
    </w:p>
    <w:p w14:paraId="09169B20" w14:textId="088B74AA" w:rsidR="000622BD" w:rsidRDefault="000622BD" w:rsidP="0061378B">
      <w:pPr>
        <w:tabs>
          <w:tab w:val="left" w:pos="3075"/>
        </w:tabs>
        <w:rPr>
          <w:rFonts w:ascii="Arial" w:hAnsi="Arial" w:cs="Arial"/>
          <w:lang w:val="en-US"/>
        </w:rPr>
      </w:pPr>
      <w:r>
        <w:rPr>
          <w:rFonts w:ascii="Arial" w:hAnsi="Arial" w:cs="Arial"/>
          <w:lang w:val="en-US"/>
        </w:rPr>
        <w:t>Module                  Code</w:t>
      </w:r>
      <w:r w:rsidR="0061378B">
        <w:rPr>
          <w:rFonts w:ascii="Arial" w:hAnsi="Arial" w:cs="Arial"/>
          <w:lang w:val="en-US"/>
        </w:rPr>
        <w:tab/>
        <w:t>BMHP6030</w:t>
      </w:r>
    </w:p>
    <w:p w14:paraId="517E4FF1" w14:textId="0610393E" w:rsidR="000622BD" w:rsidRDefault="000622BD" w:rsidP="0061378B">
      <w:pPr>
        <w:tabs>
          <w:tab w:val="left" w:pos="3075"/>
        </w:tabs>
        <w:rPr>
          <w:rFonts w:ascii="Arial" w:hAnsi="Arial" w:cs="Arial"/>
          <w:lang w:val="en-US"/>
        </w:rPr>
      </w:pPr>
      <w:r>
        <w:rPr>
          <w:rFonts w:ascii="Arial" w:hAnsi="Arial" w:cs="Arial"/>
          <w:lang w:val="en-US"/>
        </w:rPr>
        <w:t xml:space="preserve">Supervisor            Name </w:t>
      </w:r>
      <w:r w:rsidR="0061378B">
        <w:rPr>
          <w:rFonts w:ascii="Arial" w:hAnsi="Arial" w:cs="Arial"/>
          <w:lang w:val="en-US"/>
        </w:rPr>
        <w:tab/>
        <w:t xml:space="preserve"> Dr Itse Olaoye</w:t>
      </w:r>
    </w:p>
    <w:p w14:paraId="76FE0D60" w14:textId="77777777" w:rsidR="000622BD" w:rsidRDefault="000622BD">
      <w:pPr>
        <w:rPr>
          <w:rFonts w:ascii="Arial" w:hAnsi="Arial" w:cs="Arial"/>
          <w:lang w:val="en-US"/>
        </w:rPr>
      </w:pPr>
    </w:p>
    <w:p w14:paraId="0E77E872" w14:textId="77777777" w:rsidR="000622BD" w:rsidRDefault="000622BD">
      <w:pPr>
        <w:rPr>
          <w:rFonts w:ascii="Arial" w:hAnsi="Arial" w:cs="Arial"/>
          <w:lang w:val="en-US"/>
        </w:rPr>
      </w:pPr>
    </w:p>
    <w:p w14:paraId="5B7CA83B" w14:textId="77777777" w:rsidR="000622BD" w:rsidRDefault="000622BD">
      <w:pPr>
        <w:rPr>
          <w:rFonts w:ascii="Arial" w:hAnsi="Arial" w:cs="Arial"/>
          <w:lang w:val="en-US"/>
        </w:rPr>
      </w:pPr>
    </w:p>
    <w:p w14:paraId="61B306BE" w14:textId="77777777" w:rsidR="000622BD" w:rsidRDefault="000622BD">
      <w:pPr>
        <w:rPr>
          <w:rFonts w:ascii="Arial" w:hAnsi="Arial" w:cs="Arial"/>
          <w:lang w:val="en-US"/>
        </w:rPr>
      </w:pPr>
    </w:p>
    <w:p w14:paraId="79D2A7FE" w14:textId="77777777" w:rsidR="000622BD" w:rsidRDefault="000622BD">
      <w:pPr>
        <w:rPr>
          <w:rFonts w:ascii="Arial" w:hAnsi="Arial" w:cs="Arial"/>
          <w:lang w:val="en-US"/>
        </w:rPr>
      </w:pPr>
    </w:p>
    <w:p w14:paraId="548E36B8" w14:textId="77777777" w:rsidR="000622BD" w:rsidRDefault="000622BD">
      <w:pPr>
        <w:rPr>
          <w:rFonts w:ascii="Arial" w:hAnsi="Arial" w:cs="Arial"/>
          <w:lang w:val="en-US"/>
        </w:rPr>
      </w:pPr>
    </w:p>
    <w:p w14:paraId="2805237A" w14:textId="77777777" w:rsidR="000622BD" w:rsidRDefault="000622BD">
      <w:pPr>
        <w:rPr>
          <w:rFonts w:ascii="Arial" w:hAnsi="Arial" w:cs="Arial"/>
          <w:lang w:val="en-US"/>
        </w:rPr>
      </w:pPr>
    </w:p>
    <w:p w14:paraId="643D3A61" w14:textId="77777777" w:rsidR="000622BD" w:rsidRDefault="000622BD">
      <w:pPr>
        <w:rPr>
          <w:rFonts w:ascii="Arial" w:hAnsi="Arial" w:cs="Arial"/>
          <w:lang w:val="en-US"/>
        </w:rPr>
      </w:pPr>
    </w:p>
    <w:p w14:paraId="35E6CC71" w14:textId="6A5DCE39" w:rsidR="000622BD" w:rsidRDefault="000622BD">
      <w:pPr>
        <w:rPr>
          <w:rFonts w:ascii="Arial" w:hAnsi="Arial" w:cs="Arial"/>
          <w:lang w:val="en-US"/>
        </w:rPr>
      </w:pPr>
    </w:p>
    <w:p w14:paraId="01B88797" w14:textId="77777777" w:rsidR="000622BD" w:rsidRDefault="000622BD">
      <w:pPr>
        <w:rPr>
          <w:rFonts w:ascii="Arial" w:hAnsi="Arial" w:cs="Arial"/>
          <w:lang w:val="en-US"/>
        </w:rPr>
      </w:pPr>
    </w:p>
    <w:p w14:paraId="02BABFA7" w14:textId="77777777" w:rsidR="000622BD" w:rsidRDefault="000622BD">
      <w:pPr>
        <w:rPr>
          <w:rFonts w:ascii="Arial" w:hAnsi="Arial" w:cs="Arial"/>
          <w:lang w:val="en-US"/>
        </w:rPr>
      </w:pPr>
    </w:p>
    <w:p w14:paraId="17BAD276" w14:textId="77777777" w:rsidR="000622BD" w:rsidRDefault="000622BD">
      <w:pPr>
        <w:rPr>
          <w:rFonts w:ascii="Arial" w:hAnsi="Arial" w:cs="Arial"/>
          <w:lang w:val="en-US"/>
        </w:rPr>
      </w:pPr>
    </w:p>
    <w:p w14:paraId="5DFBCBD4" w14:textId="5AA8B5B7" w:rsidR="00655E51" w:rsidRDefault="00655E51">
      <w:pPr>
        <w:rPr>
          <w:rFonts w:ascii="Arial" w:hAnsi="Arial" w:cs="Arial"/>
          <w:lang w:val="en-US"/>
        </w:rPr>
      </w:pPr>
    </w:p>
    <w:p w14:paraId="2673C879" w14:textId="5A5DBFB7" w:rsidR="00655E51" w:rsidRDefault="00655E51">
      <w:pPr>
        <w:rPr>
          <w:rFonts w:ascii="Arial" w:hAnsi="Arial" w:cs="Arial"/>
          <w:lang w:val="en-US"/>
        </w:rPr>
      </w:pPr>
      <w:r>
        <w:rPr>
          <w:rFonts w:ascii="Arial" w:hAnsi="Arial" w:cs="Arial"/>
          <w:b/>
          <w:bCs/>
          <w:lang w:val="en-US"/>
        </w:rPr>
        <w:lastRenderedPageBreak/>
        <w:t xml:space="preserve">                            </w:t>
      </w:r>
      <w:r w:rsidRPr="00655E51">
        <w:rPr>
          <w:rFonts w:ascii="Arial" w:hAnsi="Arial" w:cs="Arial"/>
          <w:b/>
          <w:bCs/>
          <w:lang w:val="en-US"/>
        </w:rPr>
        <w:t>TABLE OF CONTENTS</w:t>
      </w:r>
    </w:p>
    <w:sdt>
      <w:sdtPr>
        <w:id w:val="-1102263654"/>
        <w:docPartObj>
          <w:docPartGallery w:val="Table of Contents"/>
          <w:docPartUnique/>
        </w:docPartObj>
      </w:sdtPr>
      <w:sdtEndPr>
        <w:rPr>
          <w:rFonts w:ascii="Arial" w:eastAsiaTheme="minorHAnsi" w:hAnsi="Arial" w:cs="Arial"/>
          <w:b/>
          <w:bCs/>
          <w:noProof/>
          <w:color w:val="auto"/>
          <w:kern w:val="2"/>
          <w:sz w:val="24"/>
          <w:szCs w:val="24"/>
          <w:lang w:val="en-GB"/>
          <w14:ligatures w14:val="standardContextual"/>
        </w:rPr>
      </w:sdtEndPr>
      <w:sdtContent>
        <w:p w14:paraId="56F8F9AA" w14:textId="6A2EF3CD" w:rsidR="009C40D2" w:rsidRPr="00DF43D8" w:rsidRDefault="00DF43D8">
          <w:pPr>
            <w:pStyle w:val="TOCHeading"/>
            <w:rPr>
              <w:rFonts w:ascii="Arial" w:hAnsi="Arial" w:cs="Arial"/>
              <w:color w:val="auto"/>
            </w:rPr>
          </w:pPr>
          <w:r>
            <w:t xml:space="preserve">                                   </w:t>
          </w:r>
          <w:r w:rsidR="009C40D2" w:rsidRPr="00DF43D8">
            <w:rPr>
              <w:rFonts w:ascii="Arial" w:hAnsi="Arial" w:cs="Arial"/>
              <w:color w:val="auto"/>
            </w:rPr>
            <w:t>Contents</w:t>
          </w:r>
        </w:p>
        <w:p w14:paraId="2E7E713D" w14:textId="5E3C079F" w:rsidR="009C40D2" w:rsidRPr="009C40D2" w:rsidRDefault="009C40D2">
          <w:pPr>
            <w:pStyle w:val="TOC1"/>
            <w:tabs>
              <w:tab w:val="right" w:leader="dot" w:pos="9016"/>
            </w:tabs>
            <w:rPr>
              <w:rFonts w:ascii="Arial" w:eastAsiaTheme="minorEastAsia" w:hAnsi="Arial" w:cs="Arial"/>
              <w:noProof/>
              <w:lang w:eastAsia="en-GB"/>
            </w:rPr>
          </w:pPr>
          <w:r w:rsidRPr="009C40D2">
            <w:rPr>
              <w:rFonts w:ascii="Arial" w:hAnsi="Arial" w:cs="Arial"/>
            </w:rPr>
            <w:fldChar w:fldCharType="begin"/>
          </w:r>
          <w:r w:rsidRPr="009C40D2">
            <w:rPr>
              <w:rFonts w:ascii="Arial" w:hAnsi="Arial" w:cs="Arial"/>
            </w:rPr>
            <w:instrText xml:space="preserve"> TOC \o "1-3" \h \z \u </w:instrText>
          </w:r>
          <w:r w:rsidRPr="009C40D2">
            <w:rPr>
              <w:rFonts w:ascii="Arial" w:hAnsi="Arial" w:cs="Arial"/>
            </w:rPr>
            <w:fldChar w:fldCharType="separate"/>
          </w:r>
          <w:hyperlink w:anchor="_Toc227600461" w:history="1">
            <w:r w:rsidRPr="009C40D2">
              <w:rPr>
                <w:rStyle w:val="Hyperlink"/>
                <w:rFonts w:ascii="Arial" w:hAnsi="Arial" w:cs="Arial"/>
                <w:noProof/>
              </w:rPr>
              <w:t>. A Critical Analysis of Health, Wellbeing and Sustainability Policies at Global and National Levels</w:t>
            </w:r>
            <w:r w:rsidRPr="009C40D2">
              <w:rPr>
                <w:rFonts w:ascii="Arial" w:hAnsi="Arial" w:cs="Arial"/>
                <w:noProof/>
                <w:webHidden/>
              </w:rPr>
              <w:tab/>
            </w:r>
            <w:r w:rsidRPr="009C40D2">
              <w:rPr>
                <w:rFonts w:ascii="Arial" w:hAnsi="Arial" w:cs="Arial"/>
                <w:noProof/>
                <w:webHidden/>
              </w:rPr>
              <w:fldChar w:fldCharType="begin"/>
            </w:r>
            <w:r w:rsidRPr="009C40D2">
              <w:rPr>
                <w:rFonts w:ascii="Arial" w:hAnsi="Arial" w:cs="Arial"/>
                <w:noProof/>
                <w:webHidden/>
              </w:rPr>
              <w:instrText xml:space="preserve"> PAGEREF _Toc227600461 \h </w:instrText>
            </w:r>
            <w:r w:rsidRPr="009C40D2">
              <w:rPr>
                <w:rFonts w:ascii="Arial" w:hAnsi="Arial" w:cs="Arial"/>
                <w:noProof/>
                <w:webHidden/>
              </w:rPr>
            </w:r>
            <w:r w:rsidRPr="009C40D2">
              <w:rPr>
                <w:rFonts w:ascii="Arial" w:hAnsi="Arial" w:cs="Arial"/>
                <w:noProof/>
                <w:webHidden/>
              </w:rPr>
              <w:fldChar w:fldCharType="separate"/>
            </w:r>
            <w:r w:rsidRPr="009C40D2">
              <w:rPr>
                <w:rFonts w:ascii="Arial" w:hAnsi="Arial" w:cs="Arial"/>
                <w:noProof/>
                <w:webHidden/>
              </w:rPr>
              <w:t>3</w:t>
            </w:r>
            <w:r w:rsidRPr="009C40D2">
              <w:rPr>
                <w:rFonts w:ascii="Arial" w:hAnsi="Arial" w:cs="Arial"/>
                <w:noProof/>
                <w:webHidden/>
              </w:rPr>
              <w:fldChar w:fldCharType="end"/>
            </w:r>
          </w:hyperlink>
        </w:p>
        <w:p w14:paraId="43CAF62B" w14:textId="757343EF" w:rsidR="009C40D2" w:rsidRPr="009C40D2" w:rsidRDefault="009C40D2">
          <w:pPr>
            <w:pStyle w:val="TOC1"/>
            <w:tabs>
              <w:tab w:val="right" w:leader="dot" w:pos="9016"/>
            </w:tabs>
            <w:rPr>
              <w:rFonts w:ascii="Arial" w:eastAsiaTheme="minorEastAsia" w:hAnsi="Arial" w:cs="Arial"/>
              <w:noProof/>
              <w:lang w:eastAsia="en-GB"/>
            </w:rPr>
          </w:pPr>
          <w:hyperlink w:anchor="_Toc227600462" w:history="1">
            <w:r w:rsidRPr="009C40D2">
              <w:rPr>
                <w:rStyle w:val="Hyperlink"/>
                <w:rFonts w:ascii="Arial" w:hAnsi="Arial" w:cs="Arial"/>
                <w:noProof/>
              </w:rPr>
              <w:t>1. Introduction</w:t>
            </w:r>
            <w:r w:rsidRPr="009C40D2">
              <w:rPr>
                <w:rFonts w:ascii="Arial" w:hAnsi="Arial" w:cs="Arial"/>
                <w:noProof/>
                <w:webHidden/>
              </w:rPr>
              <w:tab/>
            </w:r>
            <w:r w:rsidRPr="009C40D2">
              <w:rPr>
                <w:rFonts w:ascii="Arial" w:hAnsi="Arial" w:cs="Arial"/>
                <w:noProof/>
                <w:webHidden/>
              </w:rPr>
              <w:fldChar w:fldCharType="begin"/>
            </w:r>
            <w:r w:rsidRPr="009C40D2">
              <w:rPr>
                <w:rFonts w:ascii="Arial" w:hAnsi="Arial" w:cs="Arial"/>
                <w:noProof/>
                <w:webHidden/>
              </w:rPr>
              <w:instrText xml:space="preserve"> PAGEREF _Toc227600462 \h </w:instrText>
            </w:r>
            <w:r w:rsidRPr="009C40D2">
              <w:rPr>
                <w:rFonts w:ascii="Arial" w:hAnsi="Arial" w:cs="Arial"/>
                <w:noProof/>
                <w:webHidden/>
              </w:rPr>
            </w:r>
            <w:r w:rsidRPr="009C40D2">
              <w:rPr>
                <w:rFonts w:ascii="Arial" w:hAnsi="Arial" w:cs="Arial"/>
                <w:noProof/>
                <w:webHidden/>
              </w:rPr>
              <w:fldChar w:fldCharType="separate"/>
            </w:r>
            <w:r w:rsidRPr="009C40D2">
              <w:rPr>
                <w:rFonts w:ascii="Arial" w:hAnsi="Arial" w:cs="Arial"/>
                <w:noProof/>
                <w:webHidden/>
              </w:rPr>
              <w:t>3</w:t>
            </w:r>
            <w:r w:rsidRPr="009C40D2">
              <w:rPr>
                <w:rFonts w:ascii="Arial" w:hAnsi="Arial" w:cs="Arial"/>
                <w:noProof/>
                <w:webHidden/>
              </w:rPr>
              <w:fldChar w:fldCharType="end"/>
            </w:r>
          </w:hyperlink>
        </w:p>
        <w:p w14:paraId="5C52B49F" w14:textId="0839611F" w:rsidR="009C40D2" w:rsidRPr="009C40D2" w:rsidRDefault="009C40D2" w:rsidP="009C40D2">
          <w:pPr>
            <w:pStyle w:val="TOC2"/>
            <w:tabs>
              <w:tab w:val="right" w:leader="dot" w:pos="9016"/>
            </w:tabs>
            <w:ind w:left="0"/>
            <w:rPr>
              <w:rFonts w:ascii="Arial" w:eastAsiaTheme="minorEastAsia" w:hAnsi="Arial" w:cs="Arial"/>
              <w:noProof/>
              <w:lang w:eastAsia="en-GB"/>
            </w:rPr>
          </w:pPr>
          <w:hyperlink w:anchor="_Toc227600463" w:history="1">
            <w:r w:rsidRPr="009C40D2">
              <w:rPr>
                <w:rStyle w:val="Hyperlink"/>
                <w:rFonts w:ascii="Arial" w:eastAsia="Times New Roman" w:hAnsi="Arial" w:cs="Arial"/>
                <w:noProof/>
                <w:lang w:eastAsia="en-GB"/>
              </w:rPr>
              <w:t>2</w:t>
            </w:r>
            <w:r w:rsidRPr="009C40D2">
              <w:rPr>
                <w:rStyle w:val="Hyperlink"/>
                <w:rFonts w:ascii="Arial" w:hAnsi="Arial" w:cs="Arial"/>
                <w:noProof/>
              </w:rPr>
              <w:t>. SDG 3: Good Health and Wellbeing</w:t>
            </w:r>
            <w:r w:rsidRPr="009C40D2">
              <w:rPr>
                <w:rFonts w:ascii="Arial" w:hAnsi="Arial" w:cs="Arial"/>
                <w:noProof/>
                <w:webHidden/>
              </w:rPr>
              <w:tab/>
            </w:r>
            <w:r w:rsidRPr="009C40D2">
              <w:rPr>
                <w:rFonts w:ascii="Arial" w:hAnsi="Arial" w:cs="Arial"/>
                <w:noProof/>
                <w:webHidden/>
              </w:rPr>
              <w:fldChar w:fldCharType="begin"/>
            </w:r>
            <w:r w:rsidRPr="009C40D2">
              <w:rPr>
                <w:rFonts w:ascii="Arial" w:hAnsi="Arial" w:cs="Arial"/>
                <w:noProof/>
                <w:webHidden/>
              </w:rPr>
              <w:instrText xml:space="preserve"> PAGEREF _Toc227600463 \h </w:instrText>
            </w:r>
            <w:r w:rsidRPr="009C40D2">
              <w:rPr>
                <w:rFonts w:ascii="Arial" w:hAnsi="Arial" w:cs="Arial"/>
                <w:noProof/>
                <w:webHidden/>
              </w:rPr>
            </w:r>
            <w:r w:rsidRPr="009C40D2">
              <w:rPr>
                <w:rFonts w:ascii="Arial" w:hAnsi="Arial" w:cs="Arial"/>
                <w:noProof/>
                <w:webHidden/>
              </w:rPr>
              <w:fldChar w:fldCharType="separate"/>
            </w:r>
            <w:r w:rsidRPr="009C40D2">
              <w:rPr>
                <w:rFonts w:ascii="Arial" w:hAnsi="Arial" w:cs="Arial"/>
                <w:noProof/>
                <w:webHidden/>
              </w:rPr>
              <w:t>3</w:t>
            </w:r>
            <w:r w:rsidRPr="009C40D2">
              <w:rPr>
                <w:rFonts w:ascii="Arial" w:hAnsi="Arial" w:cs="Arial"/>
                <w:noProof/>
                <w:webHidden/>
              </w:rPr>
              <w:fldChar w:fldCharType="end"/>
            </w:r>
          </w:hyperlink>
        </w:p>
        <w:p w14:paraId="6BE83244" w14:textId="33756DBD" w:rsidR="009C40D2" w:rsidRPr="009C40D2" w:rsidRDefault="009C40D2" w:rsidP="009C40D2">
          <w:pPr>
            <w:pStyle w:val="TOC2"/>
            <w:tabs>
              <w:tab w:val="right" w:leader="dot" w:pos="9016"/>
            </w:tabs>
            <w:ind w:left="0"/>
            <w:rPr>
              <w:rFonts w:ascii="Arial" w:eastAsiaTheme="minorEastAsia" w:hAnsi="Arial" w:cs="Arial"/>
              <w:noProof/>
              <w:lang w:eastAsia="en-GB"/>
            </w:rPr>
          </w:pPr>
          <w:hyperlink w:anchor="_Toc227600464" w:history="1">
            <w:r w:rsidRPr="009C40D2">
              <w:rPr>
                <w:rStyle w:val="Hyperlink"/>
                <w:rFonts w:ascii="Arial" w:eastAsia="Times New Roman" w:hAnsi="Arial" w:cs="Arial"/>
                <w:noProof/>
                <w:lang w:eastAsia="en-GB"/>
              </w:rPr>
              <w:t>2.</w:t>
            </w:r>
            <w:r w:rsidRPr="009C40D2">
              <w:rPr>
                <w:rStyle w:val="Hyperlink"/>
                <w:rFonts w:ascii="Arial" w:hAnsi="Arial" w:cs="Arial"/>
                <w:noProof/>
              </w:rPr>
              <w:t>1 Global Impact</w:t>
            </w:r>
            <w:r w:rsidRPr="009C40D2">
              <w:rPr>
                <w:rFonts w:ascii="Arial" w:hAnsi="Arial" w:cs="Arial"/>
                <w:noProof/>
                <w:webHidden/>
              </w:rPr>
              <w:tab/>
            </w:r>
            <w:r w:rsidRPr="009C40D2">
              <w:rPr>
                <w:rFonts w:ascii="Arial" w:hAnsi="Arial" w:cs="Arial"/>
                <w:noProof/>
                <w:webHidden/>
              </w:rPr>
              <w:fldChar w:fldCharType="begin"/>
            </w:r>
            <w:r w:rsidRPr="009C40D2">
              <w:rPr>
                <w:rFonts w:ascii="Arial" w:hAnsi="Arial" w:cs="Arial"/>
                <w:noProof/>
                <w:webHidden/>
              </w:rPr>
              <w:instrText xml:space="preserve"> PAGEREF _Toc227600464 \h </w:instrText>
            </w:r>
            <w:r w:rsidRPr="009C40D2">
              <w:rPr>
                <w:rFonts w:ascii="Arial" w:hAnsi="Arial" w:cs="Arial"/>
                <w:noProof/>
                <w:webHidden/>
              </w:rPr>
            </w:r>
            <w:r w:rsidRPr="009C40D2">
              <w:rPr>
                <w:rFonts w:ascii="Arial" w:hAnsi="Arial" w:cs="Arial"/>
                <w:noProof/>
                <w:webHidden/>
              </w:rPr>
              <w:fldChar w:fldCharType="separate"/>
            </w:r>
            <w:r w:rsidRPr="009C40D2">
              <w:rPr>
                <w:rFonts w:ascii="Arial" w:hAnsi="Arial" w:cs="Arial"/>
                <w:noProof/>
                <w:webHidden/>
              </w:rPr>
              <w:t>3</w:t>
            </w:r>
            <w:r w:rsidRPr="009C40D2">
              <w:rPr>
                <w:rFonts w:ascii="Arial" w:hAnsi="Arial" w:cs="Arial"/>
                <w:noProof/>
                <w:webHidden/>
              </w:rPr>
              <w:fldChar w:fldCharType="end"/>
            </w:r>
          </w:hyperlink>
        </w:p>
        <w:p w14:paraId="45DD5A3B" w14:textId="011D731E" w:rsidR="009C40D2" w:rsidRPr="009C40D2" w:rsidRDefault="009C40D2" w:rsidP="009C40D2">
          <w:pPr>
            <w:pStyle w:val="TOC2"/>
            <w:tabs>
              <w:tab w:val="right" w:leader="dot" w:pos="9016"/>
            </w:tabs>
            <w:ind w:left="0"/>
            <w:rPr>
              <w:rFonts w:ascii="Arial" w:eastAsiaTheme="minorEastAsia" w:hAnsi="Arial" w:cs="Arial"/>
              <w:noProof/>
              <w:lang w:eastAsia="en-GB"/>
            </w:rPr>
          </w:pPr>
          <w:hyperlink w:anchor="_Toc227600465" w:history="1">
            <w:r w:rsidRPr="009C40D2">
              <w:rPr>
                <w:rStyle w:val="Hyperlink"/>
                <w:rFonts w:ascii="Arial" w:hAnsi="Arial" w:cs="Arial"/>
                <w:noProof/>
              </w:rPr>
              <w:t>2.2 Critical Analysis</w:t>
            </w:r>
            <w:r w:rsidRPr="009C40D2">
              <w:rPr>
                <w:rFonts w:ascii="Arial" w:hAnsi="Arial" w:cs="Arial"/>
                <w:noProof/>
                <w:webHidden/>
              </w:rPr>
              <w:tab/>
            </w:r>
            <w:r w:rsidRPr="009C40D2">
              <w:rPr>
                <w:rFonts w:ascii="Arial" w:hAnsi="Arial" w:cs="Arial"/>
                <w:noProof/>
                <w:webHidden/>
              </w:rPr>
              <w:fldChar w:fldCharType="begin"/>
            </w:r>
            <w:r w:rsidRPr="009C40D2">
              <w:rPr>
                <w:rFonts w:ascii="Arial" w:hAnsi="Arial" w:cs="Arial"/>
                <w:noProof/>
                <w:webHidden/>
              </w:rPr>
              <w:instrText xml:space="preserve"> PAGEREF _Toc227600465 \h </w:instrText>
            </w:r>
            <w:r w:rsidRPr="009C40D2">
              <w:rPr>
                <w:rFonts w:ascii="Arial" w:hAnsi="Arial" w:cs="Arial"/>
                <w:noProof/>
                <w:webHidden/>
              </w:rPr>
            </w:r>
            <w:r w:rsidRPr="009C40D2">
              <w:rPr>
                <w:rFonts w:ascii="Arial" w:hAnsi="Arial" w:cs="Arial"/>
                <w:noProof/>
                <w:webHidden/>
              </w:rPr>
              <w:fldChar w:fldCharType="separate"/>
            </w:r>
            <w:r w:rsidRPr="009C40D2">
              <w:rPr>
                <w:rFonts w:ascii="Arial" w:hAnsi="Arial" w:cs="Arial"/>
                <w:noProof/>
                <w:webHidden/>
              </w:rPr>
              <w:t>4</w:t>
            </w:r>
            <w:r w:rsidRPr="009C40D2">
              <w:rPr>
                <w:rFonts w:ascii="Arial" w:hAnsi="Arial" w:cs="Arial"/>
                <w:noProof/>
                <w:webHidden/>
              </w:rPr>
              <w:fldChar w:fldCharType="end"/>
            </w:r>
          </w:hyperlink>
        </w:p>
        <w:p w14:paraId="57DB6944" w14:textId="667F640F" w:rsidR="009C40D2" w:rsidRPr="009C40D2" w:rsidRDefault="009C40D2" w:rsidP="009C40D2">
          <w:pPr>
            <w:pStyle w:val="TOC2"/>
            <w:tabs>
              <w:tab w:val="right" w:leader="dot" w:pos="9016"/>
            </w:tabs>
            <w:ind w:left="0"/>
            <w:rPr>
              <w:rFonts w:ascii="Arial" w:eastAsiaTheme="minorEastAsia" w:hAnsi="Arial" w:cs="Arial"/>
              <w:noProof/>
              <w:lang w:eastAsia="en-GB"/>
            </w:rPr>
          </w:pPr>
          <w:hyperlink w:anchor="_Toc227600466" w:history="1">
            <w:r w:rsidRPr="009C40D2">
              <w:rPr>
                <w:rStyle w:val="Hyperlink"/>
                <w:rFonts w:ascii="Arial" w:hAnsi="Arial" w:cs="Arial"/>
                <w:noProof/>
              </w:rPr>
              <w:t>2.3 Impact on Citizens</w:t>
            </w:r>
            <w:r w:rsidRPr="009C40D2">
              <w:rPr>
                <w:rFonts w:ascii="Arial" w:hAnsi="Arial" w:cs="Arial"/>
                <w:noProof/>
                <w:webHidden/>
              </w:rPr>
              <w:tab/>
            </w:r>
            <w:r w:rsidRPr="009C40D2">
              <w:rPr>
                <w:rFonts w:ascii="Arial" w:hAnsi="Arial" w:cs="Arial"/>
                <w:noProof/>
                <w:webHidden/>
              </w:rPr>
              <w:fldChar w:fldCharType="begin"/>
            </w:r>
            <w:r w:rsidRPr="009C40D2">
              <w:rPr>
                <w:rFonts w:ascii="Arial" w:hAnsi="Arial" w:cs="Arial"/>
                <w:noProof/>
                <w:webHidden/>
              </w:rPr>
              <w:instrText xml:space="preserve"> PAGEREF _Toc227600466 \h </w:instrText>
            </w:r>
            <w:r w:rsidRPr="009C40D2">
              <w:rPr>
                <w:rFonts w:ascii="Arial" w:hAnsi="Arial" w:cs="Arial"/>
                <w:noProof/>
                <w:webHidden/>
              </w:rPr>
            </w:r>
            <w:r w:rsidRPr="009C40D2">
              <w:rPr>
                <w:rFonts w:ascii="Arial" w:hAnsi="Arial" w:cs="Arial"/>
                <w:noProof/>
                <w:webHidden/>
              </w:rPr>
              <w:fldChar w:fldCharType="separate"/>
            </w:r>
            <w:r w:rsidRPr="009C40D2">
              <w:rPr>
                <w:rFonts w:ascii="Arial" w:hAnsi="Arial" w:cs="Arial"/>
                <w:noProof/>
                <w:webHidden/>
              </w:rPr>
              <w:t>4</w:t>
            </w:r>
            <w:r w:rsidRPr="009C40D2">
              <w:rPr>
                <w:rFonts w:ascii="Arial" w:hAnsi="Arial" w:cs="Arial"/>
                <w:noProof/>
                <w:webHidden/>
              </w:rPr>
              <w:fldChar w:fldCharType="end"/>
            </w:r>
          </w:hyperlink>
        </w:p>
        <w:p w14:paraId="17623BC2" w14:textId="51E9AD1F" w:rsidR="009C40D2" w:rsidRPr="009C40D2" w:rsidRDefault="009C40D2" w:rsidP="009C40D2">
          <w:pPr>
            <w:pStyle w:val="TOC3"/>
            <w:tabs>
              <w:tab w:val="right" w:leader="dot" w:pos="9016"/>
            </w:tabs>
            <w:ind w:left="0"/>
            <w:rPr>
              <w:rFonts w:ascii="Arial" w:eastAsiaTheme="minorEastAsia" w:hAnsi="Arial" w:cs="Arial"/>
              <w:noProof/>
              <w:lang w:eastAsia="en-GB"/>
            </w:rPr>
          </w:pPr>
          <w:hyperlink w:anchor="_Toc227600467" w:history="1">
            <w:r w:rsidRPr="009C40D2">
              <w:rPr>
                <w:rStyle w:val="Hyperlink"/>
                <w:rFonts w:ascii="Arial" w:hAnsi="Arial" w:cs="Arial"/>
                <w:noProof/>
              </w:rPr>
              <w:t>3 Action and Health. SDG 13: Climate</w:t>
            </w:r>
            <w:r w:rsidRPr="009C40D2">
              <w:rPr>
                <w:rFonts w:ascii="Arial" w:hAnsi="Arial" w:cs="Arial"/>
                <w:noProof/>
                <w:webHidden/>
              </w:rPr>
              <w:tab/>
            </w:r>
            <w:r w:rsidRPr="009C40D2">
              <w:rPr>
                <w:rFonts w:ascii="Arial" w:hAnsi="Arial" w:cs="Arial"/>
                <w:noProof/>
                <w:webHidden/>
              </w:rPr>
              <w:fldChar w:fldCharType="begin"/>
            </w:r>
            <w:r w:rsidRPr="009C40D2">
              <w:rPr>
                <w:rFonts w:ascii="Arial" w:hAnsi="Arial" w:cs="Arial"/>
                <w:noProof/>
                <w:webHidden/>
              </w:rPr>
              <w:instrText xml:space="preserve"> PAGEREF _Toc227600467 \h </w:instrText>
            </w:r>
            <w:r w:rsidRPr="009C40D2">
              <w:rPr>
                <w:rFonts w:ascii="Arial" w:hAnsi="Arial" w:cs="Arial"/>
                <w:noProof/>
                <w:webHidden/>
              </w:rPr>
            </w:r>
            <w:r w:rsidRPr="009C40D2">
              <w:rPr>
                <w:rFonts w:ascii="Arial" w:hAnsi="Arial" w:cs="Arial"/>
                <w:noProof/>
                <w:webHidden/>
              </w:rPr>
              <w:fldChar w:fldCharType="separate"/>
            </w:r>
            <w:r w:rsidRPr="009C40D2">
              <w:rPr>
                <w:rFonts w:ascii="Arial" w:hAnsi="Arial" w:cs="Arial"/>
                <w:noProof/>
                <w:webHidden/>
              </w:rPr>
              <w:t>5</w:t>
            </w:r>
            <w:r w:rsidRPr="009C40D2">
              <w:rPr>
                <w:rFonts w:ascii="Arial" w:hAnsi="Arial" w:cs="Arial"/>
                <w:noProof/>
                <w:webHidden/>
              </w:rPr>
              <w:fldChar w:fldCharType="end"/>
            </w:r>
          </w:hyperlink>
        </w:p>
        <w:p w14:paraId="2E9B4417" w14:textId="718EAE14" w:rsidR="009C40D2" w:rsidRPr="009C40D2" w:rsidRDefault="009C40D2" w:rsidP="009C40D2">
          <w:pPr>
            <w:pStyle w:val="TOC3"/>
            <w:tabs>
              <w:tab w:val="right" w:leader="dot" w:pos="9016"/>
            </w:tabs>
            <w:ind w:left="0"/>
            <w:rPr>
              <w:rFonts w:ascii="Arial" w:eastAsiaTheme="minorEastAsia" w:hAnsi="Arial" w:cs="Arial"/>
              <w:noProof/>
              <w:lang w:eastAsia="en-GB"/>
            </w:rPr>
          </w:pPr>
          <w:hyperlink w:anchor="_Toc227600468" w:history="1">
            <w:r w:rsidRPr="009C40D2">
              <w:rPr>
                <w:rStyle w:val="Hyperlink"/>
                <w:rFonts w:ascii="Arial" w:eastAsia="Times New Roman" w:hAnsi="Arial" w:cs="Arial"/>
                <w:noProof/>
                <w:lang w:eastAsia="en-GB"/>
              </w:rPr>
              <w:t>3.1 Health Implications of Climate Change</w:t>
            </w:r>
            <w:r w:rsidRPr="009C40D2">
              <w:rPr>
                <w:rFonts w:ascii="Arial" w:hAnsi="Arial" w:cs="Arial"/>
                <w:noProof/>
                <w:webHidden/>
              </w:rPr>
              <w:tab/>
            </w:r>
            <w:r w:rsidRPr="009C40D2">
              <w:rPr>
                <w:rFonts w:ascii="Arial" w:hAnsi="Arial" w:cs="Arial"/>
                <w:noProof/>
                <w:webHidden/>
              </w:rPr>
              <w:fldChar w:fldCharType="begin"/>
            </w:r>
            <w:r w:rsidRPr="009C40D2">
              <w:rPr>
                <w:rFonts w:ascii="Arial" w:hAnsi="Arial" w:cs="Arial"/>
                <w:noProof/>
                <w:webHidden/>
              </w:rPr>
              <w:instrText xml:space="preserve"> PAGEREF _Toc227600468 \h </w:instrText>
            </w:r>
            <w:r w:rsidRPr="009C40D2">
              <w:rPr>
                <w:rFonts w:ascii="Arial" w:hAnsi="Arial" w:cs="Arial"/>
                <w:noProof/>
                <w:webHidden/>
              </w:rPr>
            </w:r>
            <w:r w:rsidRPr="009C40D2">
              <w:rPr>
                <w:rFonts w:ascii="Arial" w:hAnsi="Arial" w:cs="Arial"/>
                <w:noProof/>
                <w:webHidden/>
              </w:rPr>
              <w:fldChar w:fldCharType="separate"/>
            </w:r>
            <w:r w:rsidRPr="009C40D2">
              <w:rPr>
                <w:rFonts w:ascii="Arial" w:hAnsi="Arial" w:cs="Arial"/>
                <w:noProof/>
                <w:webHidden/>
              </w:rPr>
              <w:t>5</w:t>
            </w:r>
            <w:r w:rsidRPr="009C40D2">
              <w:rPr>
                <w:rFonts w:ascii="Arial" w:hAnsi="Arial" w:cs="Arial"/>
                <w:noProof/>
                <w:webHidden/>
              </w:rPr>
              <w:fldChar w:fldCharType="end"/>
            </w:r>
          </w:hyperlink>
        </w:p>
        <w:p w14:paraId="1077F600" w14:textId="4498200D" w:rsidR="009C40D2" w:rsidRPr="009C40D2" w:rsidRDefault="009C40D2" w:rsidP="009C40D2">
          <w:pPr>
            <w:pStyle w:val="TOC3"/>
            <w:tabs>
              <w:tab w:val="right" w:leader="dot" w:pos="9016"/>
            </w:tabs>
            <w:ind w:left="0"/>
            <w:rPr>
              <w:rFonts w:ascii="Arial" w:eastAsiaTheme="minorEastAsia" w:hAnsi="Arial" w:cs="Arial"/>
              <w:noProof/>
              <w:lang w:eastAsia="en-GB"/>
            </w:rPr>
          </w:pPr>
          <w:r w:rsidRPr="009C40D2">
            <w:rPr>
              <w:rFonts w:ascii="Arial" w:eastAsiaTheme="minorEastAsia" w:hAnsi="Arial" w:cs="Arial"/>
              <w:noProof/>
              <w:lang w:eastAsia="en-GB"/>
            </w:rPr>
            <w:t xml:space="preserve">3.2  </w:t>
          </w:r>
          <w:r>
            <w:rPr>
              <w:rFonts w:ascii="Arial" w:eastAsiaTheme="minorEastAsia" w:hAnsi="Arial" w:cs="Arial"/>
              <w:noProof/>
              <w:lang w:eastAsia="en-GB"/>
            </w:rPr>
            <w:t>Interconection with SD</w:t>
          </w:r>
          <w:r w:rsidR="00DF43D8">
            <w:rPr>
              <w:rFonts w:ascii="Arial" w:eastAsiaTheme="minorEastAsia" w:hAnsi="Arial" w:cs="Arial"/>
              <w:noProof/>
              <w:lang w:eastAsia="en-GB"/>
            </w:rPr>
            <w:t>G 3…………………………………………………………….5</w:t>
          </w:r>
        </w:p>
        <w:p w14:paraId="1CD300B9" w14:textId="77777777" w:rsidR="00614DC1" w:rsidRDefault="009C40D2" w:rsidP="00614DC1">
          <w:pPr>
            <w:rPr>
              <w:rFonts w:ascii="Arial" w:hAnsi="Arial" w:cs="Arial"/>
              <w:noProof/>
            </w:rPr>
          </w:pPr>
          <w:r w:rsidRPr="009C40D2">
            <w:rPr>
              <w:rFonts w:ascii="Arial" w:hAnsi="Arial" w:cs="Arial"/>
              <w:b/>
              <w:bCs/>
              <w:noProof/>
            </w:rPr>
            <w:fldChar w:fldCharType="end"/>
          </w:r>
          <w:r w:rsidR="00DF43D8">
            <w:rPr>
              <w:rFonts w:ascii="Arial" w:hAnsi="Arial" w:cs="Arial"/>
              <w:noProof/>
            </w:rPr>
            <w:t>3.3   Critical Perspective……………………………………………………</w:t>
          </w:r>
          <w:r w:rsidR="00614DC1">
            <w:rPr>
              <w:rFonts w:ascii="Arial" w:hAnsi="Arial" w:cs="Arial"/>
              <w:noProof/>
            </w:rPr>
            <w:t>………………5</w:t>
          </w:r>
        </w:p>
        <w:p w14:paraId="51E5B673" w14:textId="6010323C" w:rsidR="00614DC1" w:rsidRDefault="00614DC1" w:rsidP="00614DC1">
          <w:pPr>
            <w:rPr>
              <w:rFonts w:ascii="Arial" w:hAnsi="Arial" w:cs="Arial"/>
              <w:noProof/>
            </w:rPr>
          </w:pPr>
          <w:r>
            <w:rPr>
              <w:rFonts w:ascii="Arial" w:hAnsi="Arial" w:cs="Arial"/>
              <w:noProof/>
            </w:rPr>
            <w:t>4.  National Policies United Kingdom……………………………………………………..6</w:t>
          </w:r>
        </w:p>
        <w:p w14:paraId="0DDB36ED" w14:textId="347D210D" w:rsidR="00614DC1" w:rsidRDefault="00614DC1" w:rsidP="00614DC1">
          <w:pPr>
            <w:rPr>
              <w:rFonts w:ascii="Arial" w:hAnsi="Arial" w:cs="Arial"/>
              <w:noProof/>
            </w:rPr>
          </w:pPr>
          <w:r>
            <w:rPr>
              <w:rFonts w:ascii="Arial" w:hAnsi="Arial" w:cs="Arial"/>
              <w:noProof/>
            </w:rPr>
            <w:t>4.1    Key Initiatives………………………………………………………………………….6</w:t>
          </w:r>
        </w:p>
        <w:p w14:paraId="544A5A51" w14:textId="77777777" w:rsidR="00614DC1" w:rsidRDefault="00614DC1" w:rsidP="00614DC1">
          <w:pPr>
            <w:rPr>
              <w:rFonts w:ascii="Arial" w:hAnsi="Arial" w:cs="Arial"/>
              <w:noProof/>
            </w:rPr>
          </w:pPr>
          <w:r>
            <w:rPr>
              <w:rFonts w:ascii="Arial" w:hAnsi="Arial" w:cs="Arial"/>
              <w:noProof/>
            </w:rPr>
            <w:t>4.2    Evaluation of Effectiveness………………………………………………………….6</w:t>
          </w:r>
        </w:p>
        <w:p w14:paraId="44FE2878" w14:textId="77777777" w:rsidR="00614DC1" w:rsidRDefault="00614DC1" w:rsidP="00614DC1">
          <w:pPr>
            <w:rPr>
              <w:rFonts w:ascii="Arial" w:hAnsi="Arial" w:cs="Arial"/>
              <w:noProof/>
            </w:rPr>
          </w:pPr>
          <w:r>
            <w:rPr>
              <w:rFonts w:ascii="Arial" w:hAnsi="Arial" w:cs="Arial"/>
              <w:noProof/>
            </w:rPr>
            <w:t>4.3     Critical Analysis………………………………………………………………………6</w:t>
          </w:r>
        </w:p>
        <w:p w14:paraId="05027D70" w14:textId="77777777" w:rsidR="00614DC1" w:rsidRDefault="00614DC1" w:rsidP="00614DC1">
          <w:pPr>
            <w:rPr>
              <w:rFonts w:ascii="Arial" w:hAnsi="Arial" w:cs="Arial"/>
              <w:noProof/>
            </w:rPr>
          </w:pPr>
          <w:r>
            <w:rPr>
              <w:rFonts w:ascii="Arial" w:hAnsi="Arial" w:cs="Arial"/>
              <w:noProof/>
            </w:rPr>
            <w:t>5        Evaluation of Policies……………………………………………………………….7</w:t>
          </w:r>
        </w:p>
        <w:p w14:paraId="37376DD6" w14:textId="77777777" w:rsidR="00614DC1" w:rsidRDefault="00614DC1" w:rsidP="00614DC1">
          <w:pPr>
            <w:rPr>
              <w:rFonts w:ascii="Arial" w:hAnsi="Arial" w:cs="Arial"/>
              <w:noProof/>
            </w:rPr>
          </w:pPr>
          <w:r>
            <w:rPr>
              <w:rFonts w:ascii="Arial" w:hAnsi="Arial" w:cs="Arial"/>
              <w:noProof/>
            </w:rPr>
            <w:t>6.        Recommendations…………………………………………………………………..7</w:t>
          </w:r>
        </w:p>
        <w:p w14:paraId="1F24CFE1" w14:textId="77777777" w:rsidR="00931BC0" w:rsidRDefault="00931BC0" w:rsidP="00614DC1">
          <w:pPr>
            <w:rPr>
              <w:rFonts w:ascii="Arial" w:hAnsi="Arial" w:cs="Arial"/>
              <w:noProof/>
            </w:rPr>
          </w:pPr>
          <w:r>
            <w:rPr>
              <w:rFonts w:ascii="Arial" w:hAnsi="Arial" w:cs="Arial"/>
              <w:noProof/>
            </w:rPr>
            <w:t>7       Conclusion…………………………………………………………………………….7</w:t>
          </w:r>
        </w:p>
        <w:p w14:paraId="288EDD21" w14:textId="39FC2595" w:rsidR="009C40D2" w:rsidRPr="00614DC1" w:rsidRDefault="00931BC0" w:rsidP="00614DC1">
          <w:pPr>
            <w:rPr>
              <w:rFonts w:ascii="Arial" w:hAnsi="Arial" w:cs="Arial"/>
              <w:noProof/>
            </w:rPr>
          </w:pPr>
          <w:r>
            <w:rPr>
              <w:rFonts w:ascii="Arial" w:hAnsi="Arial" w:cs="Arial"/>
              <w:noProof/>
            </w:rPr>
            <w:t>8     References……………………………………………………………………………8</w:t>
          </w:r>
        </w:p>
      </w:sdtContent>
    </w:sdt>
    <w:p w14:paraId="15501ABB" w14:textId="1F771788" w:rsidR="00655E51" w:rsidRPr="00655E51" w:rsidRDefault="00655E51">
      <w:pPr>
        <w:rPr>
          <w:rFonts w:ascii="Arial" w:hAnsi="Arial" w:cs="Arial"/>
          <w:b/>
          <w:bCs/>
          <w:lang w:val="en-US"/>
        </w:rPr>
      </w:pPr>
      <w:r>
        <w:rPr>
          <w:rFonts w:ascii="Arial" w:hAnsi="Arial" w:cs="Arial"/>
          <w:lang w:val="en-US"/>
        </w:rPr>
        <w:br w:type="page"/>
      </w:r>
      <w:r w:rsidRPr="00655E51">
        <w:rPr>
          <w:rFonts w:ascii="Arial" w:hAnsi="Arial" w:cs="Arial"/>
          <w:b/>
          <w:bCs/>
          <w:lang w:val="en-US"/>
        </w:rPr>
        <w:lastRenderedPageBreak/>
        <w:t xml:space="preserve">                                   </w:t>
      </w:r>
    </w:p>
    <w:p w14:paraId="592424E8" w14:textId="77777777" w:rsidR="009833C0" w:rsidRDefault="009833C0">
      <w:pPr>
        <w:rPr>
          <w:rFonts w:ascii="Arial" w:hAnsi="Arial" w:cs="Arial"/>
          <w:lang w:val="en-US"/>
        </w:rPr>
      </w:pPr>
    </w:p>
    <w:p w14:paraId="57CCD0C5" w14:textId="3A80EF95" w:rsidR="008B2D23" w:rsidRPr="00DF43D8" w:rsidRDefault="009833C0" w:rsidP="00655E51">
      <w:pPr>
        <w:pStyle w:val="Heading1"/>
        <w:rPr>
          <w:color w:val="auto"/>
        </w:rPr>
      </w:pPr>
      <w:bookmarkStart w:id="0" w:name="_Toc227321009"/>
      <w:bookmarkStart w:id="1" w:name="_Toc227600461"/>
      <w:r w:rsidRPr="00DF43D8">
        <w:rPr>
          <w:color w:val="auto"/>
        </w:rPr>
        <w:t>.</w:t>
      </w:r>
      <w:r w:rsidR="008B2D23" w:rsidRPr="00DF43D8">
        <w:rPr>
          <w:color w:val="auto"/>
        </w:rPr>
        <w:t xml:space="preserve"> </w:t>
      </w:r>
      <w:r w:rsidR="008B2D23" w:rsidRPr="00DF43D8">
        <w:rPr>
          <w:rFonts w:ascii="Arial" w:hAnsi="Arial" w:cs="Arial"/>
          <w:color w:val="auto"/>
          <w:sz w:val="28"/>
          <w:szCs w:val="28"/>
        </w:rPr>
        <w:t>A Critical Analysis of Health, Wellbeing and Sustainability Policies at Global and National Levels</w:t>
      </w:r>
      <w:bookmarkEnd w:id="0"/>
      <w:bookmarkEnd w:id="1"/>
    </w:p>
    <w:p w14:paraId="6772086E" w14:textId="77777777" w:rsidR="008B2D23" w:rsidRPr="00DF43D8" w:rsidRDefault="008B2D23" w:rsidP="009C40D2">
      <w:pPr>
        <w:pStyle w:val="Heading1"/>
        <w:rPr>
          <w:rFonts w:ascii="Arial" w:hAnsi="Arial" w:cs="Arial"/>
          <w:color w:val="auto"/>
          <w:sz w:val="28"/>
          <w:szCs w:val="28"/>
        </w:rPr>
      </w:pPr>
      <w:bookmarkStart w:id="2" w:name="_Toc227321010"/>
      <w:bookmarkStart w:id="3" w:name="_Toc227600462"/>
      <w:commentRangeStart w:id="4"/>
      <w:r w:rsidRPr="00DF43D8">
        <w:rPr>
          <w:rFonts w:ascii="Arial" w:hAnsi="Arial" w:cs="Arial"/>
          <w:color w:val="auto"/>
          <w:sz w:val="28"/>
          <w:szCs w:val="28"/>
        </w:rPr>
        <w:t>1. Introduction</w:t>
      </w:r>
      <w:bookmarkEnd w:id="2"/>
      <w:bookmarkEnd w:id="3"/>
      <w:commentRangeEnd w:id="4"/>
      <w:r w:rsidR="00DF43D8" w:rsidRPr="00DF43D8">
        <w:rPr>
          <w:rStyle w:val="CommentReference"/>
          <w:rFonts w:ascii="Arial" w:hAnsi="Arial" w:cs="Arial"/>
          <w:color w:val="auto"/>
          <w:sz w:val="28"/>
          <w:szCs w:val="28"/>
        </w:rPr>
        <w:commentReference w:id="4"/>
      </w:r>
    </w:p>
    <w:p w14:paraId="1CBA4F43" w14:textId="4F036EF8"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 xml:space="preserve">Health, wellbeing, and sustainability are central to contemporary global policy agendas. The introduction of the United Nations Sustainable Development Goals (SDGs) in 2015 established a comprehensive framework to address interconnected social, economic, and environmental challenges. Among these, SDG 3: Good Health and Wellbeing </w:t>
      </w:r>
      <w:r w:rsidR="00DF43D8" w:rsidRPr="008B2D23">
        <w:rPr>
          <w:rFonts w:ascii="Arial" w:eastAsia="Times New Roman" w:hAnsi="Arial" w:cs="Arial"/>
          <w:kern w:val="0"/>
          <w:lang w:eastAsia="en-GB"/>
          <w14:ligatures w14:val="none"/>
        </w:rPr>
        <w:t>aim</w:t>
      </w:r>
      <w:r w:rsidRPr="008B2D23">
        <w:rPr>
          <w:rFonts w:ascii="Arial" w:eastAsia="Times New Roman" w:hAnsi="Arial" w:cs="Arial"/>
          <w:kern w:val="0"/>
          <w:lang w:eastAsia="en-GB"/>
          <w14:ligatures w14:val="none"/>
        </w:rPr>
        <w:t xml:space="preserve"> to ensure healthy lives and promote wellbeing for all, while SDG 13: Climate Action addresses environmental determinants that significantly influence health outcomes.</w:t>
      </w:r>
    </w:p>
    <w:p w14:paraId="327F7503"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The relationship between these goals reflects a growing recognition that health is shaped not only by healthcare systems but also by broader structural factors, including environmental conditions, socio-economic inequalities, and public policy decisions. This aligns with the social determinants of health framework, which emphasises that health inequalities are largely driven by differences in living conditions and access to resources (Marmot, 2010).</w:t>
      </w:r>
    </w:p>
    <w:p w14:paraId="5EB8CC5B" w14:textId="77777777" w:rsidR="008B2D23" w:rsidRPr="008B2D23" w:rsidRDefault="008B2D23" w:rsidP="008B2D23">
      <w:pPr>
        <w:spacing w:before="100" w:beforeAutospacing="1" w:after="100" w:afterAutospacing="1" w:line="240" w:lineRule="auto"/>
        <w:rPr>
          <w:rFonts w:ascii="Times New Roman" w:eastAsia="Times New Roman" w:hAnsi="Times New Roman" w:cs="Times New Roman"/>
          <w:kern w:val="0"/>
          <w:lang w:eastAsia="en-GB"/>
          <w14:ligatures w14:val="none"/>
        </w:rPr>
      </w:pPr>
      <w:r w:rsidRPr="008B2D23">
        <w:rPr>
          <w:rFonts w:ascii="Arial" w:eastAsia="Times New Roman" w:hAnsi="Arial" w:cs="Arial"/>
          <w:kern w:val="0"/>
          <w:lang w:eastAsia="en-GB"/>
          <w14:ligatures w14:val="none"/>
        </w:rPr>
        <w:t>This report critically examines the impact of SDG 3 and SDG 13 on citizens’ health and wellbeing. It evaluates the effectiveness of global frameworks and national policies, particularly within the United Kingdom, and considers the extent to which these initiatives address contemporary health challenges. The report argues that although these policies have contributed to measurable improvements, their effectiveness is limited by structural inequalities, insufficient policy integration, and gaps between policy design and implementation</w:t>
      </w:r>
      <w:r w:rsidRPr="008B2D23">
        <w:rPr>
          <w:rFonts w:ascii="Times New Roman" w:eastAsia="Times New Roman" w:hAnsi="Times New Roman" w:cs="Times New Roman"/>
          <w:kern w:val="0"/>
          <w:lang w:eastAsia="en-GB"/>
          <w14:ligatures w14:val="none"/>
        </w:rPr>
        <w:t>.</w:t>
      </w:r>
    </w:p>
    <w:p w14:paraId="728497D9" w14:textId="77777777" w:rsidR="008B2D23" w:rsidRPr="008B2D23" w:rsidRDefault="00000000" w:rsidP="008B2D23">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7FC7132C">
          <v:rect id="_x0000_i1054" style="width:0;height:1.5pt" o:hralign="center" o:hrstd="t" o:hr="t" fillcolor="#a0a0a0" stroked="f"/>
        </w:pict>
      </w:r>
    </w:p>
    <w:p w14:paraId="63C24309" w14:textId="77777777" w:rsidR="008B2D23" w:rsidRPr="00DF43D8" w:rsidRDefault="008B2D23" w:rsidP="00655E51">
      <w:pPr>
        <w:pStyle w:val="Heading2"/>
        <w:rPr>
          <w:rFonts w:ascii="Arial" w:eastAsia="Times New Roman" w:hAnsi="Arial" w:cs="Arial"/>
          <w:color w:val="auto"/>
          <w:sz w:val="28"/>
          <w:szCs w:val="28"/>
          <w:lang w:eastAsia="en-GB"/>
        </w:rPr>
      </w:pPr>
      <w:bookmarkStart w:id="5" w:name="_Toc227321011"/>
      <w:bookmarkStart w:id="6" w:name="_Toc227600463"/>
      <w:r w:rsidRPr="00DF43D8">
        <w:rPr>
          <w:rFonts w:ascii="Times New Roman" w:eastAsia="Times New Roman" w:hAnsi="Times New Roman" w:cs="Times New Roman"/>
          <w:sz w:val="28"/>
          <w:szCs w:val="28"/>
          <w:lang w:eastAsia="en-GB"/>
        </w:rPr>
        <w:t>2</w:t>
      </w:r>
      <w:r w:rsidRPr="00DF43D8">
        <w:rPr>
          <w:rFonts w:ascii="Arial" w:hAnsi="Arial" w:cs="Arial"/>
          <w:color w:val="auto"/>
          <w:sz w:val="28"/>
          <w:szCs w:val="28"/>
        </w:rPr>
        <w:t>. SDG 3: Good Health and Wellbeing</w:t>
      </w:r>
      <w:bookmarkEnd w:id="5"/>
      <w:bookmarkEnd w:id="6"/>
    </w:p>
    <w:p w14:paraId="2E929CFE" w14:textId="77777777" w:rsidR="008B2D23" w:rsidRPr="00DF43D8" w:rsidRDefault="008B2D23" w:rsidP="00655E51">
      <w:pPr>
        <w:pStyle w:val="Heading2"/>
        <w:rPr>
          <w:rFonts w:ascii="Arial" w:hAnsi="Arial" w:cs="Arial"/>
          <w:color w:val="auto"/>
          <w:sz w:val="28"/>
          <w:szCs w:val="28"/>
        </w:rPr>
      </w:pPr>
      <w:bookmarkStart w:id="7" w:name="_Toc227321012"/>
      <w:bookmarkStart w:id="8" w:name="_Toc227600464"/>
      <w:r w:rsidRPr="00DF43D8">
        <w:rPr>
          <w:rFonts w:eastAsia="Times New Roman"/>
          <w:color w:val="auto"/>
          <w:lang w:eastAsia="en-GB"/>
        </w:rPr>
        <w:t>2.</w:t>
      </w:r>
      <w:r w:rsidRPr="00DF43D8">
        <w:rPr>
          <w:rFonts w:ascii="Arial" w:hAnsi="Arial" w:cs="Arial"/>
          <w:color w:val="auto"/>
        </w:rPr>
        <w:t>1 Global Impact</w:t>
      </w:r>
      <w:bookmarkEnd w:id="7"/>
      <w:bookmarkEnd w:id="8"/>
    </w:p>
    <w:p w14:paraId="499D8541"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SDG 3 encompasses a broad range of targets, including reducing maternal mortality, ending epidemics, improving mental health, and achieving universal health coverage (United Nations, 2023). Since its adoption, there have been significant improvements in global health indicators. For example, reductions in child mortality and increased access to essential healthcare services demonstrate progress towards achieving these targets.</w:t>
      </w:r>
    </w:p>
    <w:p w14:paraId="3B0DE54E"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 xml:space="preserve">Research published in The Lancet indicates that global health initiatives linked to SDG 3 have contributed to improved population health outcomes, particularly in low- and middle-income countries (Jamison et al., 2018). Similarly, studies in BMJ </w:t>
      </w:r>
      <w:r w:rsidRPr="008B2D23">
        <w:rPr>
          <w:rFonts w:ascii="Arial" w:eastAsia="Times New Roman" w:hAnsi="Arial" w:cs="Arial"/>
          <w:kern w:val="0"/>
          <w:lang w:eastAsia="en-GB"/>
          <w14:ligatures w14:val="none"/>
        </w:rPr>
        <w:lastRenderedPageBreak/>
        <w:t>highlight the importance of preventative healthcare in reducing disease burden and improving long-term health outcomes (Horton et al., 2020).</w:t>
      </w:r>
    </w:p>
    <w:p w14:paraId="1F22C13F"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These developments demonstrate that global frameworks can provide strategic direction and encourage collaboration between governments and international organisations. However, the extent of their impact varies significantly across regions.</w:t>
      </w:r>
    </w:p>
    <w:p w14:paraId="135C548C" w14:textId="77777777" w:rsidR="008B2D23" w:rsidRPr="00DF43D8" w:rsidRDefault="008B2D23" w:rsidP="009C40D2">
      <w:pPr>
        <w:pStyle w:val="Heading2"/>
        <w:rPr>
          <w:rFonts w:ascii="Arial" w:hAnsi="Arial" w:cs="Arial"/>
          <w:color w:val="auto"/>
          <w:sz w:val="28"/>
          <w:szCs w:val="28"/>
        </w:rPr>
      </w:pPr>
      <w:bookmarkStart w:id="9" w:name="_Toc227321013"/>
      <w:bookmarkStart w:id="10" w:name="_Toc227600465"/>
      <w:r w:rsidRPr="00DF43D8">
        <w:rPr>
          <w:rFonts w:ascii="Arial" w:hAnsi="Arial" w:cs="Arial"/>
          <w:color w:val="auto"/>
          <w:sz w:val="28"/>
          <w:szCs w:val="28"/>
        </w:rPr>
        <w:t>2.2 Critical Analysis</w:t>
      </w:r>
      <w:bookmarkEnd w:id="9"/>
      <w:bookmarkEnd w:id="10"/>
    </w:p>
    <w:p w14:paraId="58243D59"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Despite these achievements, SDG 3 has been widely criticised for its broad scope and lack of prioritisation. The inclusion of multiple targets and indicators makes implementation complex and can dilute policy focus. Furthermore, progress has been uneven, with low-income countries continuing to experience higher mortality rates and limited access to healthcare.</w:t>
      </w:r>
    </w:p>
    <w:p w14:paraId="01526BE8" w14:textId="6E8A5F7A"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The social determinants of health framework provide a critical perspective on these limitations. Marmot (2010) argues that health inequalities are rooted in socio-economic disparities, including income, education, and housing. This view is supported by research in Social Science &amp; Medicine, which emphasises that structural factors play a significant role in shaping health outcomes (Solar and Irwin, 2010).</w:t>
      </w:r>
    </w:p>
    <w:p w14:paraId="52025E53"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In addition, Schrecker and Bambra (2015) argue that global economic systems have exacerbated inequalities, limiting the effectiveness of health interventions. This suggests that SDG 3 cannot be fully achieved without addressing broader socio-economic and political factors.</w:t>
      </w:r>
    </w:p>
    <w:p w14:paraId="3FE97517" w14:textId="77777777" w:rsidR="008B2D23" w:rsidRPr="00DF43D8" w:rsidRDefault="008B2D23" w:rsidP="009C40D2">
      <w:pPr>
        <w:pStyle w:val="Heading2"/>
        <w:rPr>
          <w:rFonts w:ascii="Arial" w:hAnsi="Arial" w:cs="Arial"/>
          <w:color w:val="auto"/>
          <w:sz w:val="28"/>
          <w:szCs w:val="28"/>
        </w:rPr>
      </w:pPr>
      <w:bookmarkStart w:id="11" w:name="_Toc227321014"/>
      <w:bookmarkStart w:id="12" w:name="_Toc227600466"/>
      <w:r w:rsidRPr="00DF43D8">
        <w:rPr>
          <w:rFonts w:ascii="Arial" w:hAnsi="Arial" w:cs="Arial"/>
          <w:color w:val="auto"/>
          <w:sz w:val="28"/>
          <w:szCs w:val="28"/>
        </w:rPr>
        <w:t>2.3 Impact on Citizens</w:t>
      </w:r>
      <w:bookmarkEnd w:id="11"/>
      <w:bookmarkEnd w:id="12"/>
    </w:p>
    <w:p w14:paraId="7A3DB79D"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At the individual level, SDG 3 influences access to healthcare services, quality of life, and overall wellbeing. Improved healthcare systems can lead to increased life expectancy and reduced disease burden. However, these benefits are not equally distributed.</w:t>
      </w:r>
    </w:p>
    <w:p w14:paraId="2CB9EE15"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Research in The Milbank Quarterly demonstrates that disadvantaged populations continue to experience poorer health outcomes despite overall improvements (Braveman et al., 2011). This highlights the need for targeted policies that address inequality rather than relying solely on universal approaches.</w:t>
      </w:r>
    </w:p>
    <w:p w14:paraId="73EF72C5" w14:textId="77777777" w:rsidR="008B2D23" w:rsidRPr="008B2D23" w:rsidRDefault="00000000" w:rsidP="008B2D23">
      <w:pPr>
        <w:spacing w:after="0" w:line="240" w:lineRule="auto"/>
        <w:rPr>
          <w:rFonts w:ascii="Times New Roman" w:eastAsia="Times New Roman" w:hAnsi="Times New Roman" w:cs="Times New Roman"/>
          <w:kern w:val="0"/>
          <w:lang w:eastAsia="en-GB"/>
          <w14:ligatures w14:val="none"/>
        </w:rPr>
      </w:pPr>
      <w:r>
        <w:rPr>
          <w:rFonts w:ascii="Arial" w:eastAsia="Times New Roman" w:hAnsi="Arial" w:cs="Arial"/>
          <w:kern w:val="0"/>
          <w:lang w:eastAsia="en-GB"/>
          <w14:ligatures w14:val="none"/>
        </w:rPr>
        <w:pict w14:anchorId="13376E55">
          <v:rect id="_x0000_i1055" style="width:0;height:1.5pt" o:hralign="center" o:hrstd="t" o:hr="t" fillcolor="#a0a0a0" stroked="f"/>
        </w:pict>
      </w:r>
    </w:p>
    <w:p w14:paraId="4412D2EC" w14:textId="53C99062" w:rsidR="008B2D23" w:rsidRPr="00DF43D8" w:rsidRDefault="008B2D23" w:rsidP="009C40D2">
      <w:pPr>
        <w:pStyle w:val="Heading3"/>
        <w:rPr>
          <w:rFonts w:ascii="Arial" w:hAnsi="Arial" w:cs="Arial"/>
          <w:color w:val="auto"/>
        </w:rPr>
      </w:pPr>
      <w:bookmarkStart w:id="13" w:name="_Toc227321015"/>
      <w:bookmarkStart w:id="14" w:name="_Toc227600467"/>
      <w:r w:rsidRPr="00DF43D8">
        <w:rPr>
          <w:rFonts w:ascii="Arial" w:hAnsi="Arial" w:cs="Arial"/>
          <w:color w:val="auto"/>
        </w:rPr>
        <w:lastRenderedPageBreak/>
        <w:t>3 Action and Health</w:t>
      </w:r>
      <w:r w:rsidR="00655E51" w:rsidRPr="00DF43D8">
        <w:rPr>
          <w:rFonts w:ascii="Arial" w:hAnsi="Arial" w:cs="Arial"/>
          <w:color w:val="auto"/>
        </w:rPr>
        <w:t>. SDG 13: Climate</w:t>
      </w:r>
      <w:bookmarkEnd w:id="13"/>
      <w:bookmarkEnd w:id="14"/>
    </w:p>
    <w:p w14:paraId="21327C2E" w14:textId="77777777" w:rsidR="008B2D23" w:rsidRPr="00DF43D8" w:rsidRDefault="008B2D23" w:rsidP="009C40D2">
      <w:pPr>
        <w:pStyle w:val="Heading3"/>
        <w:rPr>
          <w:rFonts w:eastAsia="Times New Roman"/>
          <w:color w:val="auto"/>
          <w:lang w:eastAsia="en-GB"/>
        </w:rPr>
      </w:pPr>
      <w:bookmarkStart w:id="15" w:name="_Toc227321016"/>
      <w:bookmarkStart w:id="16" w:name="_Toc227600468"/>
      <w:r w:rsidRPr="00DF43D8">
        <w:rPr>
          <w:rFonts w:eastAsia="Times New Roman"/>
          <w:color w:val="auto"/>
          <w:lang w:eastAsia="en-GB"/>
        </w:rPr>
        <w:t>3.1 Health Implications of Climate Change</w:t>
      </w:r>
      <w:bookmarkEnd w:id="15"/>
      <w:bookmarkEnd w:id="16"/>
    </w:p>
    <w:p w14:paraId="28D2BF63" w14:textId="77777777" w:rsidR="008B2D23" w:rsidRPr="00DF43D8" w:rsidRDefault="008B2D23" w:rsidP="009C40D2">
      <w:pPr>
        <w:pStyle w:val="Heading3"/>
        <w:rPr>
          <w:rFonts w:ascii="Arial" w:eastAsia="Times New Roman" w:hAnsi="Arial" w:cs="Arial"/>
          <w:color w:val="auto"/>
          <w:kern w:val="0"/>
          <w:sz w:val="24"/>
          <w:szCs w:val="24"/>
          <w:lang w:eastAsia="en-GB"/>
          <w14:ligatures w14:val="none"/>
        </w:rPr>
      </w:pPr>
      <w:bookmarkStart w:id="17" w:name="_Toc227600469"/>
      <w:r w:rsidRPr="00DF43D8">
        <w:rPr>
          <w:rFonts w:ascii="Arial" w:eastAsia="Times New Roman" w:hAnsi="Arial" w:cs="Arial"/>
          <w:color w:val="auto"/>
          <w:kern w:val="0"/>
          <w:sz w:val="24"/>
          <w:szCs w:val="24"/>
          <w:lang w:eastAsia="en-GB"/>
          <w14:ligatures w14:val="none"/>
        </w:rPr>
        <w:t>Climate change is increasingly recognised as a major determinant of health. Rising temperatures, air pollution, and extreme weather events have significant impacts on both physical and mental wellbeing. These include increased rates of respiratory disease, heat-related illness, and food insecurity.</w:t>
      </w:r>
      <w:bookmarkEnd w:id="17"/>
    </w:p>
    <w:p w14:paraId="3805082A" w14:textId="77777777" w:rsidR="008B2D23" w:rsidRPr="00DF43D8" w:rsidRDefault="008B2D23" w:rsidP="00655E51">
      <w:pPr>
        <w:pStyle w:val="Heading3"/>
        <w:rPr>
          <w:rFonts w:ascii="Arial" w:eastAsia="Times New Roman" w:hAnsi="Arial" w:cs="Arial"/>
          <w:color w:val="auto"/>
          <w:sz w:val="24"/>
          <w:szCs w:val="24"/>
          <w:lang w:eastAsia="en-GB"/>
        </w:rPr>
      </w:pPr>
      <w:bookmarkStart w:id="18" w:name="_Toc227321017"/>
      <w:bookmarkStart w:id="19" w:name="_Toc227600470"/>
      <w:r w:rsidRPr="00DF43D8">
        <w:rPr>
          <w:rFonts w:ascii="Arial" w:eastAsia="Times New Roman" w:hAnsi="Arial" w:cs="Arial"/>
          <w:color w:val="auto"/>
          <w:sz w:val="24"/>
          <w:szCs w:val="24"/>
          <w:lang w:eastAsia="en-GB"/>
        </w:rPr>
        <w:t>Watts et al. (2018), writing in The Lancet, describe climate change as one of the greatest threats to global health in the 21st century. This highlights the urgency of integrating environmental and health policies.</w:t>
      </w:r>
      <w:bookmarkEnd w:id="18"/>
      <w:bookmarkEnd w:id="19"/>
    </w:p>
    <w:p w14:paraId="34170CE0" w14:textId="77777777" w:rsidR="008B2D23" w:rsidRPr="00DF43D8" w:rsidRDefault="008B2D23" w:rsidP="009C40D2">
      <w:pPr>
        <w:pStyle w:val="Heading3"/>
        <w:rPr>
          <w:rFonts w:ascii="Arial" w:hAnsi="Arial" w:cs="Arial"/>
          <w:color w:val="auto"/>
        </w:rPr>
      </w:pPr>
      <w:bookmarkStart w:id="20" w:name="_Toc227321018"/>
      <w:bookmarkStart w:id="21" w:name="_Toc227600471"/>
      <w:r w:rsidRPr="00DF43D8">
        <w:rPr>
          <w:rFonts w:ascii="Arial" w:hAnsi="Arial" w:cs="Arial"/>
          <w:color w:val="auto"/>
        </w:rPr>
        <w:t>3.2 Interconnection with SDG 3</w:t>
      </w:r>
      <w:bookmarkEnd w:id="20"/>
      <w:bookmarkEnd w:id="21"/>
    </w:p>
    <w:p w14:paraId="7355AA24"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The relationship between SDG 3 and SDG 13 demonstrates the importance of a systems-based approach to health. Environmental degradation increases disease burden, while sustainable environments promote wellbeing.</w:t>
      </w:r>
    </w:p>
    <w:p w14:paraId="386D0CD5"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Haines and Ebi (2019) argue that climate action can produce significant health co-benefits, including improved air quality and reduced disease prevalence. This suggests that policies addressing climate change can simultaneously contribute to improved health outcomes.</w:t>
      </w:r>
    </w:p>
    <w:p w14:paraId="4A9214A1" w14:textId="77777777" w:rsidR="008B2D23" w:rsidRPr="00DF43D8" w:rsidRDefault="008B2D23" w:rsidP="009C40D2">
      <w:pPr>
        <w:pStyle w:val="Heading3"/>
        <w:rPr>
          <w:rFonts w:ascii="Arial" w:hAnsi="Arial" w:cs="Arial"/>
          <w:color w:val="auto"/>
        </w:rPr>
      </w:pPr>
      <w:bookmarkStart w:id="22" w:name="_Toc227321019"/>
      <w:bookmarkStart w:id="23" w:name="_Toc227600472"/>
      <w:r w:rsidRPr="00DF43D8">
        <w:rPr>
          <w:rFonts w:ascii="Arial" w:hAnsi="Arial" w:cs="Arial"/>
          <w:color w:val="auto"/>
        </w:rPr>
        <w:t>3.3 Critical Perspective</w:t>
      </w:r>
      <w:bookmarkEnd w:id="22"/>
      <w:bookmarkEnd w:id="23"/>
    </w:p>
    <w:p w14:paraId="612E48BE"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Despite strong evidence linking climate change and health, policy responses remain inadequate. Research in Globalization and Health suggests that economic priorities often take precedence over environmental concerns, limiting progress (Smith et al., 2014).</w:t>
      </w:r>
    </w:p>
    <w:p w14:paraId="47A97C36"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This lack of integration between environmental and health policy represents a significant barrier to achieving both SDG 3 and SDG 13. It also reflects broader challenges in global governance, where competing priorities hinder coordinated action.</w:t>
      </w:r>
    </w:p>
    <w:p w14:paraId="4C0EFFA1" w14:textId="77777777" w:rsidR="008B2D23" w:rsidRPr="008B2D23" w:rsidRDefault="00000000" w:rsidP="008B2D23">
      <w:pPr>
        <w:spacing w:after="0" w:line="240" w:lineRule="auto"/>
        <w:rPr>
          <w:rFonts w:ascii="Times New Roman" w:eastAsia="Times New Roman" w:hAnsi="Times New Roman" w:cs="Times New Roman"/>
          <w:kern w:val="0"/>
          <w:lang w:eastAsia="en-GB"/>
          <w14:ligatures w14:val="none"/>
        </w:rPr>
      </w:pPr>
      <w:r>
        <w:rPr>
          <w:rFonts w:ascii="Arial" w:eastAsia="Times New Roman" w:hAnsi="Arial" w:cs="Arial"/>
          <w:kern w:val="0"/>
          <w:lang w:eastAsia="en-GB"/>
          <w14:ligatures w14:val="none"/>
        </w:rPr>
        <w:pict w14:anchorId="50906EBF">
          <v:rect id="_x0000_i1056" style="width:0;height:1.5pt" o:hralign="center" o:hrstd="t" o:hr="t" fillcolor="#a0a0a0" stroked="f"/>
        </w:pict>
      </w:r>
    </w:p>
    <w:p w14:paraId="76719F6C" w14:textId="77777777" w:rsidR="008B2D23" w:rsidRPr="00DF43D8" w:rsidRDefault="008B2D23" w:rsidP="00655E51">
      <w:pPr>
        <w:pStyle w:val="Heading4"/>
        <w:rPr>
          <w:rFonts w:ascii="Arial" w:hAnsi="Arial" w:cs="Arial"/>
          <w:color w:val="auto"/>
        </w:rPr>
      </w:pPr>
      <w:r w:rsidRPr="00DF43D8">
        <w:rPr>
          <w:rFonts w:ascii="Arial" w:eastAsia="Times New Roman" w:hAnsi="Arial" w:cs="Arial"/>
          <w:color w:val="auto"/>
          <w:lang w:eastAsia="en-GB"/>
        </w:rPr>
        <w:lastRenderedPageBreak/>
        <w:t xml:space="preserve">4. </w:t>
      </w:r>
      <w:r w:rsidRPr="00DF43D8">
        <w:rPr>
          <w:rFonts w:ascii="Arial" w:hAnsi="Arial" w:cs="Arial"/>
          <w:color w:val="auto"/>
        </w:rPr>
        <w:t>National Policies: United Kingdom</w:t>
      </w:r>
    </w:p>
    <w:p w14:paraId="7FFDED90" w14:textId="77777777" w:rsidR="008B2D23" w:rsidRPr="00DF43D8" w:rsidRDefault="008B2D23" w:rsidP="009C40D2">
      <w:pPr>
        <w:pStyle w:val="Heading4"/>
        <w:rPr>
          <w:rFonts w:ascii="Arial" w:eastAsia="Times New Roman" w:hAnsi="Arial" w:cs="Arial"/>
          <w:color w:val="auto"/>
          <w:lang w:eastAsia="en-GB"/>
        </w:rPr>
      </w:pPr>
      <w:r w:rsidRPr="00DF43D8">
        <w:rPr>
          <w:rFonts w:ascii="Arial" w:eastAsia="Times New Roman" w:hAnsi="Arial" w:cs="Arial"/>
          <w:color w:val="auto"/>
          <w:lang w:eastAsia="en-GB"/>
        </w:rPr>
        <w:t>4.1 Key Initiatives</w:t>
      </w:r>
    </w:p>
    <w:p w14:paraId="4B8FACEA" w14:textId="77777777" w:rsidR="008B2D23" w:rsidRPr="00DF43D8" w:rsidRDefault="008B2D23" w:rsidP="009C40D2">
      <w:pPr>
        <w:pStyle w:val="Heading4"/>
        <w:rPr>
          <w:rFonts w:ascii="Arial" w:eastAsia="Times New Roman" w:hAnsi="Arial" w:cs="Arial"/>
          <w:kern w:val="0"/>
          <w:lang w:eastAsia="en-GB"/>
          <w14:ligatures w14:val="none"/>
        </w:rPr>
      </w:pPr>
      <w:r w:rsidRPr="00DF43D8">
        <w:rPr>
          <w:rFonts w:ascii="Arial" w:eastAsia="Times New Roman" w:hAnsi="Arial" w:cs="Arial"/>
          <w:color w:val="auto"/>
          <w:kern w:val="0"/>
          <w:lang w:eastAsia="en-GB"/>
          <w14:ligatures w14:val="none"/>
        </w:rPr>
        <w:t>The UK has developed several policies aligned with SDG 3, including the NHS Long Term Plan (2019), which emphasises prevention, early intervention, and integrated care. Public health initiatives targeting smoking, obesity, and mental health further support these objectives. Additionally, the Net Zero Strategy (2021) reflects a commitment to addressing environmental determinants of health</w:t>
      </w:r>
      <w:r w:rsidRPr="00DF43D8">
        <w:rPr>
          <w:rFonts w:ascii="Arial" w:eastAsia="Times New Roman" w:hAnsi="Arial" w:cs="Arial"/>
          <w:kern w:val="0"/>
          <w:lang w:eastAsia="en-GB"/>
          <w14:ligatures w14:val="none"/>
        </w:rPr>
        <w:t>.</w:t>
      </w:r>
    </w:p>
    <w:p w14:paraId="074ECE67" w14:textId="57BDE14A" w:rsidR="007E425C" w:rsidRPr="00DF43D8" w:rsidRDefault="008B2D23" w:rsidP="007E425C">
      <w:pPr>
        <w:pStyle w:val="Heading4"/>
        <w:rPr>
          <w:rFonts w:ascii="Arial" w:eastAsia="Times New Roman" w:hAnsi="Arial" w:cs="Arial"/>
          <w:color w:val="auto"/>
          <w:lang w:eastAsia="en-GB"/>
        </w:rPr>
      </w:pPr>
      <w:r w:rsidRPr="00DF43D8">
        <w:rPr>
          <w:rFonts w:ascii="Arial" w:eastAsia="Times New Roman" w:hAnsi="Arial" w:cs="Arial"/>
          <w:color w:val="auto"/>
          <w:lang w:eastAsia="en-GB"/>
        </w:rPr>
        <w:t xml:space="preserve">4.2 Evaluation of </w:t>
      </w:r>
      <w:r w:rsidR="007E425C" w:rsidRPr="00DF43D8">
        <w:rPr>
          <w:rFonts w:ascii="Arial" w:eastAsia="Times New Roman" w:hAnsi="Arial" w:cs="Arial"/>
          <w:color w:val="auto"/>
          <w:lang w:eastAsia="en-GB"/>
        </w:rPr>
        <w:t>Effectiveness</w:t>
      </w:r>
    </w:p>
    <w:p w14:paraId="5409CE42" w14:textId="2A78B105" w:rsidR="008B2D23" w:rsidRPr="008B2D23" w:rsidRDefault="008B2D23" w:rsidP="007E425C">
      <w:pPr>
        <w:spacing w:before="100" w:beforeAutospacing="1" w:after="100" w:afterAutospacing="1" w:line="240" w:lineRule="auto"/>
        <w:outlineLvl w:val="2"/>
        <w:rPr>
          <w:rFonts w:ascii="Arial" w:eastAsia="Times New Roman" w:hAnsi="Arial" w:cs="Arial"/>
          <w:kern w:val="0"/>
          <w:lang w:eastAsia="en-GB"/>
          <w14:ligatures w14:val="none"/>
        </w:rPr>
      </w:pPr>
      <w:bookmarkStart w:id="24" w:name="_Toc227321020"/>
      <w:bookmarkStart w:id="25" w:name="_Toc227600473"/>
      <w:r w:rsidRPr="008B2D23">
        <w:rPr>
          <w:rFonts w:ascii="Arial" w:eastAsia="Times New Roman" w:hAnsi="Arial" w:cs="Arial"/>
          <w:kern w:val="0"/>
          <w:lang w:eastAsia="en-GB"/>
          <w14:ligatures w14:val="none"/>
        </w:rPr>
        <w:t>The UK’s healthcare system provides universal access, which is a significant strength. This reduces financial barriers and promotes equity in healthcare provision (Cylus et al., 2015). Increased investment in mental health services and preventative care also aligns with SDG principles.</w:t>
      </w:r>
      <w:bookmarkEnd w:id="24"/>
      <w:bookmarkEnd w:id="25"/>
    </w:p>
    <w:p w14:paraId="173AA773"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However, significant challenges remain. Workforce shortages, funding constraints, and increasing demand have placed considerable pressure on the NHS. Research in Health Policy highlights the impact of ageing populations and chronic disease on healthcare systems (Figueras et al., 2018).</w:t>
      </w:r>
    </w:p>
    <w:p w14:paraId="4036A8B7"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Health inequalities also persist. The Marmot Review (2020) found that life expectancy improvements have stalled, particularly in deprived areas, indicating that existing policies have not effectively addressed inequality.</w:t>
      </w:r>
    </w:p>
    <w:p w14:paraId="0BF34854" w14:textId="77777777" w:rsidR="008B2D23" w:rsidRPr="00DF43D8" w:rsidRDefault="008B2D23" w:rsidP="009C40D2">
      <w:pPr>
        <w:pStyle w:val="Heading4"/>
        <w:rPr>
          <w:color w:val="auto"/>
        </w:rPr>
      </w:pPr>
      <w:r w:rsidRPr="00DF43D8">
        <w:rPr>
          <w:color w:val="auto"/>
        </w:rPr>
        <w:t>4.3 Critical Analysis</w:t>
      </w:r>
    </w:p>
    <w:p w14:paraId="0F2A7BCF"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The effectiveness of UK health policy is limited by broader socio-economic conditions. Bambra et al. (2020), writing in Journal of Epidemiology and Community Health, argue that austerity measures have negatively impacted public health, contributing to widening inequalities.</w:t>
      </w:r>
    </w:p>
    <w:p w14:paraId="6BDC7E00"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This suggests that healthcare policies alone are insufficient to improve health outcomes. A more comprehensive approach is required, addressing both healthcare systems and the social determinants of health.</w:t>
      </w:r>
    </w:p>
    <w:p w14:paraId="04DAC2FC" w14:textId="77777777" w:rsidR="008B2D23" w:rsidRPr="008B2D23" w:rsidRDefault="00000000" w:rsidP="008B2D23">
      <w:pPr>
        <w:spacing w:after="0" w:line="240" w:lineRule="auto"/>
        <w:rPr>
          <w:rFonts w:ascii="Times New Roman" w:eastAsia="Times New Roman" w:hAnsi="Times New Roman" w:cs="Times New Roman"/>
          <w:kern w:val="0"/>
          <w:lang w:eastAsia="en-GB"/>
          <w14:ligatures w14:val="none"/>
        </w:rPr>
      </w:pPr>
      <w:r>
        <w:rPr>
          <w:rFonts w:ascii="Arial" w:eastAsia="Times New Roman" w:hAnsi="Arial" w:cs="Arial"/>
          <w:kern w:val="0"/>
          <w:lang w:eastAsia="en-GB"/>
          <w14:ligatures w14:val="none"/>
        </w:rPr>
        <w:pict w14:anchorId="4FF5743F">
          <v:rect id="_x0000_i1028" style="width:0;height:1.5pt" o:hralign="center" o:hrstd="t" o:hr="t" fillcolor="#a0a0a0" stroked="f"/>
        </w:pict>
      </w:r>
    </w:p>
    <w:p w14:paraId="5776F01F" w14:textId="77777777" w:rsidR="008B2D23" w:rsidRPr="00DF43D8" w:rsidRDefault="008B2D23" w:rsidP="009C40D2">
      <w:pPr>
        <w:pStyle w:val="Heading5"/>
        <w:rPr>
          <w:rFonts w:ascii="Arial" w:hAnsi="Arial" w:cs="Arial"/>
          <w:color w:val="auto"/>
        </w:rPr>
      </w:pPr>
      <w:r w:rsidRPr="00DF43D8">
        <w:rPr>
          <w:rFonts w:ascii="Arial" w:hAnsi="Arial" w:cs="Arial"/>
          <w:color w:val="auto"/>
        </w:rPr>
        <w:t>5. Evaluation of Policy Effectiveness</w:t>
      </w:r>
    </w:p>
    <w:p w14:paraId="08E6C668"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At a global level, the SDGs provide a valuable framework for addressing health and sustainability challenges. However, their voluntary nature limits enforcement, resulting in uneven progress across countries.</w:t>
      </w:r>
    </w:p>
    <w:p w14:paraId="185641E6"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At a national level, policies such as those implemented in the UK demonstrate strong institutional capacity but are constrained by resource limitations and socio-economic inequalities.</w:t>
      </w:r>
    </w:p>
    <w:p w14:paraId="402ADE49" w14:textId="77777777" w:rsidR="008B2D23" w:rsidRPr="008B2D23" w:rsidRDefault="008B2D23" w:rsidP="008B2D23">
      <w:pPr>
        <w:spacing w:before="100" w:beforeAutospacing="1" w:after="100" w:afterAutospacing="1" w:line="240" w:lineRule="auto"/>
        <w:rPr>
          <w:rFonts w:ascii="Times New Roman" w:eastAsia="Times New Roman" w:hAnsi="Times New Roman" w:cs="Times New Roman"/>
          <w:kern w:val="0"/>
          <w:lang w:eastAsia="en-GB"/>
          <w14:ligatures w14:val="none"/>
        </w:rPr>
      </w:pPr>
      <w:r w:rsidRPr="008B2D23">
        <w:rPr>
          <w:rFonts w:ascii="Arial" w:eastAsia="Times New Roman" w:hAnsi="Arial" w:cs="Arial"/>
          <w:kern w:val="0"/>
          <w:lang w:eastAsia="en-GB"/>
          <w14:ligatures w14:val="none"/>
        </w:rPr>
        <w:t xml:space="preserve">A key issue across all levels is the gap between policy design and implementation. While policies are often ambitious and well-structured, their effectiveness is limited </w:t>
      </w:r>
      <w:r w:rsidRPr="008B2D23">
        <w:rPr>
          <w:rFonts w:ascii="Arial" w:eastAsia="Times New Roman" w:hAnsi="Arial" w:cs="Arial"/>
          <w:kern w:val="0"/>
          <w:lang w:eastAsia="en-GB"/>
          <w14:ligatures w14:val="none"/>
        </w:rPr>
        <w:lastRenderedPageBreak/>
        <w:t>by practical challenges, including funding constraints, political priorities, and governance issues</w:t>
      </w:r>
      <w:r w:rsidRPr="008B2D23">
        <w:rPr>
          <w:rFonts w:ascii="Times New Roman" w:eastAsia="Times New Roman" w:hAnsi="Times New Roman" w:cs="Times New Roman"/>
          <w:kern w:val="0"/>
          <w:lang w:eastAsia="en-GB"/>
          <w14:ligatures w14:val="none"/>
        </w:rPr>
        <w:t>.</w:t>
      </w:r>
    </w:p>
    <w:p w14:paraId="479E662B" w14:textId="77777777" w:rsidR="008B2D23" w:rsidRPr="008B2D23" w:rsidRDefault="00000000" w:rsidP="008B2D23">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16796D15">
          <v:rect id="_x0000_i1029" style="width:0;height:1.5pt" o:hralign="center" o:hrstd="t" o:hr="t" fillcolor="#a0a0a0" stroked="f"/>
        </w:pict>
      </w:r>
    </w:p>
    <w:p w14:paraId="22C25CAF" w14:textId="77777777" w:rsidR="008B2D23" w:rsidRPr="009C40D2" w:rsidRDefault="008B2D23" w:rsidP="009C40D2">
      <w:pPr>
        <w:pStyle w:val="Heading6"/>
      </w:pPr>
      <w:r w:rsidRPr="009C40D2">
        <w:t>6. Recommendations</w:t>
      </w:r>
    </w:p>
    <w:p w14:paraId="156A6FFB"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Several actions are necessary to improve the effectiveness of health and sustainability policies.</w:t>
      </w:r>
    </w:p>
    <w:p w14:paraId="2F56B1D2"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First, there is a need for greater integration between health and environmental policies. Addressing climate change can generate significant health benefits, and policies should reflect this interconnection.</w:t>
      </w:r>
    </w:p>
    <w:p w14:paraId="2BF0A3A0"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Second, governments should increase investment in preventative healthcare. Preventative approaches can reduce long-term costs and improve population health outcomes.</w:t>
      </w:r>
    </w:p>
    <w:p w14:paraId="49C1FEE6"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Third, policies must address the social determinants of health. Reducing inequality in income, education, and housing is essential for improving health outcomes.</w:t>
      </w:r>
    </w:p>
    <w:p w14:paraId="325CAC3A"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Fourth, stronger accountability mechanisms are required at the global level to ensure progress towards SDGs.</w:t>
      </w:r>
    </w:p>
    <w:p w14:paraId="2847EB6A" w14:textId="77777777" w:rsidR="008B2D23" w:rsidRPr="008B2D23" w:rsidRDefault="008B2D23" w:rsidP="008B2D23">
      <w:pPr>
        <w:spacing w:before="100" w:beforeAutospacing="1" w:after="100" w:afterAutospacing="1" w:line="240" w:lineRule="auto"/>
        <w:rPr>
          <w:rFonts w:ascii="Times New Roman" w:eastAsia="Times New Roman" w:hAnsi="Times New Roman" w:cs="Times New Roman"/>
          <w:kern w:val="0"/>
          <w:lang w:eastAsia="en-GB"/>
          <w14:ligatures w14:val="none"/>
        </w:rPr>
      </w:pPr>
      <w:r w:rsidRPr="008B2D23">
        <w:rPr>
          <w:rFonts w:ascii="Arial" w:eastAsia="Times New Roman" w:hAnsi="Arial" w:cs="Arial"/>
          <w:kern w:val="0"/>
          <w:lang w:eastAsia="en-GB"/>
          <w14:ligatures w14:val="none"/>
        </w:rPr>
        <w:t>Finally, greater use of academic research can enhance policy design and implementation, ensuring that interventions are evidence-based and effective</w:t>
      </w:r>
      <w:r w:rsidRPr="008B2D23">
        <w:rPr>
          <w:rFonts w:ascii="Times New Roman" w:eastAsia="Times New Roman" w:hAnsi="Times New Roman" w:cs="Times New Roman"/>
          <w:kern w:val="0"/>
          <w:lang w:eastAsia="en-GB"/>
          <w14:ligatures w14:val="none"/>
        </w:rPr>
        <w:t>.</w:t>
      </w:r>
    </w:p>
    <w:p w14:paraId="6A1EF9C7" w14:textId="77777777" w:rsidR="008B2D23" w:rsidRPr="008B2D23" w:rsidRDefault="00000000" w:rsidP="008B2D23">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4B5A6A16">
          <v:rect id="_x0000_i1030" style="width:0;height:1.5pt" o:hralign="center" o:hrstd="t" o:hr="t" fillcolor="#a0a0a0" stroked="f"/>
        </w:pict>
      </w:r>
    </w:p>
    <w:p w14:paraId="416130F1" w14:textId="77777777" w:rsidR="008B2D23" w:rsidRPr="009C40D2" w:rsidRDefault="008B2D23" w:rsidP="009C40D2">
      <w:pPr>
        <w:pStyle w:val="Heading7"/>
      </w:pPr>
      <w:r w:rsidRPr="009C40D2">
        <w:t>7. Conclusion</w:t>
      </w:r>
    </w:p>
    <w:p w14:paraId="489F6BBC"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SDG 3 and SDG 13 play a critical role in shaping global health and wellbeing. While progress has been made, significant challenges remain, particularly in addressing inequalities and ensuring effective implementation.</w:t>
      </w:r>
    </w:p>
    <w:p w14:paraId="26F4F180"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The UK provides a useful example of both strengths and limitations in national health policy. Although universal healthcare and preventative strategies have improved health outcomes, structural inequalities and resource constraints continue to limit effectiveness.</w:t>
      </w:r>
    </w:p>
    <w:p w14:paraId="1DE18C0D"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Overall, achieving sustainable health and wellbeing requires a more integrated and comprehensive approach that addresses both healthcare systems and the broader determinants of health.</w:t>
      </w:r>
    </w:p>
    <w:p w14:paraId="70C68C50" w14:textId="77777777" w:rsidR="008B2D23" w:rsidRPr="008B2D23" w:rsidRDefault="00000000" w:rsidP="008B2D23">
      <w:pPr>
        <w:spacing w:after="0" w:line="240" w:lineRule="auto"/>
        <w:rPr>
          <w:rFonts w:ascii="Times New Roman" w:eastAsia="Times New Roman" w:hAnsi="Times New Roman" w:cs="Times New Roman"/>
          <w:kern w:val="0"/>
          <w:lang w:eastAsia="en-GB"/>
          <w14:ligatures w14:val="none"/>
        </w:rPr>
      </w:pPr>
      <w:r>
        <w:rPr>
          <w:rFonts w:ascii="Arial" w:eastAsia="Times New Roman" w:hAnsi="Arial" w:cs="Arial"/>
          <w:kern w:val="0"/>
          <w:lang w:eastAsia="en-GB"/>
          <w14:ligatures w14:val="none"/>
        </w:rPr>
        <w:pict w14:anchorId="66A4B551">
          <v:rect id="_x0000_i1031" style="width:0;height:1.5pt" o:hralign="center" o:hrstd="t" o:hr="t" fillcolor="#a0a0a0" stroked="f"/>
        </w:pict>
      </w:r>
    </w:p>
    <w:p w14:paraId="0C01BEBE" w14:textId="77777777" w:rsidR="008B2D23" w:rsidRPr="008B2D23" w:rsidRDefault="008B2D23" w:rsidP="007E425C">
      <w:pPr>
        <w:pStyle w:val="Heading8"/>
        <w:rPr>
          <w:rFonts w:eastAsia="Times New Roman"/>
          <w:lang w:eastAsia="en-GB"/>
        </w:rPr>
      </w:pPr>
      <w:r w:rsidRPr="008B2D23">
        <w:rPr>
          <w:rFonts w:eastAsia="Times New Roman"/>
          <w:lang w:eastAsia="en-GB"/>
        </w:rPr>
        <w:t>References (Harvard Style)</w:t>
      </w:r>
    </w:p>
    <w:p w14:paraId="39FF453B"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 xml:space="preserve">Bambra, C., Riordan, R., Ford, J. and Matthews, F. (2020) ‘The COVID-19 pandemic and health inequalities’, </w:t>
      </w:r>
      <w:r w:rsidRPr="008B2D23">
        <w:rPr>
          <w:rFonts w:ascii="Arial" w:eastAsia="Times New Roman" w:hAnsi="Arial" w:cs="Arial"/>
          <w:i/>
          <w:iCs/>
          <w:kern w:val="0"/>
          <w:lang w:eastAsia="en-GB"/>
          <w14:ligatures w14:val="none"/>
        </w:rPr>
        <w:t>Journal of Epidemiology and Community Health</w:t>
      </w:r>
      <w:r w:rsidRPr="008B2D23">
        <w:rPr>
          <w:rFonts w:ascii="Arial" w:eastAsia="Times New Roman" w:hAnsi="Arial" w:cs="Arial"/>
          <w:kern w:val="0"/>
          <w:lang w:eastAsia="en-GB"/>
          <w14:ligatures w14:val="none"/>
        </w:rPr>
        <w:t>, 74(11), pp. 964–968.</w:t>
      </w:r>
    </w:p>
    <w:p w14:paraId="110FC9D8"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lastRenderedPageBreak/>
        <w:t xml:space="preserve">Braveman, P., Egerter, S. and Williams, D. (2011) ‘The social determinants of health’, </w:t>
      </w:r>
      <w:r w:rsidRPr="008B2D23">
        <w:rPr>
          <w:rFonts w:ascii="Arial" w:eastAsia="Times New Roman" w:hAnsi="Arial" w:cs="Arial"/>
          <w:i/>
          <w:iCs/>
          <w:kern w:val="0"/>
          <w:lang w:eastAsia="en-GB"/>
          <w14:ligatures w14:val="none"/>
        </w:rPr>
        <w:t>The Milbank Quarterly</w:t>
      </w:r>
      <w:r w:rsidRPr="008B2D23">
        <w:rPr>
          <w:rFonts w:ascii="Arial" w:eastAsia="Times New Roman" w:hAnsi="Arial" w:cs="Arial"/>
          <w:kern w:val="0"/>
          <w:lang w:eastAsia="en-GB"/>
          <w14:ligatures w14:val="none"/>
        </w:rPr>
        <w:t>, 89(3), pp. 381–398.</w:t>
      </w:r>
    </w:p>
    <w:p w14:paraId="25BF1C0B"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 xml:space="preserve">Cylus, J., Papanicolas, I. and Smith, P. (2015) </w:t>
      </w:r>
      <w:r w:rsidRPr="008B2D23">
        <w:rPr>
          <w:rFonts w:ascii="Arial" w:eastAsia="Times New Roman" w:hAnsi="Arial" w:cs="Arial"/>
          <w:i/>
          <w:iCs/>
          <w:kern w:val="0"/>
          <w:lang w:eastAsia="en-GB"/>
          <w14:ligatures w14:val="none"/>
        </w:rPr>
        <w:t>Health system efficiency</w:t>
      </w:r>
      <w:r w:rsidRPr="008B2D23">
        <w:rPr>
          <w:rFonts w:ascii="Arial" w:eastAsia="Times New Roman" w:hAnsi="Arial" w:cs="Arial"/>
          <w:kern w:val="0"/>
          <w:lang w:eastAsia="en-GB"/>
          <w14:ligatures w14:val="none"/>
        </w:rPr>
        <w:t>. Maidenhead: Open University Press.</w:t>
      </w:r>
    </w:p>
    <w:p w14:paraId="2FA38ACB"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 xml:space="preserve">Figueras, J., McKee, M., Lessof, S. and Duran, A. (2018) ‘Health systems, health, and wealth’, </w:t>
      </w:r>
      <w:r w:rsidRPr="008B2D23">
        <w:rPr>
          <w:rFonts w:ascii="Arial" w:eastAsia="Times New Roman" w:hAnsi="Arial" w:cs="Arial"/>
          <w:i/>
          <w:iCs/>
          <w:kern w:val="0"/>
          <w:lang w:eastAsia="en-GB"/>
          <w14:ligatures w14:val="none"/>
        </w:rPr>
        <w:t>Health Policy</w:t>
      </w:r>
      <w:r w:rsidRPr="008B2D23">
        <w:rPr>
          <w:rFonts w:ascii="Arial" w:eastAsia="Times New Roman" w:hAnsi="Arial" w:cs="Arial"/>
          <w:kern w:val="0"/>
          <w:lang w:eastAsia="en-GB"/>
          <w14:ligatures w14:val="none"/>
        </w:rPr>
        <w:t>, 122(1), pp. 1–5.</w:t>
      </w:r>
    </w:p>
    <w:p w14:paraId="30105B73"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 xml:space="preserve">Haines, A. and Ebi, K. (2019) ‘The imperative for climate action to protect health’, </w:t>
      </w:r>
      <w:r w:rsidRPr="008B2D23">
        <w:rPr>
          <w:rFonts w:ascii="Arial" w:eastAsia="Times New Roman" w:hAnsi="Arial" w:cs="Arial"/>
          <w:i/>
          <w:iCs/>
          <w:kern w:val="0"/>
          <w:lang w:eastAsia="en-GB"/>
          <w14:ligatures w14:val="none"/>
        </w:rPr>
        <w:t>New England Journal of Medicine</w:t>
      </w:r>
      <w:r w:rsidRPr="008B2D23">
        <w:rPr>
          <w:rFonts w:ascii="Arial" w:eastAsia="Times New Roman" w:hAnsi="Arial" w:cs="Arial"/>
          <w:kern w:val="0"/>
          <w:lang w:eastAsia="en-GB"/>
          <w14:ligatures w14:val="none"/>
        </w:rPr>
        <w:t>, 380(3), pp. 263–273.</w:t>
      </w:r>
    </w:p>
    <w:p w14:paraId="7E910C1C" w14:textId="77777777" w:rsidR="008B2D23" w:rsidRPr="008B2D23" w:rsidRDefault="008B2D23" w:rsidP="008B2D23">
      <w:pPr>
        <w:spacing w:before="100" w:beforeAutospacing="1" w:after="100" w:afterAutospacing="1" w:line="240" w:lineRule="auto"/>
        <w:rPr>
          <w:rFonts w:ascii="Arial" w:eastAsia="Times New Roman" w:hAnsi="Arial" w:cs="Arial"/>
          <w:kern w:val="0"/>
          <w:lang w:eastAsia="en-GB"/>
          <w14:ligatures w14:val="none"/>
        </w:rPr>
      </w:pPr>
      <w:r w:rsidRPr="008B2D23">
        <w:rPr>
          <w:rFonts w:ascii="Arial" w:eastAsia="Times New Roman" w:hAnsi="Arial" w:cs="Arial"/>
          <w:kern w:val="0"/>
          <w:lang w:eastAsia="en-GB"/>
          <w14:ligatures w14:val="none"/>
        </w:rPr>
        <w:t xml:space="preserve">Horton, R. et al. (2020) ‘Offline: COVID-19 is not a pandemic’, </w:t>
      </w:r>
      <w:r w:rsidRPr="008B2D23">
        <w:rPr>
          <w:rFonts w:ascii="Arial" w:eastAsia="Times New Roman" w:hAnsi="Arial" w:cs="Arial"/>
          <w:i/>
          <w:iCs/>
          <w:kern w:val="0"/>
          <w:lang w:eastAsia="en-GB"/>
          <w14:ligatures w14:val="none"/>
        </w:rPr>
        <w:t>BMJ</w:t>
      </w:r>
      <w:r w:rsidRPr="008B2D23">
        <w:rPr>
          <w:rFonts w:ascii="Arial" w:eastAsia="Times New Roman" w:hAnsi="Arial" w:cs="Arial"/>
          <w:kern w:val="0"/>
          <w:lang w:eastAsia="en-GB"/>
          <w14:ligatures w14:val="none"/>
        </w:rPr>
        <w:t>, 370, m3563.</w:t>
      </w:r>
    </w:p>
    <w:p w14:paraId="1D8A9D5D" w14:textId="77777777" w:rsidR="008B2D23" w:rsidRPr="008B2D23" w:rsidRDefault="008B2D23" w:rsidP="008B2D23">
      <w:pPr>
        <w:spacing w:before="100" w:beforeAutospacing="1" w:after="100" w:afterAutospacing="1" w:line="240" w:lineRule="auto"/>
        <w:rPr>
          <w:rFonts w:ascii="Times New Roman" w:eastAsia="Times New Roman" w:hAnsi="Times New Roman" w:cs="Times New Roman"/>
          <w:kern w:val="0"/>
          <w:lang w:eastAsia="en-GB"/>
          <w14:ligatures w14:val="none"/>
        </w:rPr>
      </w:pPr>
      <w:r w:rsidRPr="008B2D23">
        <w:rPr>
          <w:rFonts w:ascii="Arial" w:eastAsia="Times New Roman" w:hAnsi="Arial" w:cs="Arial"/>
          <w:kern w:val="0"/>
          <w:lang w:eastAsia="en-GB"/>
          <w14:ligatures w14:val="none"/>
        </w:rPr>
        <w:t xml:space="preserve">Jamison, D. et al. (2018) ‘Global health 2035’, </w:t>
      </w:r>
      <w:r w:rsidRPr="008B2D23">
        <w:rPr>
          <w:rFonts w:ascii="Arial" w:eastAsia="Times New Roman" w:hAnsi="Arial" w:cs="Arial"/>
          <w:i/>
          <w:iCs/>
          <w:kern w:val="0"/>
          <w:lang w:eastAsia="en-GB"/>
          <w14:ligatures w14:val="none"/>
        </w:rPr>
        <w:t>The Lancet</w:t>
      </w:r>
      <w:r w:rsidRPr="008B2D23">
        <w:rPr>
          <w:rFonts w:ascii="Arial" w:eastAsia="Times New Roman" w:hAnsi="Arial" w:cs="Arial"/>
          <w:kern w:val="0"/>
          <w:lang w:eastAsia="en-GB"/>
          <w14:ligatures w14:val="none"/>
        </w:rPr>
        <w:t>, 382(9908), pp. 1898</w:t>
      </w:r>
      <w:r w:rsidRPr="008B2D23">
        <w:rPr>
          <w:rFonts w:ascii="Times New Roman" w:eastAsia="Times New Roman" w:hAnsi="Times New Roman" w:cs="Times New Roman"/>
          <w:kern w:val="0"/>
          <w:lang w:eastAsia="en-GB"/>
          <w14:ligatures w14:val="none"/>
        </w:rPr>
        <w:t>–1955.</w:t>
      </w:r>
    </w:p>
    <w:p w14:paraId="69C3B0C1" w14:textId="77777777" w:rsidR="008B2D23" w:rsidRPr="008B2D23" w:rsidRDefault="008B2D23" w:rsidP="008B2D23">
      <w:pPr>
        <w:spacing w:before="100" w:beforeAutospacing="1" w:after="100" w:afterAutospacing="1" w:line="240" w:lineRule="auto"/>
        <w:rPr>
          <w:rFonts w:ascii="Times New Roman" w:eastAsia="Times New Roman" w:hAnsi="Times New Roman" w:cs="Times New Roman"/>
          <w:kern w:val="0"/>
          <w:lang w:eastAsia="en-GB"/>
          <w14:ligatures w14:val="none"/>
        </w:rPr>
      </w:pPr>
      <w:r w:rsidRPr="008B2D23">
        <w:rPr>
          <w:rFonts w:ascii="Times New Roman" w:eastAsia="Times New Roman" w:hAnsi="Times New Roman" w:cs="Times New Roman"/>
          <w:kern w:val="0"/>
          <w:lang w:eastAsia="en-GB"/>
          <w14:ligatures w14:val="none"/>
        </w:rPr>
        <w:t xml:space="preserve">Marmot, M. (2010) </w:t>
      </w:r>
      <w:r w:rsidRPr="008B2D23">
        <w:rPr>
          <w:rFonts w:ascii="Times New Roman" w:eastAsia="Times New Roman" w:hAnsi="Times New Roman" w:cs="Times New Roman"/>
          <w:i/>
          <w:iCs/>
          <w:kern w:val="0"/>
          <w:lang w:eastAsia="en-GB"/>
          <w14:ligatures w14:val="none"/>
        </w:rPr>
        <w:t>Fair Society, Healthy Lives</w:t>
      </w:r>
      <w:r w:rsidRPr="008B2D23">
        <w:rPr>
          <w:rFonts w:ascii="Times New Roman" w:eastAsia="Times New Roman" w:hAnsi="Times New Roman" w:cs="Times New Roman"/>
          <w:kern w:val="0"/>
          <w:lang w:eastAsia="en-GB"/>
          <w14:ligatures w14:val="none"/>
        </w:rPr>
        <w:t>. London: The Marmot Review.</w:t>
      </w:r>
    </w:p>
    <w:p w14:paraId="1360D041" w14:textId="77777777" w:rsidR="008B2D23" w:rsidRPr="008B2D23" w:rsidRDefault="008B2D23" w:rsidP="008B2D23">
      <w:pPr>
        <w:spacing w:before="100" w:beforeAutospacing="1" w:after="100" w:afterAutospacing="1" w:line="240" w:lineRule="auto"/>
        <w:rPr>
          <w:rFonts w:ascii="Times New Roman" w:eastAsia="Times New Roman" w:hAnsi="Times New Roman" w:cs="Times New Roman"/>
          <w:kern w:val="0"/>
          <w:lang w:eastAsia="en-GB"/>
          <w14:ligatures w14:val="none"/>
        </w:rPr>
      </w:pPr>
      <w:r w:rsidRPr="008B2D23">
        <w:rPr>
          <w:rFonts w:ascii="Times New Roman" w:eastAsia="Times New Roman" w:hAnsi="Times New Roman" w:cs="Times New Roman"/>
          <w:kern w:val="0"/>
          <w:lang w:eastAsia="en-GB"/>
          <w14:ligatures w14:val="none"/>
        </w:rPr>
        <w:t xml:space="preserve">Marmot, M. (2020) </w:t>
      </w:r>
      <w:r w:rsidRPr="008B2D23">
        <w:rPr>
          <w:rFonts w:ascii="Times New Roman" w:eastAsia="Times New Roman" w:hAnsi="Times New Roman" w:cs="Times New Roman"/>
          <w:i/>
          <w:iCs/>
          <w:kern w:val="0"/>
          <w:lang w:eastAsia="en-GB"/>
          <w14:ligatures w14:val="none"/>
        </w:rPr>
        <w:t>Health Equity in England: The Marmot Review 10 Years On</w:t>
      </w:r>
      <w:r w:rsidRPr="008B2D23">
        <w:rPr>
          <w:rFonts w:ascii="Times New Roman" w:eastAsia="Times New Roman" w:hAnsi="Times New Roman" w:cs="Times New Roman"/>
          <w:kern w:val="0"/>
          <w:lang w:eastAsia="en-GB"/>
          <w14:ligatures w14:val="none"/>
        </w:rPr>
        <w:t>. London: Institute of Health Equity.</w:t>
      </w:r>
    </w:p>
    <w:p w14:paraId="042215EC" w14:textId="77777777" w:rsidR="008B2D23" w:rsidRPr="008B2D23" w:rsidRDefault="008B2D23" w:rsidP="008B2D23">
      <w:pPr>
        <w:spacing w:before="100" w:beforeAutospacing="1" w:after="100" w:afterAutospacing="1" w:line="240" w:lineRule="auto"/>
        <w:rPr>
          <w:rFonts w:ascii="Times New Roman" w:eastAsia="Times New Roman" w:hAnsi="Times New Roman" w:cs="Times New Roman"/>
          <w:kern w:val="0"/>
          <w:lang w:eastAsia="en-GB"/>
          <w14:ligatures w14:val="none"/>
        </w:rPr>
      </w:pPr>
      <w:r w:rsidRPr="008B2D23">
        <w:rPr>
          <w:rFonts w:ascii="Times New Roman" w:eastAsia="Times New Roman" w:hAnsi="Times New Roman" w:cs="Times New Roman"/>
          <w:kern w:val="0"/>
          <w:lang w:eastAsia="en-GB"/>
          <w14:ligatures w14:val="none"/>
        </w:rPr>
        <w:t xml:space="preserve">Schrecker, T. and Bambra, C. (2015) </w:t>
      </w:r>
      <w:r w:rsidRPr="008B2D23">
        <w:rPr>
          <w:rFonts w:ascii="Times New Roman" w:eastAsia="Times New Roman" w:hAnsi="Times New Roman" w:cs="Times New Roman"/>
          <w:i/>
          <w:iCs/>
          <w:kern w:val="0"/>
          <w:lang w:eastAsia="en-GB"/>
          <w14:ligatures w14:val="none"/>
        </w:rPr>
        <w:t>How Politics Makes Us Sick</w:t>
      </w:r>
      <w:r w:rsidRPr="008B2D23">
        <w:rPr>
          <w:rFonts w:ascii="Times New Roman" w:eastAsia="Times New Roman" w:hAnsi="Times New Roman" w:cs="Times New Roman"/>
          <w:kern w:val="0"/>
          <w:lang w:eastAsia="en-GB"/>
          <w14:ligatures w14:val="none"/>
        </w:rPr>
        <w:t>. London: Palgrave.</w:t>
      </w:r>
    </w:p>
    <w:p w14:paraId="2AAFBD14" w14:textId="77777777" w:rsidR="008B2D23" w:rsidRPr="008B2D23" w:rsidRDefault="008B2D23" w:rsidP="008B2D23">
      <w:pPr>
        <w:spacing w:before="100" w:beforeAutospacing="1" w:after="100" w:afterAutospacing="1" w:line="240" w:lineRule="auto"/>
        <w:rPr>
          <w:rFonts w:ascii="Times New Roman" w:eastAsia="Times New Roman" w:hAnsi="Times New Roman" w:cs="Times New Roman"/>
          <w:kern w:val="0"/>
          <w:lang w:eastAsia="en-GB"/>
          <w14:ligatures w14:val="none"/>
        </w:rPr>
      </w:pPr>
      <w:r w:rsidRPr="008B2D23">
        <w:rPr>
          <w:rFonts w:ascii="Times New Roman" w:eastAsia="Times New Roman" w:hAnsi="Times New Roman" w:cs="Times New Roman"/>
          <w:kern w:val="0"/>
          <w:lang w:eastAsia="en-GB"/>
          <w14:ligatures w14:val="none"/>
        </w:rPr>
        <w:t xml:space="preserve">Smith, R. et al. (2014) ‘Global environmental change and health’, </w:t>
      </w:r>
      <w:r w:rsidRPr="008B2D23">
        <w:rPr>
          <w:rFonts w:ascii="Times New Roman" w:eastAsia="Times New Roman" w:hAnsi="Times New Roman" w:cs="Times New Roman"/>
          <w:i/>
          <w:iCs/>
          <w:kern w:val="0"/>
          <w:lang w:eastAsia="en-GB"/>
          <w14:ligatures w14:val="none"/>
        </w:rPr>
        <w:t>Globalization and Health</w:t>
      </w:r>
      <w:r w:rsidRPr="008B2D23">
        <w:rPr>
          <w:rFonts w:ascii="Times New Roman" w:eastAsia="Times New Roman" w:hAnsi="Times New Roman" w:cs="Times New Roman"/>
          <w:kern w:val="0"/>
          <w:lang w:eastAsia="en-GB"/>
          <w14:ligatures w14:val="none"/>
        </w:rPr>
        <w:t>, 10(1).</w:t>
      </w:r>
    </w:p>
    <w:p w14:paraId="32F5608A" w14:textId="77777777" w:rsidR="008B2D23" w:rsidRPr="008B2D23" w:rsidRDefault="008B2D23" w:rsidP="008B2D23">
      <w:pPr>
        <w:spacing w:before="100" w:beforeAutospacing="1" w:after="100" w:afterAutospacing="1" w:line="240" w:lineRule="auto"/>
        <w:rPr>
          <w:rFonts w:ascii="Times New Roman" w:eastAsia="Times New Roman" w:hAnsi="Times New Roman" w:cs="Times New Roman"/>
          <w:kern w:val="0"/>
          <w:lang w:eastAsia="en-GB"/>
          <w14:ligatures w14:val="none"/>
        </w:rPr>
      </w:pPr>
      <w:r w:rsidRPr="008B2D23">
        <w:rPr>
          <w:rFonts w:ascii="Times New Roman" w:eastAsia="Times New Roman" w:hAnsi="Times New Roman" w:cs="Times New Roman"/>
          <w:kern w:val="0"/>
          <w:lang w:eastAsia="en-GB"/>
          <w14:ligatures w14:val="none"/>
        </w:rPr>
        <w:t xml:space="preserve">Solar, O. and Irwin, A. (2010) ‘A conceptual framework for action on social determinants of health’, </w:t>
      </w:r>
      <w:r w:rsidRPr="008B2D23">
        <w:rPr>
          <w:rFonts w:ascii="Times New Roman" w:eastAsia="Times New Roman" w:hAnsi="Times New Roman" w:cs="Times New Roman"/>
          <w:i/>
          <w:iCs/>
          <w:kern w:val="0"/>
          <w:lang w:eastAsia="en-GB"/>
          <w14:ligatures w14:val="none"/>
        </w:rPr>
        <w:t>Social Science &amp; Medicine</w:t>
      </w:r>
      <w:r w:rsidRPr="008B2D23">
        <w:rPr>
          <w:rFonts w:ascii="Times New Roman" w:eastAsia="Times New Roman" w:hAnsi="Times New Roman" w:cs="Times New Roman"/>
          <w:kern w:val="0"/>
          <w:lang w:eastAsia="en-GB"/>
          <w14:ligatures w14:val="none"/>
        </w:rPr>
        <w:t>.</w:t>
      </w:r>
    </w:p>
    <w:p w14:paraId="0A85516C" w14:textId="77777777" w:rsidR="008B2D23" w:rsidRPr="008B2D23" w:rsidRDefault="008B2D23" w:rsidP="008B2D23">
      <w:pPr>
        <w:spacing w:before="100" w:beforeAutospacing="1" w:after="100" w:afterAutospacing="1" w:line="240" w:lineRule="auto"/>
        <w:rPr>
          <w:rFonts w:ascii="Times New Roman" w:eastAsia="Times New Roman" w:hAnsi="Times New Roman" w:cs="Times New Roman"/>
          <w:kern w:val="0"/>
          <w:lang w:eastAsia="en-GB"/>
          <w14:ligatures w14:val="none"/>
        </w:rPr>
      </w:pPr>
      <w:r w:rsidRPr="008B2D23">
        <w:rPr>
          <w:rFonts w:ascii="Times New Roman" w:eastAsia="Times New Roman" w:hAnsi="Times New Roman" w:cs="Times New Roman"/>
          <w:kern w:val="0"/>
          <w:lang w:eastAsia="en-GB"/>
          <w14:ligatures w14:val="none"/>
        </w:rPr>
        <w:t xml:space="preserve">United Nations (2023) </w:t>
      </w:r>
      <w:r w:rsidRPr="008B2D23">
        <w:rPr>
          <w:rFonts w:ascii="Times New Roman" w:eastAsia="Times New Roman" w:hAnsi="Times New Roman" w:cs="Times New Roman"/>
          <w:i/>
          <w:iCs/>
          <w:kern w:val="0"/>
          <w:lang w:eastAsia="en-GB"/>
          <w14:ligatures w14:val="none"/>
        </w:rPr>
        <w:t>Sustainable Development Goals Report</w:t>
      </w:r>
      <w:r w:rsidRPr="008B2D23">
        <w:rPr>
          <w:rFonts w:ascii="Times New Roman" w:eastAsia="Times New Roman" w:hAnsi="Times New Roman" w:cs="Times New Roman"/>
          <w:kern w:val="0"/>
          <w:lang w:eastAsia="en-GB"/>
          <w14:ligatures w14:val="none"/>
        </w:rPr>
        <w:t xml:space="preserve">. Available at: </w:t>
      </w:r>
      <w:hyperlink r:id="rId13" w:tgtFrame="_new" w:history="1">
        <w:r w:rsidRPr="008B2D23">
          <w:rPr>
            <w:rFonts w:ascii="Times New Roman" w:eastAsia="Times New Roman" w:hAnsi="Times New Roman" w:cs="Times New Roman"/>
            <w:color w:val="0000FF"/>
            <w:kern w:val="0"/>
            <w:u w:val="single"/>
            <w:lang w:eastAsia="en-GB"/>
            <w14:ligatures w14:val="none"/>
          </w:rPr>
          <w:t>https://sdgs.un.org</w:t>
        </w:r>
      </w:hyperlink>
    </w:p>
    <w:p w14:paraId="3791540F" w14:textId="77777777" w:rsidR="008B2D23" w:rsidRPr="008B2D23" w:rsidRDefault="008B2D23" w:rsidP="008B2D23">
      <w:pPr>
        <w:spacing w:before="100" w:beforeAutospacing="1" w:after="100" w:afterAutospacing="1" w:line="240" w:lineRule="auto"/>
        <w:rPr>
          <w:rFonts w:ascii="Times New Roman" w:eastAsia="Times New Roman" w:hAnsi="Times New Roman" w:cs="Times New Roman"/>
          <w:kern w:val="0"/>
          <w:lang w:eastAsia="en-GB"/>
          <w14:ligatures w14:val="none"/>
        </w:rPr>
      </w:pPr>
      <w:r w:rsidRPr="008B2D23">
        <w:rPr>
          <w:rFonts w:ascii="Times New Roman" w:eastAsia="Times New Roman" w:hAnsi="Times New Roman" w:cs="Times New Roman"/>
          <w:kern w:val="0"/>
          <w:lang w:eastAsia="en-GB"/>
          <w14:ligatures w14:val="none"/>
        </w:rPr>
        <w:t xml:space="preserve">Watts, N. et al. (2018) ‘The Lancet Countdown on health and climate change’, </w:t>
      </w:r>
      <w:r w:rsidRPr="008B2D23">
        <w:rPr>
          <w:rFonts w:ascii="Times New Roman" w:eastAsia="Times New Roman" w:hAnsi="Times New Roman" w:cs="Times New Roman"/>
          <w:i/>
          <w:iCs/>
          <w:kern w:val="0"/>
          <w:lang w:eastAsia="en-GB"/>
          <w14:ligatures w14:val="none"/>
        </w:rPr>
        <w:t>The Lancet</w:t>
      </w:r>
      <w:r w:rsidRPr="008B2D23">
        <w:rPr>
          <w:rFonts w:ascii="Times New Roman" w:eastAsia="Times New Roman" w:hAnsi="Times New Roman" w:cs="Times New Roman"/>
          <w:kern w:val="0"/>
          <w:lang w:eastAsia="en-GB"/>
          <w14:ligatures w14:val="none"/>
        </w:rPr>
        <w:t>, 392(10163), pp. 2479–2514.</w:t>
      </w:r>
    </w:p>
    <w:p w14:paraId="5D528349" w14:textId="417D1487" w:rsidR="008B2D23" w:rsidRPr="008B2D23" w:rsidRDefault="008B2D23" w:rsidP="008B2D23">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EC88AB1" w14:textId="41837E6E" w:rsidR="009833C0" w:rsidRPr="009833C0" w:rsidRDefault="009833C0" w:rsidP="009833C0">
      <w:pPr>
        <w:spacing w:before="100" w:beforeAutospacing="1" w:after="100" w:afterAutospacing="1" w:line="240" w:lineRule="auto"/>
        <w:rPr>
          <w:rFonts w:ascii="Arial" w:eastAsia="Times New Roman" w:hAnsi="Arial" w:cs="Arial"/>
          <w:kern w:val="0"/>
          <w:lang w:eastAsia="en-GB"/>
          <w14:ligatures w14:val="none"/>
        </w:rPr>
      </w:pPr>
    </w:p>
    <w:p w14:paraId="0E7D57CF" w14:textId="77777777" w:rsidR="009833C0" w:rsidRPr="009833C0" w:rsidRDefault="00000000" w:rsidP="009833C0">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72A7AFAD">
          <v:rect id="_x0000_i1032" style="width:0;height:1.5pt" o:hralign="center" o:hrstd="t" o:hr="t" fillcolor="#a0a0a0" stroked="f"/>
        </w:pict>
      </w:r>
    </w:p>
    <w:sectPr w:rsidR="009833C0" w:rsidRPr="009833C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4" w:author="PC  10" w:date="2026-04-20T18:09:00Z" w:initials="P1">
    <w:p w14:paraId="66719911" w14:textId="2F0A116B" w:rsidR="00DF43D8" w:rsidRDefault="00DF43D8">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6671991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5C2BE98E" w16cex:dateUtc="2026-04-21T01:0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66719911" w16cid:durableId="5C2BE98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784C17" w14:textId="77777777" w:rsidR="004972D3" w:rsidRDefault="004972D3" w:rsidP="00655E51">
      <w:pPr>
        <w:spacing w:after="0" w:line="240" w:lineRule="auto"/>
      </w:pPr>
      <w:r>
        <w:separator/>
      </w:r>
    </w:p>
  </w:endnote>
  <w:endnote w:type="continuationSeparator" w:id="0">
    <w:p w14:paraId="567EA75B" w14:textId="77777777" w:rsidR="004972D3" w:rsidRDefault="004972D3" w:rsidP="00655E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DD0FF2" w14:textId="77777777" w:rsidR="004972D3" w:rsidRDefault="004972D3" w:rsidP="00655E51">
      <w:pPr>
        <w:spacing w:after="0" w:line="240" w:lineRule="auto"/>
      </w:pPr>
      <w:r>
        <w:separator/>
      </w:r>
    </w:p>
  </w:footnote>
  <w:footnote w:type="continuationSeparator" w:id="0">
    <w:p w14:paraId="17DE6C2A" w14:textId="77777777" w:rsidR="004972D3" w:rsidRDefault="004972D3" w:rsidP="00655E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A5602"/>
    <w:multiLevelType w:val="multilevel"/>
    <w:tmpl w:val="A3627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0F20EA"/>
    <w:multiLevelType w:val="multilevel"/>
    <w:tmpl w:val="BBE26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C57578E"/>
    <w:multiLevelType w:val="multilevel"/>
    <w:tmpl w:val="3224F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ED3072"/>
    <w:multiLevelType w:val="multilevel"/>
    <w:tmpl w:val="67302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782855"/>
    <w:multiLevelType w:val="multilevel"/>
    <w:tmpl w:val="57C82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EF697E"/>
    <w:multiLevelType w:val="multilevel"/>
    <w:tmpl w:val="8BEA1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CC3475"/>
    <w:multiLevelType w:val="multilevel"/>
    <w:tmpl w:val="5C405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3801E5"/>
    <w:multiLevelType w:val="multilevel"/>
    <w:tmpl w:val="A6C0B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4742325">
    <w:abstractNumId w:val="4"/>
  </w:num>
  <w:num w:numId="2" w16cid:durableId="2146922075">
    <w:abstractNumId w:val="7"/>
  </w:num>
  <w:num w:numId="3" w16cid:durableId="115410797">
    <w:abstractNumId w:val="3"/>
  </w:num>
  <w:num w:numId="4" w16cid:durableId="1101948096">
    <w:abstractNumId w:val="1"/>
  </w:num>
  <w:num w:numId="5" w16cid:durableId="683749661">
    <w:abstractNumId w:val="5"/>
  </w:num>
  <w:num w:numId="6" w16cid:durableId="1063217011">
    <w:abstractNumId w:val="6"/>
  </w:num>
  <w:num w:numId="7" w16cid:durableId="27414041">
    <w:abstractNumId w:val="0"/>
  </w:num>
  <w:num w:numId="8" w16cid:durableId="133065438">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C  10">
    <w15:presenceInfo w15:providerId="None" w15:userId="PC  1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2BD"/>
    <w:rsid w:val="00055B97"/>
    <w:rsid w:val="000622BD"/>
    <w:rsid w:val="004972D3"/>
    <w:rsid w:val="004A35B7"/>
    <w:rsid w:val="0061378B"/>
    <w:rsid w:val="00614DC1"/>
    <w:rsid w:val="006506A7"/>
    <w:rsid w:val="00655E51"/>
    <w:rsid w:val="007E425C"/>
    <w:rsid w:val="0083651C"/>
    <w:rsid w:val="008B2D23"/>
    <w:rsid w:val="00931BC0"/>
    <w:rsid w:val="009833C0"/>
    <w:rsid w:val="009C40D2"/>
    <w:rsid w:val="00D327B3"/>
    <w:rsid w:val="00DF4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A6DDB"/>
  <w15:chartTrackingRefBased/>
  <w15:docId w15:val="{83046C32-7A4E-49BF-8C33-9C78E7EC3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22B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622B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622B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0622B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0622B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000622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0622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0622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22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2B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622B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622B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0622B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0622BD"/>
    <w:rPr>
      <w:rFonts w:eastAsiaTheme="majorEastAsia" w:cstheme="majorBidi"/>
      <w:color w:val="2F5496" w:themeColor="accent1" w:themeShade="BF"/>
    </w:rPr>
  </w:style>
  <w:style w:type="character" w:customStyle="1" w:styleId="Heading6Char">
    <w:name w:val="Heading 6 Char"/>
    <w:basedOn w:val="DefaultParagraphFont"/>
    <w:link w:val="Heading6"/>
    <w:uiPriority w:val="9"/>
    <w:rsid w:val="000622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0622BD"/>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0622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22BD"/>
    <w:rPr>
      <w:rFonts w:eastAsiaTheme="majorEastAsia" w:cstheme="majorBidi"/>
      <w:color w:val="272727" w:themeColor="text1" w:themeTint="D8"/>
    </w:rPr>
  </w:style>
  <w:style w:type="paragraph" w:styleId="Title">
    <w:name w:val="Title"/>
    <w:basedOn w:val="Normal"/>
    <w:next w:val="Normal"/>
    <w:link w:val="TitleChar"/>
    <w:uiPriority w:val="10"/>
    <w:qFormat/>
    <w:rsid w:val="000622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22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22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22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22BD"/>
    <w:pPr>
      <w:spacing w:before="160"/>
      <w:jc w:val="center"/>
    </w:pPr>
    <w:rPr>
      <w:i/>
      <w:iCs/>
      <w:color w:val="404040" w:themeColor="text1" w:themeTint="BF"/>
    </w:rPr>
  </w:style>
  <w:style w:type="character" w:customStyle="1" w:styleId="QuoteChar">
    <w:name w:val="Quote Char"/>
    <w:basedOn w:val="DefaultParagraphFont"/>
    <w:link w:val="Quote"/>
    <w:uiPriority w:val="29"/>
    <w:rsid w:val="000622BD"/>
    <w:rPr>
      <w:i/>
      <w:iCs/>
      <w:color w:val="404040" w:themeColor="text1" w:themeTint="BF"/>
    </w:rPr>
  </w:style>
  <w:style w:type="paragraph" w:styleId="ListParagraph">
    <w:name w:val="List Paragraph"/>
    <w:basedOn w:val="Normal"/>
    <w:uiPriority w:val="34"/>
    <w:qFormat/>
    <w:rsid w:val="000622BD"/>
    <w:pPr>
      <w:ind w:left="720"/>
      <w:contextualSpacing/>
    </w:pPr>
  </w:style>
  <w:style w:type="character" w:styleId="IntenseEmphasis">
    <w:name w:val="Intense Emphasis"/>
    <w:basedOn w:val="DefaultParagraphFont"/>
    <w:uiPriority w:val="21"/>
    <w:qFormat/>
    <w:rsid w:val="000622BD"/>
    <w:rPr>
      <w:i/>
      <w:iCs/>
      <w:color w:val="2F5496" w:themeColor="accent1" w:themeShade="BF"/>
    </w:rPr>
  </w:style>
  <w:style w:type="paragraph" w:styleId="IntenseQuote">
    <w:name w:val="Intense Quote"/>
    <w:basedOn w:val="Normal"/>
    <w:next w:val="Normal"/>
    <w:link w:val="IntenseQuoteChar"/>
    <w:uiPriority w:val="30"/>
    <w:qFormat/>
    <w:rsid w:val="000622B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622BD"/>
    <w:rPr>
      <w:i/>
      <w:iCs/>
      <w:color w:val="2F5496" w:themeColor="accent1" w:themeShade="BF"/>
    </w:rPr>
  </w:style>
  <w:style w:type="character" w:styleId="IntenseReference">
    <w:name w:val="Intense Reference"/>
    <w:basedOn w:val="DefaultParagraphFont"/>
    <w:uiPriority w:val="32"/>
    <w:qFormat/>
    <w:rsid w:val="000622BD"/>
    <w:rPr>
      <w:b/>
      <w:bCs/>
      <w:smallCaps/>
      <w:color w:val="2F5496" w:themeColor="accent1" w:themeShade="BF"/>
      <w:spacing w:val="5"/>
    </w:rPr>
  </w:style>
  <w:style w:type="paragraph" w:styleId="Header">
    <w:name w:val="header"/>
    <w:basedOn w:val="Normal"/>
    <w:link w:val="HeaderChar"/>
    <w:uiPriority w:val="99"/>
    <w:unhideWhenUsed/>
    <w:rsid w:val="00655E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E51"/>
  </w:style>
  <w:style w:type="paragraph" w:styleId="Footer">
    <w:name w:val="footer"/>
    <w:basedOn w:val="Normal"/>
    <w:link w:val="FooterChar"/>
    <w:uiPriority w:val="99"/>
    <w:unhideWhenUsed/>
    <w:rsid w:val="00655E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E51"/>
  </w:style>
  <w:style w:type="paragraph" w:styleId="TOCHeading">
    <w:name w:val="TOC Heading"/>
    <w:basedOn w:val="Heading1"/>
    <w:next w:val="Normal"/>
    <w:uiPriority w:val="39"/>
    <w:unhideWhenUsed/>
    <w:qFormat/>
    <w:rsid w:val="007E425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E425C"/>
    <w:pPr>
      <w:spacing w:after="100"/>
    </w:pPr>
  </w:style>
  <w:style w:type="paragraph" w:styleId="TOC2">
    <w:name w:val="toc 2"/>
    <w:basedOn w:val="Normal"/>
    <w:next w:val="Normal"/>
    <w:autoRedefine/>
    <w:uiPriority w:val="39"/>
    <w:unhideWhenUsed/>
    <w:rsid w:val="007E425C"/>
    <w:pPr>
      <w:spacing w:after="100"/>
      <w:ind w:left="240"/>
    </w:pPr>
  </w:style>
  <w:style w:type="paragraph" w:styleId="TOC3">
    <w:name w:val="toc 3"/>
    <w:basedOn w:val="Normal"/>
    <w:next w:val="Normal"/>
    <w:autoRedefine/>
    <w:uiPriority w:val="39"/>
    <w:unhideWhenUsed/>
    <w:rsid w:val="007E425C"/>
    <w:pPr>
      <w:spacing w:after="100"/>
      <w:ind w:left="480"/>
    </w:pPr>
  </w:style>
  <w:style w:type="character" w:styleId="Hyperlink">
    <w:name w:val="Hyperlink"/>
    <w:basedOn w:val="DefaultParagraphFont"/>
    <w:uiPriority w:val="99"/>
    <w:unhideWhenUsed/>
    <w:rsid w:val="007E425C"/>
    <w:rPr>
      <w:color w:val="0563C1" w:themeColor="hyperlink"/>
      <w:u w:val="single"/>
    </w:rPr>
  </w:style>
  <w:style w:type="character" w:styleId="CommentReference">
    <w:name w:val="annotation reference"/>
    <w:basedOn w:val="DefaultParagraphFont"/>
    <w:uiPriority w:val="99"/>
    <w:semiHidden/>
    <w:unhideWhenUsed/>
    <w:rsid w:val="00DF43D8"/>
    <w:rPr>
      <w:sz w:val="16"/>
      <w:szCs w:val="16"/>
    </w:rPr>
  </w:style>
  <w:style w:type="paragraph" w:styleId="CommentText">
    <w:name w:val="annotation text"/>
    <w:basedOn w:val="Normal"/>
    <w:link w:val="CommentTextChar"/>
    <w:uiPriority w:val="99"/>
    <w:semiHidden/>
    <w:unhideWhenUsed/>
    <w:rsid w:val="00DF43D8"/>
    <w:pPr>
      <w:spacing w:line="240" w:lineRule="auto"/>
    </w:pPr>
    <w:rPr>
      <w:sz w:val="20"/>
      <w:szCs w:val="20"/>
    </w:rPr>
  </w:style>
  <w:style w:type="character" w:customStyle="1" w:styleId="CommentTextChar">
    <w:name w:val="Comment Text Char"/>
    <w:basedOn w:val="DefaultParagraphFont"/>
    <w:link w:val="CommentText"/>
    <w:uiPriority w:val="99"/>
    <w:semiHidden/>
    <w:rsid w:val="00DF43D8"/>
    <w:rPr>
      <w:sz w:val="20"/>
      <w:szCs w:val="20"/>
    </w:rPr>
  </w:style>
  <w:style w:type="paragraph" w:styleId="CommentSubject">
    <w:name w:val="annotation subject"/>
    <w:basedOn w:val="CommentText"/>
    <w:next w:val="CommentText"/>
    <w:link w:val="CommentSubjectChar"/>
    <w:uiPriority w:val="99"/>
    <w:semiHidden/>
    <w:unhideWhenUsed/>
    <w:rsid w:val="00DF43D8"/>
    <w:rPr>
      <w:b/>
      <w:bCs/>
    </w:rPr>
  </w:style>
  <w:style w:type="character" w:customStyle="1" w:styleId="CommentSubjectChar">
    <w:name w:val="Comment Subject Char"/>
    <w:basedOn w:val="CommentTextChar"/>
    <w:link w:val="CommentSubject"/>
    <w:uiPriority w:val="99"/>
    <w:semiHidden/>
    <w:rsid w:val="00DF43D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dgs.un.org" TargetMode="External"/><Relationship Id="rId3" Type="http://schemas.openxmlformats.org/officeDocument/2006/relationships/styles" Target="styles.xml"/><Relationship Id="rId7" Type="http://schemas.openxmlformats.org/officeDocument/2006/relationships/endnotes" Target="endnotes.xml"/><Relationship Id="rId12" Type="http://schemas.microsoft.com/office/2018/08/relationships/commentsExtensible" Target="commentsExtensible.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5" Type="http://schemas.microsoft.com/office/2011/relationships/people" Target="people.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D654B7-5750-40A8-B4D4-5AA131D85F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2019</Words>
  <Characters>11511</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Zara Yousaf</dc:creator>
  <cp:keywords/>
  <dc:description/>
  <cp:lastModifiedBy>PC  10</cp:lastModifiedBy>
  <cp:revision>2</cp:revision>
  <dcterms:created xsi:type="dcterms:W3CDTF">2026-04-20T17:29:00Z</dcterms:created>
  <dcterms:modified xsi:type="dcterms:W3CDTF">2026-04-20T17:29:00Z</dcterms:modified>
</cp:coreProperties>
</file>