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AF38A" w14:textId="77777777" w:rsidR="00892B4C" w:rsidRPr="00892B4C" w:rsidRDefault="00892B4C" w:rsidP="00DB7952">
      <w:pPr>
        <w:rPr>
          <w:rFonts w:cs="Times New Roman"/>
          <w:lang w:val="en-GB"/>
        </w:rPr>
      </w:pPr>
    </w:p>
    <w:p w14:paraId="05FDDB7D" w14:textId="77777777" w:rsidR="00892B4C" w:rsidRPr="00892B4C" w:rsidRDefault="00892B4C" w:rsidP="00FA3179">
      <w:pPr>
        <w:ind w:left="360"/>
        <w:rPr>
          <w:rFonts w:cs="Times New Roman"/>
          <w:lang w:val="en-GB"/>
        </w:rPr>
      </w:pPr>
    </w:p>
    <w:p w14:paraId="5EB92CAD" w14:textId="77777777" w:rsidR="00892B4C" w:rsidRPr="00DB7952" w:rsidRDefault="00892B4C" w:rsidP="00DB7952">
      <w:pPr>
        <w:rPr>
          <w:rFonts w:cs="Times New Roman"/>
          <w:sz w:val="44"/>
          <w:szCs w:val="44"/>
          <w:lang w:val="en-GB"/>
        </w:rPr>
      </w:pPr>
    </w:p>
    <w:p w14:paraId="0181ADCD" w14:textId="6FF4B5DF" w:rsidR="002758F0" w:rsidRPr="00DB7952" w:rsidRDefault="00000000" w:rsidP="00DB7952">
      <w:pPr>
        <w:ind w:left="360"/>
        <w:jc w:val="center"/>
        <w:rPr>
          <w:rFonts w:cs="Times New Roman"/>
          <w:b/>
          <w:sz w:val="44"/>
          <w:szCs w:val="44"/>
          <w:lang w:val="en-GB"/>
        </w:rPr>
      </w:pPr>
      <w:r w:rsidRPr="00DB7952">
        <w:rPr>
          <w:rFonts w:cs="Times New Roman"/>
          <w:b/>
          <w:sz w:val="44"/>
          <w:szCs w:val="44"/>
          <w:lang w:val="en-GB"/>
        </w:rPr>
        <w:t>Personnel Resourcing and Development</w:t>
      </w:r>
    </w:p>
    <w:p w14:paraId="295CF59B" w14:textId="5EB5651B" w:rsidR="00892B4C" w:rsidRPr="00DB7952" w:rsidRDefault="00000000" w:rsidP="00DB7952">
      <w:pPr>
        <w:ind w:left="360"/>
        <w:jc w:val="center"/>
        <w:rPr>
          <w:rFonts w:cs="Times New Roman"/>
          <w:sz w:val="32"/>
          <w:szCs w:val="32"/>
          <w:lang w:val="en-GB"/>
        </w:rPr>
      </w:pPr>
      <w:r w:rsidRPr="00DB7952">
        <w:rPr>
          <w:rFonts w:cs="Times New Roman"/>
          <w:sz w:val="32"/>
          <w:szCs w:val="32"/>
          <w:lang w:val="en-GB"/>
        </w:rPr>
        <w:t xml:space="preserve">Student’s Name: </w:t>
      </w:r>
      <w:r w:rsidR="00DB7952">
        <w:rPr>
          <w:rFonts w:cs="Times New Roman"/>
          <w:sz w:val="32"/>
          <w:szCs w:val="32"/>
          <w:lang w:val="en-GB"/>
        </w:rPr>
        <w:t xml:space="preserve">Sorin </w:t>
      </w:r>
      <w:proofErr w:type="spellStart"/>
      <w:r w:rsidR="00DB7952">
        <w:rPr>
          <w:rFonts w:cs="Times New Roman"/>
          <w:sz w:val="32"/>
          <w:szCs w:val="32"/>
          <w:lang w:val="en-GB"/>
        </w:rPr>
        <w:t>Ciprian</w:t>
      </w:r>
      <w:proofErr w:type="spellEnd"/>
      <w:r w:rsidR="00DB7952">
        <w:rPr>
          <w:rFonts w:cs="Times New Roman"/>
          <w:sz w:val="32"/>
          <w:szCs w:val="32"/>
          <w:lang w:val="en-GB"/>
        </w:rPr>
        <w:t xml:space="preserve"> </w:t>
      </w:r>
      <w:proofErr w:type="spellStart"/>
      <w:r w:rsidR="00DB7952">
        <w:rPr>
          <w:rFonts w:cs="Times New Roman"/>
          <w:sz w:val="32"/>
          <w:szCs w:val="32"/>
          <w:lang w:val="en-GB"/>
        </w:rPr>
        <w:t>Chelm</w:t>
      </w:r>
      <w:proofErr w:type="spellEnd"/>
    </w:p>
    <w:p w14:paraId="04941DCA" w14:textId="77777777" w:rsidR="002758F0" w:rsidRPr="00892B4C" w:rsidRDefault="00000000" w:rsidP="00DB7952">
      <w:pPr>
        <w:jc w:val="center"/>
        <w:rPr>
          <w:rFonts w:cs="Times New Roman"/>
          <w:lang w:val="en-GB"/>
        </w:rPr>
      </w:pPr>
      <w:r w:rsidRPr="00892B4C">
        <w:rPr>
          <w:rFonts w:cs="Times New Roman"/>
          <w:lang w:val="en-GB"/>
        </w:rPr>
        <w:br w:type="page"/>
      </w:r>
    </w:p>
    <w:p w14:paraId="6FF6FD9D" w14:textId="71A34D7C" w:rsidR="00892B4C" w:rsidRPr="00127253" w:rsidRDefault="00000000" w:rsidP="00127253">
      <w:pPr>
        <w:spacing w:after="0"/>
        <w:jc w:val="center"/>
        <w:rPr>
          <w:b/>
          <w:bCs/>
          <w:sz w:val="28"/>
          <w:szCs w:val="24"/>
          <w:lang w:val="en-GB"/>
        </w:rPr>
      </w:pPr>
      <w:r w:rsidRPr="00127253">
        <w:rPr>
          <w:b/>
          <w:bCs/>
          <w:sz w:val="28"/>
          <w:szCs w:val="24"/>
          <w:lang w:val="en-GB"/>
        </w:rPr>
        <w:lastRenderedPageBreak/>
        <w:t xml:space="preserve">How To Retain </w:t>
      </w:r>
      <w:r w:rsidR="00127253" w:rsidRPr="00127253">
        <w:rPr>
          <w:b/>
          <w:bCs/>
          <w:sz w:val="28"/>
          <w:szCs w:val="24"/>
          <w:lang w:val="en-GB"/>
        </w:rPr>
        <w:t>and</w:t>
      </w:r>
      <w:r w:rsidRPr="00127253">
        <w:rPr>
          <w:b/>
          <w:bCs/>
          <w:sz w:val="28"/>
          <w:szCs w:val="24"/>
          <w:lang w:val="en-GB"/>
        </w:rPr>
        <w:t xml:space="preserve"> Engage Employees Throughout </w:t>
      </w:r>
      <w:r w:rsidR="00127253" w:rsidRPr="00127253">
        <w:rPr>
          <w:b/>
          <w:bCs/>
          <w:sz w:val="28"/>
          <w:szCs w:val="24"/>
          <w:lang w:val="en-GB"/>
        </w:rPr>
        <w:t>the</w:t>
      </w:r>
      <w:r w:rsidRPr="00127253">
        <w:rPr>
          <w:b/>
          <w:bCs/>
          <w:sz w:val="28"/>
          <w:szCs w:val="24"/>
          <w:lang w:val="en-GB"/>
        </w:rPr>
        <w:t xml:space="preserve"> Employee Lifecycle</w:t>
      </w:r>
    </w:p>
    <w:p w14:paraId="32DA39F3" w14:textId="77777777" w:rsidR="00FA3179" w:rsidRPr="00FA3179" w:rsidRDefault="00000000" w:rsidP="00127253">
      <w:pPr>
        <w:pStyle w:val="Heading1"/>
      </w:pPr>
      <w:r w:rsidRPr="00FA3179">
        <w:t>Introduction</w:t>
      </w:r>
    </w:p>
    <w:p w14:paraId="78EDF85D" w14:textId="54ED865D" w:rsidR="00FA3179" w:rsidRPr="00FA3179" w:rsidRDefault="00000000" w:rsidP="00FA3179">
      <w:pPr>
        <w:spacing w:after="200"/>
        <w:rPr>
          <w:rFonts w:cs="Times New Roman"/>
        </w:rPr>
      </w:pPr>
      <w:r w:rsidRPr="00FA3179">
        <w:rPr>
          <w:rFonts w:cs="Times New Roman"/>
        </w:rPr>
        <w:t>According to Verma et al. (20</w:t>
      </w:r>
      <w:r w:rsidR="00127253">
        <w:rPr>
          <w:rFonts w:cs="Times New Roman"/>
        </w:rPr>
        <w:t>1</w:t>
      </w:r>
      <w:r w:rsidRPr="00FA3179">
        <w:rPr>
          <w:rFonts w:cs="Times New Roman"/>
        </w:rPr>
        <w:t>6), Talent management in the human resources department of a major hotel relies heavily on employee participation and retention. In this article, there will be visualizations of how managing and nurturing employees at every stage of their careers work. Said by Horn (20</w:t>
      </w:r>
      <w:r w:rsidR="00127253">
        <w:rPr>
          <w:rFonts w:cs="Times New Roman"/>
        </w:rPr>
        <w:t>1</w:t>
      </w:r>
      <w:r w:rsidRPr="00FA3179">
        <w:rPr>
          <w:rFonts w:cs="Times New Roman"/>
        </w:rPr>
        <w:t xml:space="preserve">9) that, engaging workers and ensuring their long-term commitment to the firm may be uncovered by analyzing the phases of attraction, recruiting, onboarding, development, retention, and separation. Because of the high rate of employee turnover in the hospitality sector, it is essential to foster an atmosphere conducive to attracting and retaining the best and brightest workers (Murton, Inman and </w:t>
      </w:r>
      <w:proofErr w:type="spellStart"/>
      <w:r w:rsidRPr="00FA3179">
        <w:rPr>
          <w:rFonts w:cs="Times New Roman"/>
        </w:rPr>
        <w:t>Osullivan</w:t>
      </w:r>
      <w:proofErr w:type="spellEnd"/>
      <w:r w:rsidRPr="00FA3179">
        <w:rPr>
          <w:rFonts w:cs="Times New Roman"/>
        </w:rPr>
        <w:t>, 2010). The Department of human resources is crucial in the rollout of initiatives that increase participation and happiness among workers. Hotels may establish a work culture that encourages employees to grow, develop, and stay with the company for the long haul by learning from and adapting to their workers at all stages of the employee lifecycle (Gallagher, 2016). Let's move on to the essay's meat and potatoes and talk about how to keep staff interested and loyal to the hotel company throughout their whole careers.</w:t>
      </w:r>
    </w:p>
    <w:p w14:paraId="6C2FDB6C" w14:textId="77777777" w:rsidR="00FA3179" w:rsidRDefault="00000000" w:rsidP="00FA3179">
      <w:pPr>
        <w:spacing w:after="200"/>
        <w:rPr>
          <w:rFonts w:cs="Times New Roman"/>
          <w:b/>
          <w:bCs/>
        </w:rPr>
      </w:pPr>
      <w:r>
        <w:rPr>
          <w:rFonts w:cs="Times New Roman"/>
          <w:b/>
          <w:bCs/>
        </w:rPr>
        <w:br w:type="page"/>
      </w:r>
    </w:p>
    <w:p w14:paraId="5C5E06DD" w14:textId="7DEF9B90" w:rsidR="00FA3179" w:rsidRPr="00FA3179" w:rsidRDefault="00000000" w:rsidP="00FA3179">
      <w:pPr>
        <w:pStyle w:val="Heading2"/>
        <w:rPr>
          <w:b w:val="0"/>
          <w:bCs/>
        </w:rPr>
      </w:pPr>
      <w:r w:rsidRPr="00FA3179">
        <w:rPr>
          <w:bCs/>
        </w:rPr>
        <w:lastRenderedPageBreak/>
        <w:t>Main Body</w:t>
      </w:r>
    </w:p>
    <w:p w14:paraId="1E3A2886" w14:textId="77777777" w:rsidR="00FA3179" w:rsidRPr="00FA3179" w:rsidRDefault="00000000" w:rsidP="00127253">
      <w:pPr>
        <w:spacing w:after="0"/>
        <w:rPr>
          <w:rFonts w:cs="Times New Roman"/>
        </w:rPr>
      </w:pPr>
      <w:r w:rsidRPr="00FA3179">
        <w:rPr>
          <w:rFonts w:cs="Times New Roman"/>
        </w:rPr>
        <w:t xml:space="preserve">In a major hotel, employee engagement and retention may be improved throughout the employee lifecycle thanks to the work of human resources in managing and developing talent. Human resources experts serve several purposes in a business, including luring and retaining high performers and helping them develop professionally (Gallagher, 2016). Attracting top talent is HR's priority, thus they must devise efficient methods of recruiting if the hotel is to fill its open positions with people who share the company's values and vision. </w:t>
      </w:r>
    </w:p>
    <w:p w14:paraId="38316729" w14:textId="5244F9D0" w:rsidR="00FA3179" w:rsidRPr="00FA3179" w:rsidRDefault="00000000" w:rsidP="00127253">
      <w:pPr>
        <w:pStyle w:val="Heading3"/>
      </w:pPr>
      <w:r w:rsidRPr="00FA3179">
        <w:t xml:space="preserve">The Role of Human Resources in Managing </w:t>
      </w:r>
      <w:r w:rsidR="00127253" w:rsidRPr="00FA3179">
        <w:t>and</w:t>
      </w:r>
      <w:r w:rsidRPr="00FA3179">
        <w:t xml:space="preserve"> Developing Talent</w:t>
      </w:r>
    </w:p>
    <w:p w14:paraId="5A4F5880" w14:textId="77777777" w:rsidR="00FA3179" w:rsidRPr="00FA3179" w:rsidRDefault="00000000" w:rsidP="00127253">
      <w:pPr>
        <w:spacing w:after="0"/>
        <w:rPr>
          <w:rFonts w:cs="Times New Roman"/>
        </w:rPr>
      </w:pPr>
      <w:r w:rsidRPr="00FA3179">
        <w:rPr>
          <w:rFonts w:cs="Times New Roman"/>
        </w:rPr>
        <w:t xml:space="preserve">Human resources professionals may make a good first impression and attract high-potential applicants by carefully drafting job descriptions, employing several recruiting channels, and implementing employer branding activities (Elia, </w:t>
      </w:r>
      <w:proofErr w:type="spellStart"/>
      <w:r w:rsidRPr="00FA3179">
        <w:rPr>
          <w:rFonts w:cs="Times New Roman"/>
        </w:rPr>
        <w:t>Ghazzawi</w:t>
      </w:r>
      <w:proofErr w:type="spellEnd"/>
      <w:r w:rsidRPr="00FA3179">
        <w:rPr>
          <w:rFonts w:cs="Times New Roman"/>
        </w:rPr>
        <w:t xml:space="preserve"> and Arnaout, 2017). Second, HR helps develop people by providing extensive training and orientation. Creating orientation programs that educate new hires on the hotel's values, rules, and standards of conduct is part of this responsibility (Cattermole, 2019). Human resource managers also provide chances for their staff to continue learning and growing in their roles. Employee loyalty and dedication may be fostered via the provision of opportunities for professional development (</w:t>
      </w:r>
      <w:proofErr w:type="spellStart"/>
      <w:r w:rsidRPr="00FA3179">
        <w:rPr>
          <w:rFonts w:cs="Times New Roman"/>
        </w:rPr>
        <w:t>Itam</w:t>
      </w:r>
      <w:proofErr w:type="spellEnd"/>
      <w:r w:rsidRPr="00FA3179">
        <w:rPr>
          <w:rFonts w:cs="Times New Roman"/>
        </w:rPr>
        <w:t xml:space="preserve">, </w:t>
      </w:r>
      <w:proofErr w:type="spellStart"/>
      <w:r w:rsidRPr="00FA3179">
        <w:rPr>
          <w:rFonts w:cs="Times New Roman"/>
        </w:rPr>
        <w:t>Misra</w:t>
      </w:r>
      <w:proofErr w:type="spellEnd"/>
      <w:r w:rsidRPr="00FA3179">
        <w:rPr>
          <w:rFonts w:cs="Times New Roman"/>
        </w:rPr>
        <w:t xml:space="preserve"> and Anjum, 2020).</w:t>
      </w:r>
    </w:p>
    <w:p w14:paraId="310300B7" w14:textId="25D18548" w:rsidR="00FA3179" w:rsidRPr="00FA3179" w:rsidRDefault="00000000" w:rsidP="00127253">
      <w:pPr>
        <w:pStyle w:val="Heading3"/>
      </w:pPr>
      <w:r w:rsidRPr="00FA3179">
        <w:t xml:space="preserve">The Importance of Managing </w:t>
      </w:r>
      <w:r w:rsidR="00127253" w:rsidRPr="00FA3179">
        <w:t>and</w:t>
      </w:r>
      <w:r w:rsidRPr="00FA3179">
        <w:t xml:space="preserve"> Developing Talent</w:t>
      </w:r>
    </w:p>
    <w:p w14:paraId="5B3F3AA1" w14:textId="3219207B" w:rsidR="00FA3179" w:rsidRPr="00FA3179" w:rsidRDefault="00000000" w:rsidP="00127253">
      <w:pPr>
        <w:spacing w:after="0"/>
        <w:rPr>
          <w:rFonts w:cs="Times New Roman"/>
        </w:rPr>
      </w:pPr>
      <w:r w:rsidRPr="00FA3179">
        <w:rPr>
          <w:rFonts w:cs="Times New Roman"/>
        </w:rPr>
        <w:t xml:space="preserve">According to Elia, </w:t>
      </w:r>
      <w:proofErr w:type="spellStart"/>
      <w:r w:rsidRPr="00FA3179">
        <w:rPr>
          <w:rFonts w:cs="Times New Roman"/>
        </w:rPr>
        <w:t>Ghazzawi</w:t>
      </w:r>
      <w:proofErr w:type="spellEnd"/>
      <w:r w:rsidRPr="00FA3179">
        <w:rPr>
          <w:rFonts w:cs="Times New Roman"/>
        </w:rPr>
        <w:t xml:space="preserve"> and Arnaout (2017), Keeping employees interested and employed in the hotel sector requires careful management and the development of their talents. Attracting, developing, and retaining employees who have the experience, education, and potential to advance the company's goals is the goal of any talent management strategy (Gallagher, 2016). Aligning the hotel's strategic goals with those of its workers is a key component of an effective people management program, which in turn boosts organizational performance. When workers feel valued, supported, and encouraged to grow professionally, they are more inclined to invest in and be inspired by their job. It is crucial in the hospitality industry to have employees that are enthusiastic about their profession and willing to go the extra mile for visitors (Cattermole, 2019). In addition, firms that effectively manage and develop their personnel may better compete in today's dynamic business environment. Organizations may ensure a steady supply of future leaders and top performers by investing in the training of high-potential employees. A competitive advantage may be maintained and succession planning concerns mitigated using this </w:t>
      </w:r>
      <w:r w:rsidRPr="00FA3179">
        <w:rPr>
          <w:rFonts w:cs="Times New Roman"/>
        </w:rPr>
        <w:lastRenderedPageBreak/>
        <w:t xml:space="preserve">method of people management (Murton, Inman and </w:t>
      </w:r>
      <w:proofErr w:type="spellStart"/>
      <w:r w:rsidRPr="00FA3179">
        <w:rPr>
          <w:rFonts w:cs="Times New Roman"/>
        </w:rPr>
        <w:t>Osullivan</w:t>
      </w:r>
      <w:proofErr w:type="spellEnd"/>
      <w:r w:rsidRPr="00FA3179">
        <w:rPr>
          <w:rFonts w:cs="Times New Roman"/>
        </w:rPr>
        <w:t>, 2010). To maintain competitiveness and long-term success, hotels must invest in personnel management and development programs (Verma et al., 20</w:t>
      </w:r>
      <w:r w:rsidR="00127253">
        <w:rPr>
          <w:rFonts w:cs="Times New Roman"/>
        </w:rPr>
        <w:t>1</w:t>
      </w:r>
      <w:r w:rsidRPr="00FA3179">
        <w:rPr>
          <w:rFonts w:cs="Times New Roman"/>
        </w:rPr>
        <w:t>6). Incorporating personnel management practices allows businesses to better compete for and keep top people, increase employee engagement, and boost both individual and team output (Marchington and Wilkinson, 2016).</w:t>
      </w:r>
    </w:p>
    <w:p w14:paraId="23B91DA3" w14:textId="77777777" w:rsidR="00FA3179" w:rsidRPr="00FA3179" w:rsidRDefault="00000000" w:rsidP="00127253">
      <w:pPr>
        <w:pStyle w:val="Heading3"/>
      </w:pPr>
      <w:r w:rsidRPr="00FA3179">
        <w:t>Employee Lifecycle</w:t>
      </w:r>
    </w:p>
    <w:p w14:paraId="0FB2C651" w14:textId="163C30A0" w:rsidR="00FA3179" w:rsidRPr="00FA3179" w:rsidRDefault="00000000" w:rsidP="00127253">
      <w:pPr>
        <w:spacing w:after="0"/>
        <w:rPr>
          <w:rFonts w:cs="Times New Roman"/>
        </w:rPr>
      </w:pPr>
      <w:r w:rsidRPr="00FA3179">
        <w:rPr>
          <w:rFonts w:cs="Times New Roman"/>
        </w:rPr>
        <w:t xml:space="preserve">According to </w:t>
      </w:r>
      <w:proofErr w:type="spellStart"/>
      <w:r w:rsidRPr="00FA3179">
        <w:rPr>
          <w:rFonts w:cs="Times New Roman"/>
        </w:rPr>
        <w:t>Itam</w:t>
      </w:r>
      <w:proofErr w:type="spellEnd"/>
      <w:r w:rsidRPr="00FA3179">
        <w:rPr>
          <w:rFonts w:cs="Times New Roman"/>
        </w:rPr>
        <w:t xml:space="preserve">, </w:t>
      </w:r>
      <w:proofErr w:type="spellStart"/>
      <w:r w:rsidRPr="00FA3179">
        <w:rPr>
          <w:rFonts w:cs="Times New Roman"/>
        </w:rPr>
        <w:t>Misra</w:t>
      </w:r>
      <w:proofErr w:type="spellEnd"/>
      <w:r w:rsidRPr="00FA3179">
        <w:rPr>
          <w:rFonts w:cs="Times New Roman"/>
        </w:rPr>
        <w:t xml:space="preserve"> and Anjum, </w:t>
      </w:r>
      <w:r w:rsidR="00127253">
        <w:rPr>
          <w:rFonts w:cs="Times New Roman"/>
        </w:rPr>
        <w:t>(</w:t>
      </w:r>
      <w:r w:rsidRPr="00FA3179">
        <w:rPr>
          <w:rFonts w:cs="Times New Roman"/>
        </w:rPr>
        <w:t>2020), there are several interrelated phases of the employee lifecycle at a major hotel that all play an important role in talent management and employee engagement. In the first stage, "attraction," HR works on building a positive employer brand and improving hiring practices to draw in people who share the company's core values (</w:t>
      </w:r>
      <w:proofErr w:type="spellStart"/>
      <w:r w:rsidRPr="00FA3179">
        <w:rPr>
          <w:rFonts w:cs="Times New Roman"/>
        </w:rPr>
        <w:t>Bankins</w:t>
      </w:r>
      <w:proofErr w:type="spellEnd"/>
      <w:r w:rsidRPr="00FA3179">
        <w:rPr>
          <w:rFonts w:cs="Times New Roman"/>
        </w:rPr>
        <w:t xml:space="preserve">, 2021). After a pool of potential hires has been narrowed down, the recruiting phase begins, during which skills and personality fit are carefully assessed. The next step is the onboarding process, which is responsible for easing new employees into their positions by acquainting them with the hotel's rules, processes, and culture via in-depth orientation </w:t>
      </w:r>
      <w:proofErr w:type="spellStart"/>
      <w:r w:rsidRPr="00FA3179">
        <w:rPr>
          <w:rFonts w:cs="Times New Roman"/>
        </w:rPr>
        <w:t>programmes</w:t>
      </w:r>
      <w:proofErr w:type="spellEnd"/>
      <w:r w:rsidRPr="00FA3179">
        <w:rPr>
          <w:rFonts w:cs="Times New Roman"/>
        </w:rPr>
        <w:t xml:space="preserve">. During this period, HR professionals engage in new hires' continuous growth via training, coaching, and mentoring while they adjust to their new responsibilities (Buchanan, 2021). Investing in employees' professional growth increases their dedication to their jobs and the company as a whole. Human resource professionals next enter a crucial phase known as "retention strategies," during which they try to reduce turnover and retain top people utilizing performance management, recognition </w:t>
      </w:r>
      <w:proofErr w:type="spellStart"/>
      <w:r w:rsidRPr="00FA3179">
        <w:rPr>
          <w:rFonts w:cs="Times New Roman"/>
        </w:rPr>
        <w:t>programmes</w:t>
      </w:r>
      <w:proofErr w:type="spellEnd"/>
      <w:r w:rsidRPr="00FA3179">
        <w:rPr>
          <w:rFonts w:cs="Times New Roman"/>
        </w:rPr>
        <w:t>, and competitive remuneration packages (Cattermole, 2019). Maintaining strong ties with former colleagues is possible via a professional and compassionate separation process. Cattermole (2019) also included that, human resources departments at major hotels may boost productivity at all levels of operation by using a talent management system that helps them find, develop, and keep talented workers.</w:t>
      </w:r>
    </w:p>
    <w:p w14:paraId="586ECB92" w14:textId="77777777" w:rsidR="00FA3179" w:rsidRPr="00FA3179" w:rsidRDefault="00000000" w:rsidP="00127253">
      <w:pPr>
        <w:pStyle w:val="Heading3"/>
      </w:pPr>
      <w:r w:rsidRPr="00FA3179">
        <w:t xml:space="preserve">Benefitting </w:t>
      </w:r>
      <w:proofErr w:type="spellStart"/>
      <w:r w:rsidRPr="00FA3179">
        <w:t>Organisational</w:t>
      </w:r>
      <w:proofErr w:type="spellEnd"/>
      <w:r w:rsidRPr="00FA3179">
        <w:t xml:space="preserve"> Performance</w:t>
      </w:r>
    </w:p>
    <w:p w14:paraId="2D847815" w14:textId="77777777" w:rsidR="00FA3179" w:rsidRPr="00FA3179" w:rsidRDefault="00000000" w:rsidP="00127253">
      <w:pPr>
        <w:spacing w:after="0"/>
        <w:rPr>
          <w:rFonts w:cs="Times New Roman"/>
        </w:rPr>
      </w:pPr>
      <w:r w:rsidRPr="00FA3179">
        <w:rPr>
          <w:rFonts w:cs="Times New Roman"/>
        </w:rPr>
        <w:t xml:space="preserve">Large hotels may greatly improve their team and </w:t>
      </w:r>
      <w:proofErr w:type="spellStart"/>
      <w:r w:rsidRPr="00FA3179">
        <w:rPr>
          <w:rFonts w:cs="Times New Roman"/>
        </w:rPr>
        <w:t>organisational</w:t>
      </w:r>
      <w:proofErr w:type="spellEnd"/>
      <w:r w:rsidRPr="00FA3179">
        <w:rPr>
          <w:rFonts w:cs="Times New Roman"/>
        </w:rPr>
        <w:t xml:space="preserve"> performance by adopting and implementing efficient personnel management techniques over the whole employee lifecycle (Marchington and Wilkinson, 2016). Taking a strategic approach to talent acquisition, for instance during the attraction and recruiting phases, may increase team dynamics and productivity by choosing employees with the necessary abilities and a good cultural fit. Human resources experts can create cohesive teams that work cooperatively towards shared objectives </w:t>
      </w:r>
      <w:r w:rsidRPr="00FA3179">
        <w:rPr>
          <w:rFonts w:cs="Times New Roman"/>
        </w:rPr>
        <w:lastRenderedPageBreak/>
        <w:t xml:space="preserve">when they carefully choose individuals whose values and goals fit with those of the hotel (Xiang et al., 2023). New hires may become productive members of the team more rapidly when thorough orientation </w:t>
      </w:r>
      <w:proofErr w:type="spellStart"/>
      <w:r w:rsidRPr="00FA3179">
        <w:rPr>
          <w:rFonts w:cs="Times New Roman"/>
        </w:rPr>
        <w:t>programmes</w:t>
      </w:r>
      <w:proofErr w:type="spellEnd"/>
      <w:r w:rsidRPr="00FA3179">
        <w:rPr>
          <w:rFonts w:cs="Times New Roman"/>
        </w:rPr>
        <w:t xml:space="preserve"> and mentoring opportunities are made available throughout the onboarding period. This helps new employees feel more welcome on the team and guarantees they have the tools they need to participate right away. Investing in workers' growth throughout their employment also has a large effect on team and company output. Human resource experts may help workers become more effective and productive by providing opportunities for skill development via training, mentorship, and coaching (Johnson, 2023). Competitive advantage and improved problem-solving skills may be gained via a company's commitment to a culture of continual learning and growth. Top performers should be kept on board via recognition and participation </w:t>
      </w:r>
      <w:proofErr w:type="spellStart"/>
      <w:r w:rsidRPr="00FA3179">
        <w:rPr>
          <w:rFonts w:cs="Times New Roman"/>
        </w:rPr>
        <w:t>programmes</w:t>
      </w:r>
      <w:proofErr w:type="spellEnd"/>
      <w:r w:rsidRPr="00FA3179">
        <w:rPr>
          <w:rFonts w:cs="Times New Roman"/>
        </w:rPr>
        <w:t xml:space="preserve"> to </w:t>
      </w:r>
      <w:proofErr w:type="spellStart"/>
      <w:r w:rsidRPr="00FA3179">
        <w:rPr>
          <w:rFonts w:cs="Times New Roman"/>
        </w:rPr>
        <w:t>maximise</w:t>
      </w:r>
      <w:proofErr w:type="spellEnd"/>
      <w:r w:rsidRPr="00FA3179">
        <w:rPr>
          <w:rFonts w:cs="Times New Roman"/>
        </w:rPr>
        <w:t xml:space="preserve"> team output. Employees that are engaged are more likely to go above and beyond in their work. They boost morale, motivate their team, and propel the group to victory. </w:t>
      </w:r>
      <w:proofErr w:type="spellStart"/>
      <w:r w:rsidRPr="00FA3179">
        <w:rPr>
          <w:rFonts w:cs="Times New Roman"/>
        </w:rPr>
        <w:t>Gladka</w:t>
      </w:r>
      <w:proofErr w:type="spellEnd"/>
      <w:r w:rsidRPr="00FA3179">
        <w:rPr>
          <w:rFonts w:cs="Times New Roman"/>
        </w:rPr>
        <w:t xml:space="preserve">, </w:t>
      </w:r>
      <w:proofErr w:type="spellStart"/>
      <w:r w:rsidRPr="00FA3179">
        <w:rPr>
          <w:rFonts w:cs="Times New Roman"/>
        </w:rPr>
        <w:t>Fedorova</w:t>
      </w:r>
      <w:proofErr w:type="spellEnd"/>
      <w:r w:rsidRPr="00FA3179">
        <w:rPr>
          <w:rFonts w:cs="Times New Roman"/>
        </w:rPr>
        <w:t xml:space="preserve"> and </w:t>
      </w:r>
      <w:proofErr w:type="spellStart"/>
      <w:r w:rsidRPr="00FA3179">
        <w:rPr>
          <w:rFonts w:cs="Times New Roman"/>
        </w:rPr>
        <w:t>Dohadailo</w:t>
      </w:r>
      <w:proofErr w:type="spellEnd"/>
      <w:r w:rsidRPr="00FA3179">
        <w:rPr>
          <w:rFonts w:cs="Times New Roman"/>
        </w:rPr>
        <w:t xml:space="preserve"> (2022) said Human resources experts at a major hotel may improve team dynamics, cultivate a culture of growth and innovation, and boost team and </w:t>
      </w:r>
      <w:proofErr w:type="spellStart"/>
      <w:r w:rsidRPr="00FA3179">
        <w:rPr>
          <w:rFonts w:cs="Times New Roman"/>
        </w:rPr>
        <w:t>organisational</w:t>
      </w:r>
      <w:proofErr w:type="spellEnd"/>
      <w:r w:rsidRPr="00FA3179">
        <w:rPr>
          <w:rFonts w:cs="Times New Roman"/>
        </w:rPr>
        <w:t xml:space="preserve"> performance by focusing on talent management and development across the employment lifetime.</w:t>
      </w:r>
    </w:p>
    <w:p w14:paraId="4DFF8183" w14:textId="77777777" w:rsidR="00FA3179" w:rsidRPr="00FA3179" w:rsidRDefault="00000000" w:rsidP="00127253">
      <w:pPr>
        <w:pStyle w:val="Heading3"/>
      </w:pPr>
      <w:r w:rsidRPr="00FA3179">
        <w:t>Best Industry Practices</w:t>
      </w:r>
    </w:p>
    <w:p w14:paraId="5E186E28" w14:textId="77777777" w:rsidR="00FA3179" w:rsidRPr="00FA3179" w:rsidRDefault="00000000" w:rsidP="00127253">
      <w:pPr>
        <w:spacing w:after="0"/>
        <w:rPr>
          <w:rFonts w:cs="Times New Roman"/>
        </w:rPr>
      </w:pPr>
      <w:r w:rsidRPr="00FA3179">
        <w:rPr>
          <w:rFonts w:cs="Times New Roman"/>
        </w:rPr>
        <w:t xml:space="preserve">According to </w:t>
      </w:r>
      <w:proofErr w:type="spellStart"/>
      <w:r w:rsidRPr="00FA3179">
        <w:rPr>
          <w:rFonts w:cs="Times New Roman"/>
        </w:rPr>
        <w:t>Heinänen</w:t>
      </w:r>
      <w:proofErr w:type="spellEnd"/>
      <w:r w:rsidRPr="00FA3179">
        <w:rPr>
          <w:rFonts w:cs="Times New Roman"/>
        </w:rPr>
        <w:t xml:space="preserve"> (2022), If the hotel sector is going to </w:t>
      </w:r>
      <w:proofErr w:type="spellStart"/>
      <w:r w:rsidRPr="00FA3179">
        <w:rPr>
          <w:rFonts w:cs="Times New Roman"/>
        </w:rPr>
        <w:t>maximise</w:t>
      </w:r>
      <w:proofErr w:type="spellEnd"/>
      <w:r w:rsidRPr="00FA3179">
        <w:rPr>
          <w:rFonts w:cs="Times New Roman"/>
        </w:rPr>
        <w:t xml:space="preserve"> the performance of its teams and businesses, it must adopt and use best practices in talent management over the whole employee lifecycle. Several flourishing cases show that these methods work. When it comes to acquiring and developing people, Marriott International is a best practice example (Buchanan, 2021). To entice recent college grads, Marriott has created a </w:t>
      </w:r>
      <w:proofErr w:type="spellStart"/>
      <w:r w:rsidRPr="00FA3179">
        <w:rPr>
          <w:rFonts w:cs="Times New Roman"/>
        </w:rPr>
        <w:t>programme</w:t>
      </w:r>
      <w:proofErr w:type="spellEnd"/>
      <w:r w:rsidRPr="00FA3179">
        <w:rPr>
          <w:rFonts w:cs="Times New Roman"/>
        </w:rPr>
        <w:t xml:space="preserve"> called "Voyage" in which participants may cycle among different departments and learn about all aspects of the hotel industry (</w:t>
      </w:r>
      <w:proofErr w:type="spellStart"/>
      <w:r w:rsidRPr="00FA3179">
        <w:rPr>
          <w:rFonts w:cs="Times New Roman"/>
        </w:rPr>
        <w:t>Bankins</w:t>
      </w:r>
      <w:proofErr w:type="spellEnd"/>
      <w:r w:rsidRPr="00FA3179">
        <w:rPr>
          <w:rFonts w:cs="Times New Roman"/>
        </w:rPr>
        <w:t>, 2021). This all-encompassing strategy not only attracts young talent but also aids in their development of a diverse range of abilities and a thorough grasp of the sector. Hilton Worldwide is another market leader that places a premium on the growth and satisfaction of its workforce (</w:t>
      </w:r>
      <w:proofErr w:type="spellStart"/>
      <w:r w:rsidRPr="00FA3179">
        <w:rPr>
          <w:rFonts w:cs="Times New Roman"/>
        </w:rPr>
        <w:t>Itam</w:t>
      </w:r>
      <w:proofErr w:type="spellEnd"/>
      <w:r w:rsidRPr="00FA3179">
        <w:rPr>
          <w:rFonts w:cs="Times New Roman"/>
        </w:rPr>
        <w:t xml:space="preserve">, </w:t>
      </w:r>
      <w:proofErr w:type="spellStart"/>
      <w:r w:rsidRPr="00FA3179">
        <w:rPr>
          <w:rFonts w:cs="Times New Roman"/>
        </w:rPr>
        <w:t>Misra</w:t>
      </w:r>
      <w:proofErr w:type="spellEnd"/>
      <w:r w:rsidRPr="00FA3179">
        <w:rPr>
          <w:rFonts w:cs="Times New Roman"/>
        </w:rPr>
        <w:t xml:space="preserve"> and Anjum, 2020). Employees may take advantage of special discounts and perks via the "Go Hilton" </w:t>
      </w:r>
      <w:proofErr w:type="spellStart"/>
      <w:r w:rsidRPr="00FA3179">
        <w:rPr>
          <w:rFonts w:cs="Times New Roman"/>
        </w:rPr>
        <w:t>programme</w:t>
      </w:r>
      <w:proofErr w:type="spellEnd"/>
      <w:r w:rsidRPr="00FA3179">
        <w:rPr>
          <w:rFonts w:cs="Times New Roman"/>
        </w:rPr>
        <w:t xml:space="preserve"> so that they can sample the hotel chain's hospitality for themselves. Employees' product knowledge is boosted, and they are better equipped to provide excellent service to customers as a result of this campaign. Hyatt Hotels Corporation is renowned for its progressive methods of managing its employees. Employee </w:t>
      </w:r>
      <w:r w:rsidRPr="00FA3179">
        <w:rPr>
          <w:rFonts w:cs="Times New Roman"/>
        </w:rPr>
        <w:lastRenderedPageBreak/>
        <w:t xml:space="preserve">growth is </w:t>
      </w:r>
      <w:proofErr w:type="spellStart"/>
      <w:r w:rsidRPr="00FA3179">
        <w:rPr>
          <w:rFonts w:cs="Times New Roman"/>
        </w:rPr>
        <w:t>prioritised</w:t>
      </w:r>
      <w:proofErr w:type="spellEnd"/>
      <w:r w:rsidRPr="00FA3179">
        <w:rPr>
          <w:rFonts w:cs="Times New Roman"/>
        </w:rPr>
        <w:t xml:space="preserve"> via the "Hyatt Thrive" </w:t>
      </w:r>
      <w:proofErr w:type="spellStart"/>
      <w:r w:rsidRPr="00FA3179">
        <w:rPr>
          <w:rFonts w:cs="Times New Roman"/>
        </w:rPr>
        <w:t>programme</w:t>
      </w:r>
      <w:proofErr w:type="spellEnd"/>
      <w:r w:rsidRPr="00FA3179">
        <w:rPr>
          <w:rFonts w:cs="Times New Roman"/>
        </w:rPr>
        <w:t xml:space="preserve">, which offers training and financial aid to employees (Cattermole, 2019). Hyatt promotes an environment of lifelong learning by providing opportunities for professional and personal development to its staff, which in turn produces highly competent and inspired teams that provide memorable experiences for guests. In addition, Elia, </w:t>
      </w:r>
      <w:proofErr w:type="spellStart"/>
      <w:r w:rsidRPr="00FA3179">
        <w:rPr>
          <w:rFonts w:cs="Times New Roman"/>
        </w:rPr>
        <w:t>Ghazzawi</w:t>
      </w:r>
      <w:proofErr w:type="spellEnd"/>
      <w:r w:rsidRPr="00FA3179">
        <w:rPr>
          <w:rFonts w:cs="Times New Roman"/>
        </w:rPr>
        <w:t xml:space="preserve"> and Arnaout (2017) mentioned that four Seasons Hotels and Resorts is notable for its methods of retaining its staff. The firm values its employees' work-life balance, therefore it provides them with a variety of benefits, including flexible scheduling, rewards, and growth chances. The success of Four Seasons' teams and the company as a whole may be attributed to the company's emphasis on employee happiness and satisfaction (Gallagher, 2016).</w:t>
      </w:r>
    </w:p>
    <w:p w14:paraId="6A46E020" w14:textId="77777777" w:rsidR="00FA3179" w:rsidRPr="00FA3179" w:rsidRDefault="00000000" w:rsidP="00127253">
      <w:pPr>
        <w:spacing w:after="0"/>
        <w:rPr>
          <w:rFonts w:cs="Times New Roman"/>
        </w:rPr>
      </w:pPr>
      <w:proofErr w:type="spellStart"/>
      <w:r w:rsidRPr="00FA3179">
        <w:rPr>
          <w:rFonts w:cs="Times New Roman"/>
        </w:rPr>
        <w:t>Bankins</w:t>
      </w:r>
      <w:proofErr w:type="spellEnd"/>
      <w:r w:rsidRPr="00FA3179">
        <w:rPr>
          <w:rFonts w:cs="Times New Roman"/>
        </w:rPr>
        <w:t xml:space="preserve"> (2021) mentioned that hotels may gain a lot if they put effort into finding and hiring the appropriate people, training them well, encouraging them to stay with the company, and rewarding their loyalty. Workers that care about their jobs will go the extra mile for their employers and their customers (Buchanan, 2021). Moreover, investments in talent development create a creative, hardworking team that can sustain a market edge. The practical results of successful personnel management strategies are shown by the best practice examples from industry leaders (</w:t>
      </w:r>
      <w:proofErr w:type="spellStart"/>
      <w:r w:rsidRPr="00FA3179">
        <w:rPr>
          <w:rFonts w:cs="Times New Roman"/>
        </w:rPr>
        <w:t>Itam</w:t>
      </w:r>
      <w:proofErr w:type="spellEnd"/>
      <w:r w:rsidRPr="00FA3179">
        <w:rPr>
          <w:rFonts w:cs="Times New Roman"/>
        </w:rPr>
        <w:t xml:space="preserve">, </w:t>
      </w:r>
      <w:proofErr w:type="spellStart"/>
      <w:r w:rsidRPr="00FA3179">
        <w:rPr>
          <w:rFonts w:cs="Times New Roman"/>
        </w:rPr>
        <w:t>Misra</w:t>
      </w:r>
      <w:proofErr w:type="spellEnd"/>
      <w:r w:rsidRPr="00FA3179">
        <w:rPr>
          <w:rFonts w:cs="Times New Roman"/>
        </w:rPr>
        <w:t xml:space="preserve"> and Anjum, 2020). Hotels like Marriott, Hilton, Hyatt, and Four Seasons have been successful because they emphasize staff involvement. The examples they set encourage other hotels to try new things and improve old ones. Hotels may build a climate that attracts and maintains the best employees, promotes teamwork and positivity, and leads to sustained success by following these steps (Cattermole, 2019). Also, Johnson (2023) concluded that improved performance, customer happiness, and long-term growth are all possible outcomes of effective talent management and employee engagement in the hospitality business.</w:t>
      </w:r>
    </w:p>
    <w:p w14:paraId="7DF366B5" w14:textId="77777777" w:rsidR="00FA3179" w:rsidRDefault="00000000" w:rsidP="00FA3179">
      <w:pPr>
        <w:spacing w:after="200"/>
        <w:rPr>
          <w:rFonts w:cs="Times New Roman"/>
          <w:b/>
          <w:bCs/>
        </w:rPr>
      </w:pPr>
      <w:r>
        <w:rPr>
          <w:rFonts w:cs="Times New Roman"/>
          <w:b/>
          <w:bCs/>
        </w:rPr>
        <w:br w:type="page"/>
      </w:r>
    </w:p>
    <w:p w14:paraId="3C112589" w14:textId="7988535F" w:rsidR="00FA3179" w:rsidRPr="00FA3179" w:rsidRDefault="00000000" w:rsidP="00FA3179">
      <w:pPr>
        <w:pStyle w:val="Heading2"/>
        <w:rPr>
          <w:b w:val="0"/>
          <w:bCs/>
        </w:rPr>
      </w:pPr>
      <w:r w:rsidRPr="00FA3179">
        <w:rPr>
          <w:bCs/>
        </w:rPr>
        <w:lastRenderedPageBreak/>
        <w:t>Conclusion</w:t>
      </w:r>
    </w:p>
    <w:p w14:paraId="78D9C08C" w14:textId="77777777" w:rsidR="00FA3179" w:rsidRPr="00FA3179" w:rsidRDefault="00000000" w:rsidP="00FA3179">
      <w:pPr>
        <w:spacing w:after="200"/>
        <w:rPr>
          <w:rFonts w:cs="Times New Roman"/>
        </w:rPr>
      </w:pPr>
      <w:r w:rsidRPr="00FA3179">
        <w:rPr>
          <w:rFonts w:cs="Times New Roman"/>
        </w:rPr>
        <w:t xml:space="preserve">Driving team and </w:t>
      </w:r>
      <w:proofErr w:type="spellStart"/>
      <w:r w:rsidRPr="00FA3179">
        <w:rPr>
          <w:rFonts w:cs="Times New Roman"/>
        </w:rPr>
        <w:t>organisational</w:t>
      </w:r>
      <w:proofErr w:type="spellEnd"/>
      <w:r w:rsidRPr="00FA3179">
        <w:rPr>
          <w:rFonts w:cs="Times New Roman"/>
        </w:rPr>
        <w:t xml:space="preserve"> success in the hospitality sector requires excellent personnel management and engagement across the employment lifetime. Hotels may gain a lot if they put effort into finding and hiring the best people possible, providing them with extensive training and development opportunities, encouraging them to feel appreciated, and making keeping their employees a top priority. Engaged workers are more likely to go the extra mile for customers, work well together as a team, and provide better results overall. In addition, a competitive and innovative business environment benefits from an educated and competent staff, which is fostered via investments in talent development. The practical results of excellent personnel management </w:t>
      </w:r>
      <w:proofErr w:type="spellStart"/>
      <w:r w:rsidRPr="00FA3179">
        <w:rPr>
          <w:rFonts w:cs="Times New Roman"/>
        </w:rPr>
        <w:t>practise</w:t>
      </w:r>
      <w:proofErr w:type="spellEnd"/>
      <w:r w:rsidRPr="00FA3179">
        <w:rPr>
          <w:rFonts w:cs="Times New Roman"/>
        </w:rPr>
        <w:t xml:space="preserve"> may be seen in the success stories of industry giants like Marriott, Hilton, Hyatt, and Four Seasons. By making employee engagement a top priority across the board, these companies have boosted morale, enhanced the customer service they provide, and gained a significant edge in the marketplace. Hotels may compete successfully in the dynamic hospitality industry by modelling successful practices and putting them into practice in their operations. This will result in a more desirable place to work for prospective employees and a more productive and satisfied workforce. Hotel employee engagement is an essential part of any successful business strategy because of the many positive outcomes it can provide.</w:t>
      </w:r>
    </w:p>
    <w:p w14:paraId="4E20A93E" w14:textId="77777777" w:rsidR="00892B4C" w:rsidRDefault="00000000" w:rsidP="00FA3179">
      <w:pPr>
        <w:spacing w:after="200"/>
        <w:rPr>
          <w:rFonts w:cs="Times New Roman"/>
          <w:b/>
          <w:bCs/>
          <w:lang w:val="en-GB"/>
        </w:rPr>
      </w:pPr>
      <w:r>
        <w:rPr>
          <w:rFonts w:cs="Times New Roman"/>
          <w:b/>
          <w:bCs/>
          <w:lang w:val="en-GB"/>
        </w:rPr>
        <w:br w:type="page"/>
      </w:r>
    </w:p>
    <w:p w14:paraId="5AF3FA19" w14:textId="2B9D5708" w:rsidR="00DC71C1" w:rsidRPr="00892B4C" w:rsidRDefault="00000000" w:rsidP="00FA3179">
      <w:pPr>
        <w:pStyle w:val="Heading1"/>
        <w:rPr>
          <w:lang w:val="en-GB"/>
        </w:rPr>
      </w:pPr>
      <w:r w:rsidRPr="00892B4C">
        <w:rPr>
          <w:lang w:val="en-GB"/>
        </w:rPr>
        <w:lastRenderedPageBreak/>
        <w:t xml:space="preserve">Reference </w:t>
      </w:r>
    </w:p>
    <w:p w14:paraId="7831E36C" w14:textId="77777777" w:rsidR="00127253" w:rsidRPr="00892B4C" w:rsidRDefault="00000000" w:rsidP="00127253">
      <w:pPr>
        <w:spacing w:after="0"/>
        <w:rPr>
          <w:lang w:val="en-GB"/>
        </w:rPr>
      </w:pPr>
      <w:r w:rsidRPr="00892B4C">
        <w:rPr>
          <w:lang w:val="en-GB"/>
        </w:rPr>
        <w:t xml:space="preserve">Armstrong, M. and Taylor, S. (2020) Armstrong's Handbook of human resource management practice. 15th edition. London, United Kingdom: </w:t>
      </w:r>
      <w:proofErr w:type="spellStart"/>
      <w:r w:rsidRPr="00892B4C">
        <w:rPr>
          <w:lang w:val="en-GB"/>
        </w:rPr>
        <w:t>KoganPage</w:t>
      </w:r>
      <w:proofErr w:type="spellEnd"/>
      <w:r w:rsidRPr="00892B4C">
        <w:rPr>
          <w:lang w:val="en-GB"/>
        </w:rPr>
        <w:t xml:space="preserve">. </w:t>
      </w:r>
    </w:p>
    <w:p w14:paraId="2CEE90A2" w14:textId="77777777" w:rsidR="00127253" w:rsidRPr="00892B4C" w:rsidRDefault="00000000" w:rsidP="00127253">
      <w:pPr>
        <w:spacing w:after="0"/>
        <w:rPr>
          <w:lang w:val="en-GB"/>
        </w:rPr>
      </w:pPr>
      <w:proofErr w:type="spellStart"/>
      <w:r w:rsidRPr="00892B4C">
        <w:rPr>
          <w:lang w:val="en-GB"/>
        </w:rPr>
        <w:t>Bankins</w:t>
      </w:r>
      <w:proofErr w:type="spellEnd"/>
      <w:r w:rsidRPr="00892B4C">
        <w:rPr>
          <w:lang w:val="en-GB"/>
        </w:rPr>
        <w:t>, S., 2021. The ethical use of artificial intelligence in human resource management: a decision-making framework. Ethics and Information Technology, 23(4), pp.841-854.</w:t>
      </w:r>
    </w:p>
    <w:p w14:paraId="572F6DFE" w14:textId="77777777" w:rsidR="00127253" w:rsidRPr="00892B4C" w:rsidRDefault="00000000" w:rsidP="00127253">
      <w:pPr>
        <w:spacing w:after="0"/>
        <w:rPr>
          <w:lang w:val="en-GB"/>
        </w:rPr>
      </w:pPr>
      <w:r w:rsidRPr="00892B4C">
        <w:rPr>
          <w:lang w:val="en-GB"/>
        </w:rPr>
        <w:t>Buchanan, M. C. (2021) A Qualitative Exploration of Ways Generation Z Is Influencing Corporate Culture around Employee Lifecycle Management (Doctoral dissertation).</w:t>
      </w:r>
    </w:p>
    <w:p w14:paraId="519B8CA1" w14:textId="77777777" w:rsidR="00127253" w:rsidRPr="00892B4C" w:rsidRDefault="00000000" w:rsidP="00127253">
      <w:pPr>
        <w:spacing w:after="0"/>
        <w:rPr>
          <w:lang w:val="en-GB"/>
        </w:rPr>
      </w:pPr>
      <w:r w:rsidRPr="00892B4C">
        <w:rPr>
          <w:lang w:val="en-GB"/>
        </w:rPr>
        <w:t>Cattermole, G., 2019. Developing the employee lifecycle to keep top talent. Strategic HR review, 18(6), pp.258-262.</w:t>
      </w:r>
    </w:p>
    <w:p w14:paraId="576ED0C8" w14:textId="77777777" w:rsidR="00127253" w:rsidRPr="00892B4C" w:rsidRDefault="00000000" w:rsidP="00127253">
      <w:pPr>
        <w:spacing w:after="0"/>
        <w:rPr>
          <w:lang w:val="en-GB"/>
        </w:rPr>
      </w:pPr>
      <w:r w:rsidRPr="00892B4C">
        <w:rPr>
          <w:lang w:val="en-GB"/>
        </w:rPr>
        <w:t xml:space="preserve">Elia, P. T., </w:t>
      </w:r>
      <w:proofErr w:type="spellStart"/>
      <w:r w:rsidRPr="00892B4C">
        <w:rPr>
          <w:lang w:val="en-GB"/>
        </w:rPr>
        <w:t>Ghazzawi</w:t>
      </w:r>
      <w:proofErr w:type="spellEnd"/>
      <w:r w:rsidRPr="00892B4C">
        <w:rPr>
          <w:lang w:val="en-GB"/>
        </w:rPr>
        <w:t>, K. and Arnaout, B. (2017) “Talent management implications in the Lebanese banking industry,” Human Resource Management Research, 7(2), pp. 83–89.</w:t>
      </w:r>
    </w:p>
    <w:p w14:paraId="514C6FC2" w14:textId="77777777" w:rsidR="00127253" w:rsidRPr="00892B4C" w:rsidRDefault="00000000" w:rsidP="00127253">
      <w:pPr>
        <w:spacing w:after="0"/>
        <w:rPr>
          <w:lang w:val="en-GB"/>
        </w:rPr>
      </w:pPr>
      <w:r w:rsidRPr="00892B4C">
        <w:rPr>
          <w:lang w:val="en-GB"/>
        </w:rPr>
        <w:t xml:space="preserve">Friedman, A. (2012) Continuing professional development:  lifelong learning of millions. London: Routledge. </w:t>
      </w:r>
    </w:p>
    <w:p w14:paraId="7C683CEA" w14:textId="77777777" w:rsidR="00127253" w:rsidRPr="00892B4C" w:rsidRDefault="00000000" w:rsidP="00127253">
      <w:pPr>
        <w:spacing w:after="0"/>
        <w:rPr>
          <w:lang w:val="en-GB"/>
        </w:rPr>
      </w:pPr>
      <w:r w:rsidRPr="00892B4C">
        <w:rPr>
          <w:lang w:val="en-GB"/>
        </w:rPr>
        <w:t xml:space="preserve">Gallagher, K. (2016) Essential study and employment skills for business and management students. Oxford: Oxford University Press. </w:t>
      </w:r>
    </w:p>
    <w:p w14:paraId="45F5DC3C" w14:textId="77777777" w:rsidR="00127253" w:rsidRPr="00892B4C" w:rsidRDefault="00000000" w:rsidP="00127253">
      <w:pPr>
        <w:spacing w:after="0"/>
        <w:rPr>
          <w:lang w:val="en-GB"/>
        </w:rPr>
      </w:pPr>
      <w:proofErr w:type="spellStart"/>
      <w:r w:rsidRPr="00892B4C">
        <w:rPr>
          <w:lang w:val="en-GB"/>
        </w:rPr>
        <w:t>Heinänen</w:t>
      </w:r>
      <w:proofErr w:type="spellEnd"/>
      <w:r w:rsidRPr="00892B4C">
        <w:rPr>
          <w:lang w:val="en-GB"/>
        </w:rPr>
        <w:t>, A. (2022) Employee value proposition in the phases of the employee life cycle: Sandvik Attachment Tools Division.</w:t>
      </w:r>
    </w:p>
    <w:p w14:paraId="040ED420" w14:textId="77777777" w:rsidR="00127253" w:rsidRPr="00892B4C" w:rsidRDefault="00000000" w:rsidP="00127253">
      <w:pPr>
        <w:spacing w:after="0"/>
        <w:rPr>
          <w:lang w:val="en-GB"/>
        </w:rPr>
      </w:pPr>
      <w:r w:rsidRPr="00892B4C">
        <w:rPr>
          <w:lang w:val="en-GB"/>
        </w:rPr>
        <w:t>Horn, R. (20</w:t>
      </w:r>
      <w:r>
        <w:rPr>
          <w:lang w:val="en-GB"/>
        </w:rPr>
        <w:t>1</w:t>
      </w:r>
      <w:r w:rsidRPr="00892B4C">
        <w:rPr>
          <w:lang w:val="en-GB"/>
        </w:rPr>
        <w:t xml:space="preserve">9) The business skills handbook. London: Chartered Institute of Personnel and Development. </w:t>
      </w:r>
    </w:p>
    <w:p w14:paraId="47EC796F" w14:textId="77777777" w:rsidR="00127253" w:rsidRPr="00892B4C" w:rsidRDefault="00000000" w:rsidP="00127253">
      <w:pPr>
        <w:spacing w:after="0"/>
        <w:rPr>
          <w:lang w:val="en-GB"/>
        </w:rPr>
      </w:pPr>
      <w:proofErr w:type="spellStart"/>
      <w:r w:rsidRPr="00892B4C">
        <w:rPr>
          <w:lang w:val="en-GB"/>
        </w:rPr>
        <w:t>Itam</w:t>
      </w:r>
      <w:proofErr w:type="spellEnd"/>
      <w:r w:rsidRPr="00892B4C">
        <w:rPr>
          <w:lang w:val="en-GB"/>
        </w:rPr>
        <w:t xml:space="preserve">, U., </w:t>
      </w:r>
      <w:proofErr w:type="spellStart"/>
      <w:r w:rsidRPr="00892B4C">
        <w:rPr>
          <w:lang w:val="en-GB"/>
        </w:rPr>
        <w:t>Misra</w:t>
      </w:r>
      <w:proofErr w:type="spellEnd"/>
      <w:r w:rsidRPr="00892B4C">
        <w:rPr>
          <w:lang w:val="en-GB"/>
        </w:rPr>
        <w:t xml:space="preserve">, S. and Anjum, H. (2020) "HRD indicators and branding practices: a viewpoint on the employer brand building process," European Journal of training and Development, 44(6/7), pp. 675–694. </w:t>
      </w:r>
      <w:proofErr w:type="spellStart"/>
      <w:r w:rsidRPr="00892B4C">
        <w:rPr>
          <w:lang w:val="en-GB"/>
        </w:rPr>
        <w:t>doi</w:t>
      </w:r>
      <w:proofErr w:type="spellEnd"/>
      <w:r w:rsidRPr="00892B4C">
        <w:rPr>
          <w:lang w:val="en-GB"/>
        </w:rPr>
        <w:t>: 10.1108/ejtd-05-2019-0072.</w:t>
      </w:r>
    </w:p>
    <w:p w14:paraId="55FB7ECD" w14:textId="77777777" w:rsidR="00127253" w:rsidRPr="00892B4C" w:rsidRDefault="00000000" w:rsidP="00127253">
      <w:pPr>
        <w:spacing w:after="0"/>
        <w:rPr>
          <w:lang w:val="en-GB"/>
        </w:rPr>
      </w:pPr>
      <w:r w:rsidRPr="00892B4C">
        <w:rPr>
          <w:lang w:val="en-GB"/>
        </w:rPr>
        <w:t xml:space="preserve">Johnston, R. Clark, G. </w:t>
      </w:r>
      <w:proofErr w:type="spellStart"/>
      <w:r w:rsidRPr="00892B4C">
        <w:rPr>
          <w:lang w:val="en-GB"/>
        </w:rPr>
        <w:t>Shulver</w:t>
      </w:r>
      <w:proofErr w:type="spellEnd"/>
      <w:r w:rsidRPr="00892B4C">
        <w:rPr>
          <w:lang w:val="en-GB"/>
        </w:rPr>
        <w:t xml:space="preserve">, M (2012). Service Operations  </w:t>
      </w:r>
      <w:proofErr w:type="spellStart"/>
      <w:r w:rsidRPr="00892B4C">
        <w:rPr>
          <w:lang w:val="en-GB"/>
        </w:rPr>
        <w:t>Management,Pearson</w:t>
      </w:r>
      <w:proofErr w:type="spellEnd"/>
      <w:r w:rsidRPr="00892B4C">
        <w:rPr>
          <w:lang w:val="en-GB"/>
        </w:rPr>
        <w:t xml:space="preserve">, London </w:t>
      </w:r>
    </w:p>
    <w:p w14:paraId="2C3C5265" w14:textId="77777777" w:rsidR="00127253" w:rsidRPr="00892B4C" w:rsidRDefault="00000000" w:rsidP="00127253">
      <w:pPr>
        <w:spacing w:after="0"/>
        <w:rPr>
          <w:lang w:val="en-GB"/>
        </w:rPr>
      </w:pPr>
      <w:r w:rsidRPr="00892B4C">
        <w:rPr>
          <w:lang w:val="en-GB"/>
        </w:rPr>
        <w:t xml:space="preserve">Marchington, M. and Wilkinson, A. (2016) Human resource management at work. 6th ed. London: Chartered Institute of Personnel and Development. </w:t>
      </w:r>
    </w:p>
    <w:p w14:paraId="2131B0F4" w14:textId="77777777" w:rsidR="00127253" w:rsidRPr="00892B4C" w:rsidRDefault="00000000" w:rsidP="00127253">
      <w:pPr>
        <w:spacing w:after="0"/>
        <w:rPr>
          <w:lang w:val="en-GB"/>
        </w:rPr>
      </w:pPr>
      <w:r w:rsidRPr="00892B4C">
        <w:rPr>
          <w:lang w:val="en-GB"/>
        </w:rPr>
        <w:t xml:space="preserve">Murton, A,. Inman, M., O’Sullivan, N. (2010) Unlocking Human  Resource Management, Hodder Education </w:t>
      </w:r>
    </w:p>
    <w:p w14:paraId="0A5E4654" w14:textId="77777777" w:rsidR="00127253" w:rsidRPr="00892B4C" w:rsidRDefault="00000000" w:rsidP="00127253">
      <w:pPr>
        <w:spacing w:after="0"/>
        <w:rPr>
          <w:lang w:val="en-GB"/>
        </w:rPr>
      </w:pPr>
      <w:r w:rsidRPr="00892B4C">
        <w:rPr>
          <w:lang w:val="en-GB"/>
        </w:rPr>
        <w:t>Singh, D., 2019. A literature review on employee retention with a focus on recent trends. International Journal of Scientific Research in Science and Technology, 6(1), pp.425-431.</w:t>
      </w:r>
    </w:p>
    <w:p w14:paraId="5DBCB525" w14:textId="77777777" w:rsidR="00127253" w:rsidRPr="00892B4C" w:rsidRDefault="00000000" w:rsidP="00127253">
      <w:pPr>
        <w:spacing w:after="0"/>
        <w:rPr>
          <w:lang w:val="en-GB"/>
        </w:rPr>
      </w:pPr>
      <w:r w:rsidRPr="00892B4C">
        <w:rPr>
          <w:lang w:val="en-GB"/>
        </w:rPr>
        <w:t xml:space="preserve">Torrington, D, Hall, L, Atkinson, C, &amp; Taylor, S 2020, Human Resource Management PDF </w:t>
      </w:r>
      <w:proofErr w:type="spellStart"/>
      <w:r w:rsidRPr="00892B4C">
        <w:rPr>
          <w:lang w:val="en-GB"/>
        </w:rPr>
        <w:t>EBook</w:t>
      </w:r>
      <w:proofErr w:type="spellEnd"/>
      <w:r w:rsidRPr="00892B4C">
        <w:rPr>
          <w:lang w:val="en-GB"/>
        </w:rPr>
        <w:t xml:space="preserve">, Pearson Education, Limited, Harlow. Available from: ProQuest </w:t>
      </w:r>
      <w:proofErr w:type="spellStart"/>
      <w:r w:rsidRPr="00892B4C">
        <w:rPr>
          <w:lang w:val="en-GB"/>
        </w:rPr>
        <w:t>Ebook</w:t>
      </w:r>
      <w:proofErr w:type="spellEnd"/>
      <w:r w:rsidRPr="00892B4C">
        <w:rPr>
          <w:lang w:val="en-GB"/>
        </w:rPr>
        <w:t xml:space="preserve"> Central. </w:t>
      </w:r>
    </w:p>
    <w:p w14:paraId="2B7E21DC" w14:textId="77777777" w:rsidR="00127253" w:rsidRPr="00892B4C" w:rsidRDefault="00000000" w:rsidP="00127253">
      <w:pPr>
        <w:spacing w:after="0"/>
        <w:rPr>
          <w:lang w:val="en-GB"/>
        </w:rPr>
      </w:pPr>
      <w:r w:rsidRPr="00892B4C">
        <w:rPr>
          <w:lang w:val="en-GB"/>
        </w:rPr>
        <w:lastRenderedPageBreak/>
        <w:t>Verma, R. et al. (20</w:t>
      </w:r>
      <w:r>
        <w:rPr>
          <w:lang w:val="en-GB"/>
        </w:rPr>
        <w:t>1</w:t>
      </w:r>
      <w:r w:rsidRPr="00892B4C">
        <w:rPr>
          <w:lang w:val="en-GB"/>
        </w:rPr>
        <w:t>6) “</w:t>
      </w:r>
      <w:proofErr w:type="spellStart"/>
      <w:r w:rsidRPr="00892B4C">
        <w:rPr>
          <w:lang w:val="en-GB"/>
        </w:rPr>
        <w:t>I@nnovative</w:t>
      </w:r>
      <w:proofErr w:type="spellEnd"/>
      <w:r w:rsidRPr="00892B4C">
        <w:rPr>
          <w:lang w:val="en-GB"/>
        </w:rPr>
        <w:t xml:space="preserve"> operations management applications in not-for-profit, public and government services,” Journal of operations management, 24(4), pp. 301–303. </w:t>
      </w:r>
      <w:proofErr w:type="spellStart"/>
      <w:r w:rsidRPr="00892B4C">
        <w:rPr>
          <w:lang w:val="en-GB"/>
        </w:rPr>
        <w:t>doi</w:t>
      </w:r>
      <w:proofErr w:type="spellEnd"/>
      <w:r w:rsidRPr="00892B4C">
        <w:rPr>
          <w:lang w:val="en-GB"/>
        </w:rPr>
        <w:t>: 10.1016/j.jom.2005.08.001.</w:t>
      </w:r>
    </w:p>
    <w:p w14:paraId="20E5D176" w14:textId="77777777" w:rsidR="00127253" w:rsidRPr="00892B4C" w:rsidRDefault="00000000" w:rsidP="00127253">
      <w:pPr>
        <w:spacing w:after="0"/>
        <w:rPr>
          <w:lang w:val="en-GB"/>
        </w:rPr>
      </w:pPr>
      <w:r w:rsidRPr="00892B4C">
        <w:rPr>
          <w:lang w:val="en-GB"/>
        </w:rPr>
        <w:t>Xiang, H. et al. (2023) “Sustainable Development of Employee Lifecycle Management in the Age of Global Challenges: Evidence from China, Russia, and Indonesia,” Sustainability, 15(6).</w:t>
      </w:r>
    </w:p>
    <w:p w14:paraId="17541A37" w14:textId="77777777" w:rsidR="00231BCC" w:rsidRPr="00892B4C" w:rsidRDefault="00231BCC" w:rsidP="00FA3179">
      <w:pPr>
        <w:ind w:left="720" w:hanging="720"/>
        <w:rPr>
          <w:lang w:val="en-GB"/>
        </w:rPr>
      </w:pPr>
    </w:p>
    <w:sectPr w:rsidR="00231BCC" w:rsidRPr="00892B4C" w:rsidSect="00127253">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CB5C4" w14:textId="77777777" w:rsidR="005660B8" w:rsidRDefault="005660B8">
      <w:pPr>
        <w:spacing w:after="0" w:line="240" w:lineRule="auto"/>
      </w:pPr>
      <w:r>
        <w:separator/>
      </w:r>
    </w:p>
  </w:endnote>
  <w:endnote w:type="continuationSeparator" w:id="0">
    <w:p w14:paraId="50031D41" w14:textId="77777777" w:rsidR="005660B8" w:rsidRDefault="00566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943459"/>
      <w:docPartObj>
        <w:docPartGallery w:val="Page Numbers (Bottom of Page)"/>
        <w:docPartUnique/>
      </w:docPartObj>
    </w:sdtPr>
    <w:sdtEndPr>
      <w:rPr>
        <w:noProof/>
      </w:rPr>
    </w:sdtEndPr>
    <w:sdtContent>
      <w:p w14:paraId="0BCB22A9" w14:textId="5EB27261" w:rsidR="00127253"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CFB9B0" w14:textId="77777777" w:rsidR="00127253" w:rsidRDefault="00127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708A4" w14:textId="77777777" w:rsidR="005660B8" w:rsidRDefault="005660B8">
      <w:pPr>
        <w:spacing w:after="0" w:line="240" w:lineRule="auto"/>
      </w:pPr>
      <w:r>
        <w:separator/>
      </w:r>
    </w:p>
  </w:footnote>
  <w:footnote w:type="continuationSeparator" w:id="0">
    <w:p w14:paraId="6022413B" w14:textId="77777777" w:rsidR="005660B8" w:rsidRDefault="00566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466CC3"/>
    <w:multiLevelType w:val="hybridMultilevel"/>
    <w:tmpl w:val="6DA6D1F6"/>
    <w:lvl w:ilvl="0" w:tplc="84227CD2">
      <w:start w:val="1"/>
      <w:numFmt w:val="bullet"/>
      <w:lvlText w:val=""/>
      <w:lvlJc w:val="left"/>
      <w:pPr>
        <w:ind w:left="720" w:hanging="360"/>
      </w:pPr>
      <w:rPr>
        <w:rFonts w:ascii="Symbol" w:hAnsi="Symbol" w:hint="default"/>
      </w:rPr>
    </w:lvl>
    <w:lvl w:ilvl="1" w:tplc="020494A8" w:tentative="1">
      <w:start w:val="1"/>
      <w:numFmt w:val="bullet"/>
      <w:lvlText w:val="o"/>
      <w:lvlJc w:val="left"/>
      <w:pPr>
        <w:ind w:left="1440" w:hanging="360"/>
      </w:pPr>
      <w:rPr>
        <w:rFonts w:ascii="Courier New" w:hAnsi="Courier New" w:cs="Courier New" w:hint="default"/>
      </w:rPr>
    </w:lvl>
    <w:lvl w:ilvl="2" w:tplc="6F18469E" w:tentative="1">
      <w:start w:val="1"/>
      <w:numFmt w:val="bullet"/>
      <w:lvlText w:val=""/>
      <w:lvlJc w:val="left"/>
      <w:pPr>
        <w:ind w:left="2160" w:hanging="360"/>
      </w:pPr>
      <w:rPr>
        <w:rFonts w:ascii="Wingdings" w:hAnsi="Wingdings" w:hint="default"/>
      </w:rPr>
    </w:lvl>
    <w:lvl w:ilvl="3" w:tplc="99609252" w:tentative="1">
      <w:start w:val="1"/>
      <w:numFmt w:val="bullet"/>
      <w:lvlText w:val=""/>
      <w:lvlJc w:val="left"/>
      <w:pPr>
        <w:ind w:left="2880" w:hanging="360"/>
      </w:pPr>
      <w:rPr>
        <w:rFonts w:ascii="Symbol" w:hAnsi="Symbol" w:hint="default"/>
      </w:rPr>
    </w:lvl>
    <w:lvl w:ilvl="4" w:tplc="B5E49054" w:tentative="1">
      <w:start w:val="1"/>
      <w:numFmt w:val="bullet"/>
      <w:lvlText w:val="o"/>
      <w:lvlJc w:val="left"/>
      <w:pPr>
        <w:ind w:left="3600" w:hanging="360"/>
      </w:pPr>
      <w:rPr>
        <w:rFonts w:ascii="Courier New" w:hAnsi="Courier New" w:cs="Courier New" w:hint="default"/>
      </w:rPr>
    </w:lvl>
    <w:lvl w:ilvl="5" w:tplc="8BC0E058" w:tentative="1">
      <w:start w:val="1"/>
      <w:numFmt w:val="bullet"/>
      <w:lvlText w:val=""/>
      <w:lvlJc w:val="left"/>
      <w:pPr>
        <w:ind w:left="4320" w:hanging="360"/>
      </w:pPr>
      <w:rPr>
        <w:rFonts w:ascii="Wingdings" w:hAnsi="Wingdings" w:hint="default"/>
      </w:rPr>
    </w:lvl>
    <w:lvl w:ilvl="6" w:tplc="0CC0873C" w:tentative="1">
      <w:start w:val="1"/>
      <w:numFmt w:val="bullet"/>
      <w:lvlText w:val=""/>
      <w:lvlJc w:val="left"/>
      <w:pPr>
        <w:ind w:left="5040" w:hanging="360"/>
      </w:pPr>
      <w:rPr>
        <w:rFonts w:ascii="Symbol" w:hAnsi="Symbol" w:hint="default"/>
      </w:rPr>
    </w:lvl>
    <w:lvl w:ilvl="7" w:tplc="92BCBE1E" w:tentative="1">
      <w:start w:val="1"/>
      <w:numFmt w:val="bullet"/>
      <w:lvlText w:val="o"/>
      <w:lvlJc w:val="left"/>
      <w:pPr>
        <w:ind w:left="5760" w:hanging="360"/>
      </w:pPr>
      <w:rPr>
        <w:rFonts w:ascii="Courier New" w:hAnsi="Courier New" w:cs="Courier New" w:hint="default"/>
      </w:rPr>
    </w:lvl>
    <w:lvl w:ilvl="8" w:tplc="1A6AC864" w:tentative="1">
      <w:start w:val="1"/>
      <w:numFmt w:val="bullet"/>
      <w:lvlText w:val=""/>
      <w:lvlJc w:val="left"/>
      <w:pPr>
        <w:ind w:left="6480" w:hanging="360"/>
      </w:pPr>
      <w:rPr>
        <w:rFonts w:ascii="Wingdings" w:hAnsi="Wingdings" w:hint="default"/>
      </w:rPr>
    </w:lvl>
  </w:abstractNum>
  <w:abstractNum w:abstractNumId="1" w15:restartNumberingAfterBreak="0">
    <w:nsid w:val="73734797"/>
    <w:multiLevelType w:val="hybridMultilevel"/>
    <w:tmpl w:val="AA20FFBA"/>
    <w:lvl w:ilvl="0" w:tplc="61821A9A">
      <w:numFmt w:val="bullet"/>
      <w:lvlText w:val="•"/>
      <w:lvlJc w:val="left"/>
      <w:pPr>
        <w:ind w:left="720" w:hanging="360"/>
      </w:pPr>
      <w:rPr>
        <w:rFonts w:ascii="Times New Roman" w:eastAsiaTheme="minorHAnsi" w:hAnsi="Times New Roman" w:cs="Times New Roman" w:hint="default"/>
      </w:rPr>
    </w:lvl>
    <w:lvl w:ilvl="1" w:tplc="069042EA" w:tentative="1">
      <w:start w:val="1"/>
      <w:numFmt w:val="bullet"/>
      <w:lvlText w:val="o"/>
      <w:lvlJc w:val="left"/>
      <w:pPr>
        <w:ind w:left="1440" w:hanging="360"/>
      </w:pPr>
      <w:rPr>
        <w:rFonts w:ascii="Courier New" w:hAnsi="Courier New" w:cs="Courier New" w:hint="default"/>
      </w:rPr>
    </w:lvl>
    <w:lvl w:ilvl="2" w:tplc="55B6AE62" w:tentative="1">
      <w:start w:val="1"/>
      <w:numFmt w:val="bullet"/>
      <w:lvlText w:val=""/>
      <w:lvlJc w:val="left"/>
      <w:pPr>
        <w:ind w:left="2160" w:hanging="360"/>
      </w:pPr>
      <w:rPr>
        <w:rFonts w:ascii="Wingdings" w:hAnsi="Wingdings" w:hint="default"/>
      </w:rPr>
    </w:lvl>
    <w:lvl w:ilvl="3" w:tplc="6C6CDF36" w:tentative="1">
      <w:start w:val="1"/>
      <w:numFmt w:val="bullet"/>
      <w:lvlText w:val=""/>
      <w:lvlJc w:val="left"/>
      <w:pPr>
        <w:ind w:left="2880" w:hanging="360"/>
      </w:pPr>
      <w:rPr>
        <w:rFonts w:ascii="Symbol" w:hAnsi="Symbol" w:hint="default"/>
      </w:rPr>
    </w:lvl>
    <w:lvl w:ilvl="4" w:tplc="D5FEE91A" w:tentative="1">
      <w:start w:val="1"/>
      <w:numFmt w:val="bullet"/>
      <w:lvlText w:val="o"/>
      <w:lvlJc w:val="left"/>
      <w:pPr>
        <w:ind w:left="3600" w:hanging="360"/>
      </w:pPr>
      <w:rPr>
        <w:rFonts w:ascii="Courier New" w:hAnsi="Courier New" w:cs="Courier New" w:hint="default"/>
      </w:rPr>
    </w:lvl>
    <w:lvl w:ilvl="5" w:tplc="3DA092D2" w:tentative="1">
      <w:start w:val="1"/>
      <w:numFmt w:val="bullet"/>
      <w:lvlText w:val=""/>
      <w:lvlJc w:val="left"/>
      <w:pPr>
        <w:ind w:left="4320" w:hanging="360"/>
      </w:pPr>
      <w:rPr>
        <w:rFonts w:ascii="Wingdings" w:hAnsi="Wingdings" w:hint="default"/>
      </w:rPr>
    </w:lvl>
    <w:lvl w:ilvl="6" w:tplc="2272ED98" w:tentative="1">
      <w:start w:val="1"/>
      <w:numFmt w:val="bullet"/>
      <w:lvlText w:val=""/>
      <w:lvlJc w:val="left"/>
      <w:pPr>
        <w:ind w:left="5040" w:hanging="360"/>
      </w:pPr>
      <w:rPr>
        <w:rFonts w:ascii="Symbol" w:hAnsi="Symbol" w:hint="default"/>
      </w:rPr>
    </w:lvl>
    <w:lvl w:ilvl="7" w:tplc="6180BF6E" w:tentative="1">
      <w:start w:val="1"/>
      <w:numFmt w:val="bullet"/>
      <w:lvlText w:val="o"/>
      <w:lvlJc w:val="left"/>
      <w:pPr>
        <w:ind w:left="5760" w:hanging="360"/>
      </w:pPr>
      <w:rPr>
        <w:rFonts w:ascii="Courier New" w:hAnsi="Courier New" w:cs="Courier New" w:hint="default"/>
      </w:rPr>
    </w:lvl>
    <w:lvl w:ilvl="8" w:tplc="538C735A" w:tentative="1">
      <w:start w:val="1"/>
      <w:numFmt w:val="bullet"/>
      <w:lvlText w:val=""/>
      <w:lvlJc w:val="left"/>
      <w:pPr>
        <w:ind w:left="6480" w:hanging="360"/>
      </w:pPr>
      <w:rPr>
        <w:rFonts w:ascii="Wingdings" w:hAnsi="Wingdings" w:hint="default"/>
      </w:rPr>
    </w:lvl>
  </w:abstractNum>
  <w:num w:numId="1" w16cid:durableId="2010205879">
    <w:abstractNumId w:val="0"/>
  </w:num>
  <w:num w:numId="2" w16cid:durableId="761952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853"/>
    <w:rsid w:val="00127253"/>
    <w:rsid w:val="00155644"/>
    <w:rsid w:val="001D1575"/>
    <w:rsid w:val="001F25CD"/>
    <w:rsid w:val="00231BCC"/>
    <w:rsid w:val="002758F0"/>
    <w:rsid w:val="002B7AE1"/>
    <w:rsid w:val="00355A38"/>
    <w:rsid w:val="003C2962"/>
    <w:rsid w:val="005660B8"/>
    <w:rsid w:val="005F7912"/>
    <w:rsid w:val="00605B8F"/>
    <w:rsid w:val="006F2293"/>
    <w:rsid w:val="00792A04"/>
    <w:rsid w:val="00892B4C"/>
    <w:rsid w:val="0089328E"/>
    <w:rsid w:val="00957B87"/>
    <w:rsid w:val="00A50853"/>
    <w:rsid w:val="00BA38A4"/>
    <w:rsid w:val="00C6655E"/>
    <w:rsid w:val="00DB7952"/>
    <w:rsid w:val="00DC71C1"/>
    <w:rsid w:val="00DF246C"/>
    <w:rsid w:val="00E7260E"/>
    <w:rsid w:val="00E954A1"/>
    <w:rsid w:val="00EA3894"/>
    <w:rsid w:val="00F2577F"/>
    <w:rsid w:val="00F545E9"/>
    <w:rsid w:val="00F831EF"/>
    <w:rsid w:val="00FA3179"/>
    <w:rsid w:val="00FC24D8"/>
    <w:rsid w:val="00FD44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BA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B4C"/>
    <w:pPr>
      <w:spacing w:after="16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27253"/>
    <w:pPr>
      <w:keepNext/>
      <w:keepLines/>
      <w:spacing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12725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127253"/>
    <w:pPr>
      <w:keepNext/>
      <w:keepLines/>
      <w:spacing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58F0"/>
    <w:pPr>
      <w:ind w:left="720"/>
      <w:contextualSpacing/>
    </w:pPr>
  </w:style>
  <w:style w:type="paragraph" w:styleId="Header">
    <w:name w:val="header"/>
    <w:basedOn w:val="Normal"/>
    <w:link w:val="HeaderChar"/>
    <w:uiPriority w:val="99"/>
    <w:unhideWhenUsed/>
    <w:rsid w:val="00E954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54A1"/>
  </w:style>
  <w:style w:type="paragraph" w:styleId="Footer">
    <w:name w:val="footer"/>
    <w:basedOn w:val="Normal"/>
    <w:link w:val="FooterChar"/>
    <w:uiPriority w:val="99"/>
    <w:unhideWhenUsed/>
    <w:rsid w:val="00E954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54A1"/>
  </w:style>
  <w:style w:type="character" w:customStyle="1" w:styleId="Heading1Char">
    <w:name w:val="Heading 1 Char"/>
    <w:basedOn w:val="DefaultParagraphFont"/>
    <w:link w:val="Heading1"/>
    <w:uiPriority w:val="9"/>
    <w:rsid w:val="0012725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2725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127253"/>
    <w:rPr>
      <w:rFonts w:ascii="Times New Roman" w:eastAsiaTheme="majorEastAsia" w:hAnsi="Times New Roman"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2317</Words>
  <Characters>13209</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2023-06-08T10:00:00Z</dcterms:created>
  <dcterms:modified xsi:type="dcterms:W3CDTF">2023-06-12T21:56:00Z</dcterms:modified>
</cp:coreProperties>
</file>