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4EFDE" w14:textId="77777777" w:rsidR="00A572F8" w:rsidRDefault="00A572F8" w:rsidP="00007393"/>
    <w:p w14:paraId="01A3098B" w14:textId="77777777" w:rsidR="00A572F8" w:rsidRPr="000A4DBD" w:rsidRDefault="00A572F8" w:rsidP="000B2465">
      <w:pPr>
        <w:jc w:val="center"/>
        <w:rPr>
          <w:b/>
          <w:bCs/>
          <w:sz w:val="24"/>
          <w:szCs w:val="24"/>
        </w:rPr>
      </w:pPr>
      <w:r w:rsidRPr="000A4DBD">
        <w:rPr>
          <w:b/>
          <w:bCs/>
          <w:sz w:val="24"/>
          <w:szCs w:val="24"/>
        </w:rPr>
        <w:t xml:space="preserve">Programme :  </w:t>
      </w:r>
      <w:r w:rsidRPr="000A4DBD">
        <w:rPr>
          <w:rFonts w:ascii="Arial" w:hAnsi="Arial" w:cs="Arial"/>
          <w:b/>
          <w:bCs/>
          <w:sz w:val="24"/>
          <w:szCs w:val="24"/>
        </w:rPr>
        <w:t>Policing</w:t>
      </w:r>
    </w:p>
    <w:p w14:paraId="66B1D091" w14:textId="01C92936" w:rsidR="00A572F8" w:rsidRPr="000A4DBD" w:rsidRDefault="00A572F8" w:rsidP="000B2465">
      <w:pPr>
        <w:spacing w:before="120" w:after="120"/>
        <w:jc w:val="center"/>
        <w:rPr>
          <w:rFonts w:ascii="Arial" w:hAnsi="Arial" w:cs="Arial"/>
          <w:b/>
          <w:bCs/>
          <w:sz w:val="24"/>
          <w:szCs w:val="24"/>
        </w:rPr>
      </w:pPr>
      <w:r w:rsidRPr="000A4DBD">
        <w:rPr>
          <w:b/>
          <w:bCs/>
          <w:sz w:val="24"/>
          <w:szCs w:val="24"/>
        </w:rPr>
        <w:t xml:space="preserve">Module: </w:t>
      </w:r>
      <w:r w:rsidRPr="000A4DBD">
        <w:rPr>
          <w:rFonts w:ascii="Arial" w:hAnsi="Arial" w:cs="Arial"/>
          <w:b/>
          <w:bCs/>
          <w:sz w:val="24"/>
          <w:szCs w:val="24"/>
        </w:rPr>
        <w:t>Evidence Based Policing</w:t>
      </w:r>
    </w:p>
    <w:p w14:paraId="4E9B37EC" w14:textId="77777777" w:rsidR="00A572F8" w:rsidRDefault="00A572F8" w:rsidP="000B2465">
      <w:pPr>
        <w:jc w:val="center"/>
        <w:rPr>
          <w:rFonts w:ascii="Arial" w:hAnsi="Arial" w:cs="Arial"/>
          <w:b/>
          <w:bCs/>
          <w:sz w:val="24"/>
          <w:szCs w:val="24"/>
        </w:rPr>
      </w:pPr>
      <w:r w:rsidRPr="000A4DBD">
        <w:rPr>
          <w:b/>
          <w:bCs/>
          <w:sz w:val="24"/>
          <w:szCs w:val="24"/>
        </w:rPr>
        <w:t xml:space="preserve">Module code: </w:t>
      </w:r>
      <w:r w:rsidRPr="000A4DBD">
        <w:rPr>
          <w:rFonts w:ascii="Arial" w:hAnsi="Arial" w:cs="Arial"/>
          <w:b/>
          <w:bCs/>
          <w:sz w:val="24"/>
          <w:szCs w:val="24"/>
        </w:rPr>
        <w:t>BMPL 4001/ BMPS4008</w:t>
      </w:r>
    </w:p>
    <w:p w14:paraId="33BD3798" w14:textId="77777777" w:rsidR="00A572F8" w:rsidRDefault="00A572F8" w:rsidP="000B2465">
      <w:pPr>
        <w:jc w:val="center"/>
        <w:rPr>
          <w:b/>
          <w:bCs/>
          <w:sz w:val="24"/>
          <w:szCs w:val="24"/>
        </w:rPr>
      </w:pPr>
    </w:p>
    <w:p w14:paraId="7D0A9A68" w14:textId="77777777" w:rsidR="00A572F8" w:rsidRPr="000A4DBD" w:rsidRDefault="00A572F8" w:rsidP="00A572F8">
      <w:pPr>
        <w:jc w:val="center"/>
        <w:rPr>
          <w:b/>
          <w:bCs/>
          <w:sz w:val="24"/>
          <w:szCs w:val="24"/>
        </w:rPr>
      </w:pPr>
    </w:p>
    <w:p w14:paraId="1AD27FF8" w14:textId="77777777" w:rsidR="00A572F8" w:rsidRDefault="00A572F8" w:rsidP="00A572F8">
      <w:pPr>
        <w:pStyle w:val="ListParagraph"/>
        <w:numPr>
          <w:ilvl w:val="0"/>
          <w:numId w:val="1"/>
        </w:numPr>
        <w:rPr>
          <w:b/>
          <w:bCs/>
          <w:sz w:val="24"/>
          <w:szCs w:val="24"/>
        </w:rPr>
      </w:pPr>
      <w:r>
        <w:rPr>
          <w:rFonts w:ascii="Arial" w:hAnsi="Arial" w:cs="Arial"/>
          <w:b/>
          <w:bCs/>
          <w:sz w:val="24"/>
          <w:szCs w:val="24"/>
        </w:rPr>
        <w:t>Evaluate theories of Crime Prevention and apply them to a real life case study</w:t>
      </w:r>
    </w:p>
    <w:p w14:paraId="18840E0F" w14:textId="77777777" w:rsidR="00A572F8" w:rsidRDefault="00A572F8" w:rsidP="00A572F8">
      <w:pPr>
        <w:jc w:val="center"/>
      </w:pPr>
    </w:p>
    <w:p w14:paraId="1D1C1B6F" w14:textId="77777777" w:rsidR="00A572F8" w:rsidRDefault="00A572F8" w:rsidP="00A572F8">
      <w:pPr>
        <w:jc w:val="center"/>
      </w:pPr>
    </w:p>
    <w:p w14:paraId="5A553DD3" w14:textId="4EAFEB9E" w:rsidR="00A572F8" w:rsidRDefault="00A572F8" w:rsidP="00A572F8">
      <w:pPr>
        <w:rPr>
          <w:b/>
          <w:bCs/>
        </w:rPr>
      </w:pPr>
      <w:r w:rsidRPr="000A4DBD">
        <w:rPr>
          <w:b/>
          <w:bCs/>
        </w:rPr>
        <w:t>Introduction</w:t>
      </w:r>
    </w:p>
    <w:p w14:paraId="4DEEF4EC" w14:textId="41C2552E" w:rsidR="00EE59EA" w:rsidRDefault="00EE59EA" w:rsidP="00A572F8">
      <w:pPr>
        <w:rPr>
          <w:rFonts w:ascii="Open Sans" w:hAnsi="Open Sans" w:cs="Open Sans"/>
        </w:rPr>
      </w:pPr>
      <w:r w:rsidRPr="00EE59EA">
        <w:rPr>
          <w:rFonts w:ascii="Open Sans" w:hAnsi="Open Sans" w:cs="Open Sans"/>
        </w:rPr>
        <w:t xml:space="preserve">This strategy is attractive because it has the potential to produce simple yet effective preventative measures. Several easy-to-implement strategies for reducing street crime, including improved lighting, ink, merchandise tags, and automobile ignition immobilisers, are used to discourage theft and other crimes. Moreover, auto theft (Clarke 1997). Reach of the opportunity's perspective is changing in terms of crime after being effectively used to "conventional" types of crime. For instance, SCPT has been utilised in a number of recent studies to research organised crime. Criminal activities, such as drug and person smuggling (Bullock et al. 2010, Von Lampe) 2011, </w:t>
      </w:r>
      <w:proofErr w:type="spellStart"/>
      <w:r w:rsidRPr="00EE59EA">
        <w:rPr>
          <w:rFonts w:ascii="Open Sans" w:hAnsi="Open Sans" w:cs="Open Sans"/>
        </w:rPr>
        <w:t>Kleemans</w:t>
      </w:r>
      <w:proofErr w:type="spellEnd"/>
      <w:r w:rsidRPr="00EE59EA">
        <w:rPr>
          <w:rFonts w:ascii="Open Sans" w:hAnsi="Open Sans" w:cs="Open Sans"/>
        </w:rPr>
        <w:t xml:space="preserve"> and others (2012). While the situational approach to organised crime is beneficial in certain aspects, several studies found that it is not always effective</w:t>
      </w:r>
      <w:r w:rsidR="00DC1BFB">
        <w:rPr>
          <w:rFonts w:ascii="Open Sans" w:hAnsi="Open Sans" w:cs="Open Sans"/>
        </w:rPr>
        <w:t>.</w:t>
      </w:r>
    </w:p>
    <w:p w14:paraId="69CECCB1" w14:textId="77777777" w:rsidR="00DC1BFB" w:rsidRPr="00FA3C27" w:rsidRDefault="00DC1BFB" w:rsidP="00DC1BFB">
      <w:pPr>
        <w:pStyle w:val="root-block-node"/>
        <w:rPr>
          <w:rFonts w:ascii="Open Sans" w:hAnsi="Open Sans" w:cs="Open Sans"/>
          <w:sz w:val="22"/>
          <w:szCs w:val="22"/>
        </w:rPr>
      </w:pPr>
      <w:r w:rsidRPr="00FA3C27">
        <w:rPr>
          <w:rFonts w:ascii="Open Sans" w:hAnsi="Open Sans" w:cs="Open Sans"/>
          <w:sz w:val="22"/>
          <w:szCs w:val="22"/>
        </w:rPr>
        <w:t>Police analysts utilise crime mapping to understand how crimes occur. Crime isn't always uniformly distributed, as these maps indicate. Crimes cluster in "hot zones." Hot spot policing sends the few available police officers to high-crime areas to reduce crime. This new approach to preventing crime has helped reduce crime in New York City in the previous 20 years, say experts. 1. Using game theory, we analyse this policy.</w:t>
      </w:r>
    </w:p>
    <w:p w14:paraId="11199303" w14:textId="1890B053" w:rsidR="00DC1BFB" w:rsidRPr="00FA3C27" w:rsidRDefault="00FA3C27" w:rsidP="00DC1BFB">
      <w:pPr>
        <w:pStyle w:val="root-block-node"/>
        <w:rPr>
          <w:rFonts w:ascii="Open Sans" w:hAnsi="Open Sans" w:cs="Open Sans"/>
          <w:sz w:val="22"/>
          <w:szCs w:val="22"/>
        </w:rPr>
      </w:pPr>
      <w:r w:rsidRPr="00FA3C27">
        <w:rPr>
          <w:rFonts w:ascii="Open Sans" w:hAnsi="Open Sans" w:cs="Open Sans"/>
          <w:sz w:val="22"/>
          <w:szCs w:val="22"/>
        </w:rPr>
        <w:t xml:space="preserve"> </w:t>
      </w:r>
      <w:r w:rsidR="00007393">
        <w:rPr>
          <w:rFonts w:ascii="Open Sans" w:hAnsi="Open Sans" w:cs="Open Sans"/>
          <w:sz w:val="22"/>
          <w:szCs w:val="22"/>
        </w:rPr>
        <w:t>P</w:t>
      </w:r>
      <w:r w:rsidR="00DC1BFB" w:rsidRPr="00FA3C27">
        <w:rPr>
          <w:rFonts w:ascii="Open Sans" w:hAnsi="Open Sans" w:cs="Open Sans"/>
          <w:sz w:val="22"/>
          <w:szCs w:val="22"/>
        </w:rPr>
        <w:t>olicing We focus on the "displacement impact" and discuss what our results mean for empirical studies on police crime-fighting effectiveness. While</w:t>
      </w:r>
      <w:r w:rsidRPr="00FA3C27">
        <w:rPr>
          <w:rFonts w:ascii="Open Sans" w:hAnsi="Open Sans" w:cs="Open Sans"/>
          <w:sz w:val="22"/>
          <w:szCs w:val="22"/>
        </w:rPr>
        <w:t xml:space="preserve"> </w:t>
      </w:r>
      <w:r w:rsidR="00DC1BFB" w:rsidRPr="00FA3C27">
        <w:rPr>
          <w:rStyle w:val="blue-complex-underline"/>
          <w:rFonts w:ascii="Open Sans" w:hAnsi="Open Sans" w:cs="Open Sans"/>
          <w:sz w:val="22"/>
          <w:szCs w:val="22"/>
        </w:rPr>
        <w:t>Our results support policing "hot locations," but also raise concerns about whether this policy is being fully implemented.</w:t>
      </w:r>
      <w:r w:rsidRPr="00FA3C27">
        <w:rPr>
          <w:rFonts w:ascii="Open Sans" w:hAnsi="Open Sans" w:cs="Open Sans"/>
          <w:sz w:val="22"/>
          <w:szCs w:val="22"/>
        </w:rPr>
        <w:t xml:space="preserve"> </w:t>
      </w:r>
      <w:r w:rsidR="00DC1BFB" w:rsidRPr="00FA3C27">
        <w:rPr>
          <w:rFonts w:ascii="Open Sans" w:hAnsi="Open Sans" w:cs="Open Sans"/>
          <w:sz w:val="22"/>
          <w:szCs w:val="22"/>
        </w:rPr>
        <w:t xml:space="preserve">Our methodology for studying hot spot policing involves several </w:t>
      </w:r>
      <w:r w:rsidRPr="00FA3C27">
        <w:rPr>
          <w:rFonts w:ascii="Open Sans" w:hAnsi="Open Sans" w:cs="Open Sans"/>
          <w:sz w:val="22"/>
          <w:szCs w:val="22"/>
        </w:rPr>
        <w:t>aspects. Different</w:t>
      </w:r>
      <w:r w:rsidR="00DC1BFB" w:rsidRPr="00FA3C27">
        <w:rPr>
          <w:rFonts w:ascii="Open Sans" w:hAnsi="Open Sans" w:cs="Open Sans"/>
          <w:sz w:val="22"/>
          <w:szCs w:val="22"/>
        </w:rPr>
        <w:t xml:space="preserve"> ideas explain why people commit crimes. These theories are unproven.</w:t>
      </w:r>
      <w:r w:rsidR="00DC1BFB" w:rsidRPr="00FA3C27">
        <w:rPr>
          <w:rFonts w:ascii="Open Sans" w:hAnsi="Open Sans" w:cs="Open Sans"/>
          <w:sz w:val="22"/>
          <w:szCs w:val="22"/>
        </w:rPr>
        <w:t xml:space="preserve"> </w:t>
      </w:r>
      <w:r w:rsidR="00DC1BFB" w:rsidRPr="00FA3C27">
        <w:rPr>
          <w:rFonts w:ascii="Open Sans" w:hAnsi="Open Sans" w:cs="Open Sans"/>
          <w:sz w:val="22"/>
          <w:szCs w:val="22"/>
        </w:rPr>
        <w:t>When we combine the models, we can make predictions that fit crime patterns better. Our plan</w:t>
      </w:r>
      <w:r w:rsidRPr="00FA3C27">
        <w:rPr>
          <w:rFonts w:ascii="Open Sans" w:hAnsi="Open Sans" w:cs="Open Sans"/>
          <w:sz w:val="22"/>
          <w:szCs w:val="22"/>
        </w:rPr>
        <w:t xml:space="preserve"> </w:t>
      </w:r>
      <w:r w:rsidR="00DC1BFB" w:rsidRPr="00FA3C27">
        <w:rPr>
          <w:rFonts w:ascii="Open Sans" w:hAnsi="Open Sans" w:cs="Open Sans"/>
          <w:sz w:val="22"/>
          <w:szCs w:val="22"/>
        </w:rPr>
        <w:t>includes</w:t>
      </w:r>
      <w:r w:rsidR="00DC1BFB" w:rsidRPr="00FA3C27">
        <w:rPr>
          <w:rFonts w:ascii="Open Sans" w:hAnsi="Open Sans" w:cs="Open Sans"/>
          <w:sz w:val="22"/>
          <w:szCs w:val="22"/>
        </w:rPr>
        <w:t xml:space="preserve">. </w:t>
      </w:r>
      <w:r w:rsidR="00DC1BFB" w:rsidRPr="00FA3C27">
        <w:rPr>
          <w:rFonts w:ascii="Open Sans" w:hAnsi="Open Sans" w:cs="Open Sans"/>
          <w:sz w:val="22"/>
          <w:szCs w:val="22"/>
        </w:rPr>
        <w:t>The analysis</w:t>
      </w:r>
      <w:r w:rsidR="00DC1BFB" w:rsidRPr="00FA3C27">
        <w:rPr>
          <w:rFonts w:ascii="Open Sans" w:hAnsi="Open Sans" w:cs="Open Sans"/>
        </w:rPr>
        <w:t xml:space="preserve"> </w:t>
      </w:r>
      <w:r w:rsidR="00DC1BFB" w:rsidRPr="00FA3C27">
        <w:rPr>
          <w:rFonts w:ascii="Open Sans" w:hAnsi="Open Sans" w:cs="Open Sans"/>
          <w:sz w:val="22"/>
          <w:szCs w:val="22"/>
        </w:rPr>
        <w:t>employs game theory to examine how potential offenders plan to collaborate. Environmentalist ideals are used.</w:t>
      </w:r>
    </w:p>
    <w:p w14:paraId="574A99A1" w14:textId="77777777" w:rsidR="00DC1BFB" w:rsidRDefault="00DC1BFB" w:rsidP="00A572F8">
      <w:pPr>
        <w:rPr>
          <w:rFonts w:ascii="Open Sans" w:hAnsi="Open Sans" w:cs="Open Sans"/>
        </w:rPr>
      </w:pPr>
    </w:p>
    <w:p w14:paraId="764F03CF" w14:textId="77777777" w:rsidR="00A572F8" w:rsidRPr="000A4DBD" w:rsidRDefault="00A572F8" w:rsidP="00A572F8">
      <w:pPr>
        <w:rPr>
          <w:b/>
          <w:bCs/>
        </w:rPr>
      </w:pPr>
      <w:r w:rsidRPr="000A4DBD">
        <w:rPr>
          <w:b/>
          <w:bCs/>
        </w:rPr>
        <w:t>Main body</w:t>
      </w:r>
      <w:r>
        <w:rPr>
          <w:b/>
          <w:bCs/>
        </w:rPr>
        <w:t xml:space="preserve"> </w:t>
      </w:r>
    </w:p>
    <w:p w14:paraId="6D4B1909" w14:textId="69C94A4A" w:rsidR="00EE59EA" w:rsidRDefault="00EE59EA" w:rsidP="009134C0">
      <w:pPr>
        <w:rPr>
          <w:rFonts w:ascii="Open Sans" w:hAnsi="Open Sans" w:cs="Open Sans"/>
        </w:rPr>
      </w:pPr>
      <w:r w:rsidRPr="00EE59EA">
        <w:rPr>
          <w:rFonts w:ascii="Open Sans" w:hAnsi="Open Sans" w:cs="Open Sans"/>
        </w:rPr>
        <w:lastRenderedPageBreak/>
        <w:t>When assessing the efficacy of crime-prevention initiatives using an evidence-based approach, it is advocated that crime prevention be rational and based on the best available data. Furthermore, it is crucial to evaluate the most rigorous procedures while looking at the most recent scientific discoveries. It asserts that evaluating the cost-effectiveness of crime-reduction initiatives is crucial to evidence-based crime prevention. The chapter emphasises how crucial it is to take into account the problems of crime relocation and the dispersion of gains from crime prevention when analysing the efficiency of the main methods of monitoring that are employed to prevent crimes.</w:t>
      </w:r>
    </w:p>
    <w:p w14:paraId="53DE3978" w14:textId="77777777" w:rsidR="007977E8" w:rsidRPr="007977E8" w:rsidRDefault="007977E8" w:rsidP="007977E8">
      <w:pPr>
        <w:rPr>
          <w:rFonts w:ascii="Open Sans" w:hAnsi="Open Sans" w:cs="Open Sans"/>
        </w:rPr>
      </w:pPr>
      <w:r w:rsidRPr="007977E8">
        <w:rPr>
          <w:rFonts w:ascii="Open Sans" w:hAnsi="Open Sans" w:cs="Open Sans"/>
        </w:rPr>
        <w:t>Burglaries can be prevented by keeping the streets and homes well-lit and paying attention to normal neighbourhood activities. It is harder for criminals to carry out their crimes in an area that has been clearly identified with signs advertising the presence of a police station and other security measures. Town watch programmes have helped localities cut crime by 16 to 26 percent compared to those without one.</w:t>
      </w:r>
    </w:p>
    <w:p w14:paraId="0F4F88B6" w14:textId="77777777" w:rsidR="007977E8" w:rsidRPr="007977E8" w:rsidRDefault="007977E8" w:rsidP="007977E8">
      <w:pPr>
        <w:rPr>
          <w:rFonts w:ascii="Open Sans" w:hAnsi="Open Sans" w:cs="Open Sans"/>
        </w:rPr>
      </w:pPr>
      <w:r w:rsidRPr="007977E8">
        <w:rPr>
          <w:rFonts w:ascii="Open Sans" w:hAnsi="Open Sans" w:cs="Open Sans"/>
        </w:rPr>
        <w:t>In just six weeks in October and November of this year, 22 gunshots, including five murders, happened in three areas of Boston, according to a new analysis of the city's escalating violence.</w:t>
      </w:r>
    </w:p>
    <w:p w14:paraId="6A33DAF6" w14:textId="793C78F8" w:rsidR="007977E8" w:rsidRDefault="007977E8" w:rsidP="007977E8">
      <w:pPr>
        <w:rPr>
          <w:rFonts w:ascii="Open Sans" w:hAnsi="Open Sans" w:cs="Open Sans"/>
        </w:rPr>
      </w:pPr>
      <w:r w:rsidRPr="007977E8">
        <w:rPr>
          <w:rFonts w:ascii="Open Sans" w:hAnsi="Open Sans" w:cs="Open Sans"/>
        </w:rPr>
        <w:t>Three of Boston's most volatile neighbourhoods are Blue Hill Avenue in Mattapan, Egleston Square in Roxbury-Jamaica Plain, and a significant portion of Lower Roxbury, according to an internal summary of serious crime given last week to Boston Police Commissioner Kathleen M. O'Toole and other top department officials and obtained yesterday by the Globe.</w:t>
      </w:r>
    </w:p>
    <w:p w14:paraId="3E2670F2" w14:textId="77777777" w:rsidR="00A572F8" w:rsidRDefault="00A572F8" w:rsidP="00A572F8">
      <w:pPr>
        <w:rPr>
          <w:b/>
          <w:bCs/>
        </w:rPr>
      </w:pPr>
      <w:r w:rsidRPr="000A4DBD">
        <w:rPr>
          <w:b/>
          <w:bCs/>
        </w:rPr>
        <w:t>Conclusion</w:t>
      </w:r>
    </w:p>
    <w:p w14:paraId="1B0FB55F" w14:textId="77777777" w:rsidR="0097408E" w:rsidRPr="007977E8" w:rsidRDefault="0097408E" w:rsidP="0097408E">
      <w:pPr>
        <w:rPr>
          <w:rFonts w:ascii="Open Sans" w:hAnsi="Open Sans" w:cs="Open Sans"/>
        </w:rPr>
      </w:pPr>
      <w:r w:rsidRPr="007977E8">
        <w:rPr>
          <w:rFonts w:ascii="Open Sans" w:hAnsi="Open Sans" w:cs="Open Sans"/>
        </w:rPr>
        <w:t>Assessing risk and threats across increasingly complex police settings is necessary in order to make decisions, evaluate projects and their results, including the consequences of various actions and approaches, in line with the policing national decision-making model and evidence-based principles. When making decisions, it is important to take into account the most reliable information from a variety of sources, such as research and analysis. Make use of justifiable discretion in situations where doing so is both permissible and in the best interest of the public.</w:t>
      </w:r>
    </w:p>
    <w:p w14:paraId="5B61198E" w14:textId="20FCBDF2" w:rsidR="0097408E" w:rsidRPr="007977E8" w:rsidRDefault="0097408E" w:rsidP="0097408E">
      <w:pPr>
        <w:rPr>
          <w:rFonts w:ascii="Open Sans" w:hAnsi="Open Sans" w:cs="Open Sans"/>
        </w:rPr>
      </w:pPr>
      <w:r w:rsidRPr="007977E8">
        <w:rPr>
          <w:rFonts w:ascii="Open Sans" w:hAnsi="Open Sans" w:cs="Open Sans"/>
        </w:rPr>
        <w:t xml:space="preserve"> </w:t>
      </w:r>
      <w:r w:rsidRPr="007977E8">
        <w:rPr>
          <w:rFonts w:ascii="Open Sans" w:hAnsi="Open Sans" w:cs="Open Sans"/>
        </w:rPr>
        <w:t>On the basis of the most recent and relevant research findings, a number of different conclusions may be drawn about the specific conditions under which these surveillance systems are the most effective in lowering the rate of crime in public places. According to the findings of our research, great defensible space practises such as increased street lighting, closed-circuit television, street closures, and barriers are all options that may be utilised in inner-city neighbourhoods as well as parking lots or car parks.</w:t>
      </w:r>
    </w:p>
    <w:p w14:paraId="371E3CF2" w14:textId="77777777" w:rsidR="0097408E" w:rsidRPr="007977E8" w:rsidRDefault="0097408E" w:rsidP="0097408E">
      <w:pPr>
        <w:rPr>
          <w:rFonts w:ascii="Open Sans" w:hAnsi="Open Sans" w:cs="Open Sans"/>
        </w:rPr>
      </w:pPr>
    </w:p>
    <w:p w14:paraId="2268E9E2" w14:textId="1E14DA05" w:rsidR="00EE59EA" w:rsidRPr="007977E8" w:rsidRDefault="0097408E" w:rsidP="0097408E">
      <w:pPr>
        <w:rPr>
          <w:rFonts w:ascii="Open Sans" w:hAnsi="Open Sans" w:cs="Open Sans"/>
        </w:rPr>
      </w:pPr>
      <w:r w:rsidRPr="007977E8">
        <w:rPr>
          <w:rFonts w:ascii="Open Sans" w:hAnsi="Open Sans" w:cs="Open Sans"/>
        </w:rPr>
        <w:t xml:space="preserve">There is substantial evidence that enhanced street lighting and surveillance cameras are more successful at decreasing property crimes (especially those involving vehicles) than </w:t>
      </w:r>
      <w:r w:rsidRPr="007977E8">
        <w:rPr>
          <w:rFonts w:ascii="Open Sans" w:hAnsi="Open Sans" w:cs="Open Sans"/>
        </w:rPr>
        <w:lastRenderedPageBreak/>
        <w:t>they are at reducing violent crimes. A reduction in both violent and property crimes is possible with the implementation of barrier or roadway closure strategies.</w:t>
      </w:r>
    </w:p>
    <w:p w14:paraId="22F9DEA2" w14:textId="77777777" w:rsidR="006562E3" w:rsidRPr="007977E8" w:rsidRDefault="006562E3" w:rsidP="006562E3">
      <w:pPr>
        <w:rPr>
          <w:rFonts w:ascii="Open Sans" w:hAnsi="Open Sans" w:cs="Open Sans"/>
          <w:color w:val="000000"/>
          <w:shd w:val="clear" w:color="auto" w:fill="FFFFFF"/>
        </w:rPr>
      </w:pPr>
      <w:r w:rsidRPr="007977E8">
        <w:rPr>
          <w:rFonts w:ascii="Open Sans" w:hAnsi="Open Sans" w:cs="Open Sans"/>
          <w:color w:val="000000"/>
          <w:shd w:val="clear" w:color="auto" w:fill="FFFFFF"/>
        </w:rPr>
        <w:t xml:space="preserve">In the wake of the 2011 London riots, Detective Chief Superintendent </w:t>
      </w:r>
      <w:proofErr w:type="spellStart"/>
      <w:r w:rsidRPr="007977E8">
        <w:rPr>
          <w:rFonts w:ascii="Open Sans" w:hAnsi="Open Sans" w:cs="Open Sans"/>
          <w:color w:val="000000"/>
          <w:shd w:val="clear" w:color="auto" w:fill="FFFFFF"/>
        </w:rPr>
        <w:t>Greany</w:t>
      </w:r>
      <w:proofErr w:type="spellEnd"/>
      <w:r w:rsidRPr="007977E8">
        <w:rPr>
          <w:rFonts w:ascii="Open Sans" w:hAnsi="Open Sans" w:cs="Open Sans"/>
          <w:color w:val="000000"/>
          <w:shd w:val="clear" w:color="auto" w:fill="FFFFFF"/>
        </w:rPr>
        <w:t xml:space="preserve"> established and oversaw Operation </w:t>
      </w:r>
      <w:proofErr w:type="spellStart"/>
      <w:r w:rsidRPr="007977E8">
        <w:rPr>
          <w:rFonts w:ascii="Open Sans" w:hAnsi="Open Sans" w:cs="Open Sans"/>
          <w:color w:val="000000"/>
          <w:shd w:val="clear" w:color="auto" w:fill="FFFFFF"/>
        </w:rPr>
        <w:t>Withern</w:t>
      </w:r>
      <w:proofErr w:type="spellEnd"/>
      <w:r w:rsidRPr="007977E8">
        <w:rPr>
          <w:rFonts w:ascii="Open Sans" w:hAnsi="Open Sans" w:cs="Open Sans"/>
          <w:color w:val="000000"/>
          <w:shd w:val="clear" w:color="auto" w:fill="FFFFFF"/>
        </w:rPr>
        <w:t xml:space="preserve"> in London. By February 2012, 3,000 persons had been successfully convicted as a result of this, 2,200 of which, according to DCS </w:t>
      </w:r>
      <w:proofErr w:type="spellStart"/>
      <w:r w:rsidRPr="007977E8">
        <w:rPr>
          <w:rFonts w:ascii="Open Sans" w:hAnsi="Open Sans" w:cs="Open Sans"/>
          <w:color w:val="000000"/>
          <w:shd w:val="clear" w:color="auto" w:fill="FFFFFF"/>
        </w:rPr>
        <w:t>Greany</w:t>
      </w:r>
      <w:proofErr w:type="spellEnd"/>
      <w:r w:rsidRPr="007977E8">
        <w:rPr>
          <w:rFonts w:ascii="Open Sans" w:hAnsi="Open Sans" w:cs="Open Sans"/>
          <w:color w:val="000000"/>
          <w:shd w:val="clear" w:color="auto" w:fill="FFFFFF"/>
        </w:rPr>
        <w:t>, would not have been possible without video evidence.</w:t>
      </w:r>
    </w:p>
    <w:p w14:paraId="56C7C40A" w14:textId="77777777" w:rsidR="0097408E" w:rsidRPr="007977E8" w:rsidRDefault="0097408E" w:rsidP="0097408E">
      <w:pPr>
        <w:rPr>
          <w:rFonts w:ascii="Open Sans" w:hAnsi="Open Sans" w:cs="Open Sans"/>
        </w:rPr>
      </w:pPr>
      <w:r w:rsidRPr="007977E8">
        <w:rPr>
          <w:rFonts w:ascii="Open Sans" w:hAnsi="Open Sans" w:cs="Open Sans"/>
        </w:rPr>
        <w:t>It's possible that some people may claim that this is only one notable event, but what about the widespread use of CCTV across the country? The following remark serves as an illustration of what has been going on in only one area of the United Kingdom.</w:t>
      </w:r>
    </w:p>
    <w:p w14:paraId="48B8A393" w14:textId="77777777" w:rsidR="0097408E" w:rsidRPr="007977E8" w:rsidRDefault="0097408E" w:rsidP="0097408E">
      <w:pPr>
        <w:rPr>
          <w:rFonts w:ascii="Open Sans" w:hAnsi="Open Sans" w:cs="Open Sans"/>
        </w:rPr>
      </w:pPr>
    </w:p>
    <w:p w14:paraId="22F2A9CC" w14:textId="26E3AB57" w:rsidR="006562E3" w:rsidRPr="007977E8" w:rsidRDefault="0097408E" w:rsidP="0097408E">
      <w:pPr>
        <w:rPr>
          <w:rFonts w:ascii="Open Sans" w:hAnsi="Open Sans" w:cs="Open Sans"/>
        </w:rPr>
      </w:pPr>
      <w:r w:rsidRPr="007977E8">
        <w:rPr>
          <w:rFonts w:ascii="Open Sans" w:hAnsi="Open Sans" w:cs="Open Sans"/>
        </w:rPr>
        <w:t xml:space="preserve">"Hambleton District Council has approved the funding </w:t>
      </w:r>
      <w:r w:rsidRPr="007977E8">
        <w:rPr>
          <w:rFonts w:ascii="Open Sans" w:hAnsi="Open Sans" w:cs="Open Sans"/>
        </w:rPr>
        <w:t>totalling</w:t>
      </w:r>
      <w:r w:rsidRPr="007977E8">
        <w:rPr>
          <w:rFonts w:ascii="Open Sans" w:hAnsi="Open Sans" w:cs="Open Sans"/>
        </w:rPr>
        <w:t xml:space="preserve"> £99,000 to enhance the control room. This comes after the council made the claim, along with Ryedale, Leeds, Kirklees, and Hull, that CCTV had contributed to more than 15,000 arrests over the previous three years.</w:t>
      </w:r>
    </w:p>
    <w:p w14:paraId="79D9A93A" w14:textId="77777777" w:rsidR="006562E3" w:rsidRDefault="006562E3" w:rsidP="006562E3">
      <w:pPr>
        <w:jc w:val="center"/>
      </w:pPr>
    </w:p>
    <w:p w14:paraId="2E3E1CB8" w14:textId="77777777" w:rsidR="006562E3" w:rsidRDefault="006562E3" w:rsidP="006562E3">
      <w:pPr>
        <w:jc w:val="center"/>
      </w:pPr>
    </w:p>
    <w:p w14:paraId="10A13B10" w14:textId="77777777" w:rsidR="007977E8" w:rsidRPr="007977E8" w:rsidRDefault="007977E8" w:rsidP="007977E8">
      <w:pPr>
        <w:jc w:val="center"/>
        <w:rPr>
          <w:rFonts w:ascii="Open Sans" w:hAnsi="Open Sans" w:cs="Open Sans"/>
        </w:rPr>
      </w:pPr>
      <w:r w:rsidRPr="007977E8">
        <w:rPr>
          <w:rFonts w:ascii="Open Sans" w:hAnsi="Open Sans" w:cs="Open Sans"/>
        </w:rPr>
        <w:t>2,Doors, passenger and baggage screening at airports); defensible space architecture, which encourages locals to exercise control over their public spaces and keep intruders out; neighbourhood crime prevention programmes such as Neighbourhood Watch programmes and citizen patrols; and a variety of other strategies including diverting potential offenders away from potential victims (Clarke 1988). In contrast to traditional methods of law enforcement, situational crime prevention places a greater emphasis on the individual to take greater responsibility for his or her own safety. However, in order for it to be successful, it requires the collaboration of the local law enforcement, as well as public and private organisations, as well as members of the community. The Institute of Criminology has produced a great deal of written work on the subject of crime prevention and has, for a long time, acknowledged the significance of this topic. These works include:</w:t>
      </w:r>
    </w:p>
    <w:p w14:paraId="1463A091" w14:textId="77777777" w:rsidR="007977E8" w:rsidRPr="007977E8" w:rsidRDefault="007977E8" w:rsidP="007977E8">
      <w:pPr>
        <w:jc w:val="center"/>
        <w:rPr>
          <w:rFonts w:ascii="Open Sans" w:hAnsi="Open Sans" w:cs="Open Sans"/>
        </w:rPr>
      </w:pPr>
    </w:p>
    <w:p w14:paraId="4D13A6A7" w14:textId="77777777" w:rsidR="007977E8" w:rsidRPr="007977E8" w:rsidRDefault="007977E8" w:rsidP="007977E8">
      <w:pPr>
        <w:jc w:val="center"/>
        <w:rPr>
          <w:rFonts w:ascii="Open Sans" w:hAnsi="Open Sans" w:cs="Open Sans"/>
        </w:rPr>
      </w:pPr>
    </w:p>
    <w:p w14:paraId="63502746" w14:textId="177189B3" w:rsidR="007977E8" w:rsidRPr="007977E8" w:rsidRDefault="007977E8" w:rsidP="00A34E9F">
      <w:pPr>
        <w:rPr>
          <w:rFonts w:ascii="Open Sans" w:hAnsi="Open Sans" w:cs="Open Sans"/>
        </w:rPr>
      </w:pPr>
      <w:r w:rsidRPr="007977E8">
        <w:rPr>
          <w:rFonts w:ascii="Open Sans" w:hAnsi="Open Sans" w:cs="Open Sans"/>
        </w:rPr>
        <w:t>The implementation of cutting-edge technology, such as artificial intelligence (AI), data analytics, cloud computing, and internet of things, will lead to an increase in the industry's revenue. In addition, companies are developing security management software with features such as video alarm processing, facial recognition, adjustable API user limits, recorded footage smart search, and map navigations.</w:t>
      </w:r>
    </w:p>
    <w:p w14:paraId="2A467674" w14:textId="79BC63B4" w:rsidR="007977E8" w:rsidRPr="007977E8" w:rsidRDefault="007977E8" w:rsidP="00A34E9F">
      <w:pPr>
        <w:rPr>
          <w:rFonts w:ascii="Open Sans" w:hAnsi="Open Sans" w:cs="Open Sans"/>
        </w:rPr>
      </w:pPr>
      <w:r w:rsidRPr="007977E8">
        <w:rPr>
          <w:rFonts w:ascii="Open Sans" w:hAnsi="Open Sans" w:cs="Open Sans"/>
        </w:rPr>
        <w:t xml:space="preserve">• The expansion of this industry would benefit from the passing of brand new, stringent laws by the government relating to the requirements for airport security. Airline transportation authorities from a variety of countries are currently publishing </w:t>
      </w:r>
      <w:r w:rsidRPr="007977E8">
        <w:rPr>
          <w:rFonts w:ascii="Open Sans" w:hAnsi="Open Sans" w:cs="Open Sans"/>
        </w:rPr>
        <w:lastRenderedPageBreak/>
        <w:t>recommendations in an effort to preserve a baseline level of service quality for operational procedures. They are putting a strong emphasis on keeping track of illegal activities through this in order to forestall the occurrence of catastrophic events in the years to come.</w:t>
      </w:r>
    </w:p>
    <w:p w14:paraId="53B69BEE" w14:textId="30BA7F71" w:rsidR="007977E8" w:rsidRDefault="007977E8" w:rsidP="00A34E9F">
      <w:pPr>
        <w:rPr>
          <w:rFonts w:ascii="Open Sans" w:hAnsi="Open Sans" w:cs="Open Sans"/>
        </w:rPr>
      </w:pPr>
      <w:r w:rsidRPr="007977E8">
        <w:rPr>
          <w:rFonts w:ascii="Open Sans" w:hAnsi="Open Sans" w:cs="Open Sans"/>
        </w:rPr>
        <w:t xml:space="preserve">A study conducted in England and Wales over a period of twelve years found that there was a significant reduction in the number of people who committed suicide. The researchers came to the conclusion that the removal of carbon monoxide from </w:t>
      </w:r>
      <w:r w:rsidR="00A34E9F">
        <w:rPr>
          <w:rFonts w:ascii="Open Sans" w:hAnsi="Open Sans" w:cs="Open Sans"/>
        </w:rPr>
        <w:t xml:space="preserve"> </w:t>
      </w:r>
      <w:r w:rsidRPr="007977E8">
        <w:rPr>
          <w:rFonts w:ascii="Open Sans" w:hAnsi="Open Sans" w:cs="Open Sans"/>
        </w:rPr>
        <w:t>domestic gas had a significant deterrent effect on the number of people who attempted suicide.</w:t>
      </w:r>
    </w:p>
    <w:p w14:paraId="387E7C4F" w14:textId="77777777" w:rsidR="000B2465" w:rsidRPr="000B2465" w:rsidRDefault="00A34E9F" w:rsidP="000B2465">
      <w:pPr>
        <w:rPr>
          <w:rFonts w:ascii="Open Sans" w:hAnsi="Open Sans" w:cs="Open Sans"/>
        </w:rPr>
      </w:pPr>
      <w:r w:rsidRPr="00A34E9F">
        <w:rPr>
          <w:rFonts w:ascii="Open Sans" w:hAnsi="Open Sans" w:cs="Open Sans"/>
        </w:rPr>
        <w:t xml:space="preserve">3 </w:t>
      </w:r>
      <w:r w:rsidR="000B2465" w:rsidRPr="000B2465">
        <w:rPr>
          <w:rFonts w:ascii="Open Sans" w:hAnsi="Open Sans" w:cs="Open Sans"/>
        </w:rPr>
        <w:t>Guardian's 2019 website (February 1). Between 1998 and 2014, those 10 and older in England and Wales were eligible for Anti-Social Behaviour Orders (ASBOs). They were issued only when the courts deemed it necessary to prevent further harm, harassment, alarm, or distress to the public. The criminal standard of proof was used, and only negative prohibitions were imposed. Read on to learn about KCPOs.</w:t>
      </w:r>
    </w:p>
    <w:p w14:paraId="1F88D985" w14:textId="6773A47C" w:rsidR="007977E8" w:rsidRDefault="000B2465" w:rsidP="000B2465">
      <w:pPr>
        <w:rPr>
          <w:rFonts w:ascii="Open Sans" w:hAnsi="Open Sans" w:cs="Open Sans"/>
        </w:rPr>
      </w:pPr>
      <w:r w:rsidRPr="000B2465">
        <w:rPr>
          <w:rFonts w:ascii="Open Sans" w:hAnsi="Open Sans" w:cs="Open Sans"/>
        </w:rPr>
        <w:t>Even while they might apply positive and negative standards, the civil standard to youth (in the case of KCPOs, individuals aged 12 and over). ASBO, Football Banning Orders, and Domestic Violence are preventative hybrids. Protected Person's Orders and PSPOs.</w:t>
      </w:r>
    </w:p>
    <w:p w14:paraId="659E2BEC" w14:textId="77777777" w:rsidR="003D2259" w:rsidRPr="007977E8" w:rsidRDefault="003D2259" w:rsidP="00A34E9F">
      <w:pPr>
        <w:rPr>
          <w:rFonts w:ascii="Open Sans" w:hAnsi="Open Sans" w:cs="Open Sans"/>
        </w:rPr>
      </w:pPr>
    </w:p>
    <w:p w14:paraId="0619BCA7" w14:textId="6C33661C" w:rsidR="00A34E9F" w:rsidRPr="00A34E9F" w:rsidRDefault="00A34E9F" w:rsidP="00A34E9F">
      <w:pPr>
        <w:rPr>
          <w:rFonts w:ascii="Open Sans" w:hAnsi="Open Sans" w:cs="Open Sans"/>
        </w:rPr>
      </w:pPr>
      <w:r w:rsidRPr="00A34E9F">
        <w:rPr>
          <w:rFonts w:ascii="Open Sans" w:hAnsi="Open Sans" w:cs="Open Sans"/>
        </w:rPr>
        <w:t xml:space="preserve">An established policy trend of utilising preventive hybrid processes to regulate undesired potential </w:t>
      </w:r>
      <w:r w:rsidR="00644E3D" w:rsidRPr="00A34E9F">
        <w:rPr>
          <w:rFonts w:ascii="Open Sans" w:hAnsi="Open Sans" w:cs="Open Sans"/>
        </w:rPr>
        <w:t>behaviour</w:t>
      </w:r>
      <w:r w:rsidRPr="00A34E9F">
        <w:rPr>
          <w:rFonts w:ascii="Open Sans" w:hAnsi="Open Sans" w:cs="Open Sans"/>
        </w:rPr>
        <w:t>—a policy tendency, it should be noted, that has shown no sign of learning from prior experience and instead appears to proceed counterfactually—is evident in KCPOs. Its format is somewhat reminiscent of those found in previous civil preventive orders</w:t>
      </w:r>
      <w:r w:rsidR="003D2259">
        <w:rPr>
          <w:rFonts w:ascii="Open Sans" w:hAnsi="Open Sans" w:cs="Open Sans"/>
        </w:rPr>
        <w:t xml:space="preserve"> </w:t>
      </w:r>
      <w:r w:rsidR="00644E3D" w:rsidRPr="00A34E9F">
        <w:rPr>
          <w:rFonts w:ascii="Open Sans" w:hAnsi="Open Sans" w:cs="Open Sans"/>
        </w:rPr>
        <w:t>Semester</w:t>
      </w:r>
      <w:r w:rsidRPr="00A34E9F">
        <w:rPr>
          <w:rFonts w:ascii="Open Sans" w:hAnsi="Open Sans" w:cs="Open Sans"/>
        </w:rPr>
        <w:t xml:space="preserve"> and von Hirsch (2006), Ashworth and </w:t>
      </w:r>
      <w:proofErr w:type="spellStart"/>
      <w:r w:rsidRPr="00A34E9F">
        <w:rPr>
          <w:rFonts w:ascii="Open Sans" w:hAnsi="Open Sans" w:cs="Open Sans"/>
        </w:rPr>
        <w:t>Zedner</w:t>
      </w:r>
      <w:proofErr w:type="spellEnd"/>
      <w:r w:rsidRPr="00A34E9F">
        <w:rPr>
          <w:rFonts w:ascii="Open Sans" w:hAnsi="Open Sans" w:cs="Open Sans"/>
        </w:rPr>
        <w:t xml:space="preserve"> (2010), and Shute (2018), among others, KCPOs</w:t>
      </w:r>
      <w:r w:rsidR="003D2259">
        <w:rPr>
          <w:rFonts w:ascii="Open Sans" w:hAnsi="Open Sans" w:cs="Open Sans"/>
        </w:rPr>
        <w:t xml:space="preserve"> </w:t>
      </w:r>
      <w:r w:rsidRPr="00A34E9F">
        <w:rPr>
          <w:rFonts w:ascii="Open Sans" w:hAnsi="Open Sans" w:cs="Open Sans"/>
        </w:rPr>
        <w:t>in particular for various interwoven environmental, procedural and normative aspects of the</w:t>
      </w:r>
      <w:r w:rsidR="003D2259">
        <w:rPr>
          <w:rFonts w:ascii="Open Sans" w:hAnsi="Open Sans" w:cs="Open Sans"/>
        </w:rPr>
        <w:t xml:space="preserve"> </w:t>
      </w:r>
      <w:r w:rsidRPr="00A34E9F">
        <w:rPr>
          <w:rFonts w:ascii="Open Sans" w:hAnsi="Open Sans" w:cs="Open Sans"/>
        </w:rPr>
        <w:t>reasons. For starters, as highlighted in the quote from Atkins MP, these orders are primarily aimed at regulating the behaviour of minors. Knife crime prevention advocate Patrick Green is the group's CEO.</w:t>
      </w:r>
    </w:p>
    <w:p w14:paraId="2467113C" w14:textId="77777777" w:rsidR="00A34E9F" w:rsidRPr="00A34E9F" w:rsidRDefault="00A34E9F" w:rsidP="00A34E9F">
      <w:pPr>
        <w:rPr>
          <w:rFonts w:ascii="Open Sans" w:hAnsi="Open Sans" w:cs="Open Sans"/>
        </w:rPr>
      </w:pPr>
    </w:p>
    <w:p w14:paraId="05DED1CE" w14:textId="3BC39136" w:rsidR="00A34E9F" w:rsidRPr="00A34E9F" w:rsidRDefault="00A34E9F" w:rsidP="00A34E9F">
      <w:pPr>
        <w:rPr>
          <w:rFonts w:ascii="Open Sans" w:hAnsi="Open Sans" w:cs="Open Sans"/>
        </w:rPr>
      </w:pPr>
      <w:r w:rsidRPr="00A34E9F">
        <w:rPr>
          <w:rFonts w:ascii="Open Sans" w:hAnsi="Open Sans" w:cs="Open Sans"/>
        </w:rPr>
        <w:t>It has been said by Ben Kinsella Trust, that his group is open to 'any and every method,'</w:t>
      </w:r>
      <w:r w:rsidR="003D2259">
        <w:rPr>
          <w:rFonts w:ascii="Open Sans" w:hAnsi="Open Sans" w:cs="Open Sans"/>
        </w:rPr>
        <w:t xml:space="preserve"> </w:t>
      </w:r>
      <w:r w:rsidRPr="00A34E9F">
        <w:rPr>
          <w:rFonts w:ascii="Open Sans" w:hAnsi="Open Sans" w:cs="Open Sans"/>
        </w:rPr>
        <w:t>efforts aimed at decreasing the number of knife crimes We are concerned about the fact that children as young as thirteen</w:t>
      </w:r>
      <w:r w:rsidR="003D2259">
        <w:rPr>
          <w:rFonts w:ascii="Open Sans" w:hAnsi="Open Sans" w:cs="Open Sans"/>
        </w:rPr>
        <w:t xml:space="preserve"> </w:t>
      </w:r>
      <w:r w:rsidRPr="00A34E9F">
        <w:rPr>
          <w:rFonts w:ascii="Open Sans" w:hAnsi="Open Sans" w:cs="Open Sans"/>
        </w:rPr>
        <w:t>12 may be charged with a crime if they violate these orders.</w:t>
      </w:r>
      <w:r w:rsidR="003D2259">
        <w:rPr>
          <w:rFonts w:ascii="Open Sans" w:hAnsi="Open Sans" w:cs="Open Sans"/>
        </w:rPr>
        <w:t xml:space="preserve"> </w:t>
      </w:r>
      <w:r w:rsidRPr="00A34E9F">
        <w:rPr>
          <w:rFonts w:ascii="Open Sans" w:hAnsi="Open Sans" w:cs="Open Sans"/>
        </w:rPr>
        <w:t>10 In addition, and notwithstanding the above facts,</w:t>
      </w:r>
    </w:p>
    <w:p w14:paraId="227EE54D" w14:textId="0CCE5CB8" w:rsidR="00A34E9F" w:rsidRPr="00A34E9F" w:rsidRDefault="00A34E9F" w:rsidP="00A34E9F">
      <w:pPr>
        <w:rPr>
          <w:rFonts w:ascii="Open Sans" w:hAnsi="Open Sans" w:cs="Open Sans"/>
        </w:rPr>
      </w:pPr>
      <w:r w:rsidRPr="00A34E9F">
        <w:rPr>
          <w:rFonts w:ascii="Open Sans" w:hAnsi="Open Sans" w:cs="Open Sans"/>
        </w:rPr>
        <w:t>goal of KCPOs is prevention; the expected age of those subjected to KCPOs, as well as the comparative age of those subjected to them</w:t>
      </w:r>
      <w:r w:rsidR="003D2259">
        <w:rPr>
          <w:rFonts w:ascii="Open Sans" w:hAnsi="Open Sans" w:cs="Open Sans"/>
        </w:rPr>
        <w:t xml:space="preserve">. </w:t>
      </w:r>
      <w:r w:rsidRPr="00A34E9F">
        <w:rPr>
          <w:rFonts w:ascii="Open Sans" w:hAnsi="Open Sans" w:cs="Open Sans"/>
        </w:rPr>
        <w:t>The ease with which a breach might be made inadvertently can only lead to the covert criminalization of the marginalised.</w:t>
      </w:r>
      <w:r w:rsidR="003D2259">
        <w:rPr>
          <w:rFonts w:ascii="Open Sans" w:hAnsi="Open Sans" w:cs="Open Sans"/>
        </w:rPr>
        <w:t xml:space="preserve"> </w:t>
      </w:r>
      <w:r w:rsidRPr="00A34E9F">
        <w:rPr>
          <w:rFonts w:ascii="Open Sans" w:hAnsi="Open Sans" w:cs="Open Sans"/>
        </w:rPr>
        <w:t>children.</w:t>
      </w:r>
      <w:r w:rsidR="003D2259">
        <w:rPr>
          <w:rFonts w:ascii="Open Sans" w:hAnsi="Open Sans" w:cs="Open Sans"/>
        </w:rPr>
        <w:t xml:space="preserve"> </w:t>
      </w:r>
      <w:r w:rsidRPr="00A34E9F">
        <w:rPr>
          <w:rFonts w:ascii="Open Sans" w:hAnsi="Open Sans" w:cs="Open Sans"/>
        </w:rPr>
        <w:t>Second, the individualised positive and negative needs of KCPOs are an issue.</w:t>
      </w:r>
      <w:r w:rsidR="003D2259">
        <w:rPr>
          <w:rFonts w:ascii="Open Sans" w:hAnsi="Open Sans" w:cs="Open Sans"/>
        </w:rPr>
        <w:t xml:space="preserve"> </w:t>
      </w:r>
      <w:r w:rsidRPr="00A34E9F">
        <w:rPr>
          <w:rFonts w:ascii="Open Sans" w:hAnsi="Open Sans" w:cs="Open Sans"/>
        </w:rPr>
        <w:t>combined, they put significant and lengthy constraints on an individual</w:t>
      </w:r>
      <w:r w:rsidR="003D2259">
        <w:rPr>
          <w:rFonts w:ascii="Open Sans" w:hAnsi="Open Sans" w:cs="Open Sans"/>
        </w:rPr>
        <w:t xml:space="preserve"> </w:t>
      </w:r>
      <w:r w:rsidRPr="00A34E9F">
        <w:rPr>
          <w:rFonts w:ascii="Open Sans" w:hAnsi="Open Sans" w:cs="Open Sans"/>
        </w:rPr>
        <w:t>an individual's online and offline activities As a result of these pre-trial constraints,</w:t>
      </w:r>
      <w:r w:rsidR="003D2259">
        <w:rPr>
          <w:rFonts w:ascii="Open Sans" w:hAnsi="Open Sans" w:cs="Open Sans"/>
        </w:rPr>
        <w:t xml:space="preserve"> </w:t>
      </w:r>
      <w:r w:rsidRPr="00A34E9F">
        <w:rPr>
          <w:rFonts w:ascii="Open Sans" w:hAnsi="Open Sans" w:cs="Open Sans"/>
        </w:rPr>
        <w:t xml:space="preserve">sit awkwardly next </w:t>
      </w:r>
      <w:r w:rsidRPr="00A34E9F">
        <w:rPr>
          <w:rFonts w:ascii="Open Sans" w:hAnsi="Open Sans" w:cs="Open Sans"/>
        </w:rPr>
        <w:lastRenderedPageBreak/>
        <w:t>to the civil standard of proof that the court is using</w:t>
      </w:r>
      <w:r w:rsidR="003D2259">
        <w:rPr>
          <w:rFonts w:ascii="Open Sans" w:hAnsi="Open Sans" w:cs="Open Sans"/>
        </w:rPr>
        <w:t xml:space="preserve"> </w:t>
      </w:r>
      <w:r w:rsidRPr="00A34E9F">
        <w:rPr>
          <w:rFonts w:ascii="Open Sans" w:hAnsi="Open Sans" w:cs="Open Sans"/>
        </w:rPr>
        <w:t>the traditional link between illegal action and guilt for it has been severed, and</w:t>
      </w:r>
    </w:p>
    <w:p w14:paraId="792F811A" w14:textId="77777777" w:rsidR="00A34E9F" w:rsidRPr="00A34E9F" w:rsidRDefault="00A34E9F" w:rsidP="00A34E9F">
      <w:pPr>
        <w:rPr>
          <w:rFonts w:ascii="Open Sans" w:hAnsi="Open Sans" w:cs="Open Sans"/>
        </w:rPr>
      </w:pPr>
      <w:r w:rsidRPr="00A34E9F">
        <w:rPr>
          <w:rFonts w:ascii="Open Sans" w:hAnsi="Open Sans" w:cs="Open Sans"/>
        </w:rPr>
        <w:t>eroding the presumption of innocence, which is a cornerstone of criminal law. The lack of a legal requirement to specify the evidence foundation required for</w:t>
      </w:r>
    </w:p>
    <w:p w14:paraId="174F0D61" w14:textId="453F4394" w:rsidR="00A34E9F" w:rsidRPr="00A34E9F" w:rsidRDefault="00A34E9F" w:rsidP="00A34E9F">
      <w:pPr>
        <w:rPr>
          <w:rFonts w:ascii="Open Sans" w:hAnsi="Open Sans" w:cs="Open Sans"/>
        </w:rPr>
      </w:pPr>
      <w:r w:rsidRPr="00A34E9F">
        <w:rPr>
          <w:rFonts w:ascii="Open Sans" w:hAnsi="Open Sans" w:cs="Open Sans"/>
        </w:rPr>
        <w:t>It's not known how much of a role context plays in the triggering offence.</w:t>
      </w:r>
      <w:r w:rsidR="003D2259">
        <w:rPr>
          <w:rFonts w:ascii="Open Sans" w:hAnsi="Open Sans" w:cs="Open Sans"/>
        </w:rPr>
        <w:t xml:space="preserve"> </w:t>
      </w:r>
      <w:r w:rsidRPr="00A34E9F">
        <w:rPr>
          <w:rFonts w:ascii="Open Sans" w:hAnsi="Open Sans" w:cs="Open Sans"/>
        </w:rPr>
        <w:t>evidence might be used to support a KCPO application while other evidence could be used to prosecute someone (SCYJ 2019: para 2.3).</w:t>
      </w:r>
    </w:p>
    <w:p w14:paraId="484615EA" w14:textId="70F02FF4" w:rsidR="007977E8" w:rsidRPr="007977E8" w:rsidRDefault="00A34E9F" w:rsidP="00A34E9F">
      <w:pPr>
        <w:rPr>
          <w:rFonts w:ascii="Open Sans" w:hAnsi="Open Sans" w:cs="Open Sans"/>
        </w:rPr>
      </w:pPr>
      <w:r w:rsidRPr="00A34E9F">
        <w:rPr>
          <w:rFonts w:ascii="Open Sans" w:hAnsi="Open Sans" w:cs="Open Sans"/>
        </w:rPr>
        <w:t>Third, Atkins MP's metaphor of 'wrapping an arm' begs for further examination. Coming</w:t>
      </w:r>
      <w:r w:rsidR="003D2259">
        <w:rPr>
          <w:rFonts w:ascii="Open Sans" w:hAnsi="Open Sans" w:cs="Open Sans"/>
        </w:rPr>
        <w:t xml:space="preserve"> </w:t>
      </w:r>
      <w:r w:rsidRPr="00A34E9F">
        <w:rPr>
          <w:rFonts w:ascii="Open Sans" w:hAnsi="Open Sans" w:cs="Open Sans"/>
        </w:rPr>
        <w:t>particularly as austerity measures and budget reductions that directly affect children and young people are being enacted by a government that bears the brunt of the blame</w:t>
      </w:r>
      <w:r w:rsidR="003D2259">
        <w:rPr>
          <w:rFonts w:ascii="Open Sans" w:hAnsi="Open Sans" w:cs="Open Sans"/>
        </w:rPr>
        <w:t xml:space="preserve"> </w:t>
      </w:r>
      <w:r w:rsidRPr="00A34E9F">
        <w:rPr>
          <w:rFonts w:ascii="Open Sans" w:hAnsi="Open Sans" w:cs="Open Sans"/>
        </w:rPr>
        <w:t>Such a focus on 'wraparound care'11 and other services is perceived by KCPOs as hollow.</w:t>
      </w:r>
    </w:p>
    <w:p w14:paraId="29FFBAA0" w14:textId="77777777" w:rsidR="00EF4BE3" w:rsidRPr="000A4DBD" w:rsidRDefault="00EF4BE3" w:rsidP="00EF4BE3">
      <w:pPr>
        <w:rPr>
          <w:b/>
          <w:bCs/>
        </w:rPr>
      </w:pPr>
      <w:r w:rsidRPr="000A4DBD">
        <w:rPr>
          <w:b/>
          <w:bCs/>
        </w:rPr>
        <w:t xml:space="preserve">References </w:t>
      </w:r>
    </w:p>
    <w:p w14:paraId="52A75062" w14:textId="77777777" w:rsidR="00EF4BE3" w:rsidRPr="00644E3D" w:rsidRDefault="00EF4BE3" w:rsidP="00EF4BE3">
      <w:pPr>
        <w:rPr>
          <w:rFonts w:ascii="Open Sans" w:hAnsi="Open Sans" w:cs="Open Sans"/>
          <w:sz w:val="20"/>
          <w:szCs w:val="20"/>
        </w:rPr>
      </w:pPr>
      <w:r w:rsidRPr="00644E3D">
        <w:rPr>
          <w:rFonts w:ascii="Open Sans" w:hAnsi="Open Sans" w:cs="Open Sans"/>
          <w:sz w:val="20"/>
          <w:szCs w:val="20"/>
        </w:rPr>
        <w:t xml:space="preserve">Bryant, R. and Bryant, S. (2020) </w:t>
      </w:r>
      <w:r w:rsidRPr="00644E3D">
        <w:rPr>
          <w:rFonts w:ascii="Open Sans" w:hAnsi="Open Sans" w:cs="Open Sans"/>
          <w:i/>
          <w:iCs/>
          <w:sz w:val="20"/>
          <w:szCs w:val="20"/>
        </w:rPr>
        <w:t>Blackstone’s: Handbook for Policing Students</w:t>
      </w:r>
      <w:r w:rsidRPr="00644E3D">
        <w:rPr>
          <w:rFonts w:ascii="Open Sans" w:hAnsi="Open Sans" w:cs="Open Sans"/>
          <w:sz w:val="20"/>
          <w:szCs w:val="20"/>
        </w:rPr>
        <w:t>. [</w:t>
      </w:r>
      <w:proofErr w:type="spellStart"/>
      <w:r w:rsidRPr="00644E3D">
        <w:rPr>
          <w:rFonts w:ascii="Open Sans" w:hAnsi="Open Sans" w:cs="Open Sans"/>
          <w:sz w:val="20"/>
          <w:szCs w:val="20"/>
        </w:rPr>
        <w:t>BibliU</w:t>
      </w:r>
      <w:proofErr w:type="spellEnd"/>
      <w:r w:rsidRPr="00644E3D">
        <w:rPr>
          <w:rFonts w:ascii="Open Sans" w:hAnsi="Open Sans" w:cs="Open Sans"/>
          <w:sz w:val="20"/>
          <w:szCs w:val="20"/>
        </w:rPr>
        <w:t xml:space="preserve"> version] 15th ed. Oxford, OUP Oxford. </w:t>
      </w:r>
    </w:p>
    <w:p w14:paraId="77C3ABA5" w14:textId="77777777" w:rsidR="00EF4BE3" w:rsidRPr="00644E3D" w:rsidRDefault="00EF4BE3" w:rsidP="00EF4BE3">
      <w:pPr>
        <w:rPr>
          <w:rFonts w:ascii="Open Sans" w:hAnsi="Open Sans" w:cs="Open Sans"/>
          <w:color w:val="000000"/>
          <w:sz w:val="20"/>
          <w:szCs w:val="20"/>
          <w:shd w:val="clear" w:color="auto" w:fill="FFFFFF"/>
        </w:rPr>
      </w:pPr>
      <w:r w:rsidRPr="00644E3D">
        <w:rPr>
          <w:rFonts w:ascii="Open Sans" w:hAnsi="Open Sans" w:cs="Open Sans"/>
          <w:color w:val="000000"/>
          <w:sz w:val="20"/>
          <w:szCs w:val="20"/>
          <w:shd w:val="clear" w:color="auto" w:fill="FFFFFF"/>
        </w:rPr>
        <w:t>Welsh, B. and Farrington, D., 2009. </w:t>
      </w:r>
      <w:r w:rsidRPr="00644E3D">
        <w:rPr>
          <w:rFonts w:ascii="Open Sans" w:hAnsi="Open Sans" w:cs="Open Sans"/>
          <w:i/>
          <w:iCs/>
          <w:color w:val="000000"/>
          <w:sz w:val="20"/>
          <w:szCs w:val="20"/>
          <w:shd w:val="clear" w:color="auto" w:fill="FFFFFF"/>
        </w:rPr>
        <w:t>Making public places safer</w:t>
      </w:r>
      <w:r w:rsidRPr="00644E3D">
        <w:rPr>
          <w:rFonts w:ascii="Open Sans" w:hAnsi="Open Sans" w:cs="Open Sans"/>
          <w:color w:val="000000"/>
          <w:sz w:val="20"/>
          <w:szCs w:val="20"/>
          <w:shd w:val="clear" w:color="auto" w:fill="FFFFFF"/>
        </w:rPr>
        <w:t>. Oxford: Oxford University Press, p.44.</w:t>
      </w:r>
    </w:p>
    <w:p w14:paraId="289CD64C" w14:textId="77777777" w:rsidR="00EF4BE3" w:rsidRPr="00644E3D" w:rsidRDefault="00EF4BE3" w:rsidP="00EF4BE3">
      <w:pPr>
        <w:jc w:val="center"/>
        <w:rPr>
          <w:rFonts w:ascii="Open Sans" w:hAnsi="Open Sans" w:cs="Open Sans"/>
          <w:color w:val="000000"/>
          <w:sz w:val="20"/>
          <w:szCs w:val="20"/>
          <w:shd w:val="clear" w:color="auto" w:fill="FFFFFF"/>
        </w:rPr>
      </w:pPr>
      <w:r w:rsidRPr="00644E3D">
        <w:rPr>
          <w:rFonts w:ascii="Open Sans" w:hAnsi="Open Sans" w:cs="Open Sans"/>
          <w:sz w:val="20"/>
          <w:szCs w:val="20"/>
        </w:rPr>
        <w:t>Ref/</w:t>
      </w:r>
      <w:r w:rsidRPr="00644E3D">
        <w:rPr>
          <w:rFonts w:ascii="Open Sans" w:hAnsi="Open Sans" w:cs="Open Sans"/>
          <w:color w:val="000000"/>
          <w:sz w:val="20"/>
          <w:szCs w:val="20"/>
          <w:shd w:val="clear" w:color="auto" w:fill="FFFFFF"/>
        </w:rPr>
        <w:t xml:space="preserve"> </w:t>
      </w:r>
      <w:proofErr w:type="spellStart"/>
      <w:r w:rsidRPr="00644E3D">
        <w:rPr>
          <w:rFonts w:ascii="Open Sans" w:hAnsi="Open Sans" w:cs="Open Sans"/>
          <w:color w:val="000000"/>
          <w:sz w:val="20"/>
          <w:szCs w:val="20"/>
          <w:shd w:val="clear" w:color="auto" w:fill="FFFFFF"/>
        </w:rPr>
        <w:t>Geason</w:t>
      </w:r>
      <w:proofErr w:type="spellEnd"/>
      <w:r w:rsidRPr="00644E3D">
        <w:rPr>
          <w:rFonts w:ascii="Open Sans" w:hAnsi="Open Sans" w:cs="Open Sans"/>
          <w:color w:val="000000"/>
          <w:sz w:val="20"/>
          <w:szCs w:val="20"/>
          <w:shd w:val="clear" w:color="auto" w:fill="FFFFFF"/>
        </w:rPr>
        <w:t>, S. and Wilson, P., 1988. </w:t>
      </w:r>
      <w:r w:rsidRPr="00644E3D">
        <w:rPr>
          <w:rFonts w:ascii="Open Sans" w:hAnsi="Open Sans" w:cs="Open Sans"/>
          <w:i/>
          <w:iCs/>
          <w:color w:val="000000"/>
          <w:sz w:val="20"/>
          <w:szCs w:val="20"/>
          <w:shd w:val="clear" w:color="auto" w:fill="FFFFFF"/>
        </w:rPr>
        <w:t>Crime prevention, theory and practice</w:t>
      </w:r>
      <w:r w:rsidRPr="00644E3D">
        <w:rPr>
          <w:rFonts w:ascii="Open Sans" w:hAnsi="Open Sans" w:cs="Open Sans"/>
          <w:color w:val="000000"/>
          <w:sz w:val="20"/>
          <w:szCs w:val="20"/>
          <w:shd w:val="clear" w:color="auto" w:fill="FFFFFF"/>
        </w:rPr>
        <w:t>. [Canberra]: Australian Institute of Criminology.</w:t>
      </w:r>
    </w:p>
    <w:p w14:paraId="23D5F71B" w14:textId="77777777" w:rsidR="00EF4BE3" w:rsidRPr="00644E3D" w:rsidRDefault="00EF4BE3" w:rsidP="00EF4BE3">
      <w:pPr>
        <w:jc w:val="center"/>
        <w:rPr>
          <w:rFonts w:ascii="Open Sans" w:hAnsi="Open Sans" w:cs="Open Sans"/>
          <w:sz w:val="20"/>
          <w:szCs w:val="20"/>
        </w:rPr>
      </w:pPr>
      <w:r w:rsidRPr="00644E3D">
        <w:rPr>
          <w:rFonts w:ascii="Open Sans" w:hAnsi="Open Sans" w:cs="Open Sans"/>
          <w:color w:val="000000"/>
          <w:sz w:val="20"/>
          <w:szCs w:val="20"/>
          <w:shd w:val="clear" w:color="auto" w:fill="FFFFFF"/>
        </w:rPr>
        <w:t xml:space="preserve">Huisman, W. and van </w:t>
      </w:r>
      <w:proofErr w:type="spellStart"/>
      <w:r w:rsidRPr="00644E3D">
        <w:rPr>
          <w:rFonts w:ascii="Open Sans" w:hAnsi="Open Sans" w:cs="Open Sans"/>
          <w:color w:val="000000"/>
          <w:sz w:val="20"/>
          <w:szCs w:val="20"/>
          <w:shd w:val="clear" w:color="auto" w:fill="FFFFFF"/>
        </w:rPr>
        <w:t>Erp</w:t>
      </w:r>
      <w:proofErr w:type="spellEnd"/>
      <w:r w:rsidRPr="00644E3D">
        <w:rPr>
          <w:rFonts w:ascii="Open Sans" w:hAnsi="Open Sans" w:cs="Open Sans"/>
          <w:color w:val="000000"/>
          <w:sz w:val="20"/>
          <w:szCs w:val="20"/>
          <w:shd w:val="clear" w:color="auto" w:fill="FFFFFF"/>
        </w:rPr>
        <w:t>, J., 2013. Opportunities for Environmental Crime: A Test of Situational Crime Prevention Theory. </w:t>
      </w:r>
      <w:r w:rsidRPr="00644E3D">
        <w:rPr>
          <w:rFonts w:ascii="Open Sans" w:hAnsi="Open Sans" w:cs="Open Sans"/>
          <w:i/>
          <w:iCs/>
          <w:color w:val="000000"/>
          <w:sz w:val="20"/>
          <w:szCs w:val="20"/>
          <w:shd w:val="clear" w:color="auto" w:fill="FFFFFF"/>
        </w:rPr>
        <w:t>Br</w:t>
      </w:r>
      <w:r w:rsidRPr="00644E3D">
        <w:rPr>
          <w:rFonts w:ascii="Open Sans" w:hAnsi="Open Sans" w:cs="Open Sans"/>
          <w:sz w:val="20"/>
          <w:szCs w:val="20"/>
        </w:rPr>
        <w:t xml:space="preserve"> </w:t>
      </w:r>
    </w:p>
    <w:p w14:paraId="627583F3" w14:textId="77777777" w:rsidR="00EF4BE3" w:rsidRPr="00644E3D" w:rsidRDefault="00EF4BE3" w:rsidP="00EF4BE3">
      <w:pPr>
        <w:rPr>
          <w:rFonts w:ascii="Open Sans" w:hAnsi="Open Sans" w:cs="Open Sans"/>
          <w:sz w:val="20"/>
          <w:szCs w:val="20"/>
        </w:rPr>
      </w:pPr>
      <w:r w:rsidRPr="00644E3D">
        <w:rPr>
          <w:rFonts w:ascii="Open Sans" w:hAnsi="Open Sans" w:cs="Open Sans"/>
          <w:color w:val="000000"/>
          <w:sz w:val="20"/>
          <w:szCs w:val="20"/>
          <w:shd w:val="clear" w:color="auto" w:fill="FFFFFF"/>
        </w:rPr>
        <w:t>Solly, J., 2022. </w:t>
      </w:r>
      <w:r w:rsidRPr="00644E3D">
        <w:rPr>
          <w:rFonts w:ascii="Open Sans" w:hAnsi="Open Sans" w:cs="Open Sans"/>
          <w:i/>
          <w:iCs/>
          <w:color w:val="000000"/>
          <w:sz w:val="20"/>
          <w:szCs w:val="20"/>
          <w:shd w:val="clear" w:color="auto" w:fill="FFFFFF"/>
        </w:rPr>
        <w:t>Case Study - CCTV and the London Riots - CCTV Information</w:t>
      </w:r>
      <w:r w:rsidRPr="00644E3D">
        <w:rPr>
          <w:rFonts w:ascii="Open Sans" w:hAnsi="Open Sans" w:cs="Open Sans"/>
          <w:color w:val="000000"/>
          <w:sz w:val="20"/>
          <w:szCs w:val="20"/>
          <w:shd w:val="clear" w:color="auto" w:fill="FFFFFF"/>
        </w:rPr>
        <w:t>. [online] CCTV Information. Available at: &lt;https://www.cctv-information.co.uk/article/case-study-cctv-london-riots/&gt; [Accessed 8 July 2022].</w:t>
      </w:r>
    </w:p>
    <w:p w14:paraId="5153E382" w14:textId="77777777" w:rsidR="00EF4BE3" w:rsidRPr="00644E3D" w:rsidRDefault="00EF4BE3" w:rsidP="00EF4BE3">
      <w:pPr>
        <w:jc w:val="center"/>
        <w:rPr>
          <w:rFonts w:ascii="Open Sans" w:hAnsi="Open Sans" w:cs="Open Sans"/>
          <w:sz w:val="20"/>
          <w:szCs w:val="20"/>
        </w:rPr>
      </w:pPr>
      <w:r w:rsidRPr="00644E3D">
        <w:rPr>
          <w:rFonts w:ascii="Open Sans" w:hAnsi="Open Sans" w:cs="Open Sans"/>
          <w:color w:val="000000"/>
          <w:sz w:val="20"/>
          <w:szCs w:val="20"/>
          <w:shd w:val="clear" w:color="auto" w:fill="FFFFFF"/>
        </w:rPr>
        <w:t>bates, j., 2022. </w:t>
      </w:r>
      <w:r w:rsidRPr="00644E3D">
        <w:rPr>
          <w:rFonts w:ascii="Open Sans" w:hAnsi="Open Sans" w:cs="Open Sans"/>
          <w:i/>
          <w:iCs/>
          <w:color w:val="000000"/>
          <w:sz w:val="20"/>
          <w:szCs w:val="20"/>
          <w:shd w:val="clear" w:color="auto" w:fill="FFFFFF"/>
        </w:rPr>
        <w:t>Global airport security market to be worth $25 billion by 2028</w:t>
      </w:r>
      <w:r w:rsidRPr="00644E3D">
        <w:rPr>
          <w:rFonts w:ascii="Open Sans" w:hAnsi="Open Sans" w:cs="Open Sans"/>
          <w:color w:val="000000"/>
          <w:sz w:val="20"/>
          <w:szCs w:val="20"/>
          <w:shd w:val="clear" w:color="auto" w:fill="FFFFFF"/>
        </w:rPr>
        <w:t>, [online] Available at: &lt;https://airport-world.com/global-airport-security-market-to-be-worth-25-billion-by-2028/&gt; [Accessed 13 July 2022].</w:t>
      </w:r>
    </w:p>
    <w:p w14:paraId="1A4BD117" w14:textId="7B39EA42" w:rsidR="00EF4BE3" w:rsidRPr="00644E3D" w:rsidRDefault="00EF4BE3" w:rsidP="00EF4BE3">
      <w:pPr>
        <w:rPr>
          <w:rFonts w:ascii="Open Sans" w:hAnsi="Open Sans" w:cs="Open Sans"/>
          <w:color w:val="000000"/>
          <w:sz w:val="20"/>
          <w:szCs w:val="20"/>
          <w:shd w:val="clear" w:color="auto" w:fill="FFFFFF"/>
        </w:rPr>
      </w:pPr>
      <w:r w:rsidRPr="00644E3D">
        <w:rPr>
          <w:rFonts w:ascii="Open Sans" w:hAnsi="Open Sans" w:cs="Open Sans"/>
          <w:sz w:val="20"/>
          <w:szCs w:val="20"/>
        </w:rPr>
        <w:tab/>
      </w:r>
      <w:r w:rsidR="009134C0" w:rsidRPr="00644E3D">
        <w:rPr>
          <w:rFonts w:ascii="Open Sans" w:hAnsi="Open Sans" w:cs="Open Sans"/>
          <w:color w:val="000000"/>
          <w:sz w:val="20"/>
          <w:szCs w:val="20"/>
          <w:shd w:val="clear" w:color="auto" w:fill="FFFFFF"/>
        </w:rPr>
        <w:t>Gold</w:t>
      </w:r>
      <w:r w:rsidRPr="00644E3D">
        <w:rPr>
          <w:rFonts w:ascii="Open Sans" w:hAnsi="Open Sans" w:cs="Open Sans"/>
          <w:color w:val="000000"/>
          <w:sz w:val="20"/>
          <w:szCs w:val="20"/>
          <w:shd w:val="clear" w:color="auto" w:fill="FFFFFF"/>
        </w:rPr>
        <w:t>, B., 2011. Making Public Places Safer: Surveillance and Crime Prevention - By Brandon C. Welsh and David P. Farrington. </w:t>
      </w:r>
      <w:r w:rsidRPr="00644E3D">
        <w:rPr>
          <w:rFonts w:ascii="Open Sans" w:hAnsi="Open Sans" w:cs="Open Sans"/>
          <w:i/>
          <w:iCs/>
          <w:color w:val="000000"/>
          <w:sz w:val="20"/>
          <w:szCs w:val="20"/>
          <w:shd w:val="clear" w:color="auto" w:fill="FFFFFF"/>
        </w:rPr>
        <w:t>The British Journal of Sociology</w:t>
      </w:r>
      <w:r w:rsidRPr="00644E3D">
        <w:rPr>
          <w:rFonts w:ascii="Open Sans" w:hAnsi="Open Sans" w:cs="Open Sans"/>
          <w:color w:val="000000"/>
          <w:sz w:val="20"/>
          <w:szCs w:val="20"/>
          <w:shd w:val="clear" w:color="auto" w:fill="FFFFFF"/>
        </w:rPr>
        <w:t>, 62(2), pp.379-380.</w:t>
      </w:r>
    </w:p>
    <w:p w14:paraId="13BEC85E" w14:textId="01EA10A7" w:rsidR="0031333E" w:rsidRPr="00644E3D" w:rsidRDefault="0042188C">
      <w:pPr>
        <w:rPr>
          <w:rFonts w:ascii="Open Sans" w:hAnsi="Open Sans" w:cs="Open Sans"/>
          <w:color w:val="555555"/>
          <w:sz w:val="20"/>
          <w:szCs w:val="20"/>
          <w:shd w:val="clear" w:color="auto" w:fill="FFFFFF"/>
        </w:rPr>
      </w:pPr>
      <w:r w:rsidRPr="00644E3D">
        <w:rPr>
          <w:rFonts w:ascii="Open Sans" w:hAnsi="Open Sans" w:cs="Open Sans"/>
          <w:color w:val="555555"/>
          <w:sz w:val="20"/>
          <w:szCs w:val="20"/>
          <w:shd w:val="clear" w:color="auto" w:fill="FFFFFF"/>
        </w:rPr>
        <w:t>ROBERTS, L., 2016, Oct 14. It's NT's real-life grand theft auto</w:t>
      </w:r>
      <w:r w:rsidRPr="00644E3D">
        <w:rPr>
          <w:rFonts w:ascii="Open Sans" w:hAnsi="Open Sans" w:cs="Open Sans"/>
          <w:i/>
          <w:iCs/>
          <w:color w:val="555555"/>
          <w:sz w:val="20"/>
          <w:szCs w:val="20"/>
          <w:shd w:val="clear" w:color="auto" w:fill="FFFFFF"/>
        </w:rPr>
        <w:t>. The Centralian Advocate</w:t>
      </w:r>
      <w:r w:rsidRPr="00644E3D">
        <w:rPr>
          <w:rFonts w:ascii="Open Sans" w:hAnsi="Open Sans" w:cs="Open Sans"/>
          <w:color w:val="555555"/>
          <w:sz w:val="20"/>
          <w:szCs w:val="20"/>
          <w:shd w:val="clear" w:color="auto" w:fill="FFFFFF"/>
        </w:rPr>
        <w:t>, 10. ISSN 14471647.</w:t>
      </w:r>
    </w:p>
    <w:p w14:paraId="0B8D7ADD" w14:textId="71F1D309" w:rsidR="00A709F3" w:rsidRPr="00644E3D" w:rsidRDefault="00A709F3">
      <w:pPr>
        <w:rPr>
          <w:rFonts w:ascii="Open Sans" w:hAnsi="Open Sans" w:cs="Open Sans"/>
          <w:color w:val="555555"/>
          <w:sz w:val="20"/>
          <w:szCs w:val="20"/>
          <w:shd w:val="clear" w:color="auto" w:fill="FFFFFF"/>
        </w:rPr>
      </w:pPr>
      <w:r w:rsidRPr="00644E3D">
        <w:rPr>
          <w:rFonts w:ascii="Open Sans" w:hAnsi="Open Sans" w:cs="Open Sans"/>
          <w:color w:val="555555"/>
          <w:sz w:val="20"/>
          <w:szCs w:val="20"/>
          <w:shd w:val="clear" w:color="auto" w:fill="FFFFFF"/>
        </w:rPr>
        <w:t xml:space="preserve">Anonymous2021, May 20. Boyd &amp; Associates, Inc. : 7 Tips to Reduce </w:t>
      </w:r>
      <w:r w:rsidR="009134C0" w:rsidRPr="00644E3D">
        <w:rPr>
          <w:rFonts w:ascii="Open Sans" w:hAnsi="Open Sans" w:cs="Open Sans"/>
          <w:color w:val="555555"/>
          <w:sz w:val="20"/>
          <w:szCs w:val="20"/>
          <w:shd w:val="clear" w:color="auto" w:fill="FFFFFF"/>
        </w:rPr>
        <w:t>Neighbourhood</w:t>
      </w:r>
      <w:r w:rsidRPr="00644E3D">
        <w:rPr>
          <w:rFonts w:ascii="Open Sans" w:hAnsi="Open Sans" w:cs="Open Sans"/>
          <w:color w:val="555555"/>
          <w:sz w:val="20"/>
          <w:szCs w:val="20"/>
          <w:shd w:val="clear" w:color="auto" w:fill="FFFFFF"/>
        </w:rPr>
        <w:t xml:space="preserve"> Crime</w:t>
      </w:r>
      <w:r w:rsidRPr="00644E3D">
        <w:rPr>
          <w:rFonts w:ascii="Open Sans" w:hAnsi="Open Sans" w:cs="Open Sans"/>
          <w:i/>
          <w:iCs/>
          <w:color w:val="555555"/>
          <w:sz w:val="20"/>
          <w:szCs w:val="20"/>
          <w:shd w:val="clear" w:color="auto" w:fill="FFFFFF"/>
        </w:rPr>
        <w:t xml:space="preserve">. News </w:t>
      </w:r>
      <w:proofErr w:type="spellStart"/>
      <w:r w:rsidRPr="00644E3D">
        <w:rPr>
          <w:rFonts w:ascii="Open Sans" w:hAnsi="Open Sans" w:cs="Open Sans"/>
          <w:i/>
          <w:iCs/>
          <w:color w:val="555555"/>
          <w:sz w:val="20"/>
          <w:szCs w:val="20"/>
          <w:shd w:val="clear" w:color="auto" w:fill="FFFFFF"/>
        </w:rPr>
        <w:t>Bites</w:t>
      </w:r>
      <w:proofErr w:type="spellEnd"/>
      <w:r w:rsidRPr="00644E3D">
        <w:rPr>
          <w:rFonts w:ascii="Open Sans" w:hAnsi="Open Sans" w:cs="Open Sans"/>
          <w:i/>
          <w:iCs/>
          <w:color w:val="555555"/>
          <w:sz w:val="20"/>
          <w:szCs w:val="20"/>
          <w:shd w:val="clear" w:color="auto" w:fill="FFFFFF"/>
        </w:rPr>
        <w:t xml:space="preserve"> - Private Companies</w:t>
      </w:r>
      <w:r w:rsidRPr="00644E3D">
        <w:rPr>
          <w:rFonts w:ascii="Open Sans" w:hAnsi="Open Sans" w:cs="Open Sans"/>
          <w:color w:val="555555"/>
          <w:sz w:val="20"/>
          <w:szCs w:val="20"/>
          <w:shd w:val="clear" w:color="auto" w:fill="FFFFFF"/>
        </w:rPr>
        <w:t>.</w:t>
      </w:r>
    </w:p>
    <w:p w14:paraId="1BEC9993" w14:textId="2EE06A22" w:rsidR="009134C0" w:rsidRPr="00644E3D" w:rsidRDefault="009134C0">
      <w:pPr>
        <w:rPr>
          <w:rFonts w:ascii="Open Sans" w:hAnsi="Open Sans" w:cs="Open Sans"/>
          <w:color w:val="555555"/>
          <w:sz w:val="20"/>
          <w:szCs w:val="20"/>
          <w:shd w:val="clear" w:color="auto" w:fill="FFFFFF"/>
        </w:rPr>
      </w:pPr>
      <w:r w:rsidRPr="00644E3D">
        <w:rPr>
          <w:rFonts w:ascii="Open Sans" w:hAnsi="Open Sans" w:cs="Open Sans"/>
          <w:color w:val="555555"/>
          <w:sz w:val="20"/>
          <w:szCs w:val="20"/>
          <w:shd w:val="clear" w:color="auto" w:fill="FFFFFF"/>
        </w:rPr>
        <w:t>SUZANNE SMALLEY, G.S., 2005, Nov 22. POLICE TARGET HOT SPOTS IN CRIME SURGE ; AREAS TO GET FLOOD OF OFFICERS: [THIRD EDITION]</w:t>
      </w:r>
      <w:r w:rsidRPr="00644E3D">
        <w:rPr>
          <w:rFonts w:ascii="Open Sans" w:hAnsi="Open Sans" w:cs="Open Sans"/>
          <w:i/>
          <w:iCs/>
          <w:color w:val="555555"/>
          <w:sz w:val="20"/>
          <w:szCs w:val="20"/>
          <w:shd w:val="clear" w:color="auto" w:fill="FFFFFF"/>
        </w:rPr>
        <w:t>. Boston Globe</w:t>
      </w:r>
      <w:r w:rsidRPr="00644E3D">
        <w:rPr>
          <w:rFonts w:ascii="Open Sans" w:hAnsi="Open Sans" w:cs="Open Sans"/>
          <w:color w:val="555555"/>
          <w:sz w:val="20"/>
          <w:szCs w:val="20"/>
          <w:shd w:val="clear" w:color="auto" w:fill="FFFFFF"/>
        </w:rPr>
        <w:t>. ISSN 07431791.</w:t>
      </w:r>
    </w:p>
    <w:p w14:paraId="72545BB0" w14:textId="2C96B39E" w:rsidR="00644E3D" w:rsidRDefault="00644E3D">
      <w:pPr>
        <w:rPr>
          <w:rFonts w:ascii="Open Sans" w:hAnsi="Open Sans" w:cs="Open Sans"/>
          <w:color w:val="000000"/>
          <w:sz w:val="20"/>
          <w:szCs w:val="20"/>
          <w:shd w:val="clear" w:color="auto" w:fill="FFFFFF"/>
        </w:rPr>
      </w:pPr>
      <w:r w:rsidRPr="00644E3D">
        <w:rPr>
          <w:rFonts w:ascii="Open Sans" w:hAnsi="Open Sans" w:cs="Open Sans"/>
          <w:color w:val="000000"/>
          <w:sz w:val="20"/>
          <w:szCs w:val="20"/>
          <w:shd w:val="clear" w:color="auto" w:fill="FFFFFF"/>
        </w:rPr>
        <w:t>Hendry, J., 2021. ‘The Usual Suspects’: Knife Crime Prevention Orders and the ‘Difficult’ Regulatory Subject. </w:t>
      </w:r>
      <w:r w:rsidRPr="00644E3D">
        <w:rPr>
          <w:rFonts w:ascii="Open Sans" w:hAnsi="Open Sans" w:cs="Open Sans"/>
          <w:i/>
          <w:iCs/>
          <w:color w:val="000000"/>
          <w:sz w:val="20"/>
          <w:szCs w:val="20"/>
          <w:shd w:val="clear" w:color="auto" w:fill="FFFFFF"/>
        </w:rPr>
        <w:t>The British Journal of Criminology</w:t>
      </w:r>
      <w:r w:rsidRPr="00644E3D">
        <w:rPr>
          <w:rFonts w:ascii="Open Sans" w:hAnsi="Open Sans" w:cs="Open Sans"/>
          <w:color w:val="000000"/>
          <w:sz w:val="20"/>
          <w:szCs w:val="20"/>
          <w:shd w:val="clear" w:color="auto" w:fill="FFFFFF"/>
        </w:rPr>
        <w:t>, 62(2), pp.378-395.</w:t>
      </w:r>
    </w:p>
    <w:p w14:paraId="2C75725E" w14:textId="22801FC4" w:rsidR="00007393" w:rsidRPr="00644E3D" w:rsidRDefault="00007393">
      <w:pPr>
        <w:rPr>
          <w:rFonts w:ascii="Open Sans" w:hAnsi="Open Sans" w:cs="Open Sans"/>
          <w:sz w:val="20"/>
          <w:szCs w:val="20"/>
        </w:rPr>
      </w:pPr>
      <w:proofErr w:type="spellStart"/>
      <w:r w:rsidRPr="00007393">
        <w:rPr>
          <w:rFonts w:ascii="Open Sans" w:hAnsi="Open Sans" w:cs="Open Sans"/>
          <w:color w:val="000000"/>
          <w:sz w:val="20"/>
          <w:szCs w:val="20"/>
          <w:shd w:val="clear" w:color="auto" w:fill="FFFFFF"/>
          <w:lang w:val="it-IT"/>
        </w:rPr>
        <w:lastRenderedPageBreak/>
        <w:t>Lazzati</w:t>
      </w:r>
      <w:proofErr w:type="spellEnd"/>
      <w:r w:rsidRPr="00007393">
        <w:rPr>
          <w:rFonts w:ascii="Open Sans" w:hAnsi="Open Sans" w:cs="Open Sans"/>
          <w:color w:val="000000"/>
          <w:sz w:val="20"/>
          <w:szCs w:val="20"/>
          <w:shd w:val="clear" w:color="auto" w:fill="FFFFFF"/>
          <w:lang w:val="it-IT"/>
        </w:rPr>
        <w:t xml:space="preserve">, N. and Menichini, A., 2015. </w:t>
      </w:r>
      <w:r>
        <w:rPr>
          <w:rFonts w:ascii="Open Sans" w:hAnsi="Open Sans" w:cs="Open Sans"/>
          <w:color w:val="000000"/>
          <w:sz w:val="20"/>
          <w:szCs w:val="20"/>
          <w:shd w:val="clear" w:color="auto" w:fill="FFFFFF"/>
        </w:rPr>
        <w:t>Hot Spot Policing: A Study of Place-Based Strategies for Crime Prevention. </w:t>
      </w:r>
      <w:r>
        <w:rPr>
          <w:rFonts w:ascii="Open Sans" w:hAnsi="Open Sans" w:cs="Open Sans"/>
          <w:i/>
          <w:iCs/>
          <w:color w:val="000000"/>
          <w:sz w:val="20"/>
          <w:szCs w:val="20"/>
          <w:shd w:val="clear" w:color="auto" w:fill="FFFFFF"/>
        </w:rPr>
        <w:t>Southern Economic Journal</w:t>
      </w:r>
      <w:r>
        <w:rPr>
          <w:rFonts w:ascii="Open Sans" w:hAnsi="Open Sans" w:cs="Open Sans"/>
          <w:color w:val="000000"/>
          <w:sz w:val="20"/>
          <w:szCs w:val="20"/>
          <w:shd w:val="clear" w:color="auto" w:fill="FFFFFF"/>
        </w:rPr>
        <w:t>, 82(3), pp.893-913.</w:t>
      </w:r>
    </w:p>
    <w:sectPr w:rsidR="00007393" w:rsidRPr="00644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1262375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2F8"/>
    <w:rsid w:val="00007393"/>
    <w:rsid w:val="000B2465"/>
    <w:rsid w:val="00206124"/>
    <w:rsid w:val="0031333E"/>
    <w:rsid w:val="00353803"/>
    <w:rsid w:val="003D2259"/>
    <w:rsid w:val="0042188C"/>
    <w:rsid w:val="0054347F"/>
    <w:rsid w:val="00644E3D"/>
    <w:rsid w:val="006562E3"/>
    <w:rsid w:val="006E5A74"/>
    <w:rsid w:val="00766745"/>
    <w:rsid w:val="007977E8"/>
    <w:rsid w:val="009134C0"/>
    <w:rsid w:val="0097408E"/>
    <w:rsid w:val="00A34E9F"/>
    <w:rsid w:val="00A572F8"/>
    <w:rsid w:val="00A709F3"/>
    <w:rsid w:val="00C520C4"/>
    <w:rsid w:val="00D072E4"/>
    <w:rsid w:val="00D722E9"/>
    <w:rsid w:val="00DC1BFB"/>
    <w:rsid w:val="00EE59EA"/>
    <w:rsid w:val="00EF4BE3"/>
    <w:rsid w:val="00FA3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8EFBB"/>
  <w15:chartTrackingRefBased/>
  <w15:docId w15:val="{54BC6005-C6F6-4B0F-AD93-39D441D4A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2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2F8"/>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root-block-node">
    <w:name w:val="root-block-node"/>
    <w:basedOn w:val="Normal"/>
    <w:rsid w:val="00DC1B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ue-complex-underline">
    <w:name w:val="blue-complex-underline"/>
    <w:basedOn w:val="DefaultParagraphFont"/>
    <w:rsid w:val="00DC1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66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1972</Words>
  <Characters>11244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dc:creator>
  <cp:keywords/>
  <dc:description/>
  <cp:lastModifiedBy>zobia</cp:lastModifiedBy>
  <cp:revision>2</cp:revision>
  <dcterms:created xsi:type="dcterms:W3CDTF">2022-07-20T19:46:00Z</dcterms:created>
  <dcterms:modified xsi:type="dcterms:W3CDTF">2022-07-20T19:46:00Z</dcterms:modified>
</cp:coreProperties>
</file>