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ED0EFD" w14:textId="000A80D6" w:rsidR="00B50E72" w:rsidRPr="00A44244" w:rsidRDefault="00A44244" w:rsidP="00B50E72">
      <w:pPr>
        <w:spacing w:after="0" w:line="240" w:lineRule="auto"/>
        <w:contextualSpacing/>
        <w:jc w:val="center"/>
        <w:rPr>
          <w:rFonts w:ascii="Calibri Light" w:eastAsia="Times New Roman" w:hAnsi="Calibri Light" w:cs="Times New Roman"/>
          <w:b/>
          <w:spacing w:val="-10"/>
          <w:kern w:val="28"/>
          <w:sz w:val="48"/>
          <w:szCs w:val="56"/>
        </w:rPr>
      </w:pPr>
      <w:r w:rsidRPr="00A44244">
        <w:rPr>
          <w:rFonts w:ascii="Calibri Light" w:eastAsia="Times New Roman" w:hAnsi="Calibri Light" w:cs="Times New Roman"/>
          <w:b/>
          <w:spacing w:val="-10"/>
          <w:kern w:val="28"/>
          <w:sz w:val="48"/>
          <w:szCs w:val="56"/>
        </w:rPr>
        <w:t>International Financial Management</w:t>
      </w:r>
    </w:p>
    <w:p w14:paraId="11FC2A0B" w14:textId="32EE8715" w:rsidR="00A44244" w:rsidRPr="00A44244" w:rsidRDefault="00A44244" w:rsidP="00A44244">
      <w:pPr>
        <w:jc w:val="center"/>
        <w:rPr>
          <w:rFonts w:ascii="Calibri Light" w:eastAsia="Times New Roman" w:hAnsi="Calibri Light" w:cs="Times New Roman"/>
          <w:b/>
          <w:spacing w:val="-10"/>
          <w:kern w:val="28"/>
          <w:sz w:val="48"/>
          <w:szCs w:val="56"/>
        </w:rPr>
      </w:pPr>
      <w:r w:rsidRPr="00A44244">
        <w:rPr>
          <w:rFonts w:ascii="Calibri Light" w:eastAsia="Times New Roman" w:hAnsi="Calibri Light" w:cs="Times New Roman"/>
          <w:b/>
          <w:spacing w:val="-10"/>
          <w:kern w:val="28"/>
          <w:sz w:val="48"/>
          <w:szCs w:val="56"/>
        </w:rPr>
        <w:t>Assessment 01</w:t>
      </w:r>
      <w:r>
        <w:rPr>
          <w:rFonts w:ascii="Calibri Light" w:eastAsia="Times New Roman" w:hAnsi="Calibri Light" w:cs="Times New Roman"/>
          <w:b/>
          <w:spacing w:val="-10"/>
          <w:kern w:val="28"/>
          <w:sz w:val="48"/>
          <w:szCs w:val="56"/>
        </w:rPr>
        <w:t>-</w:t>
      </w:r>
    </w:p>
    <w:p w14:paraId="5FB43252" w14:textId="2BD7D466" w:rsidR="00A44244" w:rsidRPr="00A44244" w:rsidRDefault="00A44244" w:rsidP="00A44244">
      <w:pPr>
        <w:pStyle w:val="ab"/>
        <w:jc w:val="center"/>
        <w:rPr>
          <w:b/>
          <w:sz w:val="48"/>
        </w:rPr>
      </w:pPr>
      <w:r w:rsidRPr="00A44244">
        <w:rPr>
          <w:b/>
          <w:sz w:val="48"/>
        </w:rPr>
        <w:t>Analysis and Evaluation of IFM in Unilever</w:t>
      </w:r>
    </w:p>
    <w:p w14:paraId="2DFD3855" w14:textId="765616C3" w:rsidR="00A44244" w:rsidRPr="00034578" w:rsidRDefault="00A44244" w:rsidP="00B50E72">
      <w:pPr>
        <w:spacing w:after="0" w:line="240" w:lineRule="auto"/>
        <w:contextualSpacing/>
        <w:jc w:val="center"/>
        <w:rPr>
          <w:rFonts w:ascii="Calibri Light" w:eastAsia="Times New Roman" w:hAnsi="Calibri Light" w:cs="Times New Roman"/>
          <w:b/>
          <w:spacing w:val="-10"/>
          <w:kern w:val="28"/>
          <w:sz w:val="56"/>
          <w:szCs w:val="56"/>
        </w:rPr>
      </w:pPr>
    </w:p>
    <w:p w14:paraId="7E64A825" w14:textId="608425B3" w:rsidR="00B50E72" w:rsidRPr="00034578" w:rsidRDefault="00B50E72" w:rsidP="00B50E72">
      <w:pPr>
        <w:spacing w:line="256" w:lineRule="auto"/>
        <w:rPr>
          <w:rFonts w:ascii="Calibri" w:eastAsia="Calibri" w:hAnsi="Calibri" w:cs="Arial"/>
          <w:sz w:val="24"/>
        </w:rPr>
      </w:pPr>
      <w:r w:rsidRPr="00034578">
        <w:rPr>
          <w:rFonts w:ascii="Calibri" w:eastAsia="Calibri" w:hAnsi="Calibri" w:cs="Arial"/>
          <w:sz w:val="24"/>
        </w:rPr>
        <w:t>Student Name:</w:t>
      </w:r>
      <w:proofErr w:type="spellStart"/>
      <w:r w:rsidR="00290C15">
        <w:rPr>
          <w:rFonts w:ascii="Calibri" w:eastAsia="Calibri" w:hAnsi="Calibri" w:cs="Arial"/>
          <w:sz w:val="24"/>
          <w:lang w:val="bg-BG"/>
        </w:rPr>
        <w:t>Veronika</w:t>
      </w:r>
      <w:proofErr w:type="spellEnd"/>
      <w:r w:rsidR="00290C15">
        <w:rPr>
          <w:rFonts w:ascii="Calibri" w:eastAsia="Calibri" w:hAnsi="Calibri" w:cs="Arial"/>
          <w:sz w:val="24"/>
          <w:lang w:val="bg-BG"/>
        </w:rPr>
        <w:t xml:space="preserve"> </w:t>
      </w:r>
      <w:proofErr w:type="spellStart"/>
      <w:r w:rsidR="00290C15">
        <w:rPr>
          <w:rFonts w:ascii="Calibri" w:eastAsia="Calibri" w:hAnsi="Calibri" w:cs="Arial"/>
          <w:sz w:val="24"/>
          <w:lang w:val="bg-BG"/>
        </w:rPr>
        <w:t>Zheleva</w:t>
      </w:r>
      <w:proofErr w:type="spellEnd"/>
      <w:r w:rsidR="00290C15">
        <w:rPr>
          <w:rFonts w:ascii="Calibri" w:eastAsia="Calibri" w:hAnsi="Calibri" w:cs="Arial"/>
          <w:sz w:val="24"/>
          <w:lang w:val="bg-BG"/>
        </w:rPr>
        <w:t xml:space="preserve"> </w:t>
      </w:r>
    </w:p>
    <w:p w14:paraId="295A2F56" w14:textId="5E377094" w:rsidR="00D408BC" w:rsidRPr="00B50E72" w:rsidRDefault="00B50E72" w:rsidP="00B50E72">
      <w:pPr>
        <w:spacing w:line="256" w:lineRule="auto"/>
        <w:rPr>
          <w:rFonts w:ascii="Calibri" w:eastAsia="Calibri" w:hAnsi="Calibri" w:cs="Arial"/>
        </w:rPr>
      </w:pPr>
      <w:r w:rsidRPr="00034578">
        <w:rPr>
          <w:rFonts w:ascii="Calibri" w:eastAsia="Calibri" w:hAnsi="Calibri" w:cs="Arial"/>
          <w:sz w:val="24"/>
        </w:rPr>
        <w:t>Student ID:</w:t>
      </w:r>
      <w:r w:rsidR="00290C15">
        <w:rPr>
          <w:rFonts w:ascii="Calibri" w:eastAsia="Calibri" w:hAnsi="Calibri" w:cs="Arial"/>
          <w:sz w:val="24"/>
          <w:lang w:val="bg-BG"/>
        </w:rPr>
        <w:t>2009819</w:t>
      </w:r>
      <w:r w:rsidRPr="00034578">
        <w:rPr>
          <w:rFonts w:ascii="Calibri" w:eastAsia="Calibri" w:hAnsi="Calibri" w:cs="Arial"/>
        </w:rPr>
        <w:br w:type="page"/>
      </w:r>
    </w:p>
    <w:p w14:paraId="32251A35" w14:textId="2515769A" w:rsidR="0021475E" w:rsidRPr="00A44244" w:rsidRDefault="00A44244" w:rsidP="00B20B95">
      <w:pPr>
        <w:pStyle w:val="a3"/>
      </w:pPr>
      <w:r>
        <w:t xml:space="preserve">In </w:t>
      </w:r>
      <w:r w:rsidR="00F93AAB">
        <w:t>this era of globalization, the</w:t>
      </w:r>
      <w:r w:rsidR="00F93AAB" w:rsidRPr="00F93AAB">
        <w:t xml:space="preserve"> main economical choices</w:t>
      </w:r>
      <w:r w:rsidR="00F93AAB">
        <w:t xml:space="preserve"> for many businesses around the world</w:t>
      </w:r>
      <w:r w:rsidR="00F93AAB" w:rsidRPr="00F93AAB">
        <w:t xml:space="preserve"> involve cross-border difficulties. Choices in </w:t>
      </w:r>
      <w:r>
        <w:t>regards</w:t>
      </w:r>
      <w:r w:rsidR="00F93AAB" w:rsidRPr="00F93AAB">
        <w:t xml:space="preserve"> of increasing investment, control of </w:t>
      </w:r>
      <w:r>
        <w:t>threats</w:t>
      </w:r>
      <w:r w:rsidR="00F93AAB" w:rsidRPr="00F93AAB">
        <w:t xml:space="preserve">, financing choices, reorienting, and all other </w:t>
      </w:r>
      <w:r>
        <w:t>characteristics</w:t>
      </w:r>
      <w:r w:rsidR="00F93AAB" w:rsidRPr="00F93AAB">
        <w:t xml:space="preserve"> of </w:t>
      </w:r>
      <w:r>
        <w:t xml:space="preserve">an </w:t>
      </w:r>
      <w:r w:rsidR="00F93AAB" w:rsidRPr="00F93AAB">
        <w:t xml:space="preserve">economical plan usually include worldwide complications and these difficulties raise the demand of worldwide economical </w:t>
      </w:r>
      <w:hyperlink r:id="rId7" w:history="1">
        <w:r w:rsidR="00F93AAB" w:rsidRPr="00F93AAB">
          <w:t>management</w:t>
        </w:r>
      </w:hyperlink>
      <w:r w:rsidR="00F93AAB" w:rsidRPr="00F93AAB">
        <w:t xml:space="preserve">. As economical supervisors </w:t>
      </w:r>
      <w:r w:rsidR="00F93AAB">
        <w:t>make</w:t>
      </w:r>
      <w:r w:rsidR="00F93AAB" w:rsidRPr="00F93AAB">
        <w:t xml:space="preserve"> these choices they should analyse foreign exchange rates, threats of an individual nation, duty regulation's variations and </w:t>
      </w:r>
      <w:r>
        <w:t>differences</w:t>
      </w:r>
      <w:r w:rsidR="00F93AAB" w:rsidRPr="00F93AAB">
        <w:t xml:space="preserve"> in lawful procedures.</w:t>
      </w:r>
      <w:r w:rsidR="00F93AAB">
        <w:t xml:space="preserve"> This essay focuses on the impact of International financial management on Unilever. Being a multinational company, Unilever regularly has to deal with issues such as dividend distribution, share market, and project appraisal on a global scale. This essay describes how Unilever deal</w:t>
      </w:r>
      <w:r w:rsidR="000975FE">
        <w:t>s</w:t>
      </w:r>
      <w:r w:rsidR="00F93AAB">
        <w:t xml:space="preserve"> with each of these situations. </w:t>
      </w:r>
    </w:p>
    <w:p w14:paraId="2F13EA69" w14:textId="15D78A84" w:rsidR="0021475E" w:rsidRPr="00A44244" w:rsidRDefault="001845AE" w:rsidP="00B20B95">
      <w:pPr>
        <w:pStyle w:val="a3"/>
      </w:pPr>
      <w:r w:rsidRPr="001845AE">
        <w:t xml:space="preserve">Unilever relies heavily on international financial management. In order to make the best decisions for the company's short-term liquidity and capital financing, </w:t>
      </w:r>
      <w:r w:rsidR="00A44244">
        <w:t xml:space="preserve">the </w:t>
      </w:r>
      <w:r w:rsidRPr="001845AE">
        <w:t>management of working capital is essential</w:t>
      </w:r>
      <w:r w:rsidR="00462BA7" w:rsidRPr="00462BA7">
        <w:t xml:space="preserve"> (Sagner, 2014)</w:t>
      </w:r>
      <w:r w:rsidRPr="001845AE">
        <w:t xml:space="preserve">. Short-term asset and liability management is at the heart of these choices. By allocating resources to projects with a positive net present value (NPV) after applying an appropriate discount rate, international financial management plays a critical role in maximizing the firm's worth. As a result, these assets suffer from </w:t>
      </w:r>
      <w:r w:rsidR="00A44244">
        <w:t xml:space="preserve">the </w:t>
      </w:r>
      <w:r w:rsidRPr="001845AE">
        <w:t>high cost of capital and negative cash flow. I</w:t>
      </w:r>
      <w:r>
        <w:t xml:space="preserve">nternational Financial </w:t>
      </w:r>
      <w:r w:rsidRPr="001845AE">
        <w:t>M</w:t>
      </w:r>
      <w:r>
        <w:t>anagement</w:t>
      </w:r>
      <w:r w:rsidRPr="001845AE">
        <w:t>'s primary goal is to safeguard the company's ability to meet its long-term debt obligations, as well as its ability to meet its immediate operational expenditures and short-term debt</w:t>
      </w:r>
      <w:r w:rsidR="00883739">
        <w:t xml:space="preserve"> </w:t>
      </w:r>
      <w:r w:rsidR="00883739" w:rsidRPr="00883739">
        <w:t>(Universitas and Ulama, 2020)</w:t>
      </w:r>
      <w:r w:rsidRPr="001845AE">
        <w:t xml:space="preserve">. </w:t>
      </w:r>
      <w:r w:rsidR="007E1AAE">
        <w:t>T</w:t>
      </w:r>
      <w:r w:rsidR="007E1AAE" w:rsidRPr="001845AE">
        <w:t>he value of the company rises</w:t>
      </w:r>
      <w:r w:rsidR="007E1AAE">
        <w:t xml:space="preserve"> if</w:t>
      </w:r>
      <w:r w:rsidR="007E1AAE" w:rsidRPr="001845AE">
        <w:t xml:space="preserve"> </w:t>
      </w:r>
      <w:r w:rsidR="007E1AAE">
        <w:t>the investment has a higher return than the original investment.</w:t>
      </w:r>
      <w:r w:rsidR="00CA0DF9">
        <w:t xml:space="preserve"> </w:t>
      </w:r>
      <w:r w:rsidRPr="001845AE">
        <w:t>According to international financ</w:t>
      </w:r>
      <w:r w:rsidR="007F13BA">
        <w:t>ial</w:t>
      </w:r>
      <w:r w:rsidRPr="001845AE">
        <w:t xml:space="preserve"> management theories like the Fisher Effect and Purchasing Power Parity, Unilever needs to stay abreast of policy shifts in the countries where it does business in order to foresee the potential impact on the company's bottom line.</w:t>
      </w:r>
    </w:p>
    <w:p w14:paraId="6233FDF0" w14:textId="77777777" w:rsidR="00A44244" w:rsidRDefault="00A44244">
      <w:pPr>
        <w:rPr>
          <w:rFonts w:ascii="Times New Roman" w:hAnsi="Times New Roman"/>
          <w:sz w:val="24"/>
        </w:rPr>
      </w:pPr>
      <w:r>
        <w:br w:type="page"/>
      </w:r>
    </w:p>
    <w:p w14:paraId="50FADB9F" w14:textId="3073B6AE" w:rsidR="00B6789C" w:rsidRDefault="00B6789C" w:rsidP="00B20B95">
      <w:pPr>
        <w:pStyle w:val="a3"/>
      </w:pPr>
      <w:r>
        <w:t xml:space="preserve">Some challenges that Unilever may be experiencing in different international markets are: </w:t>
      </w:r>
    </w:p>
    <w:p w14:paraId="73B868F9" w14:textId="77777777" w:rsidR="0021475E" w:rsidRDefault="0021475E" w:rsidP="00B20B95">
      <w:pPr>
        <w:pStyle w:val="a3"/>
      </w:pPr>
    </w:p>
    <w:p w14:paraId="68A7EB3D" w14:textId="5D5FF546" w:rsidR="009F7906" w:rsidRDefault="00BE51A0" w:rsidP="009E3835">
      <w:pPr>
        <w:pStyle w:val="a3"/>
      </w:pPr>
      <w:r>
        <w:t xml:space="preserve">     </w:t>
      </w:r>
      <w:r w:rsidR="00B6789C">
        <w:rPr>
          <w:noProof/>
        </w:rPr>
        <w:drawing>
          <wp:inline distT="0" distB="0" distL="0" distR="0" wp14:anchorId="5E95A099" wp14:editId="0FAD65E5">
            <wp:extent cx="5495925" cy="356235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2EDD7B18" w14:textId="3CACF391" w:rsidR="00CF3492" w:rsidRDefault="00CF3492" w:rsidP="00CF3492">
      <w:pPr>
        <w:pStyle w:val="a3"/>
        <w:jc w:val="center"/>
      </w:pPr>
      <w:r>
        <w:t>Figure 1:</w:t>
      </w:r>
      <w:r w:rsidR="005C3157">
        <w:t xml:space="preserve"> Challenges Unilever faces </w:t>
      </w:r>
      <w:r w:rsidR="005C3157" w:rsidRPr="005C3157">
        <w:t>(Hoffman and Gold, 2016)</w:t>
      </w:r>
    </w:p>
    <w:p w14:paraId="6BED89D6" w14:textId="77777777" w:rsidR="00CF3492" w:rsidRDefault="00CF3492" w:rsidP="009E3835">
      <w:pPr>
        <w:pStyle w:val="a3"/>
        <w:rPr>
          <w:u w:val="single"/>
        </w:rPr>
      </w:pPr>
    </w:p>
    <w:p w14:paraId="0722F6A4" w14:textId="053DD727" w:rsidR="000805EA" w:rsidRDefault="00D83E4A" w:rsidP="00A44244">
      <w:pPr>
        <w:pStyle w:val="a3"/>
        <w:numPr>
          <w:ilvl w:val="0"/>
          <w:numId w:val="3"/>
        </w:numPr>
      </w:pPr>
      <w:r w:rsidRPr="00D83E4A">
        <w:rPr>
          <w:u w:val="single"/>
        </w:rPr>
        <w:t>Tax competition</w:t>
      </w:r>
      <w:r>
        <w:t xml:space="preserve">: </w:t>
      </w:r>
      <w:r w:rsidR="009E3835" w:rsidRPr="009E3835">
        <w:t>Countries and often even subnational regions vie with one another to attract the headquarters of multinational corporations</w:t>
      </w:r>
      <w:r w:rsidR="00696BB1">
        <w:t xml:space="preserve"> like Unilever</w:t>
      </w:r>
      <w:r w:rsidR="009E3835" w:rsidRPr="009E3835">
        <w:t>. Multinational corporations need tax incentives, government support, and improved infrastructure if their home countries and regions are to remain competitive</w:t>
      </w:r>
      <w:r w:rsidR="00883739" w:rsidRPr="00883739">
        <w:t xml:space="preserve"> (Hoskisson et al., 2012)</w:t>
      </w:r>
      <w:r w:rsidR="009E3835" w:rsidRPr="009E3835">
        <w:t xml:space="preserve">. A number of authorities claim that multinational corporations are "race to the top." It is expected that </w:t>
      </w:r>
      <w:r w:rsidR="00351D8B">
        <w:t>Unilever</w:t>
      </w:r>
      <w:r w:rsidR="009E3835" w:rsidRPr="009E3835">
        <w:t xml:space="preserve"> will view </w:t>
      </w:r>
      <w:r w:rsidR="00351D8B" w:rsidRPr="009E3835">
        <w:t>favourable</w:t>
      </w:r>
      <w:r w:rsidR="009E3835" w:rsidRPr="009E3835">
        <w:t xml:space="preserve"> tax legislation and cheap </w:t>
      </w:r>
      <w:r w:rsidR="00351D8B" w:rsidRPr="009E3835">
        <w:t>labour</w:t>
      </w:r>
      <w:r w:rsidR="009E3835" w:rsidRPr="009E3835">
        <w:t xml:space="preserve"> costs as a source of competitive advantage. However, there is no proof that MNCs intentionally take advantage of these conditions.</w:t>
      </w:r>
    </w:p>
    <w:p w14:paraId="432DAEC0" w14:textId="7FA1BA06" w:rsidR="000805EA" w:rsidRDefault="00D83E4A" w:rsidP="00A44244">
      <w:pPr>
        <w:pStyle w:val="a3"/>
        <w:numPr>
          <w:ilvl w:val="0"/>
          <w:numId w:val="3"/>
        </w:numPr>
      </w:pPr>
      <w:r w:rsidRPr="00D83E4A">
        <w:rPr>
          <w:u w:val="single"/>
        </w:rPr>
        <w:t>Political instability</w:t>
      </w:r>
      <w:r>
        <w:t xml:space="preserve">: </w:t>
      </w:r>
      <w:r w:rsidR="00351D8B">
        <w:t>Like m</w:t>
      </w:r>
      <w:r w:rsidR="000805EA" w:rsidRPr="000805EA">
        <w:t>any multinational firms</w:t>
      </w:r>
      <w:r w:rsidR="00351D8B">
        <w:t>, Unilever</w:t>
      </w:r>
      <w:r w:rsidR="000805EA" w:rsidRPr="000805EA">
        <w:t xml:space="preserve"> find</w:t>
      </w:r>
      <w:r w:rsidR="00351D8B">
        <w:t>s</w:t>
      </w:r>
      <w:r w:rsidR="000805EA" w:rsidRPr="000805EA">
        <w:t xml:space="preserve"> political instability to be a hindrance when expanding into new foreign markets. Problems of this nature often develop when there is no reliable government institution to address the situation. When this happens, it can raise expenses and hazards for the company and hinder a manager's capacity to foresee future developments in the market. Both weak legal frameworks and corruption are associated with political instability, which in turn discourages foreign investment</w:t>
      </w:r>
      <w:r w:rsidR="00883739" w:rsidRPr="00883739">
        <w:t xml:space="preserve"> (Alam, Uddin and Yazdifar, 2019)</w:t>
      </w:r>
      <w:r w:rsidR="000805EA" w:rsidRPr="000805EA">
        <w:t>.</w:t>
      </w:r>
    </w:p>
    <w:p w14:paraId="585C5FA3" w14:textId="7A6A7036" w:rsidR="003C5B1C" w:rsidRDefault="00D83E4A" w:rsidP="00A44244">
      <w:pPr>
        <w:pStyle w:val="a3"/>
        <w:numPr>
          <w:ilvl w:val="0"/>
          <w:numId w:val="3"/>
        </w:numPr>
      </w:pPr>
      <w:r w:rsidRPr="00D83E4A">
        <w:rPr>
          <w:u w:val="single"/>
        </w:rPr>
        <w:t>Market imperfections</w:t>
      </w:r>
      <w:r>
        <w:t xml:space="preserve">: </w:t>
      </w:r>
      <w:r w:rsidR="003C5B1C" w:rsidRPr="003C5B1C">
        <w:t xml:space="preserve">A corporation </w:t>
      </w:r>
      <w:r w:rsidR="00CA0DF9">
        <w:t>making investments</w:t>
      </w:r>
      <w:r w:rsidR="003C5B1C" w:rsidRPr="003C5B1C">
        <w:t xml:space="preserve"> in a country where it </w:t>
      </w:r>
      <w:r w:rsidR="00CA0DF9">
        <w:t>has poor idea about</w:t>
      </w:r>
      <w:r w:rsidR="003C5B1C" w:rsidRPr="003C5B1C">
        <w:t xml:space="preserve"> the </w:t>
      </w:r>
      <w:r w:rsidR="00CA0DF9">
        <w:t>legislation</w:t>
      </w:r>
      <w:r w:rsidR="003C5B1C" w:rsidRPr="003C5B1C">
        <w:t>, culture, or business procedures may seem unusual</w:t>
      </w:r>
      <w:r w:rsidR="003C5B1C">
        <w:t xml:space="preserve"> but multinational corporations like Unilever do</w:t>
      </w:r>
      <w:r w:rsidR="00B60C87">
        <w:t>es</w:t>
      </w:r>
      <w:r w:rsidR="003C5B1C">
        <w:t xml:space="preserve"> it because they can capture </w:t>
      </w:r>
      <w:r w:rsidR="007F13BA">
        <w:t xml:space="preserve">a </w:t>
      </w:r>
      <w:r w:rsidR="003C5B1C">
        <w:t>new market there and increase profit</w:t>
      </w:r>
      <w:r w:rsidR="003C5B1C" w:rsidRPr="003C5B1C">
        <w:t>.</w:t>
      </w:r>
      <w:r w:rsidR="00232362">
        <w:t xml:space="preserve"> T</w:t>
      </w:r>
      <w:r w:rsidR="003C5B1C" w:rsidRPr="003C5B1C">
        <w:t xml:space="preserve">his </w:t>
      </w:r>
      <w:r w:rsidR="003C5B1C">
        <w:t>lack of experience in that market</w:t>
      </w:r>
      <w:r w:rsidR="003C5B1C" w:rsidRPr="003C5B1C">
        <w:t xml:space="preserve"> impair</w:t>
      </w:r>
      <w:r w:rsidR="003C5B1C">
        <w:t>s</w:t>
      </w:r>
      <w:r w:rsidR="003C5B1C" w:rsidRPr="003C5B1C">
        <w:t xml:space="preserve"> the manager's business forecasting</w:t>
      </w:r>
      <w:r w:rsidR="00883739" w:rsidRPr="00883739">
        <w:t xml:space="preserve"> (Brochet et al., 2019)</w:t>
      </w:r>
      <w:r w:rsidR="003C5B1C" w:rsidRPr="003C5B1C">
        <w:t xml:space="preserve">. </w:t>
      </w:r>
      <w:r w:rsidR="00CA0DF9">
        <w:t xml:space="preserve">Costs incurred due to government policies such as </w:t>
      </w:r>
      <w:r w:rsidR="003C5B1C" w:rsidRPr="003C5B1C">
        <w:t>tariff and non-tariff barriers</w:t>
      </w:r>
      <w:r w:rsidR="00CA0DF9">
        <w:t>, and transportation costs</w:t>
      </w:r>
      <w:r w:rsidR="003C5B1C" w:rsidRPr="003C5B1C">
        <w:t xml:space="preserve"> </w:t>
      </w:r>
      <w:r w:rsidR="00232362">
        <w:t>put the business in a disadvantage with the</w:t>
      </w:r>
      <w:r w:rsidR="003C5B1C" w:rsidRPr="003C5B1C">
        <w:t xml:space="preserve"> competition in their own market, forcing them to compete</w:t>
      </w:r>
      <w:r w:rsidR="003C5B1C">
        <w:t xml:space="preserve"> by lowering prices</w:t>
      </w:r>
      <w:r w:rsidR="003C5B1C" w:rsidRPr="003C5B1C">
        <w:t xml:space="preserve"> and reduc</w:t>
      </w:r>
      <w:r w:rsidR="007F13BA">
        <w:t>ing</w:t>
      </w:r>
      <w:r w:rsidR="003C5B1C" w:rsidRPr="003C5B1C">
        <w:t xml:space="preserve"> profitability. Companies can increase revenue by merging or purchasing, eliminating market rivalry. </w:t>
      </w:r>
    </w:p>
    <w:p w14:paraId="7611E540" w14:textId="605FC785" w:rsidR="00601A09" w:rsidRPr="00A44244" w:rsidRDefault="00D83E4A" w:rsidP="00A44244">
      <w:pPr>
        <w:pStyle w:val="a3"/>
        <w:numPr>
          <w:ilvl w:val="0"/>
          <w:numId w:val="3"/>
        </w:numPr>
      </w:pPr>
      <w:r w:rsidRPr="00D83E4A">
        <w:rPr>
          <w:u w:val="single"/>
        </w:rPr>
        <w:t>Lobbying</w:t>
      </w:r>
      <w:r>
        <w:t xml:space="preserve">: </w:t>
      </w:r>
      <w:r w:rsidR="000805EA" w:rsidRPr="000805EA">
        <w:t>Multinational firms engage in lobbying on a wide range of economic concerns, from tariff agreements to environmental constraints. Businesses that have spent millions on pollution prevention equipment may lobby for strict environmental regulations in order to disadvantage rivals that have not made the same financial commitment. Companies seek tariffs as a means of reducing the competitiveness of foreign manufacturers</w:t>
      </w:r>
      <w:r w:rsidR="00883739" w:rsidRPr="00883739">
        <w:t xml:space="preserve"> (Ghauri and Cateora, 2014)</w:t>
      </w:r>
      <w:r w:rsidR="000805EA" w:rsidRPr="000805EA">
        <w:t xml:space="preserve">. When </w:t>
      </w:r>
      <w:r w:rsidR="00136A70">
        <w:t>Unilever</w:t>
      </w:r>
      <w:r w:rsidR="000805EA" w:rsidRPr="000805EA">
        <w:t xml:space="preserve"> asks for lower tariffs on a certain good or service, another</w:t>
      </w:r>
      <w:r w:rsidR="00136A70">
        <w:t xml:space="preserve"> local company</w:t>
      </w:r>
      <w:r w:rsidR="000805EA" w:rsidRPr="000805EA">
        <w:t xml:space="preserve"> asks for higher tariffs on the same good or service. Different companies in the U.S. auto industry rely on different percentages of imported components, therefore some support tighter limits on imports while others </w:t>
      </w:r>
      <w:r w:rsidR="00D13005" w:rsidRPr="000805EA">
        <w:t>favour</w:t>
      </w:r>
      <w:r w:rsidR="000805EA" w:rsidRPr="000805EA">
        <w:t xml:space="preserve"> looser ones. The owner will have a lot of work and difficulty dealing with this.</w:t>
      </w:r>
    </w:p>
    <w:p w14:paraId="238BCDCB" w14:textId="77777777" w:rsidR="00A44244" w:rsidRPr="00A44244" w:rsidRDefault="002B36F2" w:rsidP="00DA36C5">
      <w:pPr>
        <w:pStyle w:val="a3"/>
        <w:rPr>
          <w:b/>
        </w:rPr>
      </w:pPr>
      <w:r w:rsidRPr="00A44244">
        <w:rPr>
          <w:b/>
          <w:u w:val="single"/>
        </w:rPr>
        <w:t>Analysis and evaluation of dividend distribution policy</w:t>
      </w:r>
      <w:r w:rsidRPr="00A44244">
        <w:rPr>
          <w:b/>
        </w:rPr>
        <w:t xml:space="preserve">: </w:t>
      </w:r>
    </w:p>
    <w:p w14:paraId="27FED113" w14:textId="274B0451" w:rsidR="00696BB1" w:rsidRDefault="00DA36C5" w:rsidP="00DA36C5">
      <w:pPr>
        <w:pStyle w:val="a3"/>
      </w:pPr>
      <w:r w:rsidRPr="00DA36C5">
        <w:t xml:space="preserve">Unilever's Dividend Distribution Policy mandates that any surplus cash flow from operations over and above the company's expected needs </w:t>
      </w:r>
      <w:r w:rsidR="00A44244">
        <w:t xml:space="preserve">to </w:t>
      </w:r>
      <w:r w:rsidRPr="00DA36C5">
        <w:t xml:space="preserve">be distributed to shareholders. The Company is committed to maximizing shareholder value and will strive to do so by paying a dividend that is both competitive and sustainable. Which means the company has a residual dividend policy. Some investors view residual dividend policy as the sole appropriate </w:t>
      </w:r>
      <w:r w:rsidR="00A44244">
        <w:t>payout</w:t>
      </w:r>
      <w:r w:rsidRPr="00DA36C5">
        <w:t xml:space="preserve"> policy despite its significant volatility. With a residual dividend policy, </w:t>
      </w:r>
      <w:r w:rsidR="0007741F">
        <w:t>the company first pays for the capital expenditures and the working capital cost and gives out the remaining as dividends</w:t>
      </w:r>
      <w:r w:rsidR="00883739" w:rsidRPr="00883739">
        <w:t xml:space="preserve"> (Omerhodžić, 2014)</w:t>
      </w:r>
      <w:r w:rsidR="0007741F">
        <w:t>.</w:t>
      </w:r>
      <w:r w:rsidRPr="00DA36C5">
        <w:t xml:space="preserve"> This strategy is erratic, but it makes the most sense from a company operations standpoint. Investors do not want to invest in a firm that uses the necessity to pay dividends to justify its rising debt.</w:t>
      </w:r>
    </w:p>
    <w:p w14:paraId="603CD341" w14:textId="77777777" w:rsidR="00A44244" w:rsidRPr="00A44244" w:rsidRDefault="002B36F2" w:rsidP="00DA36C5">
      <w:pPr>
        <w:pStyle w:val="a3"/>
        <w:rPr>
          <w:b/>
        </w:rPr>
      </w:pPr>
      <w:r w:rsidRPr="00A44244">
        <w:rPr>
          <w:b/>
          <w:u w:val="single"/>
        </w:rPr>
        <w:t>Analysis of efficient market hypothesis theory</w:t>
      </w:r>
      <w:r w:rsidRPr="00A44244">
        <w:rPr>
          <w:b/>
        </w:rPr>
        <w:t xml:space="preserve">: </w:t>
      </w:r>
    </w:p>
    <w:p w14:paraId="63FB4A7B" w14:textId="0AA4836B" w:rsidR="00601A09" w:rsidRPr="00A44244" w:rsidRDefault="00A44244" w:rsidP="00DA36C5">
      <w:pPr>
        <w:pStyle w:val="a3"/>
      </w:pPr>
      <w:r>
        <w:t>The share</w:t>
      </w:r>
      <w:r w:rsidR="004608D5">
        <w:t xml:space="preserve"> price is usually driven by the information available in the market. According to the efficient market hypothesis theory, if all the information about the stock is available to the shareholders, then the share should be perfectly priced and therefore will not allow investors to buy at a reduced price and then sell</w:t>
      </w:r>
      <w:r w:rsidR="00A65A77">
        <w:t xml:space="preserve"> later</w:t>
      </w:r>
      <w:r w:rsidR="004608D5">
        <w:t xml:space="preserve"> at an </w:t>
      </w:r>
      <w:r>
        <w:t>increased</w:t>
      </w:r>
      <w:r w:rsidR="004608D5">
        <w:t xml:space="preserve"> price.</w:t>
      </w:r>
      <w:r w:rsidR="00A65A77">
        <w:t xml:space="preserve"> </w:t>
      </w:r>
      <w:r w:rsidR="002B36F2" w:rsidRPr="002B36F2">
        <w:t xml:space="preserve">Therefore, </w:t>
      </w:r>
      <w:r w:rsidR="00A65A77">
        <w:t xml:space="preserve">to gain </w:t>
      </w:r>
      <w:r>
        <w:t xml:space="preserve">a </w:t>
      </w:r>
      <w:r w:rsidR="00A65A77">
        <w:t xml:space="preserve">large amount of profit, </w:t>
      </w:r>
      <w:r w:rsidR="002B36F2" w:rsidRPr="002B36F2">
        <w:t>investor</w:t>
      </w:r>
      <w:r w:rsidR="00A65A77">
        <w:t>s</w:t>
      </w:r>
      <w:r w:rsidR="002B36F2" w:rsidRPr="002B36F2">
        <w:t xml:space="preserve"> </w:t>
      </w:r>
      <w:r w:rsidR="00A65A77">
        <w:t>have to</w:t>
      </w:r>
      <w:r w:rsidR="002B36F2" w:rsidRPr="002B36F2">
        <w:t xml:space="preserve"> take on investment risk</w:t>
      </w:r>
      <w:r w:rsidR="006669D6" w:rsidRPr="006669D6">
        <w:t xml:space="preserve"> (Damodaran, 2012)</w:t>
      </w:r>
      <w:r w:rsidR="002B36F2" w:rsidRPr="002B36F2">
        <w:t>.</w:t>
      </w:r>
      <w:r w:rsidR="000851B9">
        <w:t xml:space="preserve"> In </w:t>
      </w:r>
      <w:r>
        <w:t>the</w:t>
      </w:r>
      <w:r w:rsidR="000851B9">
        <w:t xml:space="preserve"> case of Unilever, the share price of Unilever PLC- London declined by 5% on 1/27/2014. On this date, </w:t>
      </w:r>
      <w:r w:rsidR="00172621">
        <w:t>t</w:t>
      </w:r>
      <w:r w:rsidR="000851B9" w:rsidRPr="000851B9">
        <w:t xml:space="preserve">he 2013 annual report was made available to the public. According to the report, the 2013 revenue was 3 percent lower than </w:t>
      </w:r>
      <w:r w:rsidR="00767630">
        <w:t>last</w:t>
      </w:r>
      <w:r w:rsidR="000851B9" w:rsidRPr="000851B9">
        <w:t xml:space="preserve"> year. This seem</w:t>
      </w:r>
      <w:r w:rsidR="00767630">
        <w:t>ed</w:t>
      </w:r>
      <w:r w:rsidR="000851B9" w:rsidRPr="000851B9">
        <w:t xml:space="preserve"> to </w:t>
      </w:r>
      <w:r w:rsidR="00767630">
        <w:t>have</w:t>
      </w:r>
      <w:r w:rsidR="000851B9" w:rsidRPr="000851B9">
        <w:t xml:space="preserve"> cause</w:t>
      </w:r>
      <w:r w:rsidR="00767630">
        <w:t>d</w:t>
      </w:r>
      <w:r w:rsidR="000851B9" w:rsidRPr="000851B9">
        <w:t xml:space="preserve"> </w:t>
      </w:r>
      <w:r>
        <w:t>a</w:t>
      </w:r>
      <w:r w:rsidR="000851B9" w:rsidRPr="000851B9">
        <w:t xml:space="preserve"> </w:t>
      </w:r>
      <w:r w:rsidRPr="000851B9">
        <w:t>drop-in</w:t>
      </w:r>
      <w:r w:rsidR="000851B9" w:rsidRPr="000851B9">
        <w:t xml:space="preserve"> investor sentiment for Unilever shares during th</w:t>
      </w:r>
      <w:r w:rsidR="00767630">
        <w:t>at</w:t>
      </w:r>
      <w:r w:rsidR="000851B9" w:rsidRPr="000851B9">
        <w:t xml:space="preserve"> week. This was a short dip precipitated by news of a decrease in sales. The share</w:t>
      </w:r>
      <w:r w:rsidR="007716E3">
        <w:t xml:space="preserve"> prices increased in</w:t>
      </w:r>
      <w:r w:rsidR="000851B9" w:rsidRPr="000851B9">
        <w:t xml:space="preserve"> the next week by 1%.</w:t>
      </w:r>
      <w:r w:rsidR="000851B9">
        <w:t xml:space="preserve"> As can be seen in this case, the</w:t>
      </w:r>
      <w:r w:rsidR="002D0E39">
        <w:t xml:space="preserve"> shareholders reacted to the</w:t>
      </w:r>
      <w:r w:rsidR="000851B9">
        <w:t xml:space="preserve"> news of </w:t>
      </w:r>
      <w:r>
        <w:t xml:space="preserve">a </w:t>
      </w:r>
      <w:r w:rsidR="000851B9">
        <w:t>revenue decrease</w:t>
      </w:r>
      <w:r w:rsidR="002D0E39">
        <w:t xml:space="preserve"> which</w:t>
      </w:r>
      <w:r w:rsidR="000851B9">
        <w:t xml:space="preserve"> directly impacted the share price of Unilever</w:t>
      </w:r>
      <w:r w:rsidR="002D0E39">
        <w:t>.</w:t>
      </w:r>
      <w:r w:rsidR="000851B9">
        <w:t xml:space="preserve"> </w:t>
      </w:r>
      <w:r w:rsidR="002D0E39">
        <w:t>This</w:t>
      </w:r>
      <w:r w:rsidR="007A394D">
        <w:t xml:space="preserve"> evidence</w:t>
      </w:r>
      <w:r w:rsidR="000851B9">
        <w:t xml:space="preserve"> supports the efficient market hypothesis theory.</w:t>
      </w:r>
    </w:p>
    <w:p w14:paraId="45F547C3" w14:textId="18057225" w:rsidR="00A44244" w:rsidRPr="00A44244" w:rsidRDefault="00007D8D" w:rsidP="00DA36C5">
      <w:pPr>
        <w:pStyle w:val="a3"/>
        <w:rPr>
          <w:b/>
        </w:rPr>
      </w:pPr>
      <w:r w:rsidRPr="00A44244">
        <w:rPr>
          <w:b/>
          <w:u w:val="single"/>
        </w:rPr>
        <w:t xml:space="preserve">Analysis and evaluation of </w:t>
      </w:r>
      <w:r w:rsidR="00A44244">
        <w:rPr>
          <w:b/>
          <w:u w:val="single"/>
        </w:rPr>
        <w:t xml:space="preserve">a </w:t>
      </w:r>
      <w:r w:rsidRPr="00A44244">
        <w:rPr>
          <w:b/>
          <w:u w:val="single"/>
        </w:rPr>
        <w:t>method of appraising projects</w:t>
      </w:r>
      <w:r w:rsidRPr="00A44244">
        <w:rPr>
          <w:b/>
        </w:rPr>
        <w:t xml:space="preserve">: </w:t>
      </w:r>
    </w:p>
    <w:p w14:paraId="09201459" w14:textId="6452578A" w:rsidR="00007D8D" w:rsidRDefault="003E35D4" w:rsidP="00DA36C5">
      <w:pPr>
        <w:pStyle w:val="a3"/>
      </w:pPr>
      <w:r>
        <w:t>Unilever uses the Internal rate of return method to appraise projects which is a discounted capital budgeting method. Discounted capital budgeting methods account for the increase in value of money which is important for the businesses like Unilever that invest in long term projects</w:t>
      </w:r>
      <w:r w:rsidR="006669D6" w:rsidRPr="006669D6">
        <w:t xml:space="preserve"> (Eccles and Serafeim, 2013)</w:t>
      </w:r>
      <w:r>
        <w:t xml:space="preserve">. </w:t>
      </w:r>
      <w:r w:rsidR="004B389D" w:rsidRPr="004B389D">
        <w:t>IRR is represented as a percentage. For the IRR technique to accept a project, the discount rate must be greater than the project's cost of capital, also known as the hurdle rate. An internal rate of return (IRR) less than the hurdle rate implies a cost to shareholders, but an IRR larger than the barrier rate represents a return on investment, so boosting shareholder wealth.</w:t>
      </w:r>
      <w:r w:rsidR="00275EE2">
        <w:t xml:space="preserve"> </w:t>
      </w:r>
    </w:p>
    <w:p w14:paraId="123E0C87" w14:textId="77777777" w:rsidR="00275EE2" w:rsidRDefault="00275EE2" w:rsidP="00DA36C5">
      <w:pPr>
        <w:pStyle w:val="a3"/>
      </w:pPr>
      <w:r w:rsidRPr="00275EE2">
        <w:rPr>
          <w:u w:val="single"/>
        </w:rPr>
        <w:t>IRR’s usefulness</w:t>
      </w:r>
      <w:r>
        <w:t xml:space="preserve">: </w:t>
      </w:r>
    </w:p>
    <w:p w14:paraId="75584F82" w14:textId="43088671" w:rsidR="000851B9" w:rsidRDefault="00275EE2" w:rsidP="00D21DD7">
      <w:pPr>
        <w:pStyle w:val="a3"/>
        <w:numPr>
          <w:ilvl w:val="0"/>
          <w:numId w:val="1"/>
        </w:numPr>
      </w:pPr>
      <w:r>
        <w:t>The cost of capital is presented in a percentage form and since IRR is expressed in percentage form, it is easy to compare it with the cost of capital.</w:t>
      </w:r>
    </w:p>
    <w:p w14:paraId="391A6535" w14:textId="6E27530C" w:rsidR="00157113" w:rsidRDefault="00157113" w:rsidP="00D21DD7">
      <w:pPr>
        <w:pStyle w:val="a3"/>
        <w:numPr>
          <w:ilvl w:val="0"/>
          <w:numId w:val="1"/>
        </w:numPr>
      </w:pPr>
      <w:r>
        <w:t>IRR helps to understand the project’s value and the risks associated with it</w:t>
      </w:r>
      <w:r w:rsidR="006669D6" w:rsidRPr="006669D6">
        <w:t xml:space="preserve"> (Liu et al., 2017)</w:t>
      </w:r>
      <w:r>
        <w:t>.</w:t>
      </w:r>
    </w:p>
    <w:p w14:paraId="72AC5181" w14:textId="5EB5162A" w:rsidR="00157113" w:rsidRDefault="00157113" w:rsidP="00D21DD7">
      <w:pPr>
        <w:pStyle w:val="a3"/>
        <w:numPr>
          <w:ilvl w:val="0"/>
          <w:numId w:val="1"/>
        </w:numPr>
      </w:pPr>
      <w:r>
        <w:t>Using IRR, the investors can know how much return will they get on the money they are going to invest.</w:t>
      </w:r>
    </w:p>
    <w:p w14:paraId="64201F59" w14:textId="5FB25CE5" w:rsidR="000904B2" w:rsidRDefault="000904B2" w:rsidP="000904B2">
      <w:pPr>
        <w:pStyle w:val="a3"/>
      </w:pPr>
      <w:r>
        <w:rPr>
          <w:u w:val="single"/>
        </w:rPr>
        <w:t>IRR’s drawbacks</w:t>
      </w:r>
      <w:r>
        <w:t xml:space="preserve">: </w:t>
      </w:r>
    </w:p>
    <w:p w14:paraId="58A2AE7B" w14:textId="7BC9C800" w:rsidR="000904B2" w:rsidRDefault="000904B2" w:rsidP="000904B2">
      <w:pPr>
        <w:pStyle w:val="a3"/>
        <w:numPr>
          <w:ilvl w:val="0"/>
          <w:numId w:val="2"/>
        </w:numPr>
      </w:pPr>
      <w:r>
        <w:t>IRR makes the assumption that the project’s weighted average cost of capital will remain the same throughout the entire duration of the project which is often not the case.</w:t>
      </w:r>
    </w:p>
    <w:p w14:paraId="070AAC1A" w14:textId="079398F3" w:rsidR="000904B2" w:rsidRDefault="000904B2" w:rsidP="000904B2">
      <w:pPr>
        <w:pStyle w:val="a3"/>
        <w:numPr>
          <w:ilvl w:val="0"/>
          <w:numId w:val="2"/>
        </w:numPr>
      </w:pPr>
      <w:r>
        <w:t>IRR is ineffective for mutually exclusive projects</w:t>
      </w:r>
      <w:r w:rsidR="006669D6" w:rsidRPr="006669D6">
        <w:t xml:space="preserve"> (Huang et al., 2022)</w:t>
      </w:r>
      <w:r>
        <w:t>.</w:t>
      </w:r>
    </w:p>
    <w:p w14:paraId="2EF6F638" w14:textId="6DCEDCA1" w:rsidR="001C01B9" w:rsidRPr="000904B2" w:rsidRDefault="001C01B9" w:rsidP="001C01B9">
      <w:pPr>
        <w:pStyle w:val="a3"/>
      </w:pPr>
      <w:r>
        <w:t>International Financial Management is at the heart of every decision multinational corporations like Unilever make since all of their decision have to make sure that they make a profit out of their operation and bring growth to the market share. T</w:t>
      </w:r>
      <w:r w:rsidR="000975FE">
        <w:t xml:space="preserve">he concepts of IFM are important to the managers because these concepts drive the national markets and often the international markets in which Unilever operates. </w:t>
      </w:r>
      <w:r w:rsidR="00DD4DB1">
        <w:t>Unilever has to constantly change aspects of their market strategy such as pricing and cost control to adapt to these changes as soon as possible and if possible, to take advantage of this situation. If Unilever can predict the changes and correctly utilize the relevant theories to predict the possible changes in market, the company can hope to capitalize on the situation and stay profitable even after the change.</w:t>
      </w:r>
    </w:p>
    <w:p w14:paraId="0AFAE48F" w14:textId="273F6FAD" w:rsidR="00792A08" w:rsidRDefault="00792A08">
      <w:pPr>
        <w:rPr>
          <w:rFonts w:ascii="Times New Roman" w:hAnsi="Times New Roman"/>
          <w:sz w:val="24"/>
        </w:rPr>
      </w:pPr>
      <w:r>
        <w:br w:type="page"/>
      </w:r>
    </w:p>
    <w:p w14:paraId="47AC19D6" w14:textId="724F035F" w:rsidR="000851B9" w:rsidRDefault="00792A08" w:rsidP="00792A08">
      <w:pPr>
        <w:pStyle w:val="1"/>
      </w:pPr>
      <w:r>
        <w:t>References</w:t>
      </w:r>
    </w:p>
    <w:p w14:paraId="65F6F2F5" w14:textId="7F293FE7" w:rsidR="00792A08" w:rsidRDefault="00792A08" w:rsidP="00792A08">
      <w:pPr>
        <w:pStyle w:val="a3"/>
      </w:pPr>
      <w:r>
        <w:t xml:space="preserve">Alam, A., Uddin, M. and Yazdifar, H. (2019). Institutional determinants of R&amp;D investment: Evidence from emerging markets. </w:t>
      </w:r>
      <w:r>
        <w:rPr>
          <w:i/>
          <w:iCs/>
        </w:rPr>
        <w:t>Technological Forecasting and Social Change</w:t>
      </w:r>
      <w:r>
        <w:t>, 138, pp.34–44. doi:10.1016/j.techfore.2018.08.007.</w:t>
      </w:r>
    </w:p>
    <w:p w14:paraId="6C8570C9" w14:textId="77777777" w:rsidR="00792A08" w:rsidRDefault="00792A08" w:rsidP="00792A08">
      <w:pPr>
        <w:pStyle w:val="a3"/>
      </w:pPr>
    </w:p>
    <w:p w14:paraId="4DD387A8" w14:textId="5644B033" w:rsidR="00792A08" w:rsidRDefault="00792A08" w:rsidP="00792A08">
      <w:pPr>
        <w:pStyle w:val="a3"/>
      </w:pPr>
      <w:r>
        <w:t xml:space="preserve">Brochet, F., Miller, G.S., Naranjo, P. and Yu, G. (2019). Managers’ Cultural Background and Disclosure Attributes. </w:t>
      </w:r>
      <w:r>
        <w:rPr>
          <w:i/>
          <w:iCs/>
        </w:rPr>
        <w:t>The Accounting Review</w:t>
      </w:r>
      <w:r>
        <w:t>, 94(3), pp.57–86. doi:10.2308/accr-52290.</w:t>
      </w:r>
    </w:p>
    <w:p w14:paraId="242884FF" w14:textId="77777777" w:rsidR="00792A08" w:rsidRDefault="00792A08" w:rsidP="00792A08">
      <w:pPr>
        <w:pStyle w:val="a3"/>
      </w:pPr>
    </w:p>
    <w:p w14:paraId="47080C07" w14:textId="4182F6C4" w:rsidR="00792A08" w:rsidRDefault="00792A08" w:rsidP="00792A08">
      <w:pPr>
        <w:pStyle w:val="a3"/>
      </w:pPr>
      <w:r>
        <w:t xml:space="preserve">Damodaran, A. (2012). </w:t>
      </w:r>
      <w:r>
        <w:rPr>
          <w:i/>
          <w:iCs/>
        </w:rPr>
        <w:t>Investment Philosophies: Successful Strategies and the Investors Who Made Them Work</w:t>
      </w:r>
      <w:r>
        <w:t xml:space="preserve">. [online] </w:t>
      </w:r>
      <w:r>
        <w:rPr>
          <w:i/>
          <w:iCs/>
        </w:rPr>
        <w:t>Google Books</w:t>
      </w:r>
      <w:r>
        <w:t>. John Wiley &amp; Sons. Available at: https://books.google.com/books?hl=en&amp;lr=&amp;id=NkOkN0l3vHgC&amp;oi=fnd&amp;pg=PA1&amp;dq=to+gain+large+amount+of+profit [Accessed 11 Dec. 2022].</w:t>
      </w:r>
    </w:p>
    <w:p w14:paraId="584185A8" w14:textId="77777777" w:rsidR="00792A08" w:rsidRDefault="00792A08" w:rsidP="00792A08">
      <w:pPr>
        <w:pStyle w:val="a3"/>
      </w:pPr>
    </w:p>
    <w:p w14:paraId="1AC233C6" w14:textId="4EB21237" w:rsidR="00792A08" w:rsidRDefault="00792A08" w:rsidP="00792A08">
      <w:pPr>
        <w:pStyle w:val="a3"/>
      </w:pPr>
      <w:r>
        <w:t xml:space="preserve">Eccles, R. and Serafeim, G. (2013). </w:t>
      </w:r>
      <w:r>
        <w:rPr>
          <w:i/>
          <w:iCs/>
        </w:rPr>
        <w:t>HBR.ORG The Performance Frontier innovating for a sustainable strategy</w:t>
      </w:r>
      <w:r>
        <w:t xml:space="preserve">. [online] Available at: </w:t>
      </w:r>
      <w:hyperlink r:id="rId13" w:history="1">
        <w:r w:rsidRPr="00054D25">
          <w:rPr>
            <w:rStyle w:val="a8"/>
          </w:rPr>
          <w:t>http://www.vedogreen.it/wp-content/uploads/2013/07/Harward-Articolo_CSR.pdf</w:t>
        </w:r>
      </w:hyperlink>
      <w:r>
        <w:t>.</w:t>
      </w:r>
    </w:p>
    <w:p w14:paraId="063C4CE1" w14:textId="77777777" w:rsidR="00792A08" w:rsidRDefault="00792A08" w:rsidP="00792A08">
      <w:pPr>
        <w:pStyle w:val="a3"/>
      </w:pPr>
    </w:p>
    <w:p w14:paraId="2748F47E" w14:textId="60F75CE0" w:rsidR="00792A08" w:rsidRDefault="00792A08" w:rsidP="00792A08">
      <w:pPr>
        <w:pStyle w:val="a3"/>
      </w:pPr>
      <w:r>
        <w:t xml:space="preserve">Ghauri, P. and Cateora, P. (2014). </w:t>
      </w:r>
      <w:r>
        <w:rPr>
          <w:i/>
          <w:iCs/>
        </w:rPr>
        <w:t>EBOOK: International Marketing</w:t>
      </w:r>
      <w:r>
        <w:t xml:space="preserve">. [online] </w:t>
      </w:r>
      <w:r>
        <w:rPr>
          <w:i/>
          <w:iCs/>
        </w:rPr>
        <w:t>Google Books</w:t>
      </w:r>
      <w:r>
        <w:t>. McGraw Hill. Available at: https://books.google.com/books?hl=en&amp;lr=&amp;id=0sovEAAAQBAJ&amp;oi=fnd&amp;pg=PR2&amp;dq=Companies+seek+tariffs+as+a+means+of+reducing+the+competitiveness+of+foreign+manufacturers&amp;ots=gWT6FmUF1o&amp;sig=5pi4kY5RHP1f_xM6ILyy5VmwnqI [Accessed 11 Dec. 2022].</w:t>
      </w:r>
    </w:p>
    <w:p w14:paraId="0CB2F257" w14:textId="77777777" w:rsidR="00792A08" w:rsidRDefault="00792A08" w:rsidP="00792A08">
      <w:pPr>
        <w:pStyle w:val="a3"/>
      </w:pPr>
    </w:p>
    <w:p w14:paraId="34D85D24" w14:textId="4807BBD6" w:rsidR="00792A08" w:rsidRDefault="00792A08" w:rsidP="00792A08">
      <w:pPr>
        <w:pStyle w:val="a3"/>
      </w:pPr>
      <w:r>
        <w:t xml:space="preserve">Hoffman, A. and Gold, N. (2016). </w:t>
      </w:r>
      <w:r>
        <w:rPr>
          <w:i/>
          <w:iCs/>
        </w:rPr>
        <w:t>Unilever: Making Sustainable Living Commonplace</w:t>
      </w:r>
      <w:r>
        <w:t xml:space="preserve">. [online] </w:t>
      </w:r>
      <w:r>
        <w:rPr>
          <w:i/>
          <w:iCs/>
        </w:rPr>
        <w:t>SAGE Knowledge</w:t>
      </w:r>
      <w:r>
        <w:t>. London. Available at: http://sk.sagepub.com/cases/unilever-making-sustainable-living-commonplace [Accessed 11 Dec. 2022].</w:t>
      </w:r>
    </w:p>
    <w:p w14:paraId="6BBDDE7A" w14:textId="77777777" w:rsidR="00792A08" w:rsidRDefault="00792A08" w:rsidP="00792A08">
      <w:pPr>
        <w:pStyle w:val="a3"/>
      </w:pPr>
    </w:p>
    <w:p w14:paraId="6B79FFF9" w14:textId="27016D0F" w:rsidR="00792A08" w:rsidRDefault="00792A08" w:rsidP="00792A08">
      <w:pPr>
        <w:pStyle w:val="a3"/>
      </w:pPr>
      <w:r>
        <w:t xml:space="preserve">Hoskisson, R.E., Wright, M., Filatotchev, I. and Peng, M.W. (2012). Emerging Multinationals from Mid-Range Economies: The Influence of Institutions and Factor Markets. </w:t>
      </w:r>
      <w:r>
        <w:rPr>
          <w:i/>
          <w:iCs/>
        </w:rPr>
        <w:t>Journal of Management Studies</w:t>
      </w:r>
      <w:r>
        <w:t>, [online] p.n/a-n/a. doi:10.1111/j.1467-6486.2012.01085.x.</w:t>
      </w:r>
    </w:p>
    <w:p w14:paraId="7CC1ADF0" w14:textId="77777777" w:rsidR="00792A08" w:rsidRDefault="00792A08" w:rsidP="00792A08">
      <w:pPr>
        <w:pStyle w:val="a3"/>
      </w:pPr>
    </w:p>
    <w:p w14:paraId="425DE1C0" w14:textId="6E0CD113" w:rsidR="00792A08" w:rsidRDefault="00792A08" w:rsidP="00792A08">
      <w:pPr>
        <w:pStyle w:val="a3"/>
      </w:pPr>
      <w:r>
        <w:t xml:space="preserve">Huang, J., Tong, J., Wang, P. and Zheng, X. (2022). </w:t>
      </w:r>
      <w:r>
        <w:rPr>
          <w:i/>
          <w:iCs/>
        </w:rPr>
        <w:t>Application and Comparison of NPV and IRR Methods in the Company Investment Decision</w:t>
      </w:r>
      <w:r>
        <w:t>. [online] www.atlantis-press.com. doi:10.2991/aebmr.k.220307.012.</w:t>
      </w:r>
    </w:p>
    <w:p w14:paraId="7CBDAF53" w14:textId="77777777" w:rsidR="00792A08" w:rsidRDefault="00792A08" w:rsidP="00792A08">
      <w:pPr>
        <w:pStyle w:val="a3"/>
      </w:pPr>
    </w:p>
    <w:p w14:paraId="26AA6AFA" w14:textId="13FBF2E0" w:rsidR="00792A08" w:rsidRDefault="00792A08" w:rsidP="00792A08">
      <w:pPr>
        <w:pStyle w:val="a3"/>
      </w:pPr>
      <w:r>
        <w:t xml:space="preserve">Liu, J., Jin, F., Xie, Q. and Skitmore, M. (2017). Improving risk assessment in financial feasibility of international engineering projects: A risk driver perspective. </w:t>
      </w:r>
      <w:r>
        <w:rPr>
          <w:i/>
          <w:iCs/>
        </w:rPr>
        <w:t>International Journal of Project Management</w:t>
      </w:r>
      <w:r>
        <w:t>, 35(2), pp.204–211. doi:10.1016/j.ijproman.2016.11.004.</w:t>
      </w:r>
    </w:p>
    <w:p w14:paraId="43A12842" w14:textId="77777777" w:rsidR="00792A08" w:rsidRDefault="00792A08" w:rsidP="00792A08">
      <w:pPr>
        <w:pStyle w:val="a3"/>
      </w:pPr>
    </w:p>
    <w:p w14:paraId="72D6C5B2" w14:textId="18923E40" w:rsidR="00792A08" w:rsidRDefault="00792A08" w:rsidP="00792A08">
      <w:pPr>
        <w:pStyle w:val="a3"/>
      </w:pPr>
      <w:r>
        <w:t xml:space="preserve">Omerhodžić, S. (2014). Identification and Evaluation of Factors of Dividend Policy. </w:t>
      </w:r>
      <w:r>
        <w:rPr>
          <w:i/>
          <w:iCs/>
        </w:rPr>
        <w:t>Economic analysis</w:t>
      </w:r>
      <w:r>
        <w:t>, [online] 47(1-2), pp.42–58. Available at: http://ebooks.ien.bg.ac.rs/344/ [Accessed 11 Dec. 2022].</w:t>
      </w:r>
    </w:p>
    <w:p w14:paraId="3D6AE1A9" w14:textId="77777777" w:rsidR="00792A08" w:rsidRDefault="00792A08" w:rsidP="00792A08">
      <w:pPr>
        <w:pStyle w:val="a3"/>
      </w:pPr>
    </w:p>
    <w:p w14:paraId="346B2571" w14:textId="485FE404" w:rsidR="00792A08" w:rsidRDefault="00792A08" w:rsidP="00792A08">
      <w:pPr>
        <w:pStyle w:val="a3"/>
      </w:pPr>
      <w:r>
        <w:t xml:space="preserve">Sagner, J. (2014). </w:t>
      </w:r>
      <w:r>
        <w:rPr>
          <w:i/>
          <w:iCs/>
        </w:rPr>
        <w:t>Working Capital Management: Applications and Case Studies</w:t>
      </w:r>
      <w:r>
        <w:t xml:space="preserve">. [online] </w:t>
      </w:r>
      <w:r>
        <w:rPr>
          <w:i/>
          <w:iCs/>
        </w:rPr>
        <w:t>Google Books</w:t>
      </w:r>
      <w:r>
        <w:t>. John Wiley &amp; Sons. Available at: https://books.google.com/books?hl=en&amp;lr=&amp;id=hJstBAAAQBAJ&amp;oi=fnd&amp;pg=PR13&amp;dq=In+order+to+make+the+best+decisions+for+the+company%27s+short-term+liquidity+and+capital+financing [Accessed 11 Dec. 2022].</w:t>
      </w:r>
    </w:p>
    <w:p w14:paraId="21BB3C34" w14:textId="77777777" w:rsidR="00792A08" w:rsidRDefault="00792A08" w:rsidP="00792A08">
      <w:pPr>
        <w:pStyle w:val="a3"/>
      </w:pPr>
    </w:p>
    <w:p w14:paraId="0D88298F" w14:textId="77777777" w:rsidR="00792A08" w:rsidRDefault="00792A08" w:rsidP="00792A08">
      <w:pPr>
        <w:pStyle w:val="a3"/>
      </w:pPr>
      <w:r>
        <w:t>Universitas, S. and Ulama, N. (2020). EFFICIENCY ANALYSIS OF FIRM FINANCIAL PERFORMANCE: CASE STUDY OF PT. UNILEVER INDONESIA. [online] doi:10.14421/EkBis.2020.4.1.1204.</w:t>
      </w:r>
    </w:p>
    <w:p w14:paraId="5C414ADF" w14:textId="77777777" w:rsidR="00792A08" w:rsidRPr="00792A08" w:rsidRDefault="00792A08" w:rsidP="00792A08">
      <w:pPr>
        <w:pStyle w:val="a3"/>
      </w:pPr>
    </w:p>
    <w:p w14:paraId="7013EC20" w14:textId="77777777" w:rsidR="002B36F2" w:rsidRPr="00DA36C5" w:rsidRDefault="002B36F2" w:rsidP="00DA36C5">
      <w:pPr>
        <w:pStyle w:val="a3"/>
      </w:pPr>
    </w:p>
    <w:sectPr w:rsidR="002B36F2" w:rsidRPr="00DA36C5" w:rsidSect="005243F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6C03E3" w14:textId="77777777" w:rsidR="00F70F08" w:rsidRDefault="00F70F08" w:rsidP="00AD0260">
      <w:pPr>
        <w:spacing w:after="0" w:line="240" w:lineRule="auto"/>
      </w:pPr>
      <w:r>
        <w:separator/>
      </w:r>
    </w:p>
  </w:endnote>
  <w:endnote w:type="continuationSeparator" w:id="0">
    <w:p w14:paraId="35FCF4DF" w14:textId="77777777" w:rsidR="00F70F08" w:rsidRDefault="00F70F08" w:rsidP="00AD0260">
      <w:pPr>
        <w:spacing w:after="0" w:line="240" w:lineRule="auto"/>
      </w:pPr>
      <w:r>
        <w:continuationSeparator/>
      </w:r>
    </w:p>
  </w:endnote>
  <w:endnote w:type="continuationNotice" w:id="1">
    <w:p w14:paraId="53E3DDCC" w14:textId="77777777" w:rsidR="00290C15" w:rsidRDefault="00290C1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8AF725" w14:textId="77777777" w:rsidR="00F70F08" w:rsidRDefault="00F70F08" w:rsidP="00AD0260">
      <w:pPr>
        <w:spacing w:after="0" w:line="240" w:lineRule="auto"/>
      </w:pPr>
      <w:r>
        <w:separator/>
      </w:r>
    </w:p>
  </w:footnote>
  <w:footnote w:type="continuationSeparator" w:id="0">
    <w:p w14:paraId="11B9E1A7" w14:textId="77777777" w:rsidR="00F70F08" w:rsidRDefault="00F70F08" w:rsidP="00AD0260">
      <w:pPr>
        <w:spacing w:after="0" w:line="240" w:lineRule="auto"/>
      </w:pPr>
      <w:r>
        <w:continuationSeparator/>
      </w:r>
    </w:p>
  </w:footnote>
  <w:footnote w:type="continuationNotice" w:id="1">
    <w:p w14:paraId="3CCE38FF" w14:textId="77777777" w:rsidR="00290C15" w:rsidRDefault="00290C1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6A1913"/>
    <w:multiLevelType w:val="hybridMultilevel"/>
    <w:tmpl w:val="3782F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5752E25"/>
    <w:multiLevelType w:val="hybridMultilevel"/>
    <w:tmpl w:val="EEA4A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3CF488F"/>
    <w:multiLevelType w:val="hybridMultilevel"/>
    <w:tmpl w:val="8FB46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46512559">
    <w:abstractNumId w:val="0"/>
  </w:num>
  <w:num w:numId="2" w16cid:durableId="1891577021">
    <w:abstractNumId w:val="2"/>
  </w:num>
  <w:num w:numId="3" w16cid:durableId="19562547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removePersonalInformation/>
  <w:removeDateAndTime/>
  <w:proofState w:spelling="clean"/>
  <w:revisionView w:inkAnnotations="0"/>
  <w:defaultTabStop w:val="720"/>
  <w:hyphenationZone w:val="425"/>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U0NTI1NzE3MDOwMDRR0lEKTi0uzszPAykwqwUAWIgBcCwAAAA="/>
  </w:docVars>
  <w:rsids>
    <w:rsidRoot w:val="001C4DED"/>
    <w:rsid w:val="00007D8D"/>
    <w:rsid w:val="000525A4"/>
    <w:rsid w:val="0007741F"/>
    <w:rsid w:val="000805EA"/>
    <w:rsid w:val="000851B9"/>
    <w:rsid w:val="000904B2"/>
    <w:rsid w:val="000975FE"/>
    <w:rsid w:val="00136A70"/>
    <w:rsid w:val="00157113"/>
    <w:rsid w:val="00172621"/>
    <w:rsid w:val="00172D57"/>
    <w:rsid w:val="001845AE"/>
    <w:rsid w:val="001C01B9"/>
    <w:rsid w:val="001C4DED"/>
    <w:rsid w:val="0021475E"/>
    <w:rsid w:val="00232362"/>
    <w:rsid w:val="00275EE2"/>
    <w:rsid w:val="00290C15"/>
    <w:rsid w:val="002B36F2"/>
    <w:rsid w:val="002D0E39"/>
    <w:rsid w:val="00332320"/>
    <w:rsid w:val="00351D8B"/>
    <w:rsid w:val="003C5B1C"/>
    <w:rsid w:val="003E35D4"/>
    <w:rsid w:val="004379C2"/>
    <w:rsid w:val="004608D5"/>
    <w:rsid w:val="00462BA7"/>
    <w:rsid w:val="004B389D"/>
    <w:rsid w:val="004D60B9"/>
    <w:rsid w:val="005243FD"/>
    <w:rsid w:val="005C3157"/>
    <w:rsid w:val="00601A09"/>
    <w:rsid w:val="006669D6"/>
    <w:rsid w:val="00696BB1"/>
    <w:rsid w:val="006B01BF"/>
    <w:rsid w:val="00767630"/>
    <w:rsid w:val="007716E3"/>
    <w:rsid w:val="00792A08"/>
    <w:rsid w:val="007A394D"/>
    <w:rsid w:val="007E1AAE"/>
    <w:rsid w:val="007F13BA"/>
    <w:rsid w:val="007F47FF"/>
    <w:rsid w:val="008630D3"/>
    <w:rsid w:val="00883739"/>
    <w:rsid w:val="00885F87"/>
    <w:rsid w:val="009A79DE"/>
    <w:rsid w:val="009E3835"/>
    <w:rsid w:val="009F7906"/>
    <w:rsid w:val="00A13FC5"/>
    <w:rsid w:val="00A44244"/>
    <w:rsid w:val="00A4493F"/>
    <w:rsid w:val="00A65A77"/>
    <w:rsid w:val="00AD0260"/>
    <w:rsid w:val="00B12EEC"/>
    <w:rsid w:val="00B20B95"/>
    <w:rsid w:val="00B50E72"/>
    <w:rsid w:val="00B542BF"/>
    <w:rsid w:val="00B60C87"/>
    <w:rsid w:val="00B6789C"/>
    <w:rsid w:val="00B76D10"/>
    <w:rsid w:val="00BE51A0"/>
    <w:rsid w:val="00BF17F4"/>
    <w:rsid w:val="00BF501F"/>
    <w:rsid w:val="00C90672"/>
    <w:rsid w:val="00CA0DF9"/>
    <w:rsid w:val="00CF0BCE"/>
    <w:rsid w:val="00CF3492"/>
    <w:rsid w:val="00CF788D"/>
    <w:rsid w:val="00D13005"/>
    <w:rsid w:val="00D408BC"/>
    <w:rsid w:val="00D4579C"/>
    <w:rsid w:val="00D520B6"/>
    <w:rsid w:val="00D60ED9"/>
    <w:rsid w:val="00D83E4A"/>
    <w:rsid w:val="00DA36C5"/>
    <w:rsid w:val="00DD30E9"/>
    <w:rsid w:val="00DD4DB1"/>
    <w:rsid w:val="00E43C86"/>
    <w:rsid w:val="00EA43A7"/>
    <w:rsid w:val="00EF44A5"/>
    <w:rsid w:val="00F5219E"/>
    <w:rsid w:val="00F70F08"/>
    <w:rsid w:val="00F900B8"/>
    <w:rsid w:val="00F93AA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E6D5BA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0525A4"/>
    <w:pPr>
      <w:keepNext/>
      <w:keepLines/>
      <w:spacing w:before="240" w:after="0" w:line="360" w:lineRule="auto"/>
      <w:jc w:val="both"/>
      <w:outlineLvl w:val="0"/>
    </w:pPr>
    <w:rPr>
      <w:rFonts w:ascii="Times New Roman" w:eastAsiaTheme="majorEastAsia" w:hAnsi="Times New Roman" w:cstheme="majorBidi"/>
      <w:b/>
      <w:color w:val="2F5496"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aliases w:val="Standard"/>
    <w:uiPriority w:val="1"/>
    <w:qFormat/>
    <w:rsid w:val="00CF0BCE"/>
    <w:pPr>
      <w:spacing w:after="0" w:line="360" w:lineRule="auto"/>
      <w:jc w:val="both"/>
    </w:pPr>
    <w:rPr>
      <w:rFonts w:ascii="Times New Roman" w:hAnsi="Times New Roman"/>
      <w:sz w:val="24"/>
    </w:rPr>
  </w:style>
  <w:style w:type="character" w:customStyle="1" w:styleId="10">
    <w:name w:val="Заглавие 1 Знак"/>
    <w:basedOn w:val="a0"/>
    <w:link w:val="1"/>
    <w:uiPriority w:val="9"/>
    <w:rsid w:val="000525A4"/>
    <w:rPr>
      <w:rFonts w:ascii="Times New Roman" w:eastAsiaTheme="majorEastAsia" w:hAnsi="Times New Roman" w:cstheme="majorBidi"/>
      <w:b/>
      <w:color w:val="2F5496" w:themeColor="accent1" w:themeShade="BF"/>
      <w:sz w:val="32"/>
      <w:szCs w:val="32"/>
    </w:rPr>
  </w:style>
  <w:style w:type="paragraph" w:styleId="a4">
    <w:name w:val="header"/>
    <w:basedOn w:val="a"/>
    <w:link w:val="a5"/>
    <w:uiPriority w:val="99"/>
    <w:unhideWhenUsed/>
    <w:rsid w:val="00AD0260"/>
    <w:pPr>
      <w:tabs>
        <w:tab w:val="center" w:pos="4513"/>
        <w:tab w:val="right" w:pos="9026"/>
      </w:tabs>
      <w:spacing w:after="0" w:line="240" w:lineRule="auto"/>
    </w:pPr>
  </w:style>
  <w:style w:type="character" w:customStyle="1" w:styleId="a5">
    <w:name w:val="Горен колонтитул Знак"/>
    <w:basedOn w:val="a0"/>
    <w:link w:val="a4"/>
    <w:uiPriority w:val="99"/>
    <w:rsid w:val="00AD0260"/>
  </w:style>
  <w:style w:type="paragraph" w:styleId="a6">
    <w:name w:val="footer"/>
    <w:basedOn w:val="a"/>
    <w:link w:val="a7"/>
    <w:uiPriority w:val="99"/>
    <w:unhideWhenUsed/>
    <w:rsid w:val="00AD0260"/>
    <w:pPr>
      <w:tabs>
        <w:tab w:val="center" w:pos="4513"/>
        <w:tab w:val="right" w:pos="9026"/>
      </w:tabs>
      <w:spacing w:after="0" w:line="240" w:lineRule="auto"/>
    </w:pPr>
  </w:style>
  <w:style w:type="character" w:customStyle="1" w:styleId="a7">
    <w:name w:val="Долен колонтитул Знак"/>
    <w:basedOn w:val="a0"/>
    <w:link w:val="a6"/>
    <w:uiPriority w:val="99"/>
    <w:rsid w:val="00AD0260"/>
  </w:style>
  <w:style w:type="paragraph" w:customStyle="1" w:styleId="comp">
    <w:name w:val="comp"/>
    <w:basedOn w:val="a"/>
    <w:rsid w:val="00DA36C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a8">
    <w:name w:val="Hyperlink"/>
    <w:basedOn w:val="a0"/>
    <w:uiPriority w:val="99"/>
    <w:unhideWhenUsed/>
    <w:rsid w:val="00DA36C5"/>
    <w:rPr>
      <w:color w:val="0000FF"/>
      <w:u w:val="single"/>
    </w:rPr>
  </w:style>
  <w:style w:type="paragraph" w:styleId="a9">
    <w:name w:val="Normal (Web)"/>
    <w:basedOn w:val="a"/>
    <w:uiPriority w:val="99"/>
    <w:semiHidden/>
    <w:unhideWhenUsed/>
    <w:rsid w:val="00792A0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aa">
    <w:name w:val="Unresolved Mention"/>
    <w:basedOn w:val="a0"/>
    <w:uiPriority w:val="99"/>
    <w:semiHidden/>
    <w:unhideWhenUsed/>
    <w:rsid w:val="00792A08"/>
    <w:rPr>
      <w:color w:val="605E5C"/>
      <w:shd w:val="clear" w:color="auto" w:fill="E1DFDD"/>
    </w:rPr>
  </w:style>
  <w:style w:type="paragraph" w:styleId="ab">
    <w:name w:val="Title"/>
    <w:basedOn w:val="a"/>
    <w:next w:val="a"/>
    <w:link w:val="ac"/>
    <w:uiPriority w:val="10"/>
    <w:qFormat/>
    <w:rsid w:val="00A4424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ac">
    <w:name w:val="Заглавие Знак"/>
    <w:basedOn w:val="a0"/>
    <w:link w:val="ab"/>
    <w:uiPriority w:val="10"/>
    <w:rsid w:val="00A44244"/>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7212618">
      <w:bodyDiv w:val="1"/>
      <w:marLeft w:val="0"/>
      <w:marRight w:val="0"/>
      <w:marTop w:val="0"/>
      <w:marBottom w:val="0"/>
      <w:divBdr>
        <w:top w:val="none" w:sz="0" w:space="0" w:color="auto"/>
        <w:left w:val="none" w:sz="0" w:space="0" w:color="auto"/>
        <w:bottom w:val="none" w:sz="0" w:space="0" w:color="auto"/>
        <w:right w:val="none" w:sz="0" w:space="0" w:color="auto"/>
      </w:divBdr>
    </w:div>
    <w:div w:id="904023486">
      <w:bodyDiv w:val="1"/>
      <w:marLeft w:val="0"/>
      <w:marRight w:val="0"/>
      <w:marTop w:val="0"/>
      <w:marBottom w:val="0"/>
      <w:divBdr>
        <w:top w:val="none" w:sz="0" w:space="0" w:color="auto"/>
        <w:left w:val="none" w:sz="0" w:space="0" w:color="auto"/>
        <w:bottom w:val="none" w:sz="0" w:space="0" w:color="auto"/>
        <w:right w:val="none" w:sz="0" w:space="0" w:color="auto"/>
      </w:divBdr>
      <w:divsChild>
        <w:div w:id="5450233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 /><Relationship Id="rId13" Type="http://schemas.openxmlformats.org/officeDocument/2006/relationships/hyperlink" Target="http://www.vedogreen.it/wp-content/uploads/2013/07/Harward-Articolo_CSR.pdf" TargetMode="External" /><Relationship Id="rId3" Type="http://schemas.openxmlformats.org/officeDocument/2006/relationships/settings" Target="settings.xml" /><Relationship Id="rId7" Type="http://schemas.openxmlformats.org/officeDocument/2006/relationships/hyperlink" Target="https://www.123helpme.com/topics/Management" TargetMode="External" /><Relationship Id="rId12" Type="http://schemas.microsoft.com/office/2007/relationships/diagramDrawing" Target="diagrams/drawing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diagramColors" Target="diagrams/colors1.xm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diagramQuickStyle" Target="diagrams/quickStyle1.xml" /><Relationship Id="rId4" Type="http://schemas.openxmlformats.org/officeDocument/2006/relationships/webSettings" Target="webSettings.xml" /><Relationship Id="rId9" Type="http://schemas.openxmlformats.org/officeDocument/2006/relationships/diagramLayout" Target="diagrams/layout1.xml" /><Relationship Id="rId14" Type="http://schemas.openxmlformats.org/officeDocument/2006/relationships/fontTable" Target="fontTable.xml" /></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50D52A0-E73C-4B44-8C3A-0A24B77B0B33}" type="doc">
      <dgm:prSet loTypeId="urn:microsoft.com/office/officeart/2005/8/layout/radial5" loCatId="relationship" qsTypeId="urn:microsoft.com/office/officeart/2005/8/quickstyle/simple1" qsCatId="simple" csTypeId="urn:microsoft.com/office/officeart/2005/8/colors/accent1_2" csCatId="accent1" phldr="1"/>
      <dgm:spPr/>
      <dgm:t>
        <a:bodyPr/>
        <a:lstStyle/>
        <a:p>
          <a:endParaRPr lang="en-GB"/>
        </a:p>
      </dgm:t>
    </dgm:pt>
    <dgm:pt modelId="{86B85EC3-64B5-4C44-AE4B-CDA660C6693D}">
      <dgm:prSet phldrT="[Text]"/>
      <dgm:spPr/>
      <dgm:t>
        <a:bodyPr/>
        <a:lstStyle/>
        <a:p>
          <a:r>
            <a:rPr lang="en-GB"/>
            <a:t>Unilever's Chaallenges</a:t>
          </a:r>
        </a:p>
      </dgm:t>
    </dgm:pt>
    <dgm:pt modelId="{9C5DAF2B-444C-412D-BA43-BFF0A8C3C893}" type="parTrans" cxnId="{A1BB1D15-D124-46FA-8014-7A98EAEBF827}">
      <dgm:prSet/>
      <dgm:spPr/>
      <dgm:t>
        <a:bodyPr/>
        <a:lstStyle/>
        <a:p>
          <a:endParaRPr lang="en-GB"/>
        </a:p>
      </dgm:t>
    </dgm:pt>
    <dgm:pt modelId="{5ECDAA88-4FB1-4F14-833A-9E3FBF0F19BB}" type="sibTrans" cxnId="{A1BB1D15-D124-46FA-8014-7A98EAEBF827}">
      <dgm:prSet/>
      <dgm:spPr/>
      <dgm:t>
        <a:bodyPr/>
        <a:lstStyle/>
        <a:p>
          <a:endParaRPr lang="en-GB"/>
        </a:p>
      </dgm:t>
    </dgm:pt>
    <dgm:pt modelId="{4E0CD66E-302A-4003-80E2-5665638919A0}">
      <dgm:prSet phldrT="[Text]"/>
      <dgm:spPr/>
      <dgm:t>
        <a:bodyPr/>
        <a:lstStyle/>
        <a:p>
          <a:r>
            <a:rPr lang="en-GB" b="1" i="0"/>
            <a:t>Tax Competition</a:t>
          </a:r>
          <a:endParaRPr lang="en-GB"/>
        </a:p>
      </dgm:t>
    </dgm:pt>
    <dgm:pt modelId="{75F7808E-2AF5-4381-8357-DA6E1BEB6D63}" type="parTrans" cxnId="{CE0F75B7-CE98-4904-80B3-961726EF07E6}">
      <dgm:prSet/>
      <dgm:spPr/>
      <dgm:t>
        <a:bodyPr/>
        <a:lstStyle/>
        <a:p>
          <a:endParaRPr lang="en-GB"/>
        </a:p>
      </dgm:t>
    </dgm:pt>
    <dgm:pt modelId="{5D105D52-1962-459E-9E01-5531CCA151D5}" type="sibTrans" cxnId="{CE0F75B7-CE98-4904-80B3-961726EF07E6}">
      <dgm:prSet/>
      <dgm:spPr/>
      <dgm:t>
        <a:bodyPr/>
        <a:lstStyle/>
        <a:p>
          <a:endParaRPr lang="en-GB"/>
        </a:p>
      </dgm:t>
    </dgm:pt>
    <dgm:pt modelId="{F42D316C-44FC-476E-A2B8-A5C113CDAAED}">
      <dgm:prSet phldrT="[Text]"/>
      <dgm:spPr/>
      <dgm:t>
        <a:bodyPr/>
        <a:lstStyle/>
        <a:p>
          <a:r>
            <a:rPr lang="en-GB" b="1" i="0"/>
            <a:t>Market Imperfections</a:t>
          </a:r>
          <a:endParaRPr lang="en-GB"/>
        </a:p>
      </dgm:t>
    </dgm:pt>
    <dgm:pt modelId="{2FBF4CF2-F3AA-4A5B-A5B4-8697FF02AC25}" type="parTrans" cxnId="{5F39E627-B023-4FE1-9150-E3F3C461D0CF}">
      <dgm:prSet/>
      <dgm:spPr/>
      <dgm:t>
        <a:bodyPr/>
        <a:lstStyle/>
        <a:p>
          <a:endParaRPr lang="en-GB"/>
        </a:p>
      </dgm:t>
    </dgm:pt>
    <dgm:pt modelId="{C912D6C6-3CBD-457F-A897-A944E124CE59}" type="sibTrans" cxnId="{5F39E627-B023-4FE1-9150-E3F3C461D0CF}">
      <dgm:prSet/>
      <dgm:spPr/>
      <dgm:t>
        <a:bodyPr/>
        <a:lstStyle/>
        <a:p>
          <a:endParaRPr lang="en-GB"/>
        </a:p>
      </dgm:t>
    </dgm:pt>
    <dgm:pt modelId="{BB1E711C-699E-4F24-A674-493C97BFC1EA}">
      <dgm:prSet phldrT="[Text]"/>
      <dgm:spPr/>
      <dgm:t>
        <a:bodyPr/>
        <a:lstStyle/>
        <a:p>
          <a:r>
            <a:rPr lang="en-GB" b="1" i="0"/>
            <a:t>Lobbying</a:t>
          </a:r>
          <a:endParaRPr lang="en-GB"/>
        </a:p>
      </dgm:t>
    </dgm:pt>
    <dgm:pt modelId="{E68E45FC-9FAA-43DD-ACB6-D84F1178D6D6}" type="parTrans" cxnId="{9E8A9D39-7547-42A9-90FA-826CD36D02B4}">
      <dgm:prSet/>
      <dgm:spPr/>
      <dgm:t>
        <a:bodyPr/>
        <a:lstStyle/>
        <a:p>
          <a:endParaRPr lang="en-GB"/>
        </a:p>
      </dgm:t>
    </dgm:pt>
    <dgm:pt modelId="{AD4A3C15-A115-4C00-B707-612D5E90D9AA}" type="sibTrans" cxnId="{9E8A9D39-7547-42A9-90FA-826CD36D02B4}">
      <dgm:prSet/>
      <dgm:spPr/>
      <dgm:t>
        <a:bodyPr/>
        <a:lstStyle/>
        <a:p>
          <a:endParaRPr lang="en-GB"/>
        </a:p>
      </dgm:t>
    </dgm:pt>
    <dgm:pt modelId="{897BB6C8-2139-4E3A-9E70-96F4781B1C6C}">
      <dgm:prSet phldrT="[Text]"/>
      <dgm:spPr/>
      <dgm:t>
        <a:bodyPr/>
        <a:lstStyle/>
        <a:p>
          <a:r>
            <a:rPr lang="en-GB" b="1" i="0"/>
            <a:t>Political Instability</a:t>
          </a:r>
          <a:endParaRPr lang="en-GB"/>
        </a:p>
      </dgm:t>
    </dgm:pt>
    <dgm:pt modelId="{934F511F-A8D4-4CCC-838C-CDB8F4F8C710}" type="parTrans" cxnId="{E5DEF954-43D8-4870-B994-BBEAF934ACDF}">
      <dgm:prSet/>
      <dgm:spPr/>
      <dgm:t>
        <a:bodyPr/>
        <a:lstStyle/>
        <a:p>
          <a:endParaRPr lang="en-GB"/>
        </a:p>
      </dgm:t>
    </dgm:pt>
    <dgm:pt modelId="{40ECF8C8-3285-427A-AB7F-E968DCE8F6C2}" type="sibTrans" cxnId="{E5DEF954-43D8-4870-B994-BBEAF934ACDF}">
      <dgm:prSet/>
      <dgm:spPr/>
      <dgm:t>
        <a:bodyPr/>
        <a:lstStyle/>
        <a:p>
          <a:endParaRPr lang="en-GB"/>
        </a:p>
      </dgm:t>
    </dgm:pt>
    <dgm:pt modelId="{32812CC4-5AEC-4F2E-9A3B-E23553EFA87A}" type="pres">
      <dgm:prSet presAssocID="{250D52A0-E73C-4B44-8C3A-0A24B77B0B33}" presName="Name0" presStyleCnt="0">
        <dgm:presLayoutVars>
          <dgm:chMax val="1"/>
          <dgm:dir/>
          <dgm:animLvl val="ctr"/>
          <dgm:resizeHandles val="exact"/>
        </dgm:presLayoutVars>
      </dgm:prSet>
      <dgm:spPr/>
    </dgm:pt>
    <dgm:pt modelId="{9B622BFE-508E-4E57-9B3F-0ECE77CBE5EB}" type="pres">
      <dgm:prSet presAssocID="{86B85EC3-64B5-4C44-AE4B-CDA660C6693D}" presName="centerShape" presStyleLbl="node0" presStyleIdx="0" presStyleCnt="1" custScaleX="133242" custScaleY="140929"/>
      <dgm:spPr/>
    </dgm:pt>
    <dgm:pt modelId="{AB8535EE-D465-4192-894E-2AF6D3E5A06B}" type="pres">
      <dgm:prSet presAssocID="{75F7808E-2AF5-4381-8357-DA6E1BEB6D63}" presName="parTrans" presStyleLbl="sibTrans2D1" presStyleIdx="0" presStyleCnt="4"/>
      <dgm:spPr/>
    </dgm:pt>
    <dgm:pt modelId="{CD03E955-D1A6-4676-B511-710D2991FA71}" type="pres">
      <dgm:prSet presAssocID="{75F7808E-2AF5-4381-8357-DA6E1BEB6D63}" presName="connectorText" presStyleLbl="sibTrans2D1" presStyleIdx="0" presStyleCnt="4"/>
      <dgm:spPr/>
    </dgm:pt>
    <dgm:pt modelId="{F26E77F6-E67B-4862-BAD3-4E76F5E99C5A}" type="pres">
      <dgm:prSet presAssocID="{4E0CD66E-302A-4003-80E2-5665638919A0}" presName="node" presStyleLbl="node1" presStyleIdx="0" presStyleCnt="4" custRadScaleRad="105493">
        <dgm:presLayoutVars>
          <dgm:bulletEnabled val="1"/>
        </dgm:presLayoutVars>
      </dgm:prSet>
      <dgm:spPr/>
    </dgm:pt>
    <dgm:pt modelId="{18174246-AD45-413B-839C-5C6828693B1E}" type="pres">
      <dgm:prSet presAssocID="{2FBF4CF2-F3AA-4A5B-A5B4-8697FF02AC25}" presName="parTrans" presStyleLbl="sibTrans2D1" presStyleIdx="1" presStyleCnt="4"/>
      <dgm:spPr/>
    </dgm:pt>
    <dgm:pt modelId="{50A0FA61-79F1-463C-BF46-B841488CC8C4}" type="pres">
      <dgm:prSet presAssocID="{2FBF4CF2-F3AA-4A5B-A5B4-8697FF02AC25}" presName="connectorText" presStyleLbl="sibTrans2D1" presStyleIdx="1" presStyleCnt="4"/>
      <dgm:spPr/>
    </dgm:pt>
    <dgm:pt modelId="{5F102D9B-CA59-42ED-827B-C0FE05A4930D}" type="pres">
      <dgm:prSet presAssocID="{F42D316C-44FC-476E-A2B8-A5C113CDAAED}" presName="node" presStyleLbl="node1" presStyleIdx="1" presStyleCnt="4" custRadScaleRad="115123" custRadScaleInc="-2505">
        <dgm:presLayoutVars>
          <dgm:bulletEnabled val="1"/>
        </dgm:presLayoutVars>
      </dgm:prSet>
      <dgm:spPr/>
    </dgm:pt>
    <dgm:pt modelId="{69403B06-CB09-412F-A148-080D94FB804A}" type="pres">
      <dgm:prSet presAssocID="{E68E45FC-9FAA-43DD-ACB6-D84F1178D6D6}" presName="parTrans" presStyleLbl="sibTrans2D1" presStyleIdx="2" presStyleCnt="4"/>
      <dgm:spPr/>
    </dgm:pt>
    <dgm:pt modelId="{30AF7995-4DDF-406E-AC55-8937A3A8635C}" type="pres">
      <dgm:prSet presAssocID="{E68E45FC-9FAA-43DD-ACB6-D84F1178D6D6}" presName="connectorText" presStyleLbl="sibTrans2D1" presStyleIdx="2" presStyleCnt="4"/>
      <dgm:spPr/>
    </dgm:pt>
    <dgm:pt modelId="{B14FDFCC-9BF1-46BC-BD69-C4A35088B503}" type="pres">
      <dgm:prSet presAssocID="{BB1E711C-699E-4F24-A674-493C97BFC1EA}" presName="node" presStyleLbl="node1" presStyleIdx="2" presStyleCnt="4">
        <dgm:presLayoutVars>
          <dgm:bulletEnabled val="1"/>
        </dgm:presLayoutVars>
      </dgm:prSet>
      <dgm:spPr/>
    </dgm:pt>
    <dgm:pt modelId="{A494BA84-03DB-4943-B209-89AE2CCA88E6}" type="pres">
      <dgm:prSet presAssocID="{934F511F-A8D4-4CCC-838C-CDB8F4F8C710}" presName="parTrans" presStyleLbl="sibTrans2D1" presStyleIdx="3" presStyleCnt="4"/>
      <dgm:spPr/>
    </dgm:pt>
    <dgm:pt modelId="{E5C208DF-F586-41FF-AEBF-A3F27C4AE573}" type="pres">
      <dgm:prSet presAssocID="{934F511F-A8D4-4CCC-838C-CDB8F4F8C710}" presName="connectorText" presStyleLbl="sibTrans2D1" presStyleIdx="3" presStyleCnt="4"/>
      <dgm:spPr/>
    </dgm:pt>
    <dgm:pt modelId="{692CAC72-E77A-46D7-9AAE-691CC84E33C8}" type="pres">
      <dgm:prSet presAssocID="{897BB6C8-2139-4E3A-9E70-96F4781B1C6C}" presName="node" presStyleLbl="node1" presStyleIdx="3" presStyleCnt="4" custRadScaleRad="110570">
        <dgm:presLayoutVars>
          <dgm:bulletEnabled val="1"/>
        </dgm:presLayoutVars>
      </dgm:prSet>
      <dgm:spPr/>
    </dgm:pt>
  </dgm:ptLst>
  <dgm:cxnLst>
    <dgm:cxn modelId="{5B632F06-9F8C-43F4-885E-CDE334D541CF}" type="presOf" srcId="{86B85EC3-64B5-4C44-AE4B-CDA660C6693D}" destId="{9B622BFE-508E-4E57-9B3F-0ECE77CBE5EB}" srcOrd="0" destOrd="0" presId="urn:microsoft.com/office/officeart/2005/8/layout/radial5"/>
    <dgm:cxn modelId="{34D9E513-FF79-4115-8C76-EDFC70A61B5B}" type="presOf" srcId="{E68E45FC-9FAA-43DD-ACB6-D84F1178D6D6}" destId="{30AF7995-4DDF-406E-AC55-8937A3A8635C}" srcOrd="1" destOrd="0" presId="urn:microsoft.com/office/officeart/2005/8/layout/radial5"/>
    <dgm:cxn modelId="{A1BB1D15-D124-46FA-8014-7A98EAEBF827}" srcId="{250D52A0-E73C-4B44-8C3A-0A24B77B0B33}" destId="{86B85EC3-64B5-4C44-AE4B-CDA660C6693D}" srcOrd="0" destOrd="0" parTransId="{9C5DAF2B-444C-412D-BA43-BFF0A8C3C893}" sibTransId="{5ECDAA88-4FB1-4F14-833A-9E3FBF0F19BB}"/>
    <dgm:cxn modelId="{14E10224-3D33-4D1A-86A2-B4F2A77D1AB3}" type="presOf" srcId="{897BB6C8-2139-4E3A-9E70-96F4781B1C6C}" destId="{692CAC72-E77A-46D7-9AAE-691CC84E33C8}" srcOrd="0" destOrd="0" presId="urn:microsoft.com/office/officeart/2005/8/layout/radial5"/>
    <dgm:cxn modelId="{5F39E627-B023-4FE1-9150-E3F3C461D0CF}" srcId="{86B85EC3-64B5-4C44-AE4B-CDA660C6693D}" destId="{F42D316C-44FC-476E-A2B8-A5C113CDAAED}" srcOrd="1" destOrd="0" parTransId="{2FBF4CF2-F3AA-4A5B-A5B4-8697FF02AC25}" sibTransId="{C912D6C6-3CBD-457F-A897-A944E124CE59}"/>
    <dgm:cxn modelId="{9E8A9D39-7547-42A9-90FA-826CD36D02B4}" srcId="{86B85EC3-64B5-4C44-AE4B-CDA660C6693D}" destId="{BB1E711C-699E-4F24-A674-493C97BFC1EA}" srcOrd="2" destOrd="0" parTransId="{E68E45FC-9FAA-43DD-ACB6-D84F1178D6D6}" sibTransId="{AD4A3C15-A115-4C00-B707-612D5E90D9AA}"/>
    <dgm:cxn modelId="{0C00233C-BCA5-4EE5-BB81-916523A56D0B}" type="presOf" srcId="{934F511F-A8D4-4CCC-838C-CDB8F4F8C710}" destId="{A494BA84-03DB-4943-B209-89AE2CCA88E6}" srcOrd="0" destOrd="0" presId="urn:microsoft.com/office/officeart/2005/8/layout/radial5"/>
    <dgm:cxn modelId="{F108F75B-4579-4615-9846-389A3009F877}" type="presOf" srcId="{4E0CD66E-302A-4003-80E2-5665638919A0}" destId="{F26E77F6-E67B-4862-BAD3-4E76F5E99C5A}" srcOrd="0" destOrd="0" presId="urn:microsoft.com/office/officeart/2005/8/layout/radial5"/>
    <dgm:cxn modelId="{125E1D5C-DF79-4255-81C6-5108AA9925DF}" type="presOf" srcId="{2FBF4CF2-F3AA-4A5B-A5B4-8697FF02AC25}" destId="{50A0FA61-79F1-463C-BF46-B841488CC8C4}" srcOrd="1" destOrd="0" presId="urn:microsoft.com/office/officeart/2005/8/layout/radial5"/>
    <dgm:cxn modelId="{E5DEF954-43D8-4870-B994-BBEAF934ACDF}" srcId="{86B85EC3-64B5-4C44-AE4B-CDA660C6693D}" destId="{897BB6C8-2139-4E3A-9E70-96F4781B1C6C}" srcOrd="3" destOrd="0" parTransId="{934F511F-A8D4-4CCC-838C-CDB8F4F8C710}" sibTransId="{40ECF8C8-3285-427A-AB7F-E968DCE8F6C2}"/>
    <dgm:cxn modelId="{2ACC329A-4E68-4810-B5E4-006946DA5633}" type="presOf" srcId="{BB1E711C-699E-4F24-A674-493C97BFC1EA}" destId="{B14FDFCC-9BF1-46BC-BD69-C4A35088B503}" srcOrd="0" destOrd="0" presId="urn:microsoft.com/office/officeart/2005/8/layout/radial5"/>
    <dgm:cxn modelId="{4B0A0C9D-B5A4-4B6B-9CB2-39793292EEC6}" type="presOf" srcId="{75F7808E-2AF5-4381-8357-DA6E1BEB6D63}" destId="{AB8535EE-D465-4192-894E-2AF6D3E5A06B}" srcOrd="0" destOrd="0" presId="urn:microsoft.com/office/officeart/2005/8/layout/radial5"/>
    <dgm:cxn modelId="{F61567B3-D583-4225-B072-0196B9C56F5C}" type="presOf" srcId="{250D52A0-E73C-4B44-8C3A-0A24B77B0B33}" destId="{32812CC4-5AEC-4F2E-9A3B-E23553EFA87A}" srcOrd="0" destOrd="0" presId="urn:microsoft.com/office/officeart/2005/8/layout/radial5"/>
    <dgm:cxn modelId="{CE0F75B7-CE98-4904-80B3-961726EF07E6}" srcId="{86B85EC3-64B5-4C44-AE4B-CDA660C6693D}" destId="{4E0CD66E-302A-4003-80E2-5665638919A0}" srcOrd="0" destOrd="0" parTransId="{75F7808E-2AF5-4381-8357-DA6E1BEB6D63}" sibTransId="{5D105D52-1962-459E-9E01-5531CCA151D5}"/>
    <dgm:cxn modelId="{9B2E81C5-3B0B-4AF8-9EA6-A8B099F6B9BA}" type="presOf" srcId="{F42D316C-44FC-476E-A2B8-A5C113CDAAED}" destId="{5F102D9B-CA59-42ED-827B-C0FE05A4930D}" srcOrd="0" destOrd="0" presId="urn:microsoft.com/office/officeart/2005/8/layout/radial5"/>
    <dgm:cxn modelId="{EDBA8BC8-5AFB-42EE-89DC-FA540F737FCF}" type="presOf" srcId="{934F511F-A8D4-4CCC-838C-CDB8F4F8C710}" destId="{E5C208DF-F586-41FF-AEBF-A3F27C4AE573}" srcOrd="1" destOrd="0" presId="urn:microsoft.com/office/officeart/2005/8/layout/radial5"/>
    <dgm:cxn modelId="{777F55CC-2DC5-49C0-AAEB-83AADB93A62D}" type="presOf" srcId="{E68E45FC-9FAA-43DD-ACB6-D84F1178D6D6}" destId="{69403B06-CB09-412F-A148-080D94FB804A}" srcOrd="0" destOrd="0" presId="urn:microsoft.com/office/officeart/2005/8/layout/radial5"/>
    <dgm:cxn modelId="{27DE81DA-016E-4864-9008-B3FA63152CFE}" type="presOf" srcId="{2FBF4CF2-F3AA-4A5B-A5B4-8697FF02AC25}" destId="{18174246-AD45-413B-839C-5C6828693B1E}" srcOrd="0" destOrd="0" presId="urn:microsoft.com/office/officeart/2005/8/layout/radial5"/>
    <dgm:cxn modelId="{3EC5F6DF-02EB-4B74-ADA0-F2A1628EA4FE}" type="presOf" srcId="{75F7808E-2AF5-4381-8357-DA6E1BEB6D63}" destId="{CD03E955-D1A6-4676-B511-710D2991FA71}" srcOrd="1" destOrd="0" presId="urn:microsoft.com/office/officeart/2005/8/layout/radial5"/>
    <dgm:cxn modelId="{D1EFF735-2A4D-4F22-8B9C-A52443C8DB40}" type="presParOf" srcId="{32812CC4-5AEC-4F2E-9A3B-E23553EFA87A}" destId="{9B622BFE-508E-4E57-9B3F-0ECE77CBE5EB}" srcOrd="0" destOrd="0" presId="urn:microsoft.com/office/officeart/2005/8/layout/radial5"/>
    <dgm:cxn modelId="{0A2BA336-7C7F-4257-B5DA-7C715F683A0B}" type="presParOf" srcId="{32812CC4-5AEC-4F2E-9A3B-E23553EFA87A}" destId="{AB8535EE-D465-4192-894E-2AF6D3E5A06B}" srcOrd="1" destOrd="0" presId="urn:microsoft.com/office/officeart/2005/8/layout/radial5"/>
    <dgm:cxn modelId="{BF75C96A-01EF-4821-AB41-E94362921CEC}" type="presParOf" srcId="{AB8535EE-D465-4192-894E-2AF6D3E5A06B}" destId="{CD03E955-D1A6-4676-B511-710D2991FA71}" srcOrd="0" destOrd="0" presId="urn:microsoft.com/office/officeart/2005/8/layout/radial5"/>
    <dgm:cxn modelId="{857DA8E7-3FB4-4586-A5FB-0D7E2531B0A1}" type="presParOf" srcId="{32812CC4-5AEC-4F2E-9A3B-E23553EFA87A}" destId="{F26E77F6-E67B-4862-BAD3-4E76F5E99C5A}" srcOrd="2" destOrd="0" presId="urn:microsoft.com/office/officeart/2005/8/layout/radial5"/>
    <dgm:cxn modelId="{ECF351BA-9FA0-4071-A92E-4281FF15562F}" type="presParOf" srcId="{32812CC4-5AEC-4F2E-9A3B-E23553EFA87A}" destId="{18174246-AD45-413B-839C-5C6828693B1E}" srcOrd="3" destOrd="0" presId="urn:microsoft.com/office/officeart/2005/8/layout/radial5"/>
    <dgm:cxn modelId="{5A1C7020-9AAA-4F9E-9D74-39258035A67B}" type="presParOf" srcId="{18174246-AD45-413B-839C-5C6828693B1E}" destId="{50A0FA61-79F1-463C-BF46-B841488CC8C4}" srcOrd="0" destOrd="0" presId="urn:microsoft.com/office/officeart/2005/8/layout/radial5"/>
    <dgm:cxn modelId="{61467551-A5EF-4D22-989F-9D56B3134162}" type="presParOf" srcId="{32812CC4-5AEC-4F2E-9A3B-E23553EFA87A}" destId="{5F102D9B-CA59-42ED-827B-C0FE05A4930D}" srcOrd="4" destOrd="0" presId="urn:microsoft.com/office/officeart/2005/8/layout/radial5"/>
    <dgm:cxn modelId="{C7E17310-E020-46A3-836E-A43E1F71B2C7}" type="presParOf" srcId="{32812CC4-5AEC-4F2E-9A3B-E23553EFA87A}" destId="{69403B06-CB09-412F-A148-080D94FB804A}" srcOrd="5" destOrd="0" presId="urn:microsoft.com/office/officeart/2005/8/layout/radial5"/>
    <dgm:cxn modelId="{B4050110-6883-4D75-8CBA-EAED87B23E0E}" type="presParOf" srcId="{69403B06-CB09-412F-A148-080D94FB804A}" destId="{30AF7995-4DDF-406E-AC55-8937A3A8635C}" srcOrd="0" destOrd="0" presId="urn:microsoft.com/office/officeart/2005/8/layout/radial5"/>
    <dgm:cxn modelId="{DD237A9D-3C99-454D-8481-F15371627ADA}" type="presParOf" srcId="{32812CC4-5AEC-4F2E-9A3B-E23553EFA87A}" destId="{B14FDFCC-9BF1-46BC-BD69-C4A35088B503}" srcOrd="6" destOrd="0" presId="urn:microsoft.com/office/officeart/2005/8/layout/radial5"/>
    <dgm:cxn modelId="{6320BB78-1DE3-44D1-9F42-69158A906DA7}" type="presParOf" srcId="{32812CC4-5AEC-4F2E-9A3B-E23553EFA87A}" destId="{A494BA84-03DB-4943-B209-89AE2CCA88E6}" srcOrd="7" destOrd="0" presId="urn:microsoft.com/office/officeart/2005/8/layout/radial5"/>
    <dgm:cxn modelId="{091BE1EF-C0EF-4EBF-B18B-0CDF5A4D6BE6}" type="presParOf" srcId="{A494BA84-03DB-4943-B209-89AE2CCA88E6}" destId="{E5C208DF-F586-41FF-AEBF-A3F27C4AE573}" srcOrd="0" destOrd="0" presId="urn:microsoft.com/office/officeart/2005/8/layout/radial5"/>
    <dgm:cxn modelId="{B92C5108-0515-4CBC-BE01-8A58B52AEC3E}" type="presParOf" srcId="{32812CC4-5AEC-4F2E-9A3B-E23553EFA87A}" destId="{692CAC72-E77A-46D7-9AAE-691CC84E33C8}" srcOrd="8" destOrd="0" presId="urn:microsoft.com/office/officeart/2005/8/layout/radial5"/>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B622BFE-508E-4E57-9B3F-0ECE77CBE5EB}">
      <dsp:nvSpPr>
        <dsp:cNvPr id="0" name=""/>
        <dsp:cNvSpPr/>
      </dsp:nvSpPr>
      <dsp:spPr>
        <a:xfrm>
          <a:off x="2197120" y="1198554"/>
          <a:ext cx="1101683" cy="116524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Unilever's Chaallenges</a:t>
          </a:r>
        </a:p>
      </dsp:txBody>
      <dsp:txXfrm>
        <a:off x="2358458" y="1369200"/>
        <a:ext cx="779007" cy="823949"/>
      </dsp:txXfrm>
    </dsp:sp>
    <dsp:sp modelId="{AB8535EE-D465-4192-894E-2AF6D3E5A06B}">
      <dsp:nvSpPr>
        <dsp:cNvPr id="0" name=""/>
        <dsp:cNvSpPr/>
      </dsp:nvSpPr>
      <dsp:spPr>
        <a:xfrm rot="16200000">
          <a:off x="2704232" y="977959"/>
          <a:ext cx="87459" cy="28112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2717351" y="1047302"/>
        <a:ext cx="61221" cy="168673"/>
      </dsp:txXfrm>
    </dsp:sp>
    <dsp:sp modelId="{F26E77F6-E67B-4862-BAD3-4E76F5E99C5A}">
      <dsp:nvSpPr>
        <dsp:cNvPr id="0" name=""/>
        <dsp:cNvSpPr/>
      </dsp:nvSpPr>
      <dsp:spPr>
        <a:xfrm>
          <a:off x="2231194" y="0"/>
          <a:ext cx="1033536" cy="103353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i="0" kern="1200"/>
            <a:t>Tax Competition</a:t>
          </a:r>
          <a:endParaRPr lang="en-GB" sz="900" kern="1200"/>
        </a:p>
      </dsp:txBody>
      <dsp:txXfrm>
        <a:off x="2382552" y="151358"/>
        <a:ext cx="730820" cy="730820"/>
      </dsp:txXfrm>
    </dsp:sp>
    <dsp:sp modelId="{18174246-AD45-413B-839C-5C6828693B1E}">
      <dsp:nvSpPr>
        <dsp:cNvPr id="0" name=""/>
        <dsp:cNvSpPr/>
      </dsp:nvSpPr>
      <dsp:spPr>
        <a:xfrm rot="21532365">
          <a:off x="3383537" y="1626096"/>
          <a:ext cx="204447" cy="28112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3383543" y="1682923"/>
        <a:ext cx="143113" cy="168673"/>
      </dsp:txXfrm>
    </dsp:sp>
    <dsp:sp modelId="{5F102D9B-CA59-42ED-827B-C0FE05A4930D}">
      <dsp:nvSpPr>
        <dsp:cNvPr id="0" name=""/>
        <dsp:cNvSpPr/>
      </dsp:nvSpPr>
      <dsp:spPr>
        <a:xfrm>
          <a:off x="3684284" y="1235814"/>
          <a:ext cx="1033536" cy="103353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i="0" kern="1200"/>
            <a:t>Market Imperfections</a:t>
          </a:r>
          <a:endParaRPr lang="en-GB" sz="900" kern="1200"/>
        </a:p>
      </dsp:txBody>
      <dsp:txXfrm>
        <a:off x="3835642" y="1387172"/>
        <a:ext cx="730820" cy="730820"/>
      </dsp:txXfrm>
    </dsp:sp>
    <dsp:sp modelId="{69403B06-CB09-412F-A148-080D94FB804A}">
      <dsp:nvSpPr>
        <dsp:cNvPr id="0" name=""/>
        <dsp:cNvSpPr/>
      </dsp:nvSpPr>
      <dsp:spPr>
        <a:xfrm rot="5400000">
          <a:off x="2704751" y="2302320"/>
          <a:ext cx="86422" cy="28112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2717715" y="2345581"/>
        <a:ext cx="60495" cy="168673"/>
      </dsp:txXfrm>
    </dsp:sp>
    <dsp:sp modelId="{B14FDFCC-9BF1-46BC-BD69-C4A35088B503}">
      <dsp:nvSpPr>
        <dsp:cNvPr id="0" name=""/>
        <dsp:cNvSpPr/>
      </dsp:nvSpPr>
      <dsp:spPr>
        <a:xfrm>
          <a:off x="2231194" y="2526858"/>
          <a:ext cx="1033536" cy="103353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i="0" kern="1200"/>
            <a:t>Lobbying</a:t>
          </a:r>
          <a:endParaRPr lang="en-GB" sz="900" kern="1200"/>
        </a:p>
      </dsp:txBody>
      <dsp:txXfrm>
        <a:off x="2382552" y="2678216"/>
        <a:ext cx="730820" cy="730820"/>
      </dsp:txXfrm>
    </dsp:sp>
    <dsp:sp modelId="{A494BA84-03DB-4943-B209-89AE2CCA88E6}">
      <dsp:nvSpPr>
        <dsp:cNvPr id="0" name=""/>
        <dsp:cNvSpPr/>
      </dsp:nvSpPr>
      <dsp:spPr>
        <a:xfrm rot="10800000">
          <a:off x="1950908" y="1640614"/>
          <a:ext cx="173989" cy="28112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rot="10800000">
        <a:off x="2003105" y="1696838"/>
        <a:ext cx="121792" cy="168673"/>
      </dsp:txXfrm>
    </dsp:sp>
    <dsp:sp modelId="{692CAC72-E77A-46D7-9AAE-691CC84E33C8}">
      <dsp:nvSpPr>
        <dsp:cNvPr id="0" name=""/>
        <dsp:cNvSpPr/>
      </dsp:nvSpPr>
      <dsp:spPr>
        <a:xfrm>
          <a:off x="835301" y="1264406"/>
          <a:ext cx="1033536" cy="103353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i="0" kern="1200"/>
            <a:t>Political Instability</a:t>
          </a:r>
          <a:endParaRPr lang="en-GB" sz="900" kern="1200"/>
        </a:p>
      </dsp:txBody>
      <dsp:txXfrm>
        <a:off x="986659" y="1415764"/>
        <a:ext cx="730820" cy="730820"/>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1882</Words>
  <Characters>10731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2023-01-05T18:57:00Z</dcterms:created>
  <dcterms:modified xsi:type="dcterms:W3CDTF">2023-01-05T18:57:00Z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2d7f49d6f95b03036a468db2a5888cb63d709db0e0562c6b581f29dc6ed16a97</vt:lpwstr>
  </property>
</Properties>
</file>