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0843FB" w14:textId="77777777" w:rsidR="000144B0" w:rsidRPr="000144B0" w:rsidRDefault="000144B0" w:rsidP="000144B0">
      <w:pPr>
        <w:keepNext/>
        <w:keepLines/>
        <w:spacing w:after="0" w:line="360" w:lineRule="auto"/>
        <w:jc w:val="both"/>
        <w:outlineLvl w:val="0"/>
        <w:rPr>
          <w:rFonts w:ascii="Arial" w:eastAsia="Arial" w:hAnsi="Arial" w:cs="Arial"/>
          <w:b/>
          <w:bCs/>
          <w:kern w:val="0"/>
          <w:sz w:val="32"/>
          <w:szCs w:val="32"/>
          <w:lang w:val="en-GB" w:bidi="ar-SA"/>
          <w14:ligatures w14:val="none"/>
        </w:rPr>
      </w:pPr>
      <w:bookmarkStart w:id="0" w:name="_Toc235185805"/>
      <w:r w:rsidRPr="000144B0">
        <w:rPr>
          <w:rFonts w:ascii="Arial" w:eastAsia="Arial" w:hAnsi="Arial" w:cs="Arial"/>
          <w:b/>
          <w:bCs/>
          <w:kern w:val="0"/>
          <w:sz w:val="32"/>
          <w:szCs w:val="32"/>
          <w:lang w:val="en-GB" w:bidi="ar-SA"/>
          <w14:ligatures w14:val="none"/>
        </w:rPr>
        <w:t>CHAPTER 3: METHODOLOGY</w:t>
      </w:r>
      <w:bookmarkEnd w:id="0"/>
      <w:r w:rsidRPr="000144B0">
        <w:rPr>
          <w:rFonts w:ascii="Arial" w:eastAsia="Arial" w:hAnsi="Arial" w:cs="Arial"/>
          <w:b/>
          <w:bCs/>
          <w:kern w:val="0"/>
          <w:sz w:val="32"/>
          <w:szCs w:val="32"/>
          <w:lang w:val="en-GB" w:bidi="ar-SA"/>
          <w14:ligatures w14:val="none"/>
        </w:rPr>
        <w:t xml:space="preserve"> </w:t>
      </w:r>
    </w:p>
    <w:p w14:paraId="6C24B00D"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 w:name="_Toc235185806"/>
      <w:r w:rsidRPr="000144B0">
        <w:rPr>
          <w:rFonts w:ascii="Arial" w:eastAsia="Arial" w:hAnsi="Arial" w:cs="Arial"/>
          <w:b/>
          <w:bCs/>
          <w:kern w:val="0"/>
          <w:sz w:val="28"/>
          <w:szCs w:val="28"/>
          <w:lang w:val="en-GB" w:bidi="ar-SA"/>
          <w14:ligatures w14:val="none"/>
        </w:rPr>
        <w:t>3.1 Introduction</w:t>
      </w:r>
      <w:bookmarkEnd w:id="1"/>
    </w:p>
    <w:p w14:paraId="5682C195"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This chapter will incorporate information on the activities that have been included in this assignment to collect the required details. In this regard, it will encompass details on the strategies for conducting the research and the ethical considerations, which will be influential for the holistic development of the investigation. </w:t>
      </w:r>
    </w:p>
    <w:p w14:paraId="71494977"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2" w:name="_Toc235185807"/>
      <w:r w:rsidRPr="000144B0">
        <w:rPr>
          <w:rFonts w:ascii="Arial" w:eastAsia="Arial" w:hAnsi="Arial" w:cs="Arial"/>
          <w:b/>
          <w:bCs/>
          <w:kern w:val="0"/>
          <w:sz w:val="28"/>
          <w:szCs w:val="28"/>
          <w:lang w:val="en-GB" w:bidi="ar-SA"/>
          <w14:ligatures w14:val="none"/>
        </w:rPr>
        <w:t>3.2 Systematic Literature Review</w:t>
      </w:r>
      <w:bookmarkEnd w:id="2"/>
    </w:p>
    <w:p w14:paraId="2394605B"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The investigation has applied the Systematic Literature Review (SLR) method for collecting and analysing valuable information. The SLR method can offer numerous benefits to critically analyse the acceptability and relevance of the contents in the available academic resources (Chigbu, Atiku and Du Plessis, 2023). It has also been useful for this research to synthesise information from the evident patterns from the collected details. This activity returns the benefit of a reduction in biases and gaps in the researcher's knowledge. As a result, the research will be able to significantly contribute to evidence-based academic practices. </w:t>
      </w:r>
    </w:p>
    <w:p w14:paraId="0E413BEF"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Below a detailed description of the systematic review which is relevant to the chosen research topic has been presented in a form of a table-</w:t>
      </w:r>
    </w:p>
    <w:tbl>
      <w:tblPr>
        <w:tblStyle w:val="TableGrid"/>
        <w:tblW w:w="0" w:type="auto"/>
        <w:tblLook w:val="04A0" w:firstRow="1" w:lastRow="0" w:firstColumn="1" w:lastColumn="0" w:noHBand="0" w:noVBand="1"/>
      </w:tblPr>
      <w:tblGrid>
        <w:gridCol w:w="2695"/>
        <w:gridCol w:w="1260"/>
        <w:gridCol w:w="2610"/>
        <w:gridCol w:w="2454"/>
      </w:tblGrid>
      <w:tr w:rsidR="000144B0" w:rsidRPr="000144B0" w14:paraId="18EF48FE" w14:textId="77777777" w:rsidTr="00281B16">
        <w:tc>
          <w:tcPr>
            <w:tcW w:w="2695" w:type="dxa"/>
          </w:tcPr>
          <w:p w14:paraId="77A4EE20" w14:textId="77777777" w:rsidR="000144B0" w:rsidRPr="000144B0" w:rsidRDefault="000144B0" w:rsidP="000144B0">
            <w:pPr>
              <w:spacing w:line="360" w:lineRule="auto"/>
              <w:rPr>
                <w:b/>
                <w:bCs/>
                <w:lang w:val="en-GB"/>
              </w:rPr>
            </w:pPr>
            <w:r w:rsidRPr="000144B0">
              <w:rPr>
                <w:b/>
                <w:bCs/>
                <w:lang w:val="en-GB"/>
              </w:rPr>
              <w:t>Article Name</w:t>
            </w:r>
          </w:p>
        </w:tc>
        <w:tc>
          <w:tcPr>
            <w:tcW w:w="1260" w:type="dxa"/>
          </w:tcPr>
          <w:p w14:paraId="0D504B92" w14:textId="77777777" w:rsidR="000144B0" w:rsidRPr="000144B0" w:rsidRDefault="000144B0" w:rsidP="000144B0">
            <w:pPr>
              <w:spacing w:line="360" w:lineRule="auto"/>
              <w:rPr>
                <w:b/>
                <w:bCs/>
                <w:lang w:val="en-GB"/>
              </w:rPr>
            </w:pPr>
            <w:r w:rsidRPr="000144B0">
              <w:rPr>
                <w:b/>
                <w:bCs/>
                <w:lang w:val="en-GB"/>
              </w:rPr>
              <w:t>Authors</w:t>
            </w:r>
          </w:p>
        </w:tc>
        <w:tc>
          <w:tcPr>
            <w:tcW w:w="2610" w:type="dxa"/>
          </w:tcPr>
          <w:p w14:paraId="5C6FE2F3" w14:textId="77777777" w:rsidR="000144B0" w:rsidRPr="000144B0" w:rsidRDefault="000144B0" w:rsidP="000144B0">
            <w:pPr>
              <w:spacing w:line="360" w:lineRule="auto"/>
              <w:rPr>
                <w:b/>
                <w:bCs/>
                <w:lang w:val="en-GB"/>
              </w:rPr>
            </w:pPr>
            <w:r w:rsidRPr="000144B0">
              <w:rPr>
                <w:b/>
                <w:bCs/>
                <w:lang w:val="en-GB"/>
              </w:rPr>
              <w:t>Selected methodology</w:t>
            </w:r>
          </w:p>
        </w:tc>
        <w:tc>
          <w:tcPr>
            <w:tcW w:w="2454" w:type="dxa"/>
          </w:tcPr>
          <w:p w14:paraId="4B6265FC" w14:textId="77777777" w:rsidR="000144B0" w:rsidRPr="000144B0" w:rsidRDefault="000144B0" w:rsidP="000144B0">
            <w:pPr>
              <w:spacing w:line="360" w:lineRule="auto"/>
              <w:rPr>
                <w:b/>
                <w:bCs/>
                <w:lang w:val="en-GB"/>
              </w:rPr>
            </w:pPr>
            <w:r w:rsidRPr="000144B0">
              <w:rPr>
                <w:b/>
                <w:bCs/>
                <w:lang w:val="en-GB"/>
              </w:rPr>
              <w:t>Research Aims</w:t>
            </w:r>
          </w:p>
        </w:tc>
      </w:tr>
      <w:tr w:rsidR="000144B0" w:rsidRPr="000144B0" w14:paraId="0A7B14CC" w14:textId="77777777" w:rsidTr="00281B16">
        <w:tc>
          <w:tcPr>
            <w:tcW w:w="2695" w:type="dxa"/>
          </w:tcPr>
          <w:p w14:paraId="2ED006F3" w14:textId="77777777" w:rsidR="000144B0" w:rsidRPr="000144B0" w:rsidRDefault="000144B0" w:rsidP="000144B0">
            <w:pPr>
              <w:spacing w:line="360" w:lineRule="auto"/>
              <w:rPr>
                <w:lang w:val="en-GB"/>
              </w:rPr>
            </w:pPr>
            <w:r w:rsidRPr="000144B0">
              <w:rPr>
                <w:lang w:val="en-GB"/>
              </w:rPr>
              <w:t>‘</w:t>
            </w:r>
            <w:r w:rsidRPr="000144B0">
              <w:rPr>
                <w:highlight w:val="white"/>
                <w:lang w:val="en-GB"/>
              </w:rPr>
              <w:t>Retail futures: Customer experience, phygital retailing, and the Experiential Retail Territories perspective.</w:t>
            </w:r>
            <w:r w:rsidRPr="000144B0">
              <w:rPr>
                <w:lang w:val="en-GB"/>
              </w:rPr>
              <w:t>’</w:t>
            </w:r>
          </w:p>
        </w:tc>
        <w:tc>
          <w:tcPr>
            <w:tcW w:w="1260" w:type="dxa"/>
          </w:tcPr>
          <w:p w14:paraId="7DA76779" w14:textId="77777777" w:rsidR="000144B0" w:rsidRPr="000144B0" w:rsidRDefault="000144B0" w:rsidP="000144B0">
            <w:pPr>
              <w:spacing w:line="360" w:lineRule="auto"/>
              <w:rPr>
                <w:lang w:val="en-GB"/>
              </w:rPr>
            </w:pPr>
            <w:r w:rsidRPr="000144B0">
              <w:rPr>
                <w:highlight w:val="white"/>
                <w:lang w:val="en-GB"/>
              </w:rPr>
              <w:t>Alexander and Varley</w:t>
            </w:r>
            <w:r w:rsidRPr="000144B0">
              <w:rPr>
                <w:lang w:val="en-GB"/>
              </w:rPr>
              <w:t xml:space="preserve"> (2025)</w:t>
            </w:r>
          </w:p>
          <w:p w14:paraId="1A398CF0" w14:textId="77777777" w:rsidR="000144B0" w:rsidRPr="000144B0" w:rsidRDefault="000144B0" w:rsidP="000144B0">
            <w:pPr>
              <w:spacing w:line="360" w:lineRule="auto"/>
              <w:rPr>
                <w:lang w:val="en-GB"/>
              </w:rPr>
            </w:pPr>
          </w:p>
        </w:tc>
        <w:tc>
          <w:tcPr>
            <w:tcW w:w="2610" w:type="dxa"/>
          </w:tcPr>
          <w:p w14:paraId="2CE08FF5" w14:textId="77777777" w:rsidR="000144B0" w:rsidRPr="000144B0" w:rsidRDefault="000144B0" w:rsidP="000144B0">
            <w:pPr>
              <w:spacing w:line="360" w:lineRule="auto"/>
              <w:rPr>
                <w:lang w:val="en-GB"/>
              </w:rPr>
            </w:pPr>
            <w:r w:rsidRPr="000144B0">
              <w:rPr>
                <w:lang w:val="en-GB"/>
              </w:rPr>
              <w:t>For extracting the research findings, the authors have used primary qualitative data collection method, wherein they have recruited 16 elite informants.</w:t>
            </w:r>
          </w:p>
        </w:tc>
        <w:tc>
          <w:tcPr>
            <w:tcW w:w="2454" w:type="dxa"/>
          </w:tcPr>
          <w:p w14:paraId="3DFF6965" w14:textId="77777777" w:rsidR="000144B0" w:rsidRPr="000144B0" w:rsidRDefault="000144B0" w:rsidP="000144B0">
            <w:pPr>
              <w:spacing w:line="360" w:lineRule="auto"/>
              <w:rPr>
                <w:lang w:val="en-GB"/>
              </w:rPr>
            </w:pPr>
            <w:r w:rsidRPr="000144B0">
              <w:rPr>
                <w:lang w:val="en-GB"/>
              </w:rPr>
              <w:t>The research aims to critically evaluate the current retail landscape and leadership approaches that are shaping CX or customer experience.</w:t>
            </w:r>
          </w:p>
        </w:tc>
      </w:tr>
      <w:tr w:rsidR="000144B0" w:rsidRPr="000144B0" w14:paraId="3C8171D1" w14:textId="77777777" w:rsidTr="00281B16">
        <w:tc>
          <w:tcPr>
            <w:tcW w:w="2695" w:type="dxa"/>
          </w:tcPr>
          <w:p w14:paraId="2ED98611" w14:textId="77777777" w:rsidR="000144B0" w:rsidRPr="000144B0" w:rsidRDefault="000144B0" w:rsidP="000144B0">
            <w:pPr>
              <w:spacing w:line="360" w:lineRule="auto"/>
              <w:rPr>
                <w:lang w:val="en-GB"/>
              </w:rPr>
            </w:pPr>
            <w:r w:rsidRPr="000144B0">
              <w:rPr>
                <w:lang w:val="en-GB"/>
              </w:rPr>
              <w:t>‘</w:t>
            </w:r>
            <w:r w:rsidRPr="000144B0">
              <w:rPr>
                <w:highlight w:val="white"/>
                <w:lang w:val="en-GB"/>
              </w:rPr>
              <w:t>The role of augmented and virtual reality in shaping retail marketing: A meta-analysis</w:t>
            </w:r>
            <w:r w:rsidRPr="000144B0">
              <w:rPr>
                <w:lang w:val="en-GB"/>
              </w:rPr>
              <w:t>’</w:t>
            </w:r>
          </w:p>
        </w:tc>
        <w:tc>
          <w:tcPr>
            <w:tcW w:w="1260" w:type="dxa"/>
          </w:tcPr>
          <w:p w14:paraId="69F8F73D" w14:textId="137AD629" w:rsidR="000144B0" w:rsidRPr="000144B0" w:rsidRDefault="000144B0" w:rsidP="000144B0">
            <w:pPr>
              <w:spacing w:line="360" w:lineRule="auto"/>
              <w:rPr>
                <w:lang w:val="en-GB"/>
              </w:rPr>
            </w:pPr>
            <w:r w:rsidRPr="000144B0">
              <w:rPr>
                <w:lang w:val="en-GB"/>
              </w:rPr>
              <w:t xml:space="preserve">Fan </w:t>
            </w:r>
            <w:r w:rsidRPr="000144B0">
              <w:rPr>
                <w:i/>
                <w:iCs/>
                <w:lang w:val="en-GB"/>
              </w:rPr>
              <w:t>et al.,</w:t>
            </w:r>
            <w:r w:rsidRPr="000144B0">
              <w:rPr>
                <w:lang w:val="en-GB"/>
              </w:rPr>
              <w:t xml:space="preserve"> (2025)</w:t>
            </w:r>
          </w:p>
        </w:tc>
        <w:tc>
          <w:tcPr>
            <w:tcW w:w="2610" w:type="dxa"/>
          </w:tcPr>
          <w:p w14:paraId="0F31E0CA" w14:textId="77777777" w:rsidR="000144B0" w:rsidRPr="000144B0" w:rsidRDefault="000144B0" w:rsidP="000144B0">
            <w:pPr>
              <w:spacing w:line="360" w:lineRule="auto"/>
              <w:rPr>
                <w:lang w:val="en-GB"/>
              </w:rPr>
            </w:pPr>
            <w:r w:rsidRPr="000144B0">
              <w:rPr>
                <w:lang w:val="en-GB"/>
              </w:rPr>
              <w:t>For testing the research hypothesis, the authors of the research have utilised MASEM or meta-analytic structural equation modelling for conducting the primary empirical research</w:t>
            </w:r>
          </w:p>
        </w:tc>
        <w:tc>
          <w:tcPr>
            <w:tcW w:w="2454" w:type="dxa"/>
          </w:tcPr>
          <w:p w14:paraId="07896201" w14:textId="77777777" w:rsidR="000144B0" w:rsidRPr="000144B0" w:rsidRDefault="000144B0" w:rsidP="000144B0">
            <w:pPr>
              <w:spacing w:line="360" w:lineRule="auto"/>
              <w:rPr>
                <w:lang w:val="en-GB"/>
              </w:rPr>
            </w:pPr>
            <w:r w:rsidRPr="000144B0">
              <w:rPr>
                <w:lang w:val="en-GB"/>
              </w:rPr>
              <w:t xml:space="preserve">The research has focused on implementing AI and VR technologies by the retail leaders to increase the success rate of marketing while enhancing overall </w:t>
            </w:r>
            <w:r w:rsidRPr="000144B0">
              <w:rPr>
                <w:lang w:val="en-GB"/>
              </w:rPr>
              <w:lastRenderedPageBreak/>
              <w:t>purchasing experiences of customers.</w:t>
            </w:r>
          </w:p>
        </w:tc>
      </w:tr>
      <w:tr w:rsidR="000144B0" w:rsidRPr="000144B0" w14:paraId="606B33FD" w14:textId="77777777" w:rsidTr="00281B16">
        <w:tc>
          <w:tcPr>
            <w:tcW w:w="2695" w:type="dxa"/>
          </w:tcPr>
          <w:p w14:paraId="4CF83445" w14:textId="77777777" w:rsidR="000144B0" w:rsidRPr="000144B0" w:rsidRDefault="000144B0" w:rsidP="000144B0">
            <w:pPr>
              <w:spacing w:line="360" w:lineRule="auto"/>
              <w:rPr>
                <w:lang w:val="en-GB"/>
              </w:rPr>
            </w:pPr>
            <w:r w:rsidRPr="000144B0">
              <w:rPr>
                <w:lang w:val="en-GB"/>
              </w:rPr>
              <w:lastRenderedPageBreak/>
              <w:t>‘The influence of change management practices on employee engagement and organizational performance in a competitive business environment: A conceptual review’</w:t>
            </w:r>
          </w:p>
        </w:tc>
        <w:tc>
          <w:tcPr>
            <w:tcW w:w="1260" w:type="dxa"/>
          </w:tcPr>
          <w:p w14:paraId="68FA10A2" w14:textId="77777777" w:rsidR="000144B0" w:rsidRPr="000144B0" w:rsidRDefault="000144B0" w:rsidP="000144B0">
            <w:pPr>
              <w:spacing w:line="360" w:lineRule="auto"/>
              <w:rPr>
                <w:lang w:val="en-GB"/>
              </w:rPr>
            </w:pPr>
            <w:r w:rsidRPr="000144B0">
              <w:rPr>
                <w:lang w:val="en-GB"/>
              </w:rPr>
              <w:t xml:space="preserve">Iyaji, </w:t>
            </w:r>
            <w:proofErr w:type="spellStart"/>
            <w:r w:rsidRPr="000144B0">
              <w:rPr>
                <w:lang w:val="en-GB"/>
              </w:rPr>
              <w:t>Agbana</w:t>
            </w:r>
            <w:proofErr w:type="spellEnd"/>
            <w:r w:rsidRPr="000144B0">
              <w:rPr>
                <w:lang w:val="en-GB"/>
              </w:rPr>
              <w:t xml:space="preserve"> and Bakare, (2023)</w:t>
            </w:r>
          </w:p>
          <w:p w14:paraId="5C5D0153" w14:textId="77777777" w:rsidR="000144B0" w:rsidRPr="000144B0" w:rsidRDefault="000144B0" w:rsidP="000144B0">
            <w:pPr>
              <w:spacing w:line="360" w:lineRule="auto"/>
              <w:rPr>
                <w:lang w:val="en-GB"/>
              </w:rPr>
            </w:pPr>
          </w:p>
          <w:p w14:paraId="7708AB42" w14:textId="77777777" w:rsidR="000144B0" w:rsidRPr="000144B0" w:rsidRDefault="000144B0" w:rsidP="000144B0">
            <w:pPr>
              <w:spacing w:line="360" w:lineRule="auto"/>
              <w:rPr>
                <w:lang w:val="en-GB"/>
              </w:rPr>
            </w:pPr>
          </w:p>
          <w:p w14:paraId="229F0893" w14:textId="77777777" w:rsidR="000144B0" w:rsidRPr="000144B0" w:rsidRDefault="000144B0" w:rsidP="000144B0">
            <w:pPr>
              <w:spacing w:line="360" w:lineRule="auto"/>
              <w:rPr>
                <w:lang w:val="en-GB"/>
              </w:rPr>
            </w:pPr>
          </w:p>
        </w:tc>
        <w:tc>
          <w:tcPr>
            <w:tcW w:w="2610" w:type="dxa"/>
          </w:tcPr>
          <w:p w14:paraId="4A18C425" w14:textId="77777777" w:rsidR="000144B0" w:rsidRPr="000144B0" w:rsidRDefault="000144B0" w:rsidP="000144B0">
            <w:pPr>
              <w:spacing w:line="360" w:lineRule="auto"/>
              <w:rPr>
                <w:lang w:val="en-GB"/>
              </w:rPr>
            </w:pPr>
            <w:r w:rsidRPr="000144B0">
              <w:rPr>
                <w:lang w:val="en-GB"/>
              </w:rPr>
              <w:t>The research article focused on a conceptual review methodology for systematically analysing the existing literature that are connected to change management practices and leadership approaches in organisational settings</w:t>
            </w:r>
          </w:p>
        </w:tc>
        <w:tc>
          <w:tcPr>
            <w:tcW w:w="2454" w:type="dxa"/>
          </w:tcPr>
          <w:p w14:paraId="3329A9FE" w14:textId="77777777" w:rsidR="000144B0" w:rsidRPr="000144B0" w:rsidRDefault="000144B0" w:rsidP="000144B0">
            <w:pPr>
              <w:spacing w:line="360" w:lineRule="auto"/>
              <w:rPr>
                <w:lang w:val="en-GB"/>
              </w:rPr>
            </w:pPr>
            <w:r w:rsidRPr="000144B0">
              <w:rPr>
                <w:lang w:val="en-GB"/>
              </w:rPr>
              <w:t>The research aims for assessing the impact of change management on leadership practices and overall business success through achieving competitive edges.</w:t>
            </w:r>
          </w:p>
        </w:tc>
      </w:tr>
      <w:tr w:rsidR="000144B0" w:rsidRPr="000144B0" w14:paraId="30EEA28A" w14:textId="77777777" w:rsidTr="00281B16">
        <w:tc>
          <w:tcPr>
            <w:tcW w:w="2695" w:type="dxa"/>
          </w:tcPr>
          <w:p w14:paraId="0BB64C07" w14:textId="77777777" w:rsidR="000144B0" w:rsidRPr="000144B0" w:rsidRDefault="000144B0" w:rsidP="000144B0">
            <w:pPr>
              <w:spacing w:line="360" w:lineRule="auto"/>
              <w:rPr>
                <w:lang w:val="en-GB"/>
              </w:rPr>
            </w:pPr>
            <w:r w:rsidRPr="000144B0">
              <w:rPr>
                <w:lang w:val="en-GB"/>
              </w:rPr>
              <w:t>‘From disruption to innovation: The importance of the supply chain leadership style for driving logistics innovation in the face of geopolitical disruptions’</w:t>
            </w:r>
          </w:p>
        </w:tc>
        <w:tc>
          <w:tcPr>
            <w:tcW w:w="1260" w:type="dxa"/>
          </w:tcPr>
          <w:p w14:paraId="6B8F5739" w14:textId="62AD0998" w:rsidR="000144B0" w:rsidRPr="000144B0" w:rsidRDefault="000144B0" w:rsidP="000144B0">
            <w:pPr>
              <w:spacing w:line="360" w:lineRule="auto"/>
              <w:rPr>
                <w:lang w:val="en-GB"/>
              </w:rPr>
            </w:pPr>
            <w:r w:rsidRPr="000144B0">
              <w:rPr>
                <w:lang w:val="en-GB"/>
              </w:rPr>
              <w:t xml:space="preserve">Ali </w:t>
            </w:r>
            <w:r w:rsidRPr="000144B0">
              <w:rPr>
                <w:i/>
                <w:iCs/>
                <w:lang w:val="en-GB"/>
              </w:rPr>
              <w:t>et al.,</w:t>
            </w:r>
            <w:r w:rsidRPr="000144B0">
              <w:rPr>
                <w:lang w:val="en-GB"/>
              </w:rPr>
              <w:t xml:space="preserve"> (2024)</w:t>
            </w:r>
          </w:p>
        </w:tc>
        <w:tc>
          <w:tcPr>
            <w:tcW w:w="2610" w:type="dxa"/>
          </w:tcPr>
          <w:p w14:paraId="751205C3" w14:textId="77777777" w:rsidR="000144B0" w:rsidRPr="000144B0" w:rsidRDefault="000144B0" w:rsidP="000144B0">
            <w:pPr>
              <w:spacing w:line="360" w:lineRule="auto"/>
              <w:rPr>
                <w:lang w:val="en-GB"/>
              </w:rPr>
            </w:pPr>
            <w:r w:rsidRPr="000144B0">
              <w:rPr>
                <w:lang w:val="en-GB"/>
              </w:rPr>
              <w:t>For reaching the conclusive stage of the research with desired findings, the research has employed a positivist paradigm approach using both the quantifiable and observable data regarding the research topic.</w:t>
            </w:r>
          </w:p>
        </w:tc>
        <w:tc>
          <w:tcPr>
            <w:tcW w:w="2454" w:type="dxa"/>
          </w:tcPr>
          <w:p w14:paraId="4F7404F2" w14:textId="77777777" w:rsidR="000144B0" w:rsidRPr="000144B0" w:rsidRDefault="000144B0" w:rsidP="000144B0">
            <w:pPr>
              <w:spacing w:line="360" w:lineRule="auto"/>
              <w:rPr>
                <w:lang w:val="en-GB"/>
              </w:rPr>
            </w:pPr>
            <w:r w:rsidRPr="000144B0">
              <w:rPr>
                <w:lang w:val="en-GB"/>
              </w:rPr>
              <w:t xml:space="preserve">The research has highlighted the significance of driving innovation through retail supply chain networks. Retail leaders are responsible for implementing innovative approaches within their supply chain networks such as implementing Oracle Fusion Clous SCM, SAP, and IBP (Integrated Business Planning) to cope with the dynamic and competitive landscape. </w:t>
            </w:r>
          </w:p>
        </w:tc>
      </w:tr>
    </w:tbl>
    <w:p w14:paraId="4DDE4DD1" w14:textId="77777777" w:rsidR="000144B0" w:rsidRPr="000144B0" w:rsidRDefault="000144B0" w:rsidP="000144B0">
      <w:pPr>
        <w:spacing w:after="0" w:line="360" w:lineRule="auto"/>
        <w:jc w:val="both"/>
        <w:rPr>
          <w:rFonts w:ascii="Arial" w:eastAsia="Arial" w:hAnsi="Arial" w:cs="Arial"/>
          <w:b/>
          <w:bCs/>
          <w:kern w:val="0"/>
          <w:sz w:val="22"/>
          <w:szCs w:val="22"/>
          <w:lang w:val="en-GB" w:bidi="ar-SA"/>
          <w14:ligatures w14:val="none"/>
        </w:rPr>
      </w:pPr>
      <w:r w:rsidRPr="000144B0">
        <w:rPr>
          <w:rFonts w:ascii="Arial" w:eastAsia="Arial" w:hAnsi="Arial" w:cs="Arial"/>
          <w:b/>
          <w:bCs/>
          <w:kern w:val="0"/>
          <w:sz w:val="22"/>
          <w:szCs w:val="22"/>
          <w:lang w:val="en-GB" w:bidi="ar-SA"/>
          <w14:ligatures w14:val="none"/>
        </w:rPr>
        <w:t>Table 2: Systematic literature review</w:t>
      </w:r>
    </w:p>
    <w:p w14:paraId="645C21EA"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3" w:name="_Toc235185808"/>
      <w:r w:rsidRPr="000144B0">
        <w:rPr>
          <w:rFonts w:ascii="Arial" w:eastAsia="Arial" w:hAnsi="Arial" w:cs="Arial"/>
          <w:b/>
          <w:bCs/>
          <w:kern w:val="0"/>
          <w:sz w:val="28"/>
          <w:szCs w:val="28"/>
          <w:lang w:val="en-GB" w:bidi="ar-SA"/>
          <w14:ligatures w14:val="none"/>
        </w:rPr>
        <w:lastRenderedPageBreak/>
        <w:t>3.3 Search strategy</w:t>
      </w:r>
      <w:bookmarkEnd w:id="3"/>
    </w:p>
    <w:p w14:paraId="3D8E09CA"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This assignment has applied a combination of different key terms and truncating words, which have helped to collect online academic materials easily. The application of a keyword strategy for conducting research is effective for collecting the most useful sources according to the requirements of the study. This aids in locating and exploiting the most informative resources in an investigation, which contributes to maintaining a critical approach for leveraging its credibility (</w:t>
      </w:r>
      <w:proofErr w:type="spellStart"/>
      <w:r w:rsidRPr="000144B0">
        <w:rPr>
          <w:rFonts w:ascii="Arial" w:eastAsia="Arial" w:hAnsi="Arial" w:cs="Arial"/>
          <w:kern w:val="0"/>
          <w:sz w:val="22"/>
          <w:szCs w:val="22"/>
          <w:lang w:val="en-GB" w:bidi="ar-SA"/>
          <w14:ligatures w14:val="none"/>
        </w:rPr>
        <w:t>Abusaada</w:t>
      </w:r>
      <w:proofErr w:type="spellEnd"/>
      <w:r w:rsidRPr="000144B0">
        <w:rPr>
          <w:rFonts w:ascii="Arial" w:eastAsia="Arial" w:hAnsi="Arial" w:cs="Arial"/>
          <w:kern w:val="0"/>
          <w:sz w:val="22"/>
          <w:szCs w:val="22"/>
          <w:lang w:val="en-GB" w:bidi="ar-SA"/>
          <w14:ligatures w14:val="none"/>
        </w:rPr>
        <w:t xml:space="preserve"> and </w:t>
      </w:r>
      <w:proofErr w:type="spellStart"/>
      <w:r w:rsidRPr="000144B0">
        <w:rPr>
          <w:rFonts w:ascii="Arial" w:eastAsia="Arial" w:hAnsi="Arial" w:cs="Arial"/>
          <w:kern w:val="0"/>
          <w:sz w:val="22"/>
          <w:szCs w:val="22"/>
          <w:lang w:val="en-GB" w:bidi="ar-SA"/>
          <w14:ligatures w14:val="none"/>
        </w:rPr>
        <w:t>Elshater</w:t>
      </w:r>
      <w:proofErr w:type="spellEnd"/>
      <w:r w:rsidRPr="000144B0">
        <w:rPr>
          <w:rFonts w:ascii="Arial" w:eastAsia="Arial" w:hAnsi="Arial" w:cs="Arial"/>
          <w:kern w:val="0"/>
          <w:sz w:val="22"/>
          <w:szCs w:val="22"/>
          <w:lang w:val="en-GB" w:bidi="ar-SA"/>
          <w14:ligatures w14:val="none"/>
        </w:rPr>
        <w:t xml:space="preserve">, 2024). </w:t>
      </w:r>
      <w:proofErr w:type="gramStart"/>
      <w:r w:rsidRPr="000144B0">
        <w:rPr>
          <w:rFonts w:ascii="Arial" w:eastAsia="Arial" w:hAnsi="Arial" w:cs="Arial"/>
          <w:kern w:val="0"/>
          <w:sz w:val="22"/>
          <w:szCs w:val="22"/>
          <w:lang w:val="en-GB" w:bidi="ar-SA"/>
          <w14:ligatures w14:val="none"/>
        </w:rPr>
        <w:t>In order to</w:t>
      </w:r>
      <w:proofErr w:type="gramEnd"/>
      <w:r w:rsidRPr="000144B0">
        <w:rPr>
          <w:rFonts w:ascii="Arial" w:eastAsia="Arial" w:hAnsi="Arial" w:cs="Arial"/>
          <w:kern w:val="0"/>
          <w:sz w:val="22"/>
          <w:szCs w:val="22"/>
          <w:lang w:val="en-GB" w:bidi="ar-SA"/>
          <w14:ligatures w14:val="none"/>
        </w:rPr>
        <w:t xml:space="preserve"> identify relevant literature and improve search precision during the database searching Boolean operators such as ‘AND’ and ‘OR’ were applied. For choosing the reliable and relevant literary journals and research articles for data analysis, this research has utilised a PRISMA framework. Since the research has conducted a systematic review the role of leadership and management in the growing retail sector in the UK, it has offered a complete, and transparent meta-analysis of the same. Below the detailed PRISMA flow chart has been presented –</w:t>
      </w:r>
    </w:p>
    <w:p w14:paraId="0D1A66EC" w14:textId="77777777" w:rsidR="000144B0" w:rsidRPr="000144B0" w:rsidRDefault="000144B0" w:rsidP="000144B0">
      <w:pPr>
        <w:spacing w:after="0" w:line="360" w:lineRule="auto"/>
        <w:jc w:val="center"/>
        <w:rPr>
          <w:rFonts w:ascii="Arial" w:eastAsia="Arial" w:hAnsi="Arial" w:cs="Arial"/>
          <w:kern w:val="0"/>
          <w:sz w:val="22"/>
          <w:szCs w:val="22"/>
          <w:lang w:val="en-GB" w:bidi="ar-SA"/>
          <w14:ligatures w14:val="none"/>
        </w:rPr>
      </w:pPr>
      <w:r w:rsidRPr="000144B0">
        <w:rPr>
          <w:rFonts w:ascii="Arial" w:eastAsia="Arial" w:hAnsi="Arial" w:cs="Arial"/>
          <w:noProof/>
          <w:kern w:val="0"/>
          <w:sz w:val="22"/>
          <w:szCs w:val="22"/>
          <w:lang w:val="en-GB" w:bidi="ar-SA"/>
          <w14:ligatures w14:val="none"/>
        </w:rPr>
        <w:drawing>
          <wp:inline distT="0" distB="0" distL="0" distR="0" wp14:anchorId="6273AB2E" wp14:editId="0A7AF6A8">
            <wp:extent cx="4428490" cy="3971859"/>
            <wp:effectExtent l="0" t="0" r="0" b="0"/>
            <wp:docPr id="1264321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21375" name=""/>
                    <pic:cNvPicPr/>
                  </pic:nvPicPr>
                  <pic:blipFill>
                    <a:blip r:embed="rId4"/>
                    <a:stretch>
                      <a:fillRect/>
                    </a:stretch>
                  </pic:blipFill>
                  <pic:spPr>
                    <a:xfrm>
                      <a:off x="0" y="0"/>
                      <a:ext cx="4430217" cy="3973408"/>
                    </a:xfrm>
                    <a:prstGeom prst="rect">
                      <a:avLst/>
                    </a:prstGeom>
                  </pic:spPr>
                </pic:pic>
              </a:graphicData>
            </a:graphic>
          </wp:inline>
        </w:drawing>
      </w:r>
    </w:p>
    <w:p w14:paraId="48EB2BB9" w14:textId="77777777" w:rsidR="000144B0" w:rsidRPr="000144B0" w:rsidRDefault="000144B0" w:rsidP="000144B0">
      <w:pPr>
        <w:keepNext/>
        <w:keepLines/>
        <w:spacing w:after="0" w:line="360" w:lineRule="auto"/>
        <w:jc w:val="center"/>
        <w:outlineLvl w:val="3"/>
        <w:rPr>
          <w:rFonts w:ascii="Arial" w:eastAsia="Arial" w:hAnsi="Arial" w:cs="Arial"/>
          <w:b/>
          <w:bCs/>
          <w:kern w:val="0"/>
          <w:sz w:val="22"/>
          <w:szCs w:val="22"/>
          <w:lang w:val="en-GB" w:bidi="ar-SA"/>
          <w14:ligatures w14:val="none"/>
        </w:rPr>
      </w:pPr>
      <w:bookmarkStart w:id="4" w:name="_Toc235183017"/>
      <w:r w:rsidRPr="000144B0">
        <w:rPr>
          <w:rFonts w:ascii="Arial" w:eastAsia="Arial" w:hAnsi="Arial" w:cs="Arial"/>
          <w:b/>
          <w:bCs/>
          <w:kern w:val="0"/>
          <w:sz w:val="22"/>
          <w:szCs w:val="22"/>
          <w:lang w:val="en-GB" w:bidi="ar-SA"/>
          <w14:ligatures w14:val="none"/>
        </w:rPr>
        <w:t>Figure 3.3.1: Prisma Flowchart</w:t>
      </w:r>
      <w:bookmarkEnd w:id="4"/>
    </w:p>
    <w:p w14:paraId="00F936B2"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Based on the PRISMA framework presented as the figure 3.3.1, it can be stated that at the initial level, 200 journals and research articles have been selected. Based on the research inclusion and exclusion criteria, 20 articles have been removed from the database marking duplicates. After </w:t>
      </w:r>
      <w:r w:rsidRPr="000144B0">
        <w:rPr>
          <w:rFonts w:ascii="Arial" w:eastAsia="Arial" w:hAnsi="Arial" w:cs="Arial"/>
          <w:kern w:val="0"/>
          <w:sz w:val="22"/>
          <w:szCs w:val="22"/>
          <w:lang w:val="en-GB" w:bidi="ar-SA"/>
          <w14:ligatures w14:val="none"/>
        </w:rPr>
        <w:lastRenderedPageBreak/>
        <w:t xml:space="preserve">that, out of 180 articles, 90 papers have been excluded to match the criteria of full-text assessment. From the remaining 90 journals, 32 journals were cancelled due to other reasons such as language and years of publications. Finally, the database for the research was filled with 58 qualitative and quantitative research articles, which have contributed towards extracting the accurate results at the end of the study. </w:t>
      </w:r>
    </w:p>
    <w:p w14:paraId="73B40003"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5" w:name="_Toc235185809"/>
      <w:r w:rsidRPr="000144B0">
        <w:rPr>
          <w:rFonts w:ascii="Arial" w:eastAsia="Arial" w:hAnsi="Arial" w:cs="Arial"/>
          <w:b/>
          <w:bCs/>
          <w:kern w:val="0"/>
          <w:sz w:val="28"/>
          <w:szCs w:val="28"/>
          <w:lang w:val="en-GB" w:bidi="ar-SA"/>
          <w14:ligatures w14:val="none"/>
        </w:rPr>
        <w:t>3.4 Search terms</w:t>
      </w:r>
      <w:bookmarkEnd w:id="5"/>
    </w:p>
    <w:p w14:paraId="5B715984"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The use of key search terms, such as ‘leadership’, ‘management’, ‘sales’ and ‘profit margin’, has been beneficial for finding and critically analysing the most useful academic resources. The application of useful search terms linked to the research topic has aided in conducting comprehensive literature-based research (Klarin, 2024). This has resulted in the benefit of capturing a wide variety of synonyms to reduce redundancy in the content.</w:t>
      </w:r>
    </w:p>
    <w:p w14:paraId="26840E06"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6" w:name="_Toc235185810"/>
      <w:r w:rsidRPr="000144B0">
        <w:rPr>
          <w:rFonts w:ascii="Arial" w:eastAsia="Arial" w:hAnsi="Arial" w:cs="Arial"/>
          <w:b/>
          <w:bCs/>
          <w:kern w:val="0"/>
          <w:sz w:val="28"/>
          <w:szCs w:val="28"/>
          <w:lang w:val="en-GB" w:bidi="ar-SA"/>
          <w14:ligatures w14:val="none"/>
        </w:rPr>
        <w:t>3.5 Databases</w:t>
      </w:r>
      <w:bookmarkEnd w:id="6"/>
    </w:p>
    <w:p w14:paraId="331AB354"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proofErr w:type="gramStart"/>
      <w:r w:rsidRPr="000144B0">
        <w:rPr>
          <w:rFonts w:ascii="Arial" w:eastAsia="Arial" w:hAnsi="Arial" w:cs="Arial"/>
          <w:kern w:val="0"/>
          <w:sz w:val="22"/>
          <w:szCs w:val="22"/>
          <w:lang w:val="en-GB" w:bidi="ar-SA"/>
          <w14:ligatures w14:val="none"/>
        </w:rPr>
        <w:t>In order to</w:t>
      </w:r>
      <w:proofErr w:type="gramEnd"/>
      <w:r w:rsidRPr="000144B0">
        <w:rPr>
          <w:rFonts w:ascii="Arial" w:eastAsia="Arial" w:hAnsi="Arial" w:cs="Arial"/>
          <w:kern w:val="0"/>
          <w:sz w:val="22"/>
          <w:szCs w:val="22"/>
          <w:lang w:val="en-GB" w:bidi="ar-SA"/>
          <w14:ligatures w14:val="none"/>
        </w:rPr>
        <w:t xml:space="preserve"> conduct extensive research and collect a set of useful information, the researcher has used credible databases, such as Google Scholar, ProQuest and many others. The application of credible databases has been beneficial for building a verified and peer-reviewed set of information. This has been useful for assuring the quality and reliability of the collected resources for conducting a bibliometric analysis from the collected databases. 20 articles were removed because of duplicity, and 32 papers were excluded since the articles did not have full-texts or analysis. Moreover, it can be stated that 58 research papers were finalised to proceed with the further stages of data analysis while meeting both the inclusion and exclusion criteria of the research. It is also crucial to mention that only peer-reviewed articles and credible online sources have been utilised the core database for this overall research.</w:t>
      </w:r>
    </w:p>
    <w:p w14:paraId="225E6B5E"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7" w:name="_Toc235185811"/>
      <w:r w:rsidRPr="000144B0">
        <w:rPr>
          <w:rFonts w:ascii="Arial" w:eastAsia="Arial" w:hAnsi="Arial" w:cs="Arial"/>
          <w:b/>
          <w:bCs/>
          <w:kern w:val="0"/>
          <w:sz w:val="28"/>
          <w:szCs w:val="28"/>
          <w:lang w:val="en-GB" w:bidi="ar-SA"/>
          <w14:ligatures w14:val="none"/>
        </w:rPr>
        <w:t>3.6 Inclusion/Exclusion criteria</w:t>
      </w:r>
      <w:bookmarkEnd w:id="7"/>
      <w:r w:rsidRPr="000144B0">
        <w:rPr>
          <w:rFonts w:ascii="Arial" w:eastAsia="Arial" w:hAnsi="Arial" w:cs="Arial"/>
          <w:b/>
          <w:bCs/>
          <w:kern w:val="0"/>
          <w:sz w:val="28"/>
          <w:szCs w:val="28"/>
          <w:lang w:val="en-GB" w:bidi="ar-SA"/>
          <w14:ligatures w14:val="none"/>
        </w:rPr>
        <w:t xml:space="preserve"> </w:t>
      </w:r>
    </w:p>
    <w:p w14:paraId="1B49C46D" w14:textId="77777777" w:rsidR="000144B0" w:rsidRPr="000144B0" w:rsidRDefault="000144B0" w:rsidP="000144B0">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8" w:name="_Toc235185812"/>
      <w:r w:rsidRPr="000144B0">
        <w:rPr>
          <w:rFonts w:ascii="Arial" w:eastAsia="Arial" w:hAnsi="Arial" w:cs="Arial"/>
          <w:b/>
          <w:bCs/>
          <w:kern w:val="0"/>
          <w:sz w:val="26"/>
          <w:szCs w:val="26"/>
          <w:lang w:val="en-GB" w:bidi="ar-SA"/>
          <w14:ligatures w14:val="none"/>
        </w:rPr>
        <w:t>3.6.1 Inclusion</w:t>
      </w:r>
      <w:bookmarkEnd w:id="8"/>
      <w:r w:rsidRPr="000144B0">
        <w:rPr>
          <w:rFonts w:ascii="Arial" w:eastAsia="Arial" w:hAnsi="Arial" w:cs="Arial"/>
          <w:b/>
          <w:bCs/>
          <w:kern w:val="0"/>
          <w:sz w:val="26"/>
          <w:szCs w:val="26"/>
          <w:lang w:val="en-GB" w:bidi="ar-SA"/>
          <w14:ligatures w14:val="none"/>
        </w:rPr>
        <w:t xml:space="preserve"> </w:t>
      </w:r>
    </w:p>
    <w:p w14:paraId="780143D0" w14:textId="363BA783"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Inclusion and exclusion criteria in research are significant for the collection of valid and contemporary data to generate valuable findings (Miranda </w:t>
      </w:r>
      <w:r w:rsidRPr="000144B0">
        <w:rPr>
          <w:rFonts w:ascii="Arial" w:eastAsia="Arial" w:hAnsi="Arial" w:cs="Arial"/>
          <w:i/>
          <w:iCs/>
          <w:kern w:val="0"/>
          <w:sz w:val="22"/>
          <w:szCs w:val="22"/>
          <w:lang w:val="en-GB" w:bidi="ar-SA"/>
          <w14:ligatures w14:val="none"/>
        </w:rPr>
        <w:t>et al.,</w:t>
      </w:r>
      <w:r w:rsidRPr="000144B0">
        <w:rPr>
          <w:rFonts w:ascii="Arial" w:eastAsia="Arial" w:hAnsi="Arial" w:cs="Arial"/>
          <w:kern w:val="0"/>
          <w:sz w:val="22"/>
          <w:szCs w:val="22"/>
          <w:lang w:val="en-GB" w:bidi="ar-SA"/>
          <w14:ligatures w14:val="none"/>
        </w:rPr>
        <w:t xml:space="preserve"> 2024). Regarding the current study, the inclusion criteria consist of collecting peer-reviewed journals and articles from Google Scholar, ProQuest and ScienceDirect. In addition, the study includes 58 articles and journals out of a sample size of 200 potentially relevant studies. The rationale for choosing these articles involves their relevance to the managerial influence in enhancing sales and profitability within the UK-based retail sector. On the other hand, the study also ensures to integrate peer-reviewed journals within a timeline of 5 years for contemporary relevance. Additionally, the data should be published in the English language. Reliable information from company and newspaper websites </w:t>
      </w:r>
      <w:r w:rsidRPr="000144B0">
        <w:rPr>
          <w:rFonts w:ascii="Arial" w:eastAsia="Arial" w:hAnsi="Arial" w:cs="Arial"/>
          <w:kern w:val="0"/>
          <w:sz w:val="22"/>
          <w:szCs w:val="22"/>
          <w:lang w:val="en-GB" w:bidi="ar-SA"/>
          <w14:ligatures w14:val="none"/>
        </w:rPr>
        <w:lastRenderedPageBreak/>
        <w:t xml:space="preserve">is also included in the study. </w:t>
      </w:r>
      <w:proofErr w:type="gramStart"/>
      <w:r w:rsidRPr="000144B0">
        <w:rPr>
          <w:rFonts w:ascii="Arial" w:eastAsia="Arial" w:hAnsi="Arial" w:cs="Arial"/>
          <w:kern w:val="0"/>
          <w:sz w:val="22"/>
          <w:szCs w:val="22"/>
          <w:lang w:val="en-GB" w:bidi="ar-SA"/>
          <w14:ligatures w14:val="none"/>
        </w:rPr>
        <w:t>In order to</w:t>
      </w:r>
      <w:proofErr w:type="gramEnd"/>
      <w:r w:rsidRPr="000144B0">
        <w:rPr>
          <w:rFonts w:ascii="Arial" w:eastAsia="Arial" w:hAnsi="Arial" w:cs="Arial"/>
          <w:kern w:val="0"/>
          <w:sz w:val="22"/>
          <w:szCs w:val="22"/>
          <w:lang w:val="en-GB" w:bidi="ar-SA"/>
          <w14:ligatures w14:val="none"/>
        </w:rPr>
        <w:t xml:space="preserve"> ensure that selected studies are relevant to the research objectives, achieve a peer-reviewed status and credible as further screening process was done before the final inclusion.</w:t>
      </w:r>
    </w:p>
    <w:p w14:paraId="639387EF" w14:textId="77777777" w:rsidR="000144B0" w:rsidRPr="000144B0" w:rsidRDefault="000144B0" w:rsidP="000144B0">
      <w:pPr>
        <w:keepNext/>
        <w:keepLines/>
        <w:spacing w:after="0" w:line="360" w:lineRule="auto"/>
        <w:jc w:val="both"/>
        <w:outlineLvl w:val="2"/>
        <w:rPr>
          <w:rFonts w:ascii="Arial" w:eastAsia="Arial" w:hAnsi="Arial" w:cs="Arial"/>
          <w:b/>
          <w:bCs/>
          <w:kern w:val="0"/>
          <w:sz w:val="26"/>
          <w:szCs w:val="26"/>
          <w:lang w:val="en-GB" w:bidi="ar-SA"/>
          <w14:ligatures w14:val="none"/>
        </w:rPr>
      </w:pPr>
      <w:bookmarkStart w:id="9" w:name="_Toc235185813"/>
      <w:r w:rsidRPr="000144B0">
        <w:rPr>
          <w:rFonts w:ascii="Arial" w:eastAsia="Arial" w:hAnsi="Arial" w:cs="Arial"/>
          <w:b/>
          <w:bCs/>
          <w:kern w:val="0"/>
          <w:sz w:val="26"/>
          <w:szCs w:val="26"/>
          <w:lang w:val="en-GB" w:bidi="ar-SA"/>
          <w14:ligatures w14:val="none"/>
        </w:rPr>
        <w:t>3.6.2 Exclusion</w:t>
      </w:r>
      <w:bookmarkEnd w:id="9"/>
      <w:r w:rsidRPr="000144B0">
        <w:rPr>
          <w:rFonts w:ascii="Arial" w:eastAsia="Arial" w:hAnsi="Arial" w:cs="Arial"/>
          <w:b/>
          <w:bCs/>
          <w:kern w:val="0"/>
          <w:sz w:val="26"/>
          <w:szCs w:val="26"/>
          <w:lang w:val="en-GB" w:bidi="ar-SA"/>
          <w14:ligatures w14:val="none"/>
        </w:rPr>
        <w:t xml:space="preserve"> </w:t>
      </w:r>
    </w:p>
    <w:p w14:paraId="2DD2C1F4"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Non-peer-reviewed journals and articles are excluded from the study. Subsequently, no information will be taken from doctoral dissertations. Journals and articles published in languages other than English are excluded. In addition, information which precedes the 5-year timeline for contemporary relevance is also excluded. Consequently, journals which are not from reputed databases such as Google Scholar, ProQuest and ScienceDirect are excluded to preserve data integrity. However, from the initial database, </w:t>
      </w:r>
    </w:p>
    <w:p w14:paraId="09677739"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0" w:name="_Toc235185814"/>
      <w:r w:rsidRPr="000144B0">
        <w:rPr>
          <w:rFonts w:ascii="Arial" w:eastAsia="Arial" w:hAnsi="Arial" w:cs="Arial"/>
          <w:b/>
          <w:bCs/>
          <w:kern w:val="0"/>
          <w:sz w:val="28"/>
          <w:szCs w:val="28"/>
          <w:lang w:val="en-GB" w:bidi="ar-SA"/>
          <w14:ligatures w14:val="none"/>
        </w:rPr>
        <w:t>3.7 Search results</w:t>
      </w:r>
      <w:bookmarkEnd w:id="10"/>
      <w:r w:rsidRPr="000144B0">
        <w:rPr>
          <w:rFonts w:ascii="Arial" w:eastAsia="Arial" w:hAnsi="Arial" w:cs="Arial"/>
          <w:b/>
          <w:bCs/>
          <w:kern w:val="0"/>
          <w:sz w:val="28"/>
          <w:szCs w:val="28"/>
          <w:lang w:val="en-GB" w:bidi="ar-SA"/>
          <w14:ligatures w14:val="none"/>
        </w:rPr>
        <w:t xml:space="preserve"> </w:t>
      </w:r>
    </w:p>
    <w:p w14:paraId="6155876B"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The study focuses on using data from a five-year timeline. In addition, databases such as Google Scholar, ProQuest and ScienceDirect were used for collecting authentic journal articles. The collected data is further evaluated based on publication time, author validity and data relevance for the research. The information collected from the journals was analysed through a thematic analysis technique. Thus, through this technique, the study </w:t>
      </w:r>
      <w:proofErr w:type="gramStart"/>
      <w:r w:rsidRPr="000144B0">
        <w:rPr>
          <w:rFonts w:ascii="Arial" w:eastAsia="Arial" w:hAnsi="Arial" w:cs="Arial"/>
          <w:kern w:val="0"/>
          <w:sz w:val="22"/>
          <w:szCs w:val="22"/>
          <w:lang w:val="en-GB" w:bidi="ar-SA"/>
          <w14:ligatures w14:val="none"/>
        </w:rPr>
        <w:t>is able to</w:t>
      </w:r>
      <w:proofErr w:type="gramEnd"/>
      <w:r w:rsidRPr="000144B0">
        <w:rPr>
          <w:rFonts w:ascii="Arial" w:eastAsia="Arial" w:hAnsi="Arial" w:cs="Arial"/>
          <w:kern w:val="0"/>
          <w:sz w:val="22"/>
          <w:szCs w:val="22"/>
          <w:lang w:val="en-GB" w:bidi="ar-SA"/>
          <w14:ligatures w14:val="none"/>
        </w:rPr>
        <w:t xml:space="preserve"> collect reliable and authentic data for addressing the overarching research questions. Nearly, 200 secondary sources were identified on the initial data collection process. However, after the application of inclusion and exclusion criteria and duplicate source removal process 58 relevant peer-reviewed studied were considered for further thematic analysis.</w:t>
      </w:r>
    </w:p>
    <w:p w14:paraId="2938F92D"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1" w:name="_Toc235185815"/>
      <w:r w:rsidRPr="000144B0">
        <w:rPr>
          <w:rFonts w:ascii="Arial" w:eastAsia="Arial" w:hAnsi="Arial" w:cs="Arial"/>
          <w:b/>
          <w:bCs/>
          <w:kern w:val="0"/>
          <w:sz w:val="28"/>
          <w:szCs w:val="28"/>
          <w:lang w:val="en-GB" w:bidi="ar-SA"/>
          <w14:ligatures w14:val="none"/>
        </w:rPr>
        <w:t>3.8 Ethical considerations</w:t>
      </w:r>
      <w:bookmarkEnd w:id="11"/>
      <w:r w:rsidRPr="000144B0">
        <w:rPr>
          <w:rFonts w:ascii="Arial" w:eastAsia="Arial" w:hAnsi="Arial" w:cs="Arial"/>
          <w:b/>
          <w:bCs/>
          <w:kern w:val="0"/>
          <w:sz w:val="28"/>
          <w:szCs w:val="28"/>
          <w:lang w:val="en-GB" w:bidi="ar-SA"/>
          <w14:ligatures w14:val="none"/>
        </w:rPr>
        <w:t xml:space="preserve"> </w:t>
      </w:r>
    </w:p>
    <w:p w14:paraId="09BBFD01" w14:textId="7F222914"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Drolet </w:t>
      </w:r>
      <w:r w:rsidRPr="000144B0">
        <w:rPr>
          <w:rFonts w:ascii="Arial" w:eastAsia="Arial" w:hAnsi="Arial" w:cs="Arial"/>
          <w:i/>
          <w:iCs/>
          <w:kern w:val="0"/>
          <w:sz w:val="22"/>
          <w:szCs w:val="22"/>
          <w:lang w:val="en-GB" w:bidi="ar-SA"/>
          <w14:ligatures w14:val="none"/>
        </w:rPr>
        <w:t>et al.,</w:t>
      </w:r>
      <w:r w:rsidRPr="000144B0">
        <w:rPr>
          <w:rFonts w:ascii="Arial" w:eastAsia="Arial" w:hAnsi="Arial" w:cs="Arial"/>
          <w:kern w:val="0"/>
          <w:sz w:val="22"/>
          <w:szCs w:val="22"/>
          <w:lang w:val="en-GB" w:bidi="ar-SA"/>
          <w14:ligatures w14:val="none"/>
        </w:rPr>
        <w:t xml:space="preserve"> (2023) state that research ethics are vital for scientific integrity, ensuring studies are valid and socially acceptable. The current study adheres to the 'Data Protection Act 2018' to ensure the parameters of data protection are followed (Gov.uk, 2025). In addition, the study adheres to the University dissertation rules and the Copyright Act for preventing exposure of data to third parties. For instance, the study abides by strict academic rules and regulations by providing the source of all information taken from external databases. </w:t>
      </w:r>
    </w:p>
    <w:p w14:paraId="0BE5D80C"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On another note, the study has been conducted with intellectual honesty, wherein plagiarism and data fabrication are strictly avoided. In addition, no irrelevant data or information has been taken for conducting the study. Hence, the results of the research are purely for academic purposes and do not intend to harm any business, sector or individual. </w:t>
      </w:r>
    </w:p>
    <w:p w14:paraId="0B9DFF2E" w14:textId="77777777" w:rsidR="000144B0" w:rsidRPr="000144B0" w:rsidRDefault="000144B0" w:rsidP="000144B0">
      <w:pPr>
        <w:keepNext/>
        <w:keepLines/>
        <w:spacing w:after="0" w:line="360" w:lineRule="auto"/>
        <w:jc w:val="both"/>
        <w:outlineLvl w:val="1"/>
        <w:rPr>
          <w:rFonts w:ascii="Arial" w:eastAsia="Arial" w:hAnsi="Arial" w:cs="Arial"/>
          <w:b/>
          <w:bCs/>
          <w:kern w:val="0"/>
          <w:sz w:val="28"/>
          <w:szCs w:val="28"/>
          <w:lang w:val="en-GB" w:bidi="ar-SA"/>
          <w14:ligatures w14:val="none"/>
        </w:rPr>
      </w:pPr>
      <w:bookmarkStart w:id="12" w:name="_Toc235185816"/>
      <w:r w:rsidRPr="000144B0">
        <w:rPr>
          <w:rFonts w:ascii="Arial" w:eastAsia="Arial" w:hAnsi="Arial" w:cs="Arial"/>
          <w:b/>
          <w:bCs/>
          <w:kern w:val="0"/>
          <w:sz w:val="28"/>
          <w:szCs w:val="28"/>
          <w:lang w:val="en-GB" w:bidi="ar-SA"/>
          <w14:ligatures w14:val="none"/>
        </w:rPr>
        <w:lastRenderedPageBreak/>
        <w:t>3.9 Chapter Summary</w:t>
      </w:r>
      <w:bookmarkEnd w:id="12"/>
      <w:r w:rsidRPr="000144B0">
        <w:rPr>
          <w:rFonts w:ascii="Arial" w:eastAsia="Arial" w:hAnsi="Arial" w:cs="Arial"/>
          <w:b/>
          <w:bCs/>
          <w:kern w:val="0"/>
          <w:sz w:val="28"/>
          <w:szCs w:val="28"/>
          <w:lang w:val="en-GB" w:bidi="ar-SA"/>
          <w14:ligatures w14:val="none"/>
        </w:rPr>
        <w:t xml:space="preserve"> </w:t>
      </w:r>
    </w:p>
    <w:p w14:paraId="475351BD" w14:textId="77777777" w:rsidR="000144B0" w:rsidRPr="000144B0" w:rsidRDefault="000144B0" w:rsidP="000144B0">
      <w:pPr>
        <w:spacing w:after="0" w:line="360" w:lineRule="auto"/>
        <w:jc w:val="both"/>
        <w:rPr>
          <w:rFonts w:ascii="Arial" w:eastAsia="Arial" w:hAnsi="Arial" w:cs="Arial"/>
          <w:kern w:val="0"/>
          <w:sz w:val="22"/>
          <w:szCs w:val="22"/>
          <w:lang w:val="en-GB" w:bidi="ar-SA"/>
          <w14:ligatures w14:val="none"/>
        </w:rPr>
      </w:pPr>
      <w:r w:rsidRPr="000144B0">
        <w:rPr>
          <w:rFonts w:ascii="Arial" w:eastAsia="Arial" w:hAnsi="Arial" w:cs="Arial"/>
          <w:kern w:val="0"/>
          <w:sz w:val="22"/>
          <w:szCs w:val="22"/>
          <w:lang w:val="en-GB" w:bidi="ar-SA"/>
          <w14:ligatures w14:val="none"/>
        </w:rPr>
        <w:t xml:space="preserve">The research has utilised a qualitative strategy for evaluating and analysing the collected information. In addition, the study also utilises key search terms to gain refined results from the study. Therefore, peer-reviewed journal articles as well as information from company and newspaper websites are also included in the study. The research also focuses exclusively on contemporary market contexts, wherein it takes information on a 5-year timeline basis. The study also homes in on maintaining ethical aspects by adhering to the Data Protection Act 2018, which helps in minimising issues of data fabrication. </w:t>
      </w:r>
    </w:p>
    <w:p w14:paraId="2DBA9ABE" w14:textId="35690629" w:rsidR="000144B0" w:rsidRPr="000144B0" w:rsidRDefault="000144B0" w:rsidP="000144B0">
      <w:pPr>
        <w:spacing w:after="0" w:line="360" w:lineRule="auto"/>
        <w:jc w:val="both"/>
        <w:rPr>
          <w:rFonts w:ascii="Arial" w:hAnsi="Arial" w:cs="Arial"/>
        </w:rPr>
      </w:pPr>
      <w:r w:rsidRPr="000144B0">
        <w:rPr>
          <w:rFonts w:ascii="Arial" w:hAnsi="Arial" w:cs="Arial"/>
        </w:rPr>
        <w:br w:type="page"/>
      </w:r>
    </w:p>
    <w:p w14:paraId="191E1223" w14:textId="0D9EC782" w:rsidR="006F3D61" w:rsidRPr="000144B0" w:rsidRDefault="000144B0" w:rsidP="000144B0">
      <w:pPr>
        <w:spacing w:after="0" w:line="360" w:lineRule="auto"/>
        <w:jc w:val="both"/>
        <w:rPr>
          <w:rFonts w:ascii="Arial" w:hAnsi="Arial" w:cs="Arial"/>
          <w:b/>
          <w:bCs/>
        </w:rPr>
      </w:pPr>
      <w:r w:rsidRPr="000144B0">
        <w:rPr>
          <w:rFonts w:ascii="Arial" w:hAnsi="Arial" w:cs="Arial"/>
          <w:b/>
          <w:bCs/>
        </w:rPr>
        <w:lastRenderedPageBreak/>
        <w:t>Reference list</w:t>
      </w:r>
    </w:p>
    <w:p w14:paraId="77901AB4" w14:textId="4B517B66" w:rsidR="000144B0" w:rsidRPr="000144B0" w:rsidRDefault="000144B0" w:rsidP="000144B0">
      <w:pPr>
        <w:spacing w:after="0" w:line="360" w:lineRule="auto"/>
        <w:jc w:val="both"/>
        <w:rPr>
          <w:rFonts w:ascii="Arial" w:hAnsi="Arial" w:cs="Arial"/>
        </w:rPr>
      </w:pPr>
      <w:r w:rsidRPr="000144B0">
        <w:rPr>
          <w:rFonts w:ascii="Arial" w:hAnsi="Arial" w:cs="Arial"/>
        </w:rPr>
        <w:t xml:space="preserve">Chigbu, U.E., Atiku, S.O. and Du Plessis, C.C. (2023) ‘The science of literature reviews: Searching, identifying, selecting, and </w:t>
      </w:r>
      <w:proofErr w:type="spellStart"/>
      <w:r w:rsidRPr="000144B0">
        <w:rPr>
          <w:rFonts w:ascii="Arial" w:hAnsi="Arial" w:cs="Arial"/>
        </w:rPr>
        <w:t>synthesising</w:t>
      </w:r>
      <w:proofErr w:type="spellEnd"/>
      <w:r w:rsidRPr="000144B0">
        <w:rPr>
          <w:rFonts w:ascii="Arial" w:hAnsi="Arial" w:cs="Arial"/>
        </w:rPr>
        <w:t xml:space="preserve">.’ </w:t>
      </w:r>
      <w:r w:rsidRPr="000144B0">
        <w:rPr>
          <w:rFonts w:ascii="Arial" w:hAnsi="Arial" w:cs="Arial"/>
          <w:i/>
          <w:iCs/>
        </w:rPr>
        <w:t>Publications</w:t>
      </w:r>
      <w:r w:rsidRPr="000144B0">
        <w:rPr>
          <w:rFonts w:ascii="Arial" w:hAnsi="Arial" w:cs="Arial"/>
        </w:rPr>
        <w:t xml:space="preserve">, </w:t>
      </w:r>
      <w:r w:rsidRPr="000144B0">
        <w:rPr>
          <w:rFonts w:ascii="Arial" w:hAnsi="Arial" w:cs="Arial"/>
          <w:i/>
          <w:iCs/>
        </w:rPr>
        <w:t>11</w:t>
      </w:r>
      <w:r w:rsidRPr="000144B0">
        <w:rPr>
          <w:rFonts w:ascii="Arial" w:hAnsi="Arial" w:cs="Arial"/>
        </w:rPr>
        <w:t xml:space="preserve">(1), p.2. Available at: </w:t>
      </w:r>
      <w:hyperlink r:id="rId5" w:history="1">
        <w:r w:rsidRPr="000144B0">
          <w:rPr>
            <w:rStyle w:val="Hyperlink"/>
            <w:rFonts w:ascii="Arial" w:hAnsi="Arial" w:cs="Arial"/>
            <w:color w:val="auto"/>
            <w:u w:val="none"/>
          </w:rPr>
          <w:t>https://doi.org/10.3390/publications11010002</w:t>
        </w:r>
      </w:hyperlink>
      <w:r w:rsidRPr="000144B0">
        <w:rPr>
          <w:rFonts w:ascii="Arial" w:hAnsi="Arial" w:cs="Arial"/>
        </w:rPr>
        <w:t>.</w:t>
      </w:r>
    </w:p>
    <w:p w14:paraId="4350A6F6" w14:textId="77777777" w:rsidR="000144B0" w:rsidRPr="000144B0" w:rsidRDefault="000144B0" w:rsidP="000144B0">
      <w:pPr>
        <w:spacing w:after="0" w:line="360" w:lineRule="auto"/>
        <w:jc w:val="both"/>
        <w:rPr>
          <w:rFonts w:ascii="Arial" w:hAnsi="Arial" w:cs="Arial"/>
        </w:rPr>
      </w:pPr>
      <w:r w:rsidRPr="000144B0">
        <w:rPr>
          <w:rFonts w:ascii="Arial" w:hAnsi="Arial" w:cs="Arial"/>
        </w:rPr>
        <w:t>Klarin, A. (2024) ‘How to conduct a bibliometric content analysis: Guidelines and contributions of content co</w:t>
      </w:r>
      <w:r w:rsidRPr="000144B0">
        <w:rPr>
          <w:rFonts w:ascii="Cambria Math" w:hAnsi="Cambria Math" w:cs="Cambria Math"/>
        </w:rPr>
        <w:t>‐</w:t>
      </w:r>
      <w:r w:rsidRPr="000144B0">
        <w:rPr>
          <w:rFonts w:ascii="Arial" w:hAnsi="Arial" w:cs="Arial"/>
        </w:rPr>
        <w:t>occurrence or co</w:t>
      </w:r>
      <w:r w:rsidRPr="000144B0">
        <w:rPr>
          <w:rFonts w:ascii="Cambria Math" w:hAnsi="Cambria Math" w:cs="Cambria Math"/>
        </w:rPr>
        <w:t>‐</w:t>
      </w:r>
      <w:r w:rsidRPr="000144B0">
        <w:rPr>
          <w:rFonts w:ascii="Arial" w:hAnsi="Arial" w:cs="Arial"/>
        </w:rPr>
        <w:t xml:space="preserve">word literature reviews.’ </w:t>
      </w:r>
      <w:r w:rsidRPr="000144B0">
        <w:rPr>
          <w:rFonts w:ascii="Arial" w:hAnsi="Arial" w:cs="Arial"/>
          <w:i/>
          <w:iCs/>
        </w:rPr>
        <w:t>International Journal of Consumer Studies</w:t>
      </w:r>
      <w:r w:rsidRPr="000144B0">
        <w:rPr>
          <w:rFonts w:ascii="Arial" w:hAnsi="Arial" w:cs="Arial"/>
        </w:rPr>
        <w:t xml:space="preserve">, </w:t>
      </w:r>
      <w:r w:rsidRPr="000144B0">
        <w:rPr>
          <w:rFonts w:ascii="Arial" w:hAnsi="Arial" w:cs="Arial"/>
          <w:i/>
          <w:iCs/>
        </w:rPr>
        <w:t>48</w:t>
      </w:r>
      <w:r w:rsidRPr="000144B0">
        <w:rPr>
          <w:rFonts w:ascii="Arial" w:hAnsi="Arial" w:cs="Arial"/>
        </w:rPr>
        <w:t xml:space="preserve">(2), p.e13031. Available at: DOI: 10.1111/ijcs.13031 </w:t>
      </w:r>
    </w:p>
    <w:p w14:paraId="7B2735CD" w14:textId="77777777" w:rsidR="000144B0" w:rsidRPr="000144B0" w:rsidRDefault="000144B0" w:rsidP="000144B0">
      <w:pPr>
        <w:spacing w:after="0" w:line="360" w:lineRule="auto"/>
        <w:jc w:val="both"/>
        <w:rPr>
          <w:rFonts w:ascii="Arial" w:hAnsi="Arial" w:cs="Arial"/>
        </w:rPr>
      </w:pPr>
      <w:r w:rsidRPr="000144B0">
        <w:rPr>
          <w:rFonts w:ascii="Arial" w:hAnsi="Arial" w:cs="Arial"/>
        </w:rPr>
        <w:t xml:space="preserve">Gov.UK. (2025) </w:t>
      </w:r>
      <w:r w:rsidRPr="000144B0">
        <w:rPr>
          <w:rFonts w:ascii="Arial" w:hAnsi="Arial" w:cs="Arial"/>
          <w:i/>
          <w:iCs/>
        </w:rPr>
        <w:t>Data Protection Act 2018</w:t>
      </w:r>
      <w:r w:rsidRPr="000144B0">
        <w:rPr>
          <w:rFonts w:ascii="Arial" w:hAnsi="Arial" w:cs="Arial"/>
        </w:rPr>
        <w:t>. Available at: https://www.ons.gov.uk/businessindustryandtrade/business/businessservices/bulletins/businessinsightsandimpactontheukeconomy/23january2025 (Accessed: 5 June 2026).</w:t>
      </w:r>
    </w:p>
    <w:p w14:paraId="32E96F3A" w14:textId="02309B6B" w:rsidR="000144B0" w:rsidRPr="000144B0" w:rsidRDefault="000144B0" w:rsidP="000144B0">
      <w:pPr>
        <w:spacing w:after="0" w:line="360" w:lineRule="auto"/>
        <w:jc w:val="both"/>
        <w:rPr>
          <w:rFonts w:ascii="Arial" w:hAnsi="Arial" w:cs="Arial"/>
        </w:rPr>
      </w:pPr>
      <w:r w:rsidRPr="000144B0">
        <w:rPr>
          <w:rFonts w:ascii="Arial" w:hAnsi="Arial" w:cs="Arial"/>
          <w:highlight w:val="white"/>
        </w:rPr>
        <w:t xml:space="preserve">Miranda, J.S., </w:t>
      </w:r>
      <w:proofErr w:type="spellStart"/>
      <w:r w:rsidRPr="000144B0">
        <w:rPr>
          <w:rFonts w:ascii="Arial" w:hAnsi="Arial" w:cs="Arial"/>
          <w:highlight w:val="white"/>
        </w:rPr>
        <w:t>Abbade</w:t>
      </w:r>
      <w:proofErr w:type="spellEnd"/>
      <w:r w:rsidRPr="000144B0">
        <w:rPr>
          <w:rFonts w:ascii="Arial" w:hAnsi="Arial" w:cs="Arial"/>
          <w:highlight w:val="white"/>
        </w:rPr>
        <w:t xml:space="preserve">, L.P., </w:t>
      </w:r>
      <w:proofErr w:type="spellStart"/>
      <w:r w:rsidRPr="000144B0">
        <w:rPr>
          <w:rFonts w:ascii="Arial" w:hAnsi="Arial" w:cs="Arial"/>
          <w:highlight w:val="white"/>
        </w:rPr>
        <w:t>Abbade</w:t>
      </w:r>
      <w:proofErr w:type="spellEnd"/>
      <w:r w:rsidRPr="000144B0">
        <w:rPr>
          <w:rFonts w:ascii="Arial" w:hAnsi="Arial" w:cs="Arial"/>
          <w:highlight w:val="white"/>
        </w:rPr>
        <w:t xml:space="preserve">, J.F., Thabane, L., </w:t>
      </w:r>
      <w:proofErr w:type="spellStart"/>
      <w:r w:rsidRPr="000144B0">
        <w:rPr>
          <w:rFonts w:ascii="Arial" w:hAnsi="Arial" w:cs="Arial"/>
          <w:highlight w:val="white"/>
        </w:rPr>
        <w:t>Mbuagbaw</w:t>
      </w:r>
      <w:proofErr w:type="spellEnd"/>
      <w:r w:rsidRPr="000144B0">
        <w:rPr>
          <w:rFonts w:ascii="Arial" w:hAnsi="Arial" w:cs="Arial"/>
          <w:highlight w:val="white"/>
        </w:rPr>
        <w:t xml:space="preserve">, L., </w:t>
      </w:r>
      <w:proofErr w:type="spellStart"/>
      <w:r w:rsidRPr="000144B0">
        <w:rPr>
          <w:rFonts w:ascii="Arial" w:hAnsi="Arial" w:cs="Arial"/>
          <w:highlight w:val="white"/>
        </w:rPr>
        <w:t>Pascon</w:t>
      </w:r>
      <w:proofErr w:type="spellEnd"/>
      <w:r w:rsidRPr="000144B0">
        <w:rPr>
          <w:rFonts w:ascii="Arial" w:hAnsi="Arial" w:cs="Arial"/>
          <w:highlight w:val="white"/>
        </w:rPr>
        <w:t xml:space="preserve">, G.C., Campanili, T.C.G.F., Santos, L.P. and de Gouveia Santos, V.L.C. (2024). ‘Deficiencies in reporting </w:t>
      </w:r>
      <w:proofErr w:type="gramStart"/>
      <w:r w:rsidRPr="000144B0">
        <w:rPr>
          <w:rFonts w:ascii="Arial" w:hAnsi="Arial" w:cs="Arial"/>
          <w:highlight w:val="white"/>
        </w:rPr>
        <w:t>inclusion/exclusion</w:t>
      </w:r>
      <w:proofErr w:type="gramEnd"/>
      <w:r w:rsidRPr="000144B0">
        <w:rPr>
          <w:rFonts w:ascii="Arial" w:hAnsi="Arial" w:cs="Arial"/>
          <w:highlight w:val="white"/>
        </w:rPr>
        <w:t xml:space="preserve"> criteria and characteristics of patients in randomized controlled trials of therapeutic interventions in pressure injuries: a systematic methodological review.’ </w:t>
      </w:r>
      <w:r w:rsidRPr="000144B0">
        <w:rPr>
          <w:rFonts w:ascii="Arial" w:hAnsi="Arial" w:cs="Arial"/>
          <w:i/>
          <w:iCs/>
          <w:highlight w:val="white"/>
        </w:rPr>
        <w:t>International Wound Journal</w:t>
      </w:r>
      <w:r w:rsidRPr="000144B0">
        <w:rPr>
          <w:rFonts w:ascii="Arial" w:hAnsi="Arial" w:cs="Arial"/>
          <w:highlight w:val="white"/>
        </w:rPr>
        <w:t xml:space="preserve">, </w:t>
      </w:r>
      <w:r w:rsidRPr="000144B0">
        <w:rPr>
          <w:rFonts w:ascii="Arial" w:hAnsi="Arial" w:cs="Arial"/>
          <w:i/>
          <w:iCs/>
          <w:highlight w:val="white"/>
        </w:rPr>
        <w:t>21</w:t>
      </w:r>
      <w:r w:rsidRPr="000144B0">
        <w:rPr>
          <w:rFonts w:ascii="Arial" w:hAnsi="Arial" w:cs="Arial"/>
          <w:highlight w:val="white"/>
        </w:rPr>
        <w:t xml:space="preserve">(2), p.e14351. </w:t>
      </w:r>
      <w:r w:rsidRPr="000144B0">
        <w:rPr>
          <w:rFonts w:ascii="Arial" w:hAnsi="Arial" w:cs="Arial"/>
        </w:rPr>
        <w:t xml:space="preserve">Available at: </w:t>
      </w:r>
      <w:r w:rsidRPr="000144B0">
        <w:rPr>
          <w:rFonts w:ascii="Arial" w:hAnsi="Arial" w:cs="Arial"/>
          <w:highlight w:val="white"/>
        </w:rPr>
        <w:t>DOI: 10.1111/iwj.14351</w:t>
      </w:r>
      <w:r w:rsidRPr="000144B0">
        <w:rPr>
          <w:rFonts w:ascii="Arial" w:hAnsi="Arial" w:cs="Arial"/>
        </w:rPr>
        <w:t>.</w:t>
      </w:r>
    </w:p>
    <w:p w14:paraId="7605BE48" w14:textId="39E01AA3" w:rsidR="000144B0" w:rsidRPr="000144B0" w:rsidRDefault="000144B0" w:rsidP="000144B0">
      <w:pPr>
        <w:spacing w:after="0" w:line="360" w:lineRule="auto"/>
        <w:jc w:val="both"/>
        <w:rPr>
          <w:rFonts w:ascii="Arial" w:hAnsi="Arial" w:cs="Arial"/>
        </w:rPr>
      </w:pPr>
      <w:proofErr w:type="spellStart"/>
      <w:r w:rsidRPr="000144B0">
        <w:rPr>
          <w:rFonts w:ascii="Arial" w:hAnsi="Arial" w:cs="Arial"/>
        </w:rPr>
        <w:t>Abusaada</w:t>
      </w:r>
      <w:proofErr w:type="spellEnd"/>
      <w:r w:rsidRPr="000144B0">
        <w:rPr>
          <w:rFonts w:ascii="Arial" w:hAnsi="Arial" w:cs="Arial"/>
        </w:rPr>
        <w:t xml:space="preserve">, H. and </w:t>
      </w:r>
      <w:proofErr w:type="spellStart"/>
      <w:r w:rsidRPr="000144B0">
        <w:rPr>
          <w:rFonts w:ascii="Arial" w:hAnsi="Arial" w:cs="Arial"/>
        </w:rPr>
        <w:t>Elshater</w:t>
      </w:r>
      <w:proofErr w:type="spellEnd"/>
      <w:r w:rsidRPr="000144B0">
        <w:rPr>
          <w:rFonts w:ascii="Arial" w:hAnsi="Arial" w:cs="Arial"/>
        </w:rPr>
        <w:t xml:space="preserve">, A. (2024) ‘Beyond keywords: effective strategies for building consistent reference lists in scientific research.’ </w:t>
      </w:r>
      <w:r w:rsidRPr="000144B0">
        <w:rPr>
          <w:rFonts w:ascii="Arial" w:hAnsi="Arial" w:cs="Arial"/>
          <w:i/>
          <w:iCs/>
        </w:rPr>
        <w:t>Publications</w:t>
      </w:r>
      <w:r w:rsidRPr="000144B0">
        <w:rPr>
          <w:rFonts w:ascii="Arial" w:hAnsi="Arial" w:cs="Arial"/>
        </w:rPr>
        <w:t xml:space="preserve">, </w:t>
      </w:r>
      <w:r w:rsidRPr="000144B0">
        <w:rPr>
          <w:rFonts w:ascii="Arial" w:hAnsi="Arial" w:cs="Arial"/>
          <w:i/>
          <w:iCs/>
        </w:rPr>
        <w:t>12</w:t>
      </w:r>
      <w:r w:rsidRPr="000144B0">
        <w:rPr>
          <w:rFonts w:ascii="Arial" w:hAnsi="Arial" w:cs="Arial"/>
        </w:rPr>
        <w:t xml:space="preserve">(3), p.25. Available at: </w:t>
      </w:r>
      <w:hyperlink r:id="rId6" w:history="1">
        <w:r w:rsidRPr="000144B0">
          <w:rPr>
            <w:rStyle w:val="Hyperlink"/>
            <w:rFonts w:ascii="Arial" w:hAnsi="Arial" w:cs="Arial"/>
            <w:color w:val="auto"/>
            <w:u w:val="none"/>
          </w:rPr>
          <w:t>https://doi.org/10.3390/publications12030025</w:t>
        </w:r>
      </w:hyperlink>
      <w:r w:rsidRPr="000144B0">
        <w:rPr>
          <w:rFonts w:ascii="Arial" w:hAnsi="Arial" w:cs="Arial"/>
        </w:rPr>
        <w:t>.</w:t>
      </w:r>
    </w:p>
    <w:p w14:paraId="62E708A2" w14:textId="77777777" w:rsidR="000144B0" w:rsidRPr="000144B0" w:rsidRDefault="000144B0" w:rsidP="000144B0">
      <w:pPr>
        <w:spacing w:after="0" w:line="360" w:lineRule="auto"/>
        <w:jc w:val="both"/>
        <w:rPr>
          <w:rFonts w:ascii="Arial" w:hAnsi="Arial" w:cs="Arial"/>
          <w:b/>
          <w:bCs/>
        </w:rPr>
      </w:pPr>
      <w:r w:rsidRPr="000144B0">
        <w:rPr>
          <w:rFonts w:ascii="Arial" w:hAnsi="Arial" w:cs="Arial"/>
        </w:rPr>
        <w:t xml:space="preserve">Chigbu, U.E., Atiku, S.O. and Du Plessis, C.C. (2023) ‘The science of literature reviews: Searching, identifying, selecting, and </w:t>
      </w:r>
      <w:proofErr w:type="spellStart"/>
      <w:r w:rsidRPr="000144B0">
        <w:rPr>
          <w:rFonts w:ascii="Arial" w:hAnsi="Arial" w:cs="Arial"/>
        </w:rPr>
        <w:t>synthesising</w:t>
      </w:r>
      <w:proofErr w:type="spellEnd"/>
      <w:r w:rsidRPr="000144B0">
        <w:rPr>
          <w:rFonts w:ascii="Arial" w:hAnsi="Arial" w:cs="Arial"/>
        </w:rPr>
        <w:t xml:space="preserve">.’ </w:t>
      </w:r>
      <w:r w:rsidRPr="000144B0">
        <w:rPr>
          <w:rFonts w:ascii="Arial" w:hAnsi="Arial" w:cs="Arial"/>
          <w:i/>
          <w:iCs/>
        </w:rPr>
        <w:t>Publications</w:t>
      </w:r>
      <w:r w:rsidRPr="000144B0">
        <w:rPr>
          <w:rFonts w:ascii="Arial" w:hAnsi="Arial" w:cs="Arial"/>
        </w:rPr>
        <w:t xml:space="preserve">, </w:t>
      </w:r>
      <w:r w:rsidRPr="000144B0">
        <w:rPr>
          <w:rFonts w:ascii="Arial" w:hAnsi="Arial" w:cs="Arial"/>
          <w:i/>
          <w:iCs/>
        </w:rPr>
        <w:t>11</w:t>
      </w:r>
      <w:r w:rsidRPr="000144B0">
        <w:rPr>
          <w:rFonts w:ascii="Arial" w:hAnsi="Arial" w:cs="Arial"/>
        </w:rPr>
        <w:t>(1), p.2. Available at: https://doi.org/10.3390/publications11010002</w:t>
      </w:r>
    </w:p>
    <w:p w14:paraId="44218078" w14:textId="34507624" w:rsidR="000144B0" w:rsidRPr="000144B0" w:rsidRDefault="000144B0" w:rsidP="000144B0">
      <w:pPr>
        <w:spacing w:after="0" w:line="360" w:lineRule="auto"/>
        <w:jc w:val="both"/>
        <w:rPr>
          <w:rFonts w:ascii="Arial" w:hAnsi="Arial" w:cs="Arial"/>
        </w:rPr>
      </w:pPr>
      <w:r w:rsidRPr="000144B0">
        <w:rPr>
          <w:rFonts w:ascii="Arial" w:hAnsi="Arial" w:cs="Arial"/>
          <w:highlight w:val="white"/>
        </w:rPr>
        <w:t xml:space="preserve">Alexander, B. and Varley, R. (2025) ‘Retail futures: Customer experience, phygital retailing, and the Experiential Retail Territories perspective.’ </w:t>
      </w:r>
      <w:r w:rsidRPr="000144B0">
        <w:rPr>
          <w:rFonts w:ascii="Arial" w:hAnsi="Arial" w:cs="Arial"/>
          <w:i/>
          <w:iCs/>
          <w:highlight w:val="white"/>
        </w:rPr>
        <w:t>Journal of Retailing and Consumer Services</w:t>
      </w:r>
      <w:r w:rsidRPr="000144B0">
        <w:rPr>
          <w:rFonts w:ascii="Arial" w:hAnsi="Arial" w:cs="Arial"/>
          <w:highlight w:val="white"/>
        </w:rPr>
        <w:t xml:space="preserve">, </w:t>
      </w:r>
      <w:r w:rsidRPr="000144B0">
        <w:rPr>
          <w:rFonts w:ascii="Arial" w:hAnsi="Arial" w:cs="Arial"/>
          <w:i/>
          <w:iCs/>
          <w:highlight w:val="white"/>
        </w:rPr>
        <w:t>82</w:t>
      </w:r>
      <w:r w:rsidRPr="000144B0">
        <w:rPr>
          <w:rFonts w:ascii="Arial" w:hAnsi="Arial" w:cs="Arial"/>
          <w:highlight w:val="white"/>
        </w:rPr>
        <w:t>, p.104108.</w:t>
      </w:r>
      <w:r w:rsidRPr="000144B0">
        <w:rPr>
          <w:rFonts w:ascii="Arial" w:hAnsi="Arial" w:cs="Arial"/>
        </w:rPr>
        <w:t xml:space="preserve"> Available at: DOI: </w:t>
      </w:r>
      <w:hyperlink r:id="rId7" w:history="1">
        <w:r w:rsidRPr="000144B0">
          <w:rPr>
            <w:rStyle w:val="Hyperlink"/>
            <w:rFonts w:ascii="Arial" w:hAnsi="Arial" w:cs="Arial"/>
            <w:color w:val="auto"/>
            <w:u w:val="none"/>
          </w:rPr>
          <w:t>https://doi.org/10.1016/j.jretconser.2024.104108</w:t>
        </w:r>
      </w:hyperlink>
    </w:p>
    <w:p w14:paraId="46839386" w14:textId="7156B866" w:rsidR="000144B0" w:rsidRPr="000144B0" w:rsidRDefault="000144B0" w:rsidP="000144B0">
      <w:pPr>
        <w:spacing w:after="0" w:line="360" w:lineRule="auto"/>
        <w:jc w:val="both"/>
        <w:rPr>
          <w:rFonts w:ascii="Arial" w:hAnsi="Arial" w:cs="Arial"/>
          <w:highlight w:val="white"/>
        </w:rPr>
      </w:pPr>
      <w:r w:rsidRPr="000144B0">
        <w:rPr>
          <w:rFonts w:ascii="Arial" w:hAnsi="Arial" w:cs="Arial"/>
          <w:highlight w:val="white"/>
        </w:rPr>
        <w:t xml:space="preserve">Fan, X., Xun, J., Dolega, L. and Xiong, L. (2025) ‘The role of augmented and virtual reality in shaping retail marketing: A meta-analysis.’ </w:t>
      </w:r>
      <w:r w:rsidRPr="000144B0">
        <w:rPr>
          <w:rFonts w:ascii="Arial" w:hAnsi="Arial" w:cs="Arial"/>
          <w:i/>
          <w:iCs/>
          <w:highlight w:val="white"/>
        </w:rPr>
        <w:t>Sustainability</w:t>
      </w:r>
      <w:r w:rsidRPr="000144B0">
        <w:rPr>
          <w:rFonts w:ascii="Arial" w:hAnsi="Arial" w:cs="Arial"/>
          <w:highlight w:val="white"/>
        </w:rPr>
        <w:t xml:space="preserve">, </w:t>
      </w:r>
      <w:r w:rsidRPr="000144B0">
        <w:rPr>
          <w:rFonts w:ascii="Arial" w:hAnsi="Arial" w:cs="Arial"/>
          <w:i/>
          <w:iCs/>
          <w:highlight w:val="white"/>
        </w:rPr>
        <w:t>17</w:t>
      </w:r>
      <w:r w:rsidRPr="000144B0">
        <w:rPr>
          <w:rFonts w:ascii="Arial" w:hAnsi="Arial" w:cs="Arial"/>
          <w:highlight w:val="white"/>
        </w:rPr>
        <w:t xml:space="preserve">(2), p.728. </w:t>
      </w:r>
      <w:r w:rsidRPr="000144B0">
        <w:rPr>
          <w:rFonts w:ascii="Arial" w:hAnsi="Arial" w:cs="Arial"/>
        </w:rPr>
        <w:t xml:space="preserve">Available at: </w:t>
      </w:r>
      <w:r w:rsidRPr="000144B0">
        <w:rPr>
          <w:rFonts w:ascii="Arial" w:hAnsi="Arial" w:cs="Arial"/>
          <w:highlight w:val="white"/>
        </w:rPr>
        <w:t xml:space="preserve">DOI: </w:t>
      </w:r>
      <w:hyperlink r:id="rId8" w:history="1">
        <w:r w:rsidRPr="000144B0">
          <w:rPr>
            <w:rStyle w:val="Hyperlink"/>
            <w:rFonts w:ascii="Arial" w:hAnsi="Arial" w:cs="Arial"/>
            <w:color w:val="auto"/>
            <w:highlight w:val="white"/>
            <w:u w:val="none"/>
          </w:rPr>
          <w:t>https://doi.org/10.3390/su17020728</w:t>
        </w:r>
      </w:hyperlink>
    </w:p>
    <w:p w14:paraId="154B972C" w14:textId="77777777" w:rsidR="000144B0" w:rsidRPr="000144B0" w:rsidRDefault="000144B0" w:rsidP="000144B0">
      <w:pPr>
        <w:spacing w:after="0" w:line="360" w:lineRule="auto"/>
        <w:jc w:val="both"/>
        <w:rPr>
          <w:rFonts w:ascii="Arial" w:hAnsi="Arial" w:cs="Arial"/>
        </w:rPr>
      </w:pPr>
      <w:r w:rsidRPr="000144B0">
        <w:rPr>
          <w:rFonts w:ascii="Arial" w:hAnsi="Arial" w:cs="Arial"/>
        </w:rPr>
        <w:t xml:space="preserve">Iyaji, F.I., </w:t>
      </w:r>
      <w:proofErr w:type="spellStart"/>
      <w:r w:rsidRPr="000144B0">
        <w:rPr>
          <w:rFonts w:ascii="Arial" w:hAnsi="Arial" w:cs="Arial"/>
        </w:rPr>
        <w:t>Agbana</w:t>
      </w:r>
      <w:proofErr w:type="spellEnd"/>
      <w:r w:rsidRPr="000144B0">
        <w:rPr>
          <w:rFonts w:ascii="Arial" w:hAnsi="Arial" w:cs="Arial"/>
        </w:rPr>
        <w:t xml:space="preserve">, J. and Bakare, A.A. (2023) The influence of change management practices on employee engagement and organizational performance in a competitive </w:t>
      </w:r>
      <w:r w:rsidRPr="000144B0">
        <w:rPr>
          <w:rFonts w:ascii="Arial" w:hAnsi="Arial" w:cs="Arial"/>
        </w:rPr>
        <w:lastRenderedPageBreak/>
        <w:t xml:space="preserve">business environment: A conceptual review. </w:t>
      </w:r>
      <w:r w:rsidRPr="000144B0">
        <w:rPr>
          <w:rFonts w:ascii="Arial" w:hAnsi="Arial" w:cs="Arial"/>
          <w:i/>
          <w:iCs/>
        </w:rPr>
        <w:t>Educational Administration: Theory and Practice</w:t>
      </w:r>
      <w:r w:rsidRPr="000144B0">
        <w:rPr>
          <w:rFonts w:ascii="Arial" w:hAnsi="Arial" w:cs="Arial"/>
        </w:rPr>
        <w:t xml:space="preserve">, </w:t>
      </w:r>
      <w:r w:rsidRPr="000144B0">
        <w:rPr>
          <w:rFonts w:ascii="Arial" w:hAnsi="Arial" w:cs="Arial"/>
          <w:i/>
          <w:iCs/>
        </w:rPr>
        <w:t>29</w:t>
      </w:r>
      <w:r w:rsidRPr="000144B0">
        <w:rPr>
          <w:rFonts w:ascii="Arial" w:hAnsi="Arial" w:cs="Arial"/>
        </w:rPr>
        <w:t>(4), pp.3638-3645. Available at: 10.53555/</w:t>
      </w:r>
      <w:proofErr w:type="gramStart"/>
      <w:r w:rsidRPr="000144B0">
        <w:rPr>
          <w:rFonts w:ascii="Arial" w:hAnsi="Arial" w:cs="Arial"/>
        </w:rPr>
        <w:t>kuey.v</w:t>
      </w:r>
      <w:proofErr w:type="gramEnd"/>
      <w:r w:rsidRPr="000144B0">
        <w:rPr>
          <w:rFonts w:ascii="Arial" w:hAnsi="Arial" w:cs="Arial"/>
        </w:rPr>
        <w:t>29i4.8192</w:t>
      </w:r>
    </w:p>
    <w:p w14:paraId="63E1F152" w14:textId="77777777" w:rsidR="000144B0" w:rsidRPr="000144B0" w:rsidRDefault="000144B0" w:rsidP="000144B0">
      <w:pPr>
        <w:spacing w:after="0" w:line="360" w:lineRule="auto"/>
        <w:jc w:val="both"/>
        <w:rPr>
          <w:rFonts w:ascii="Arial" w:hAnsi="Arial" w:cs="Arial"/>
        </w:rPr>
      </w:pPr>
      <w:r w:rsidRPr="000144B0">
        <w:rPr>
          <w:rFonts w:ascii="Arial" w:hAnsi="Arial" w:cs="Arial"/>
        </w:rPr>
        <w:t>Ali, I., Gligor, D., Balta, M., Bozkurt, S. and Papadopoulos, T. (2024) From disruption to innovation: The importance of the supply chain leadership style for driving logistics innovation in the face of geopolitical disruptions. </w:t>
      </w:r>
      <w:r w:rsidRPr="000144B0">
        <w:rPr>
          <w:rFonts w:ascii="Arial" w:hAnsi="Arial" w:cs="Arial"/>
          <w:i/>
          <w:iCs/>
        </w:rPr>
        <w:t>Transportation research part E: logistics and transportation review</w:t>
      </w:r>
      <w:r w:rsidRPr="000144B0">
        <w:rPr>
          <w:rFonts w:ascii="Arial" w:hAnsi="Arial" w:cs="Arial"/>
        </w:rPr>
        <w:t>, </w:t>
      </w:r>
      <w:r w:rsidRPr="000144B0">
        <w:rPr>
          <w:rFonts w:ascii="Arial" w:hAnsi="Arial" w:cs="Arial"/>
          <w:i/>
          <w:iCs/>
        </w:rPr>
        <w:t>187</w:t>
      </w:r>
      <w:r w:rsidRPr="000144B0">
        <w:rPr>
          <w:rFonts w:ascii="Arial" w:hAnsi="Arial" w:cs="Arial"/>
        </w:rPr>
        <w:t>, p.103583. Available at: https://doi.org/10.1016/j.tre.2024.103583.</w:t>
      </w:r>
    </w:p>
    <w:p w14:paraId="0DBD6038" w14:textId="77777777" w:rsidR="000144B0" w:rsidRPr="000144B0" w:rsidRDefault="000144B0" w:rsidP="000144B0">
      <w:pPr>
        <w:spacing w:after="0" w:line="360" w:lineRule="auto"/>
        <w:jc w:val="both"/>
        <w:rPr>
          <w:rFonts w:ascii="Arial" w:hAnsi="Arial" w:cs="Arial"/>
          <w:highlight w:val="white"/>
        </w:rPr>
      </w:pPr>
    </w:p>
    <w:p w14:paraId="2EEABE6D" w14:textId="77777777" w:rsidR="000144B0" w:rsidRPr="000144B0" w:rsidRDefault="000144B0" w:rsidP="000144B0">
      <w:pPr>
        <w:spacing w:after="0" w:line="360" w:lineRule="auto"/>
        <w:jc w:val="both"/>
        <w:rPr>
          <w:rFonts w:ascii="Arial" w:hAnsi="Arial" w:cs="Arial"/>
        </w:rPr>
      </w:pPr>
    </w:p>
    <w:p w14:paraId="5B478C87" w14:textId="77777777" w:rsidR="000144B0" w:rsidRPr="000144B0" w:rsidRDefault="000144B0" w:rsidP="000144B0">
      <w:pPr>
        <w:spacing w:after="0" w:line="360" w:lineRule="auto"/>
        <w:jc w:val="both"/>
        <w:rPr>
          <w:rFonts w:ascii="Arial" w:hAnsi="Arial" w:cs="Arial"/>
        </w:rPr>
      </w:pPr>
    </w:p>
    <w:p w14:paraId="4B9790C1" w14:textId="77777777" w:rsidR="000144B0" w:rsidRPr="000144B0" w:rsidRDefault="000144B0" w:rsidP="000144B0">
      <w:pPr>
        <w:spacing w:after="0" w:line="360" w:lineRule="auto"/>
        <w:jc w:val="both"/>
        <w:rPr>
          <w:rFonts w:ascii="Arial" w:hAnsi="Arial" w:cs="Arial"/>
        </w:rPr>
      </w:pPr>
    </w:p>
    <w:p w14:paraId="1FC3BAFE" w14:textId="77777777" w:rsidR="000144B0" w:rsidRPr="000144B0" w:rsidRDefault="000144B0" w:rsidP="000144B0">
      <w:pPr>
        <w:spacing w:after="0" w:line="360" w:lineRule="auto"/>
        <w:jc w:val="both"/>
        <w:rPr>
          <w:rFonts w:ascii="Arial" w:hAnsi="Arial" w:cs="Arial"/>
        </w:rPr>
      </w:pPr>
    </w:p>
    <w:p w14:paraId="74123FD1" w14:textId="77777777" w:rsidR="000144B0" w:rsidRPr="000144B0" w:rsidRDefault="000144B0" w:rsidP="000144B0">
      <w:pPr>
        <w:spacing w:after="0" w:line="360" w:lineRule="auto"/>
        <w:jc w:val="both"/>
        <w:rPr>
          <w:rFonts w:ascii="Arial" w:hAnsi="Arial" w:cs="Arial"/>
        </w:rPr>
      </w:pPr>
    </w:p>
    <w:p w14:paraId="4336FC3D" w14:textId="77777777" w:rsidR="000144B0" w:rsidRPr="000144B0" w:rsidRDefault="000144B0" w:rsidP="000144B0">
      <w:pPr>
        <w:spacing w:after="0" w:line="360" w:lineRule="auto"/>
        <w:jc w:val="both"/>
        <w:rPr>
          <w:rFonts w:ascii="Arial" w:hAnsi="Arial" w:cs="Arial"/>
          <w:b/>
          <w:bCs/>
        </w:rPr>
      </w:pPr>
    </w:p>
    <w:p w14:paraId="1F9267F4" w14:textId="77777777" w:rsidR="000144B0" w:rsidRPr="000144B0" w:rsidRDefault="000144B0" w:rsidP="000144B0">
      <w:pPr>
        <w:spacing w:after="0" w:line="360" w:lineRule="auto"/>
        <w:jc w:val="both"/>
        <w:rPr>
          <w:rFonts w:ascii="Arial" w:hAnsi="Arial" w:cs="Arial"/>
          <w:b/>
          <w:bCs/>
        </w:rPr>
      </w:pPr>
    </w:p>
    <w:sectPr w:rsidR="000144B0" w:rsidRPr="000144B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4B0"/>
    <w:rsid w:val="000144B0"/>
    <w:rsid w:val="00204796"/>
    <w:rsid w:val="00532039"/>
    <w:rsid w:val="006F3D61"/>
    <w:rsid w:val="00BD5681"/>
    <w:rsid w:val="00C77253"/>
    <w:rsid w:val="00E008D7"/>
    <w:rsid w:val="00F7139F"/>
    <w:rsid w:val="00FE29FC"/>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C9943"/>
  <w15:chartTrackingRefBased/>
  <w15:docId w15:val="{0A70B879-3265-4DC0-A52B-6CA9854F0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44B0"/>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0144B0"/>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0144B0"/>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014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4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4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4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4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4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44B0"/>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0144B0"/>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0144B0"/>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014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4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4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4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4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44B0"/>
    <w:rPr>
      <w:rFonts w:eastAsiaTheme="majorEastAsia" w:cstheme="majorBidi"/>
      <w:color w:val="272727" w:themeColor="text1" w:themeTint="D8"/>
    </w:rPr>
  </w:style>
  <w:style w:type="paragraph" w:styleId="Title">
    <w:name w:val="Title"/>
    <w:basedOn w:val="Normal"/>
    <w:next w:val="Normal"/>
    <w:link w:val="TitleChar"/>
    <w:uiPriority w:val="10"/>
    <w:qFormat/>
    <w:rsid w:val="000144B0"/>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0144B0"/>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0144B0"/>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0144B0"/>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0144B0"/>
    <w:pPr>
      <w:spacing w:before="160"/>
      <w:jc w:val="center"/>
    </w:pPr>
    <w:rPr>
      <w:i/>
      <w:iCs/>
      <w:color w:val="404040" w:themeColor="text1" w:themeTint="BF"/>
    </w:rPr>
  </w:style>
  <w:style w:type="character" w:customStyle="1" w:styleId="QuoteChar">
    <w:name w:val="Quote Char"/>
    <w:basedOn w:val="DefaultParagraphFont"/>
    <w:link w:val="Quote"/>
    <w:uiPriority w:val="29"/>
    <w:rsid w:val="000144B0"/>
    <w:rPr>
      <w:i/>
      <w:iCs/>
      <w:color w:val="404040" w:themeColor="text1" w:themeTint="BF"/>
    </w:rPr>
  </w:style>
  <w:style w:type="paragraph" w:styleId="ListParagraph">
    <w:name w:val="List Paragraph"/>
    <w:basedOn w:val="Normal"/>
    <w:uiPriority w:val="34"/>
    <w:qFormat/>
    <w:rsid w:val="000144B0"/>
    <w:pPr>
      <w:ind w:left="720"/>
      <w:contextualSpacing/>
    </w:pPr>
  </w:style>
  <w:style w:type="character" w:styleId="IntenseEmphasis">
    <w:name w:val="Intense Emphasis"/>
    <w:basedOn w:val="DefaultParagraphFont"/>
    <w:uiPriority w:val="21"/>
    <w:qFormat/>
    <w:rsid w:val="000144B0"/>
    <w:rPr>
      <w:i/>
      <w:iCs/>
      <w:color w:val="0F4761" w:themeColor="accent1" w:themeShade="BF"/>
    </w:rPr>
  </w:style>
  <w:style w:type="paragraph" w:styleId="IntenseQuote">
    <w:name w:val="Intense Quote"/>
    <w:basedOn w:val="Normal"/>
    <w:next w:val="Normal"/>
    <w:link w:val="IntenseQuoteChar"/>
    <w:uiPriority w:val="30"/>
    <w:qFormat/>
    <w:rsid w:val="00014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44B0"/>
    <w:rPr>
      <w:i/>
      <w:iCs/>
      <w:color w:val="0F4761" w:themeColor="accent1" w:themeShade="BF"/>
    </w:rPr>
  </w:style>
  <w:style w:type="character" w:styleId="IntenseReference">
    <w:name w:val="Intense Reference"/>
    <w:basedOn w:val="DefaultParagraphFont"/>
    <w:uiPriority w:val="32"/>
    <w:qFormat/>
    <w:rsid w:val="000144B0"/>
    <w:rPr>
      <w:b/>
      <w:bCs/>
      <w:smallCaps/>
      <w:color w:val="0F4761" w:themeColor="accent1" w:themeShade="BF"/>
      <w:spacing w:val="5"/>
    </w:rPr>
  </w:style>
  <w:style w:type="table" w:styleId="TableGrid">
    <w:name w:val="Table Grid"/>
    <w:basedOn w:val="TableNormal"/>
    <w:uiPriority w:val="59"/>
    <w:rsid w:val="000144B0"/>
    <w:pPr>
      <w:spacing w:after="0" w:line="240" w:lineRule="auto"/>
      <w:jc w:val="both"/>
    </w:pPr>
    <w:rPr>
      <w:rFonts w:ascii="Arial" w:eastAsia="Arial" w:hAnsi="Arial" w:cs="Arial"/>
      <w:kern w:val="0"/>
      <w:sz w:val="22"/>
      <w:szCs w:val="22"/>
      <w:lang w:val=""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144B0"/>
    <w:rPr>
      <w:color w:val="467886" w:themeColor="hyperlink"/>
      <w:u w:val="single"/>
    </w:rPr>
  </w:style>
  <w:style w:type="character" w:styleId="UnresolvedMention">
    <w:name w:val="Unresolved Mention"/>
    <w:basedOn w:val="DefaultParagraphFont"/>
    <w:uiPriority w:val="99"/>
    <w:semiHidden/>
    <w:unhideWhenUsed/>
    <w:rsid w:val="000144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7020728" TargetMode="External"/><Relationship Id="rId3" Type="http://schemas.openxmlformats.org/officeDocument/2006/relationships/webSettings" Target="webSettings.xml"/><Relationship Id="rId7" Type="http://schemas.openxmlformats.org/officeDocument/2006/relationships/hyperlink" Target="https://doi.org/10.1016/j.jretconser.2024.10410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3390/publications12030025" TargetMode="External"/><Relationship Id="rId5" Type="http://schemas.openxmlformats.org/officeDocument/2006/relationships/hyperlink" Target="https://doi.org/10.3390/publications11010002"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2070</Words>
  <Characters>11803</Characters>
  <Application>Microsoft Office Word</Application>
  <DocSecurity>0</DocSecurity>
  <Lines>98</Lines>
  <Paragraphs>27</Paragraphs>
  <ScaleCrop>false</ScaleCrop>
  <Company/>
  <LinksUpToDate>false</LinksUpToDate>
  <CharactersWithSpaces>13846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_user_ _user_</dc:creator>
  <cp:keywords/>
  <dc:description/>
  <cp:lastModifiedBy>Ancuta Bahnean</cp:lastModifiedBy>
  <cp:revision>2</cp:revision>
  <dcterms:created xsi:type="dcterms:W3CDTF">2026-07-22T17:51:00Z</dcterms:created>
  <dcterms:modified xsi:type="dcterms:W3CDTF">2026-07-22T17:51:00Z</dcterms:modified>
</cp:coreProperties>
</file>