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43F833BA"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AA23CA">
        <w:rPr>
          <w:b/>
          <w:bCs/>
          <w:color w:val="auto"/>
        </w:rPr>
        <w:t>Joseph Sanderson</w:t>
      </w:r>
    </w:p>
    <w:p w14:paraId="4317874E" w14:textId="257D39E0"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AA23CA">
        <w:rPr>
          <w:b/>
          <w:bCs/>
          <w:color w:val="auto"/>
        </w:rPr>
        <w:t>1500893</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w:t>
      </w:r>
      <w:proofErr w:type="gramStart"/>
      <w:r w:rsidR="003A356D" w:rsidRPr="47A22CC5">
        <w:t>development</w:t>
      </w:r>
      <w:proofErr w:type="gramEnd"/>
      <w:r w:rsidR="003A356D" w:rsidRPr="47A22CC5">
        <w:t xml:space="preserve">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4CBB1BB6" w:rsidR="00E6399C" w:rsidRPr="00A77338" w:rsidRDefault="00AA23CA" w:rsidP="00A77338">
            <w:pPr>
              <w:rPr>
                <w:rFonts w:ascii="Arial" w:hAnsi="Arial" w:cs="Arial"/>
              </w:rPr>
            </w:pPr>
            <w:r>
              <w:rPr>
                <w:rFonts w:ascii="Arial" w:hAnsi="Arial" w:cs="Arial"/>
              </w:rPr>
              <w:t>Enhance structural clarity of assignment.</w:t>
            </w:r>
          </w:p>
        </w:tc>
        <w:tc>
          <w:tcPr>
            <w:tcW w:w="3543" w:type="dxa"/>
          </w:tcPr>
          <w:p w14:paraId="144D9CAC" w14:textId="4FD5EF70" w:rsidR="00E6399C" w:rsidRPr="00A77338" w:rsidRDefault="00AA23CA" w:rsidP="00A77338">
            <w:pPr>
              <w:rPr>
                <w:rFonts w:ascii="Arial" w:hAnsi="Arial" w:cs="Arial"/>
              </w:rPr>
            </w:pPr>
            <w:r>
              <w:rPr>
                <w:rFonts w:ascii="Arial" w:hAnsi="Arial" w:cs="Arial"/>
              </w:rPr>
              <w:t>Use sub-headings and appropriate structure to prevent sections from blurring into each other.</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778E4383" w:rsidR="00E6399C" w:rsidRPr="00A77338" w:rsidRDefault="00AA23CA" w:rsidP="00A77338">
            <w:pPr>
              <w:rPr>
                <w:rFonts w:ascii="Arial" w:hAnsi="Arial" w:cs="Arial"/>
              </w:rPr>
            </w:pPr>
            <w:r>
              <w:rPr>
                <w:rFonts w:ascii="Arial" w:hAnsi="Arial" w:cs="Arial"/>
              </w:rPr>
              <w:t>To more critically engage with the literature referred to.</w:t>
            </w:r>
          </w:p>
        </w:tc>
        <w:tc>
          <w:tcPr>
            <w:tcW w:w="3543" w:type="dxa"/>
          </w:tcPr>
          <w:p w14:paraId="7C3D0034" w14:textId="3CBCAD97" w:rsidR="00E6399C" w:rsidRPr="00A77338" w:rsidRDefault="00536613" w:rsidP="00A77338">
            <w:pPr>
              <w:rPr>
                <w:rFonts w:ascii="Arial" w:hAnsi="Arial" w:cs="Arial"/>
              </w:rPr>
            </w:pPr>
            <w:r>
              <w:rPr>
                <w:rFonts w:ascii="Arial" w:hAnsi="Arial" w:cs="Arial"/>
              </w:rPr>
              <w:t>Linked the literature in a more relevant way to my reflection.</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27C49F75" w:rsidR="00E6399C" w:rsidRPr="00A77338" w:rsidRDefault="00E6399C" w:rsidP="00A77338">
            <w:pPr>
              <w:rPr>
                <w:rFonts w:ascii="Arial" w:hAnsi="Arial" w:cs="Arial"/>
              </w:rPr>
            </w:pPr>
          </w:p>
        </w:tc>
        <w:tc>
          <w:tcPr>
            <w:tcW w:w="3543" w:type="dxa"/>
          </w:tcPr>
          <w:p w14:paraId="7728CCB3" w14:textId="772C43E9" w:rsidR="00E6399C" w:rsidRPr="00A77338" w:rsidRDefault="00E6399C" w:rsidP="00A77338">
            <w:pPr>
              <w:rPr>
                <w:rFonts w:ascii="Arial" w:hAnsi="Arial" w:cs="Arial"/>
              </w:rPr>
            </w:pP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3B645DBC" w:rsidR="00C961EE" w:rsidRPr="00446402" w:rsidRDefault="00536613" w:rsidP="00A47FD7">
                <w:r>
                  <w:t xml:space="preserve">For the initial meet of this bridging activity, I met with my network, </w:t>
                </w:r>
                <w:r w:rsidR="006270F1">
                  <w:t>tutors,</w:t>
                </w:r>
                <w:r>
                  <w:t xml:space="preserve"> and the Deputy Headteacher from the lead school of my network via Microsoft Teams. Different strategies for Assessment for Learning (</w:t>
                </w:r>
                <w:proofErr w:type="spellStart"/>
                <w:r>
                  <w:t>AfL</w:t>
                </w:r>
                <w:proofErr w:type="spellEnd"/>
                <w:r>
                  <w:t xml:space="preserve">) were shared to my network and the importance of using </w:t>
                </w:r>
                <w:proofErr w:type="spellStart"/>
                <w:r>
                  <w:t>AfL</w:t>
                </w:r>
                <w:proofErr w:type="spellEnd"/>
                <w:r>
                  <w:t xml:space="preserve"> vs Assessment of Learning was highlighted.</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4126BAE6" w:rsidR="00C961EE" w:rsidRPr="00446402" w:rsidRDefault="00536613" w:rsidP="00EB1832">
            <w:pPr>
              <w:rPr>
                <w:sz w:val="22"/>
              </w:rPr>
            </w:pPr>
            <w:r>
              <w:t xml:space="preserve">The Deputy Headteacher had prepared a presentation for us showing how </w:t>
            </w:r>
            <w:proofErr w:type="spellStart"/>
            <w:r>
              <w:t>AfL</w:t>
            </w:r>
            <w:proofErr w:type="spellEnd"/>
            <w:r>
              <w:t xml:space="preserve"> strategies were used in the lead school. </w:t>
            </w:r>
            <w:proofErr w:type="spellStart"/>
            <w:r>
              <w:t>AfL</w:t>
            </w:r>
            <w:proofErr w:type="spellEnd"/>
            <w:r>
              <w:t xml:space="preserve"> was ingrained into the planning of lessons and a range of strategies were deployed, including traffic lights, KWL grids, WAGOLL, think pair share and more. Examples were shown of how some were used, and this encouraged me to think about the strategies I would use in the test phase. I considered the class I was with and what I had already seen in my school placement and decided that I would use WAGOLL and think pair share as my </w:t>
            </w:r>
            <w:proofErr w:type="spellStart"/>
            <w:r>
              <w:t>AfL</w:t>
            </w:r>
            <w:proofErr w:type="spellEnd"/>
            <w:r>
              <w:t xml:space="preserve"> strategies to test. I did some research online regarding the two strategies so </w:t>
            </w:r>
            <w:r w:rsidR="00C40DB5">
              <w:t>I</w:t>
            </w:r>
            <w:r>
              <w:t xml:space="preserve"> would be ready to deploy them in my own lessons.</w:t>
            </w:r>
            <w:r w:rsidR="00C40DB5">
              <w:t xml:space="preserve"> I thought carefully about the kinds of lessons that the </w:t>
            </w:r>
            <w:proofErr w:type="spellStart"/>
            <w:r w:rsidR="00C40DB5">
              <w:t>AfL</w:t>
            </w:r>
            <w:proofErr w:type="spellEnd"/>
            <w:r w:rsidR="00C40DB5">
              <w:t xml:space="preserve"> strategies would be more effective in, and which ones the class </w:t>
            </w:r>
            <w:r w:rsidR="006270F1">
              <w:t>I am</w:t>
            </w:r>
            <w:r w:rsidR="00C40DB5">
              <w:t xml:space="preserve"> teaching would likely respond better too.</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08F36D56" w:rsidR="00446402" w:rsidRPr="005A57BE" w:rsidRDefault="00536613" w:rsidP="00EB1832">
            <w:r>
              <w:t xml:space="preserve">Unfortunately, I had less than a week to test my strategies as my class had to isolate six </w:t>
            </w:r>
            <w:r>
              <w:lastRenderedPageBreak/>
              <w:t>days after the meet, giving me three days to test. Nonetheless, I was able to use the WAGOLL strategy when teaching Welsh to guide and encourage the learners' written work. I was able to use think pair share on two occasions in one lesson to get the learners engaged and gain an understanding of what they know already.</w:t>
            </w:r>
          </w:p>
        </w:tc>
        <w:tc>
          <w:tcPr>
            <w:tcW w:w="4961" w:type="dxa"/>
            <w:tcBorders>
              <w:top w:val="single" w:sz="4" w:space="0" w:color="auto"/>
              <w:left w:val="single" w:sz="4" w:space="0" w:color="auto"/>
              <w:bottom w:val="single" w:sz="4" w:space="0" w:color="auto"/>
              <w:right w:val="single" w:sz="4" w:space="0" w:color="auto"/>
            </w:tcBorders>
          </w:tcPr>
          <w:p w14:paraId="1DEF8563" w14:textId="0F0A1D40" w:rsidR="00536613" w:rsidRPr="00C40DB5" w:rsidRDefault="00536613" w:rsidP="00EB1832">
            <w:pPr>
              <w:pStyle w:val="NormalWeb"/>
              <w:spacing w:line="360" w:lineRule="auto"/>
              <w:rPr>
                <w:rFonts w:asciiTheme="minorHAnsi" w:hAnsiTheme="minorHAnsi" w:cstheme="minorHAnsi"/>
                <w:lang w:eastAsia="en-GB"/>
              </w:rPr>
            </w:pPr>
            <w:r w:rsidRPr="00C40DB5">
              <w:rPr>
                <w:rFonts w:asciiTheme="minorHAnsi" w:hAnsiTheme="minorHAnsi" w:cstheme="minorHAnsi"/>
                <w:lang w:eastAsia="en-GB"/>
              </w:rPr>
              <w:lastRenderedPageBreak/>
              <w:t xml:space="preserve">I used WAGOLL in two different ways. The Welsh lessons aimed to get learners to improve </w:t>
            </w:r>
            <w:r w:rsidRPr="00C40DB5">
              <w:rPr>
                <w:rFonts w:asciiTheme="minorHAnsi" w:hAnsiTheme="minorHAnsi" w:cstheme="minorHAnsi"/>
                <w:lang w:eastAsia="en-GB"/>
              </w:rPr>
              <w:lastRenderedPageBreak/>
              <w:t xml:space="preserve">their Welsh personal profiles from a low level 3 standard to a high level 3/level 4/low level 5 depending on the ability of the individual. I had two WAGOLL examples prepared, one of a higher </w:t>
            </w:r>
            <w:proofErr w:type="gramStart"/>
            <w:r w:rsidRPr="00C40DB5">
              <w:rPr>
                <w:rFonts w:asciiTheme="minorHAnsi" w:hAnsiTheme="minorHAnsi" w:cstheme="minorHAnsi"/>
                <w:lang w:eastAsia="en-GB"/>
              </w:rPr>
              <w:t>standard</w:t>
            </w:r>
            <w:proofErr w:type="gramEnd"/>
            <w:r w:rsidRPr="00C40DB5">
              <w:rPr>
                <w:rFonts w:asciiTheme="minorHAnsi" w:hAnsiTheme="minorHAnsi" w:cstheme="minorHAnsi"/>
                <w:lang w:eastAsia="en-GB"/>
              </w:rPr>
              <w:t xml:space="preserve"> that could set a higher expectation for the MA learners. Most learners were able to utilise the WAGOLL example correctly which could be seen in the variety of sentence patterns they used which resulted in a big improvement from their previous work. There were a couple of learners that copied one or two sentences from the </w:t>
            </w:r>
            <w:proofErr w:type="gramStart"/>
            <w:r w:rsidRPr="00C40DB5">
              <w:rPr>
                <w:rFonts w:asciiTheme="minorHAnsi" w:hAnsiTheme="minorHAnsi" w:cstheme="minorHAnsi"/>
                <w:lang w:eastAsia="en-GB"/>
              </w:rPr>
              <w:t>WAGOLL</w:t>
            </w:r>
            <w:proofErr w:type="gramEnd"/>
            <w:r w:rsidRPr="00C40DB5">
              <w:rPr>
                <w:rFonts w:asciiTheme="minorHAnsi" w:hAnsiTheme="minorHAnsi" w:cstheme="minorHAnsi"/>
                <w:lang w:eastAsia="en-GB"/>
              </w:rPr>
              <w:t xml:space="preserve"> but I was able to work with them one to one to help them adapt rather than copy. In the second session, learners were at various stages of their work. A learner with ALN had finished first, making massive improvements to their profile. I read out their example as a WAGOLL, and they were extremely pleased that their work was being used as a good example. I found that reading out their work encouraged the rest of the class to focus, potentially because they were inspired a bit or because they saw that people were close to finishing their first drafts, which motivated them to get theirs done.</w:t>
            </w:r>
          </w:p>
          <w:p w14:paraId="08DCDB32" w14:textId="77C3D476" w:rsidR="00536613" w:rsidRPr="00536613" w:rsidRDefault="00536613" w:rsidP="00EB1832">
            <w:pPr>
              <w:spacing w:before="100" w:beforeAutospacing="1" w:after="100" w:afterAutospacing="1"/>
              <w:rPr>
                <w:rFonts w:asciiTheme="minorHAnsi" w:eastAsia="Times New Roman" w:hAnsiTheme="minorHAnsi" w:cstheme="minorHAnsi"/>
                <w:szCs w:val="24"/>
                <w:lang w:eastAsia="en-GB"/>
              </w:rPr>
            </w:pPr>
            <w:r w:rsidRPr="00536613">
              <w:rPr>
                <w:rFonts w:asciiTheme="minorHAnsi" w:eastAsia="Times New Roman" w:hAnsiTheme="minorHAnsi" w:cstheme="minorHAnsi"/>
                <w:szCs w:val="24"/>
                <w:lang w:eastAsia="en-GB"/>
              </w:rPr>
              <w:t xml:space="preserve">I used think pair share twice in one lesson, which focused on the importance of creating strong passwords. I found it was a good way for learners to mentally warm up and engage with </w:t>
            </w:r>
            <w:r w:rsidRPr="00536613">
              <w:rPr>
                <w:rFonts w:asciiTheme="minorHAnsi" w:eastAsia="Times New Roman" w:hAnsiTheme="minorHAnsi" w:cstheme="minorHAnsi"/>
                <w:szCs w:val="24"/>
                <w:lang w:eastAsia="en-GB"/>
              </w:rPr>
              <w:lastRenderedPageBreak/>
              <w:t xml:space="preserve">the lesson. It was a new topic, and learners had various levels of background knowledge and understanding. Think pair share gave them an opportunity to share what they already knew with their partner and then the class. After one learner had shared what they had discussed, I found this sparked questions and ideas in other learners, leading to a classroom discussion and allowing the learners to steer the lesson a bit. This helped learners tune in with the lesson. However, I found that bringing the class back to focus after their paired discussions could be difficult if the class was </w:t>
            </w:r>
            <w:r w:rsidR="006270F1" w:rsidRPr="00536613">
              <w:rPr>
                <w:rFonts w:asciiTheme="minorHAnsi" w:eastAsia="Times New Roman" w:hAnsiTheme="minorHAnsi" w:cstheme="minorHAnsi"/>
                <w:szCs w:val="24"/>
                <w:lang w:eastAsia="en-GB"/>
              </w:rPr>
              <w:t>noisy and</w:t>
            </w:r>
            <w:r w:rsidRPr="00536613">
              <w:rPr>
                <w:rFonts w:asciiTheme="minorHAnsi" w:eastAsia="Times New Roman" w:hAnsiTheme="minorHAnsi" w:cstheme="minorHAnsi"/>
                <w:szCs w:val="24"/>
                <w:lang w:eastAsia="en-GB"/>
              </w:rPr>
              <w:t xml:space="preserve"> had been told that the </w:t>
            </w:r>
            <w:proofErr w:type="gramStart"/>
            <w:r w:rsidRPr="00536613">
              <w:rPr>
                <w:rFonts w:asciiTheme="minorHAnsi" w:eastAsia="Times New Roman" w:hAnsiTheme="minorHAnsi" w:cstheme="minorHAnsi"/>
                <w:szCs w:val="24"/>
                <w:lang w:eastAsia="en-GB"/>
              </w:rPr>
              <w:t>class</w:t>
            </w:r>
            <w:proofErr w:type="gramEnd"/>
            <w:r w:rsidRPr="00536613">
              <w:rPr>
                <w:rFonts w:asciiTheme="minorHAnsi" w:eastAsia="Times New Roman" w:hAnsiTheme="minorHAnsi" w:cstheme="minorHAnsi"/>
                <w:szCs w:val="24"/>
                <w:lang w:eastAsia="en-GB"/>
              </w:rPr>
              <w:t xml:space="preserve"> I was with could get quite restless if they weren't on task soon into th</w:t>
            </w:r>
            <w:r w:rsidR="00C40DB5" w:rsidRPr="00C40DB5">
              <w:rPr>
                <w:rFonts w:asciiTheme="minorHAnsi" w:eastAsia="Times New Roman" w:hAnsiTheme="minorHAnsi" w:cstheme="minorHAnsi"/>
                <w:szCs w:val="24"/>
                <w:lang w:eastAsia="en-GB"/>
              </w:rPr>
              <w:t>e lesson, so think pair share may not be as effective with them.</w:t>
            </w:r>
          </w:p>
          <w:p w14:paraId="075D8006" w14:textId="27A20E44" w:rsidR="008632A8" w:rsidRDefault="008632A8" w:rsidP="00EB1832">
            <w:pPr>
              <w:rPr>
                <w:sz w:val="22"/>
              </w:rPr>
            </w:pPr>
          </w:p>
          <w:p w14:paraId="4F5C0807" w14:textId="1DD1740B" w:rsidR="008632A8" w:rsidRPr="00446402" w:rsidRDefault="008632A8" w:rsidP="00EB1832">
            <w:pPr>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4D2EA899" w:rsidR="00446402" w:rsidRPr="00446402" w:rsidRDefault="00536613" w:rsidP="00EB1832">
            <w:pPr>
              <w:rPr>
                <w:rFonts w:ascii="Calibri" w:eastAsia="Calibri" w:hAnsi="Calibri" w:cs="Times New Roman"/>
                <w:sz w:val="22"/>
                <w:lang w:val="en-GB"/>
              </w:rPr>
            </w:pPr>
            <w:r>
              <w:t xml:space="preserve">The share meeting took place on 25th November via Microsoft Teams due to health and safety regulations. Everybody in my network and two of our tutors were present. We each had a chance to present our presentations regarding the </w:t>
            </w:r>
            <w:proofErr w:type="spellStart"/>
            <w:r>
              <w:t>AfL</w:t>
            </w:r>
            <w:proofErr w:type="spellEnd"/>
            <w:r>
              <w:t xml:space="preserve"> strategies we used to the group.</w:t>
            </w:r>
          </w:p>
        </w:tc>
        <w:tc>
          <w:tcPr>
            <w:tcW w:w="4961" w:type="dxa"/>
            <w:tcBorders>
              <w:top w:val="single" w:sz="4" w:space="0" w:color="auto"/>
              <w:left w:val="single" w:sz="4" w:space="0" w:color="auto"/>
              <w:bottom w:val="single" w:sz="4" w:space="0" w:color="auto"/>
              <w:right w:val="single" w:sz="4" w:space="0" w:color="auto"/>
            </w:tcBorders>
          </w:tcPr>
          <w:p w14:paraId="07D8103A" w14:textId="3B71BC66" w:rsidR="008632A8" w:rsidRPr="00446402" w:rsidRDefault="00536613" w:rsidP="00EB1832">
            <w:pPr>
              <w:rPr>
                <w:rFonts w:ascii="Calibri" w:eastAsia="Calibri" w:hAnsi="Calibri" w:cs="Times New Roman"/>
                <w:sz w:val="22"/>
                <w:lang w:val="en-GB"/>
              </w:rPr>
            </w:pPr>
            <w:r>
              <w:t xml:space="preserve">This share day was incredibly useful. Each of us tested two different </w:t>
            </w:r>
            <w:proofErr w:type="spellStart"/>
            <w:r>
              <w:t>AfL</w:t>
            </w:r>
            <w:proofErr w:type="spellEnd"/>
            <w:r>
              <w:t xml:space="preserve"> strategies and hearing about other people's experiences and the different strategies used was valuable for future practice. Even where people used the same strategies, it was interesting to see how they were adapted to the phase they were teaching and the personality of their class. We each </w:t>
            </w:r>
            <w:r>
              <w:lastRenderedPageBreak/>
              <w:t xml:space="preserve">received feedback from each other throughout and after our presentations, as well as feedback from our tutor. There was plenty of positive feedback and the group was highly praised in the group feedback at the end. After listening to the presentations, I feel ready to try more </w:t>
            </w:r>
            <w:proofErr w:type="spellStart"/>
            <w:r>
              <w:t>AfL</w:t>
            </w:r>
            <w:proofErr w:type="spellEnd"/>
            <w:r>
              <w:t xml:space="preserve"> strategies in future. After listening to how </w:t>
            </w:r>
            <w:proofErr w:type="spellStart"/>
            <w:r>
              <w:t>AfL</w:t>
            </w:r>
            <w:proofErr w:type="spellEnd"/>
            <w:r>
              <w:t xml:space="preserve"> strategies were deployed in the Foundation Phase I feel more prepared for using them myself when I swap the phase I am teaching.</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15E7A8B4"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6270F1">
            <w:sym w:font="Webdings" w:char="F061"/>
          </w:r>
        </w:sdtContent>
      </w:sdt>
    </w:p>
    <w:p w14:paraId="268EA0CD" w14:textId="49218058" w:rsidR="001E7B6F" w:rsidRDefault="00281445"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6270F1">
            <w:t>Being responsible for the literacy task during a period of learning from home, I would be in communication with learners one to one to help guide their writing.  They were tasked with writing a short story, so to be able to provide better guidance I researched a variety of online sources to find quality short story writing advice and guidance that I could use to help the learners' I was working with to progress their own writing.</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1AA5FB7D"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6270F1">
            <w:sym w:font="Webdings" w:char="F061"/>
          </w:r>
        </w:sdtContent>
      </w:sdt>
    </w:p>
    <w:p w14:paraId="7F35F197" w14:textId="5B17D0ED" w:rsidR="003529C9" w:rsidRDefault="00281445"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6270F1">
            <w:t>I feel that after having been out of education and maths learning since school, it would be very beneficial to brush up on and develop my numeracy. I found Khan Academy, a great website that offers free courses, and decided to make an account and develop my numeracy skills. I chose numeracy first as it is an important area that I have not engaged with academically for a long time and felt it would be incredibly useful for when I am teaching maths and numeracy to be refreshed on this knowledge and rediscover my understanding which will support my teaching of maths and numeracy.</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77777777" w:rsidR="00EE37F6" w:rsidRPr="00EE37F6" w:rsidRDefault="00EE37F6" w:rsidP="00EE37F6">
      <w:r>
        <w:t xml:space="preserve">Evidenced by an asset? </w:t>
      </w:r>
      <w:sdt>
        <w:sdtPr>
          <w:id w:val="-843865021"/>
          <w14:checkbox>
            <w14:checked w14:val="0"/>
            <w14:checkedState w14:val="0061" w14:font="Webdings"/>
            <w14:uncheckedState w14:val="2610" w14:font="MS Gothic"/>
          </w14:checkbox>
        </w:sdtPr>
        <w:sdtEndPr/>
        <w:sdtContent>
          <w:r>
            <w:rPr>
              <w:rFonts w:ascii="MS Gothic" w:eastAsia="MS Gothic" w:hAnsi="MS Gothic" w:hint="eastAsia"/>
            </w:rPr>
            <w:t>☐</w:t>
          </w:r>
        </w:sdtContent>
      </w:sdt>
    </w:p>
    <w:p w14:paraId="3C02CFE0" w14:textId="77777777" w:rsidR="003529C9" w:rsidRDefault="00281445"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howingPlcHdr/>
        </w:sdtPr>
        <w:sdtEndPr/>
        <w:sdtContent>
          <w:r w:rsidR="003529C9" w:rsidRPr="00EE7FF0">
            <w:t>Paste text here</w:t>
          </w:r>
          <w:r w:rsidR="003529C9">
            <w:t xml:space="preserve"> or n/a</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998C2BC" w:rsidR="00CC0CA8" w:rsidRPr="00CC0CA8" w:rsidRDefault="00281445"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howingPlcHdr/>
            </w:sdtPr>
            <w:sdtEndPr/>
            <w:sdtContent>
              <w:r w:rsidR="003529C9" w:rsidRPr="00EE7FF0">
                <w:t>Paste text here</w:t>
              </w:r>
              <w:r w:rsidR="003529C9">
                <w:t xml:space="preserve"> or n/a</w:t>
              </w:r>
            </w:sdtContent>
          </w:sdt>
          <w:r w:rsidR="003529C9">
            <w:t xml:space="preserve"> </w:t>
          </w:r>
        </w:p>
      </w:sdtContent>
    </w:sdt>
    <w:p w14:paraId="404BAAFA" w14:textId="1B326409" w:rsidR="00667EB2" w:rsidRDefault="00667EB2" w:rsidP="00667EB2"/>
    <w:p w14:paraId="5315715F" w14:textId="4E2047D6" w:rsidR="00A51F96" w:rsidRDefault="002A49CE" w:rsidP="00A51F96">
      <w:pPr>
        <w:pStyle w:val="Heading3"/>
      </w:pPr>
      <w:proofErr w:type="spellStart"/>
      <w:r>
        <w:t>Datblygu’r</w:t>
      </w:r>
      <w:proofErr w:type="spellEnd"/>
      <w:r>
        <w:t xml:space="preserve"> </w:t>
      </w:r>
      <w:proofErr w:type="spellStart"/>
      <w:r>
        <w:t>Gymraeg</w:t>
      </w:r>
      <w:proofErr w:type="spellEnd"/>
      <w:r>
        <w:t xml:space="preserve"> / </w:t>
      </w:r>
      <w:r w:rsidR="00A51F96">
        <w:t>Welsh Language Development</w:t>
      </w:r>
    </w:p>
    <w:p w14:paraId="4296F6B9" w14:textId="2A7EEDDA" w:rsidR="00241E14" w:rsidRPr="00EE37F6" w:rsidRDefault="00241E14" w:rsidP="00241E14">
      <w:r>
        <w:t xml:space="preserve">Evidenced by an asset? </w:t>
      </w:r>
      <w:sdt>
        <w:sdtPr>
          <w:id w:val="-546458439"/>
          <w14:checkbox>
            <w14:checked w14:val="1"/>
            <w14:checkedState w14:val="0061" w14:font="Webdings"/>
            <w14:uncheckedState w14:val="2610" w14:font="MS Gothic"/>
          </w14:checkbox>
        </w:sdtPr>
        <w:sdtEndPr/>
        <w:sdtContent>
          <w:r w:rsidR="00C40DB5">
            <w:sym w:font="Webdings" w:char="F061"/>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EndPr/>
      <w:sdtContent>
        <w:p w14:paraId="32F475EA" w14:textId="381B61BE" w:rsidR="00241E14" w:rsidRPr="00241E14" w:rsidRDefault="00281445" w:rsidP="00241E14">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8B3336EA41E04D4291E3F1932019CA5A"/>
              </w:placeholder>
            </w:sdtPr>
            <w:sdtEndPr/>
            <w:sdtContent>
              <w:r w:rsidR="00C40DB5">
                <w:t xml:space="preserve">​​​​​​​During Welsh lessons with UWTSD, the app Duolingo was recommended to further develop Welsh language skills. I have been getting into the habit of using it </w:t>
              </w:r>
              <w:r w:rsidR="006270F1">
                <w:t>every day</w:t>
              </w:r>
              <w:r w:rsidR="00C40DB5">
                <w:t xml:space="preserve"> to improve my Welsh. During periods of learning from home where </w:t>
              </w:r>
              <w:r w:rsidR="006270F1">
                <w:t>I am</w:t>
              </w:r>
              <w:r w:rsidR="00C40DB5">
                <w:t xml:space="preserve"> unable to use incidental Welsh in the classroom to develop my Welsh, Duolingo has allowed me to develop my skills further.</w:t>
              </w:r>
            </w:sdtContent>
          </w:sdt>
          <w:r w:rsidR="00241E14">
            <w:t xml:space="preserve"> </w:t>
          </w:r>
        </w:p>
      </w:sdtContent>
    </w:sdt>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12C262F2" w:rsidR="000D213D" w:rsidRDefault="000D213D" w:rsidP="00CD1E5D">
      <w:pPr>
        <w:pStyle w:val="Heading2"/>
      </w:pPr>
      <w:r>
        <w:t xml:space="preserve">Professional Experience </w:t>
      </w:r>
      <w:r w:rsidRPr="00CD1E5D">
        <w:t>Template</w:t>
      </w:r>
      <w:r w:rsidR="007C32AA">
        <w:t xml:space="preserve"> 1</w:t>
      </w:r>
      <w:r w:rsidR="00E02C5E">
        <w:t xml:space="preserve">: </w:t>
      </w:r>
      <w:proofErr w:type="spellStart"/>
      <w:r w:rsidR="00441964">
        <w:t>Organising</w:t>
      </w:r>
      <w:proofErr w:type="spellEnd"/>
      <w:r w:rsidR="00441964">
        <w:t xml:space="preserve"> Home Learning Activities</w:t>
      </w:r>
    </w:p>
    <w:p w14:paraId="7A167012" w14:textId="4FF59905"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41964">
            <w:t>Advancing: Blended learning</w:t>
          </w:r>
        </w:sdtContent>
      </w:sdt>
    </w:p>
    <w:p w14:paraId="02E30A83" w14:textId="5477FAAD" w:rsidR="007C32AA" w:rsidRDefault="007C32AA" w:rsidP="00B70105">
      <w:pPr>
        <w:pStyle w:val="Heading3"/>
      </w:pPr>
      <w:r>
        <w:t>What did you do and why?</w:t>
      </w:r>
    </w:p>
    <w:p w14:paraId="19D89CBC" w14:textId="273E9025" w:rsidR="008F713A" w:rsidRPr="00765A1A" w:rsidRDefault="00441964" w:rsidP="008F713A">
      <w:pPr>
        <w:rPr>
          <w:rFonts w:cstheme="minorHAnsi"/>
        </w:rPr>
      </w:pPr>
      <w:r w:rsidRPr="00765A1A">
        <w:rPr>
          <w:rFonts w:cstheme="minorHAnsi"/>
          <w:color w:val="161616"/>
          <w:shd w:val="clear" w:color="auto" w:fill="FFFFFF"/>
        </w:rPr>
        <w:t xml:space="preserve">As of 17th November, the class I was with had to isolate until 1st December. Unfortunately, this date was then extended to the 4th December due to the whole school having to close. As unfortunate as this was, it did allow me the opportunity to experience how the school would set home learning, as this may become more relevant in the future. The school </w:t>
      </w:r>
      <w:proofErr w:type="gramStart"/>
      <w:r w:rsidRPr="00765A1A">
        <w:rPr>
          <w:rFonts w:cstheme="minorHAnsi"/>
          <w:color w:val="161616"/>
          <w:shd w:val="clear" w:color="auto" w:fill="FFFFFF"/>
        </w:rPr>
        <w:t>I'm</w:t>
      </w:r>
      <w:proofErr w:type="gramEnd"/>
      <w:r w:rsidRPr="00765A1A">
        <w:rPr>
          <w:rFonts w:cstheme="minorHAnsi"/>
          <w:color w:val="161616"/>
          <w:shd w:val="clear" w:color="auto" w:fill="FFFFFF"/>
        </w:rPr>
        <w:t xml:space="preserve"> with does not teach online via Microsoft Teams or Zoom, but sends their learners activities to complete at home, complete with teacher guidance. At first, I adapted my previous LLC lesson plans and resources to be more suitable for learners to use at home. However, the school's approach to home learning was more relaxed and involved giving learners a choice of interesting activities that they could enjoy doing at home, rather than setting work that might be done in a classroom. Knowing this, I helped the headteacher design a grid of activities that the class could do in their week in isolation. I also designed a grid of activities by myself for the learners to do, focusing on their term topic and giving them tasks that they could do outdoors, as they would be finishing their isolation. I gave them 10 tasks overall, with one mandatory </w:t>
      </w:r>
      <w:proofErr w:type="spellStart"/>
      <w:r w:rsidRPr="00765A1A">
        <w:rPr>
          <w:rFonts w:cstheme="minorHAnsi"/>
          <w:color w:val="161616"/>
          <w:shd w:val="clear" w:color="auto" w:fill="FFFFFF"/>
        </w:rPr>
        <w:t>maths</w:t>
      </w:r>
      <w:proofErr w:type="spellEnd"/>
      <w:r w:rsidRPr="00765A1A">
        <w:rPr>
          <w:rFonts w:cstheme="minorHAnsi"/>
          <w:color w:val="161616"/>
          <w:shd w:val="clear" w:color="auto" w:fill="FFFFFF"/>
        </w:rPr>
        <w:t xml:space="preserve"> and literacy task to complete. This experience was a good opportunity to focus on the blended learning experiences target as the learning was not taking place in the classroom, allowing for a range of activities, both on and off the computer, to be set. Activities set could be a mixture of information and guidance to carrying out guided tasks indoors and sending learners outdoors to do activities and research. As the learners were going to be working from home, I felt it would be a good opportunity to develop the involving partners in learning target. The parents, guardians and siblings of the learners would be responsible for the learners at home so it would be a good opportunity to set tasks that they could also get involved with </w:t>
      </w:r>
      <w:proofErr w:type="gramStart"/>
      <w:r w:rsidRPr="00765A1A">
        <w:rPr>
          <w:rFonts w:cstheme="minorHAnsi"/>
          <w:color w:val="161616"/>
          <w:shd w:val="clear" w:color="auto" w:fill="FFFFFF"/>
        </w:rPr>
        <w:t>in order to</w:t>
      </w:r>
      <w:proofErr w:type="gramEnd"/>
      <w:r w:rsidRPr="00765A1A">
        <w:rPr>
          <w:rFonts w:cstheme="minorHAnsi"/>
          <w:color w:val="161616"/>
          <w:shd w:val="clear" w:color="auto" w:fill="FFFFFF"/>
        </w:rPr>
        <w:t xml:space="preserve"> help the learner. I felt the best way to approach developing this target was to set activities where parents/guardians/siblings could take a mentor approach and enjoy for themselves as well. I also focused on continuing professional development, as it was a new opportunity to learn </w:t>
      </w:r>
      <w:r w:rsidRPr="00765A1A">
        <w:rPr>
          <w:rFonts w:cstheme="minorHAnsi"/>
          <w:color w:val="161616"/>
          <w:shd w:val="clear" w:color="auto" w:fill="FFFFFF"/>
        </w:rPr>
        <w:lastRenderedPageBreak/>
        <w:t xml:space="preserve">about and practice setting learning tasks outside of the classroom, which I had not previously done. I also had the opportunity to film and edit a video of myself showing learners how to carry out one of the tasks. I had not had any experience filming and editing </w:t>
      </w:r>
      <w:proofErr w:type="gramStart"/>
      <w:r w:rsidRPr="00765A1A">
        <w:rPr>
          <w:rFonts w:cstheme="minorHAnsi"/>
          <w:color w:val="161616"/>
          <w:shd w:val="clear" w:color="auto" w:fill="FFFFFF"/>
        </w:rPr>
        <w:t>videos, and</w:t>
      </w:r>
      <w:proofErr w:type="gramEnd"/>
      <w:r w:rsidRPr="00765A1A">
        <w:rPr>
          <w:rFonts w:cstheme="minorHAnsi"/>
          <w:color w:val="161616"/>
          <w:shd w:val="clear" w:color="auto" w:fill="FFFFFF"/>
        </w:rPr>
        <w:t xml:space="preserve"> learned a lot from the experience. </w:t>
      </w:r>
    </w:p>
    <w:p w14:paraId="1AD79B70" w14:textId="2F7E7BD1" w:rsidR="007C32AA" w:rsidRDefault="007C32AA" w:rsidP="00B70105">
      <w:pPr>
        <w:pStyle w:val="Heading3"/>
      </w:pPr>
      <w:r>
        <w:t>What have you learned?</w:t>
      </w:r>
    </w:p>
    <w:p w14:paraId="5E90A312" w14:textId="02017B15" w:rsidR="00441964" w:rsidRDefault="00441964" w:rsidP="00765A1A">
      <w:pPr>
        <w:pStyle w:val="NormalWeb"/>
        <w:shd w:val="clear" w:color="auto" w:fill="FFFFFF"/>
        <w:spacing w:before="0" w:beforeAutospacing="0" w:after="0" w:afterAutospacing="0" w:line="360" w:lineRule="auto"/>
        <w:rPr>
          <w:rFonts w:asciiTheme="minorHAnsi" w:hAnsiTheme="minorHAnsi" w:cstheme="minorHAnsi"/>
          <w:color w:val="161616"/>
          <w:u w:val="single"/>
          <w:lang w:eastAsia="en-GB"/>
        </w:rPr>
      </w:pPr>
      <w:r w:rsidRPr="00441964">
        <w:rPr>
          <w:rFonts w:asciiTheme="minorHAnsi" w:hAnsiTheme="minorHAnsi" w:cstheme="minorHAnsi"/>
          <w:color w:val="161616"/>
          <w:u w:val="single"/>
          <w:lang w:eastAsia="en-GB"/>
        </w:rPr>
        <w:t>Blended Learning Experiences</w:t>
      </w:r>
    </w:p>
    <w:p w14:paraId="0DDB8795" w14:textId="77777777" w:rsidR="00441964" w:rsidRPr="00441964" w:rsidRDefault="00441964" w:rsidP="00765A1A">
      <w:pPr>
        <w:pStyle w:val="NormalWeb"/>
        <w:shd w:val="clear" w:color="auto" w:fill="FFFFFF"/>
        <w:spacing w:before="0" w:beforeAutospacing="0" w:after="0" w:afterAutospacing="0" w:line="360" w:lineRule="auto"/>
        <w:rPr>
          <w:rFonts w:asciiTheme="minorHAnsi" w:hAnsiTheme="minorHAnsi" w:cstheme="minorHAnsi"/>
          <w:color w:val="161616"/>
          <w:lang w:eastAsia="en-GB"/>
        </w:rPr>
      </w:pPr>
    </w:p>
    <w:p w14:paraId="6DCCE492" w14:textId="03346D76" w:rsidR="00441964" w:rsidRPr="00441964" w:rsidRDefault="00441964" w:rsidP="00765A1A">
      <w:pPr>
        <w:shd w:val="clear" w:color="auto" w:fill="FFFFFF"/>
        <w:rPr>
          <w:rFonts w:eastAsia="Times New Roman" w:cstheme="minorHAnsi"/>
          <w:color w:val="161616"/>
          <w:szCs w:val="24"/>
          <w:lang w:val="en-GB" w:eastAsia="en-GB"/>
        </w:rPr>
      </w:pPr>
      <w:r w:rsidRPr="00441964">
        <w:rPr>
          <w:rFonts w:eastAsia="Times New Roman" w:cstheme="minorHAnsi"/>
          <w:color w:val="161616"/>
          <w:szCs w:val="24"/>
          <w:lang w:val="en-GB" w:eastAsia="en-GB"/>
        </w:rPr>
        <w:t xml:space="preserve">As the learning was taking place at home, away from a teacher and the classroom environment, the activities needed to be different </w:t>
      </w:r>
      <w:proofErr w:type="gramStart"/>
      <w:r w:rsidRPr="00441964">
        <w:rPr>
          <w:rFonts w:eastAsia="Times New Roman" w:cstheme="minorHAnsi"/>
          <w:color w:val="161616"/>
          <w:szCs w:val="24"/>
          <w:lang w:val="en-GB" w:eastAsia="en-GB"/>
        </w:rPr>
        <w:t>in order to</w:t>
      </w:r>
      <w:proofErr w:type="gramEnd"/>
      <w:r w:rsidRPr="00441964">
        <w:rPr>
          <w:rFonts w:eastAsia="Times New Roman" w:cstheme="minorHAnsi"/>
          <w:color w:val="161616"/>
          <w:szCs w:val="24"/>
          <w:lang w:val="en-GB" w:eastAsia="en-GB"/>
        </w:rPr>
        <w:t xml:space="preserve"> keep learners engaged, be suitable for learners to complete without needing the teachers' support in real time and to take advantage of the resources and environment in and around the home.</w:t>
      </w:r>
      <w:r w:rsidR="00DE11D6">
        <w:rPr>
          <w:rFonts w:eastAsia="Times New Roman" w:cstheme="minorHAnsi"/>
          <w:color w:val="161616"/>
          <w:szCs w:val="24"/>
          <w:lang w:val="en-GB" w:eastAsia="en-GB"/>
        </w:rPr>
        <w:t xml:space="preserve"> When taking a blended learning approach during class closure, it was important to consider how the learning could be made accessible, engaging, and relevant. As learners home scenarios differed, the activities should have been flexible, allowing myself and learners to experience an alternative method of teaching and learning (Allan, 2007). </w:t>
      </w:r>
      <w:r w:rsidRPr="00441964">
        <w:rPr>
          <w:rFonts w:eastAsia="Times New Roman" w:cstheme="minorHAnsi"/>
          <w:color w:val="161616"/>
          <w:szCs w:val="24"/>
          <w:lang w:val="en-GB" w:eastAsia="en-GB"/>
        </w:rPr>
        <w:t xml:space="preserve">I wanted the tasks to suitable for all learners to complete independently and to be enjoyable whilst not needing much direction or a detailed success </w:t>
      </w:r>
      <w:proofErr w:type="gramStart"/>
      <w:r w:rsidRPr="00441964">
        <w:rPr>
          <w:rFonts w:eastAsia="Times New Roman" w:cstheme="minorHAnsi"/>
          <w:color w:val="161616"/>
          <w:szCs w:val="24"/>
          <w:lang w:val="en-GB" w:eastAsia="en-GB"/>
        </w:rPr>
        <w:t>criteria</w:t>
      </w:r>
      <w:proofErr w:type="gramEnd"/>
      <w:r w:rsidRPr="00441964">
        <w:rPr>
          <w:rFonts w:eastAsia="Times New Roman" w:cstheme="minorHAnsi"/>
          <w:color w:val="161616"/>
          <w:szCs w:val="24"/>
          <w:lang w:val="en-GB" w:eastAsia="en-GB"/>
        </w:rPr>
        <w:t xml:space="preserve">. I also wanted some of the tasks to relate to the class' term topic. The activities set for the first grid included tasks such as designing a logo for a detective agency, with an explanation of the design. This task does not require in depth explanations or managing. It allows learners a chance to be creative with the resources in their home - they could complete it online or on paper, using their choice of materials to colour and decorate it. Having them explain the decision-making behind their logo gives them the opportunity to reflect on what they have done for their term topic - Forensics. Another activity involved designing a poster to promote internet safety. This linked with what I had previously taught them about cyber security and using strong passwords, so they already had background information on being safe online, whilst providing them the opportunity to be creative again. It also gave an opportunity to use online research to fill in the gaps in their knowledge for the poster. For the </w:t>
      </w:r>
      <w:r w:rsidR="00DE11D6">
        <w:rPr>
          <w:rFonts w:eastAsia="Times New Roman" w:cstheme="minorHAnsi"/>
          <w:color w:val="161616"/>
          <w:szCs w:val="24"/>
          <w:lang w:val="en-GB" w:eastAsia="en-GB"/>
        </w:rPr>
        <w:t xml:space="preserve">next </w:t>
      </w:r>
      <w:r w:rsidRPr="00441964">
        <w:rPr>
          <w:rFonts w:eastAsia="Times New Roman" w:cstheme="minorHAnsi"/>
          <w:color w:val="161616"/>
          <w:szCs w:val="24"/>
          <w:lang w:val="en-GB" w:eastAsia="en-GB"/>
        </w:rPr>
        <w:t xml:space="preserve">grid of activities I planned, I wanted to incorporate activities that learners would usually not have the opportunity to carry out in school. The baking activity gave them the chance to work in the kitchen, which is an opportunity most schools are unable to provide. The activity has the </w:t>
      </w:r>
      <w:r w:rsidRPr="00441964">
        <w:rPr>
          <w:rFonts w:eastAsia="Times New Roman" w:cstheme="minorHAnsi"/>
          <w:color w:val="161616"/>
          <w:szCs w:val="24"/>
          <w:lang w:val="en-GB" w:eastAsia="en-GB"/>
        </w:rPr>
        <w:lastRenderedPageBreak/>
        <w:t>learners following simple instructions, whilst using their practical measuring skills to make brownies. I also included activities that would require the learners to go outside. I think the outdoors is a valuable learning environment, especially when synergised with indoors resources. One of the activities involved going outside to see what sort of wildlife lived around the learner’s home, then the learners would pick an animal/insect, research them online and create a fact file. I enjoyed deploying activities that would be more difficult to carry out in a classroom and I feel that learning from home does provide good opportunities for blended learning experiences, especially since educational school trips are currently less likely to occur.</w:t>
      </w:r>
    </w:p>
    <w:p w14:paraId="6869989E" w14:textId="77777777" w:rsidR="00441964" w:rsidRPr="00441964" w:rsidRDefault="00441964" w:rsidP="00765A1A">
      <w:pPr>
        <w:shd w:val="clear" w:color="auto" w:fill="FFFFFF"/>
        <w:rPr>
          <w:rFonts w:eastAsia="Times New Roman" w:cstheme="minorHAnsi"/>
          <w:color w:val="161616"/>
          <w:szCs w:val="24"/>
          <w:lang w:val="en-GB" w:eastAsia="en-GB"/>
        </w:rPr>
      </w:pPr>
    </w:p>
    <w:p w14:paraId="3610CEAC" w14:textId="39ED2664" w:rsidR="00441964" w:rsidRDefault="00441964" w:rsidP="00765A1A">
      <w:pPr>
        <w:shd w:val="clear" w:color="auto" w:fill="FFFFFF"/>
        <w:rPr>
          <w:rFonts w:eastAsia="Times New Roman" w:cstheme="minorHAnsi"/>
          <w:color w:val="161616"/>
          <w:szCs w:val="24"/>
          <w:u w:val="single"/>
          <w:lang w:val="en-GB" w:eastAsia="en-GB"/>
        </w:rPr>
      </w:pPr>
      <w:r w:rsidRPr="00441964">
        <w:rPr>
          <w:rFonts w:eastAsia="Times New Roman" w:cstheme="minorHAnsi"/>
          <w:color w:val="161616"/>
          <w:szCs w:val="24"/>
          <w:u w:val="single"/>
          <w:lang w:val="en-GB" w:eastAsia="en-GB"/>
        </w:rPr>
        <w:t>Involving Partners in Learning</w:t>
      </w:r>
    </w:p>
    <w:p w14:paraId="59E68AD7" w14:textId="77777777" w:rsidR="00441964" w:rsidRPr="00441964" w:rsidRDefault="00441964" w:rsidP="00765A1A">
      <w:pPr>
        <w:shd w:val="clear" w:color="auto" w:fill="FFFFFF"/>
        <w:rPr>
          <w:rFonts w:eastAsia="Times New Roman" w:cstheme="minorHAnsi"/>
          <w:color w:val="161616"/>
          <w:szCs w:val="24"/>
          <w:lang w:val="en-GB" w:eastAsia="en-GB"/>
        </w:rPr>
      </w:pPr>
    </w:p>
    <w:p w14:paraId="73F7C933" w14:textId="77777777" w:rsidR="000F169E" w:rsidRDefault="00441964" w:rsidP="00765A1A">
      <w:pPr>
        <w:shd w:val="clear" w:color="auto" w:fill="FFFFFF"/>
        <w:rPr>
          <w:rFonts w:eastAsia="Times New Roman" w:cstheme="minorHAnsi"/>
          <w:color w:val="161616"/>
          <w:szCs w:val="24"/>
          <w:lang w:val="en-GB" w:eastAsia="en-GB"/>
        </w:rPr>
      </w:pPr>
      <w:r w:rsidRPr="00441964">
        <w:rPr>
          <w:rFonts w:eastAsia="Times New Roman" w:cstheme="minorHAnsi"/>
          <w:color w:val="161616"/>
          <w:szCs w:val="24"/>
          <w:lang w:val="en-GB" w:eastAsia="en-GB"/>
        </w:rPr>
        <w:t xml:space="preserve">Since I was unable to be with the learners to teach and guide them through activities in person, some of the home learning activities I set naturally required parents/guardians/siblings to get involved with the learning. For example, the baking activity states that an adult’s assistance is required, and </w:t>
      </w:r>
      <w:proofErr w:type="gramStart"/>
      <w:r w:rsidRPr="00441964">
        <w:rPr>
          <w:rFonts w:eastAsia="Times New Roman" w:cstheme="minorHAnsi"/>
          <w:color w:val="161616"/>
          <w:szCs w:val="24"/>
          <w:lang w:val="en-GB" w:eastAsia="en-GB"/>
        </w:rPr>
        <w:t>it's</w:t>
      </w:r>
      <w:proofErr w:type="gramEnd"/>
      <w:r w:rsidRPr="00441964">
        <w:rPr>
          <w:rFonts w:eastAsia="Times New Roman" w:cstheme="minorHAnsi"/>
          <w:color w:val="161616"/>
          <w:szCs w:val="24"/>
          <w:lang w:val="en-GB" w:eastAsia="en-GB"/>
        </w:rPr>
        <w:t xml:space="preserve"> up to the parents/guardians/siblings to help the learner if they aren't sure how to proceed with an activity or to give them any immediate feedback on the activities they have completed. I designed most of the activities to be appropriate for the learner to carry out independently with little new teaching required, which would be outlined in the guidance resource. This kind of planning was in case the learner </w:t>
      </w:r>
      <w:r w:rsidR="000F169E" w:rsidRPr="00441964">
        <w:rPr>
          <w:rFonts w:eastAsia="Times New Roman" w:cstheme="minorHAnsi"/>
          <w:color w:val="161616"/>
          <w:szCs w:val="24"/>
          <w:lang w:val="en-GB" w:eastAsia="en-GB"/>
        </w:rPr>
        <w:t>would not</w:t>
      </w:r>
      <w:r w:rsidRPr="00441964">
        <w:rPr>
          <w:rFonts w:eastAsia="Times New Roman" w:cstheme="minorHAnsi"/>
          <w:color w:val="161616"/>
          <w:szCs w:val="24"/>
          <w:lang w:val="en-GB" w:eastAsia="en-GB"/>
        </w:rPr>
        <w:t xml:space="preserve"> have an adult or more knowledgeable other present to help them. However, I tried to make the activities engaging and interesting enough that a parent/guardian/sibling would also enjoy taking part and helping the learner with the task if they were available to, to encourage them to be involved with the students learning.</w:t>
      </w:r>
      <w:r w:rsidR="000F169E">
        <w:rPr>
          <w:rFonts w:eastAsia="Times New Roman" w:cstheme="minorHAnsi"/>
          <w:color w:val="161616"/>
          <w:szCs w:val="24"/>
          <w:lang w:val="en-GB" w:eastAsia="en-GB"/>
        </w:rPr>
        <w:t xml:space="preserve"> It is important to encourage parents/carers to take an interest in their child’s education. The degree to which families engage with their child’s learning has six times more influence over the child’s education outcomes than the quality of their school (</w:t>
      </w:r>
      <w:proofErr w:type="spellStart"/>
      <w:r w:rsidR="000F169E">
        <w:rPr>
          <w:rFonts w:eastAsia="Times New Roman" w:cstheme="minorHAnsi"/>
          <w:color w:val="161616"/>
          <w:szCs w:val="24"/>
          <w:lang w:val="en-GB" w:eastAsia="en-GB"/>
        </w:rPr>
        <w:t>Desforges</w:t>
      </w:r>
      <w:proofErr w:type="spellEnd"/>
      <w:r w:rsidR="000F169E">
        <w:rPr>
          <w:rFonts w:eastAsia="Times New Roman" w:cstheme="minorHAnsi"/>
          <w:color w:val="161616"/>
          <w:szCs w:val="24"/>
          <w:lang w:val="en-GB" w:eastAsia="en-GB"/>
        </w:rPr>
        <w:t xml:space="preserve"> and </w:t>
      </w:r>
      <w:proofErr w:type="spellStart"/>
      <w:r w:rsidR="000F169E">
        <w:rPr>
          <w:rFonts w:eastAsia="Times New Roman" w:cstheme="minorHAnsi"/>
          <w:color w:val="161616"/>
          <w:szCs w:val="24"/>
          <w:lang w:val="en-GB" w:eastAsia="en-GB"/>
        </w:rPr>
        <w:t>Abouchaar</w:t>
      </w:r>
      <w:proofErr w:type="spellEnd"/>
      <w:r w:rsidR="000F169E">
        <w:rPr>
          <w:rFonts w:eastAsia="Times New Roman" w:cstheme="minorHAnsi"/>
          <w:color w:val="161616"/>
          <w:szCs w:val="24"/>
          <w:lang w:val="en-GB" w:eastAsia="en-GB"/>
        </w:rPr>
        <w:t>, 2003).</w:t>
      </w:r>
      <w:r w:rsidRPr="00441964">
        <w:rPr>
          <w:rFonts w:eastAsia="Times New Roman" w:cstheme="minorHAnsi"/>
          <w:color w:val="161616"/>
          <w:szCs w:val="24"/>
          <w:lang w:val="en-GB" w:eastAsia="en-GB"/>
        </w:rPr>
        <w:t xml:space="preserve"> </w:t>
      </w:r>
    </w:p>
    <w:p w14:paraId="3DD57E31" w14:textId="3688D9DC" w:rsidR="00441964" w:rsidRPr="000F169E" w:rsidRDefault="00441964" w:rsidP="00765A1A">
      <w:pPr>
        <w:shd w:val="clear" w:color="auto" w:fill="FFFFFF"/>
        <w:rPr>
          <w:rFonts w:eastAsia="Times New Roman" w:cstheme="minorHAnsi"/>
          <w:color w:val="161616"/>
          <w:szCs w:val="24"/>
          <w:lang w:val="en-GB" w:eastAsia="en-GB"/>
        </w:rPr>
      </w:pPr>
      <w:r w:rsidRPr="00441964">
        <w:rPr>
          <w:rFonts w:eastAsia="Times New Roman" w:cstheme="minorHAnsi"/>
          <w:color w:val="161616"/>
          <w:szCs w:val="24"/>
          <w:lang w:val="en-GB" w:eastAsia="en-GB"/>
        </w:rPr>
        <w:t xml:space="preserve">Partners in learning have a much bigger role when the learning is taking place at home without any school staff able to be present, and some learners may be able to have more time with their parents/guardians/siblings present and engaged then others. I </w:t>
      </w:r>
      <w:proofErr w:type="gramStart"/>
      <w:r w:rsidRPr="00441964">
        <w:rPr>
          <w:rFonts w:eastAsia="Times New Roman" w:cstheme="minorHAnsi"/>
          <w:color w:val="161616"/>
          <w:szCs w:val="24"/>
          <w:lang w:val="en-GB" w:eastAsia="en-GB"/>
        </w:rPr>
        <w:t>didn't</w:t>
      </w:r>
      <w:proofErr w:type="gramEnd"/>
      <w:r w:rsidRPr="00441964">
        <w:rPr>
          <w:rFonts w:eastAsia="Times New Roman" w:cstheme="minorHAnsi"/>
          <w:color w:val="161616"/>
          <w:szCs w:val="24"/>
          <w:lang w:val="en-GB" w:eastAsia="en-GB"/>
        </w:rPr>
        <w:t xml:space="preserve"> want the activities to depend on the learners having necessary </w:t>
      </w:r>
      <w:r w:rsidR="000F169E" w:rsidRPr="00441964">
        <w:rPr>
          <w:rFonts w:eastAsia="Times New Roman" w:cstheme="minorHAnsi"/>
          <w:color w:val="161616"/>
          <w:szCs w:val="24"/>
          <w:lang w:val="en-GB" w:eastAsia="en-GB"/>
        </w:rPr>
        <w:t>support but</w:t>
      </w:r>
      <w:r w:rsidRPr="00441964">
        <w:rPr>
          <w:rFonts w:eastAsia="Times New Roman" w:cstheme="minorHAnsi"/>
          <w:color w:val="161616"/>
          <w:szCs w:val="24"/>
          <w:lang w:val="en-GB" w:eastAsia="en-GB"/>
        </w:rPr>
        <w:t xml:space="preserve"> hoped that if others wanted to get </w:t>
      </w:r>
      <w:r w:rsidRPr="00441964">
        <w:rPr>
          <w:rFonts w:eastAsia="Times New Roman" w:cstheme="minorHAnsi"/>
          <w:color w:val="161616"/>
          <w:szCs w:val="24"/>
          <w:lang w:val="en-GB" w:eastAsia="en-GB"/>
        </w:rPr>
        <w:lastRenderedPageBreak/>
        <w:t>involved with the activities that it would be enjoyable for them to do so.</w:t>
      </w:r>
      <w:r w:rsidR="000F169E">
        <w:rPr>
          <w:rFonts w:eastAsia="Times New Roman" w:cstheme="minorHAnsi"/>
          <w:color w:val="161616"/>
          <w:szCs w:val="24"/>
          <w:lang w:val="en-GB" w:eastAsia="en-GB"/>
        </w:rPr>
        <w:t xml:space="preserve"> It is good to get families involved with the learner’s learning at an early age. The younger the learner, the bigger the impact from their parents/carers – but even at sixteen years old the impact is still significant, and learners with continuous family support in their education perform better in their exams (</w:t>
      </w:r>
      <w:proofErr w:type="spellStart"/>
      <w:r w:rsidR="000F169E">
        <w:rPr>
          <w:rFonts w:eastAsia="Times New Roman" w:cstheme="minorHAnsi"/>
          <w:color w:val="161616"/>
          <w:szCs w:val="24"/>
          <w:lang w:val="en-GB" w:eastAsia="en-GB"/>
        </w:rPr>
        <w:t>Dufur</w:t>
      </w:r>
      <w:proofErr w:type="spellEnd"/>
      <w:r w:rsidR="000F169E">
        <w:rPr>
          <w:rFonts w:eastAsia="Times New Roman" w:cstheme="minorHAnsi"/>
          <w:color w:val="161616"/>
          <w:szCs w:val="24"/>
          <w:lang w:val="en-GB" w:eastAsia="en-GB"/>
        </w:rPr>
        <w:t xml:space="preserve"> </w:t>
      </w:r>
      <w:r w:rsidR="000F169E">
        <w:rPr>
          <w:rFonts w:eastAsia="Times New Roman" w:cstheme="minorHAnsi"/>
          <w:i/>
          <w:iCs/>
          <w:color w:val="161616"/>
          <w:szCs w:val="24"/>
          <w:lang w:val="en-GB" w:eastAsia="en-GB"/>
        </w:rPr>
        <w:t>et al</w:t>
      </w:r>
      <w:r w:rsidR="000F169E">
        <w:rPr>
          <w:rFonts w:eastAsia="Times New Roman" w:cstheme="minorHAnsi"/>
          <w:color w:val="161616"/>
          <w:szCs w:val="24"/>
          <w:lang w:val="en-GB" w:eastAsia="en-GB"/>
        </w:rPr>
        <w:t>, 2013).</w:t>
      </w:r>
    </w:p>
    <w:p w14:paraId="4256F23F" w14:textId="77777777" w:rsidR="00441964" w:rsidRPr="00441964" w:rsidRDefault="00441964" w:rsidP="00765A1A">
      <w:pPr>
        <w:shd w:val="clear" w:color="auto" w:fill="FFFFFF"/>
        <w:rPr>
          <w:rFonts w:eastAsia="Times New Roman" w:cstheme="minorHAnsi"/>
          <w:color w:val="161616"/>
          <w:szCs w:val="24"/>
          <w:lang w:val="en-GB" w:eastAsia="en-GB"/>
        </w:rPr>
      </w:pPr>
    </w:p>
    <w:p w14:paraId="1C982990" w14:textId="7C694300" w:rsidR="00441964" w:rsidRDefault="00441964" w:rsidP="00765A1A">
      <w:pPr>
        <w:shd w:val="clear" w:color="auto" w:fill="FFFFFF"/>
        <w:rPr>
          <w:rFonts w:eastAsia="Times New Roman" w:cstheme="minorHAnsi"/>
          <w:color w:val="161616"/>
          <w:szCs w:val="24"/>
          <w:u w:val="single"/>
          <w:lang w:val="en-GB" w:eastAsia="en-GB"/>
        </w:rPr>
      </w:pPr>
      <w:r w:rsidRPr="00441964">
        <w:rPr>
          <w:rFonts w:eastAsia="Times New Roman" w:cstheme="minorHAnsi"/>
          <w:color w:val="161616"/>
          <w:szCs w:val="24"/>
          <w:u w:val="single"/>
          <w:lang w:val="en-GB" w:eastAsia="en-GB"/>
        </w:rPr>
        <w:t>Continuing Professional Learning</w:t>
      </w:r>
    </w:p>
    <w:p w14:paraId="6D3C6297" w14:textId="77777777" w:rsidR="00441964" w:rsidRPr="00441964" w:rsidRDefault="00441964" w:rsidP="00765A1A">
      <w:pPr>
        <w:shd w:val="clear" w:color="auto" w:fill="FFFFFF"/>
        <w:rPr>
          <w:rFonts w:eastAsia="Times New Roman" w:cstheme="minorHAnsi"/>
          <w:color w:val="161616"/>
          <w:szCs w:val="24"/>
          <w:lang w:val="en-GB" w:eastAsia="en-GB"/>
        </w:rPr>
      </w:pPr>
    </w:p>
    <w:p w14:paraId="147F4884" w14:textId="0A2A9267" w:rsidR="00441964" w:rsidRPr="00441964" w:rsidRDefault="00441964" w:rsidP="00765A1A">
      <w:pPr>
        <w:shd w:val="clear" w:color="auto" w:fill="FFFFFF"/>
        <w:rPr>
          <w:rFonts w:eastAsia="Times New Roman" w:cstheme="minorHAnsi"/>
          <w:color w:val="161616"/>
          <w:szCs w:val="24"/>
          <w:lang w:val="en-GB" w:eastAsia="en-GB"/>
        </w:rPr>
      </w:pPr>
      <w:r w:rsidRPr="00441964">
        <w:rPr>
          <w:rFonts w:eastAsia="Times New Roman" w:cstheme="minorHAnsi"/>
          <w:color w:val="161616"/>
          <w:szCs w:val="24"/>
          <w:lang w:val="en-GB" w:eastAsia="en-GB"/>
        </w:rPr>
        <w:t xml:space="preserve">Throughout this experience I had to consider a completely different approach compared to how I had been teaching in the classroom. I was not able to be with the </w:t>
      </w:r>
      <w:proofErr w:type="gramStart"/>
      <w:r w:rsidRPr="00441964">
        <w:rPr>
          <w:rFonts w:eastAsia="Times New Roman" w:cstheme="minorHAnsi"/>
          <w:color w:val="161616"/>
          <w:szCs w:val="24"/>
          <w:lang w:val="en-GB" w:eastAsia="en-GB"/>
        </w:rPr>
        <w:t>learners</w:t>
      </w:r>
      <w:proofErr w:type="gramEnd"/>
      <w:r w:rsidRPr="00441964">
        <w:rPr>
          <w:rFonts w:eastAsia="Times New Roman" w:cstheme="minorHAnsi"/>
          <w:color w:val="161616"/>
          <w:szCs w:val="24"/>
          <w:lang w:val="en-GB" w:eastAsia="en-GB"/>
        </w:rPr>
        <w:t xml:space="preserve"> face to face to support them and keep them engaged. Therefore, I planned for the activities to be interesting and practical to keep the learners engaged. The activities were suitable for learners to be able to work through independently or with the support of a parent/guardian/sibling. For this experience, I was advised to create a teaching video for one of the tasks I provided. I was guided to use Adobe Spark as the teachers in the school used it. Having never made and edited a video before, I felt this would be valuable in case schools were required to close in the future. It allowed me to provide guidance and instruction without being face to face. I made a video showing learners how they could make their own 'spy kit', as their term topic had been forensics. Having never made one before, I researched what could be included and how the different items could be made. I then filmed myself outlining what learners would need and how to make the items. Unfortunately, when I uploaded the videos to edit the picture would not fit the frame as I had filmed it portrait, rather than landscape. </w:t>
      </w:r>
      <w:proofErr w:type="gramStart"/>
      <w:r w:rsidRPr="00441964">
        <w:rPr>
          <w:rFonts w:eastAsia="Times New Roman" w:cstheme="minorHAnsi"/>
          <w:color w:val="161616"/>
          <w:szCs w:val="24"/>
          <w:lang w:val="en-GB" w:eastAsia="en-GB"/>
        </w:rPr>
        <w:t>In order to</w:t>
      </w:r>
      <w:proofErr w:type="gramEnd"/>
      <w:r w:rsidRPr="00441964">
        <w:rPr>
          <w:rFonts w:eastAsia="Times New Roman" w:cstheme="minorHAnsi"/>
          <w:color w:val="161616"/>
          <w:szCs w:val="24"/>
          <w:lang w:val="en-GB" w:eastAsia="en-GB"/>
        </w:rPr>
        <w:t xml:space="preserve"> complete the video, I uploaded pictures, and recorded myself talking over them to instruct learners. I found this was a valuable experience as I had never created a video before and feel more confident in doing so in the future.</w:t>
      </w:r>
      <w:r w:rsidR="00DE11D6">
        <w:rPr>
          <w:rFonts w:eastAsia="Times New Roman" w:cstheme="minorHAnsi"/>
          <w:color w:val="161616"/>
          <w:szCs w:val="24"/>
          <w:lang w:val="en-GB" w:eastAsia="en-GB"/>
        </w:rPr>
        <w:t xml:space="preserve"> Developing my </w:t>
      </w:r>
      <w:r w:rsidR="00F748F5">
        <w:rPr>
          <w:rFonts w:eastAsia="Times New Roman" w:cstheme="minorHAnsi"/>
          <w:color w:val="161616"/>
          <w:szCs w:val="24"/>
          <w:lang w:val="en-GB" w:eastAsia="en-GB"/>
        </w:rPr>
        <w:t>ability and confidence with ICT is important as 21</w:t>
      </w:r>
      <w:r w:rsidR="00F748F5" w:rsidRPr="00F748F5">
        <w:rPr>
          <w:rFonts w:eastAsia="Times New Roman" w:cstheme="minorHAnsi"/>
          <w:color w:val="161616"/>
          <w:szCs w:val="24"/>
          <w:vertAlign w:val="superscript"/>
          <w:lang w:val="en-GB" w:eastAsia="en-GB"/>
        </w:rPr>
        <w:t>st</w:t>
      </w:r>
      <w:r w:rsidR="00F748F5">
        <w:rPr>
          <w:rFonts w:eastAsia="Times New Roman" w:cstheme="minorHAnsi"/>
          <w:color w:val="161616"/>
          <w:szCs w:val="24"/>
          <w:lang w:val="en-GB" w:eastAsia="en-GB"/>
        </w:rPr>
        <w:t xml:space="preserve"> century teaching uses more and more digital tools and resources. However, the effectiveness of the teaching is dependent on how the teacher chooses to use the technology (Higgins, 2003, cited by Beetham, 2007). This highlights the importance of not only using technology in teaching, but also reflecting on the effectiveness of the techniques used.</w:t>
      </w:r>
    </w:p>
    <w:p w14:paraId="720DA334" w14:textId="77777777" w:rsidR="00441964" w:rsidRPr="00441964" w:rsidRDefault="00441964" w:rsidP="00765A1A">
      <w:pPr>
        <w:shd w:val="clear" w:color="auto" w:fill="FFFFFF"/>
        <w:rPr>
          <w:rFonts w:eastAsia="Times New Roman" w:cstheme="minorHAnsi"/>
          <w:color w:val="161616"/>
          <w:szCs w:val="24"/>
          <w:lang w:val="en-GB" w:eastAsia="en-GB"/>
        </w:rPr>
      </w:pPr>
    </w:p>
    <w:p w14:paraId="103AE506" w14:textId="1E3F3B82" w:rsidR="00441964" w:rsidRDefault="00441964" w:rsidP="00765A1A">
      <w:pPr>
        <w:shd w:val="clear" w:color="auto" w:fill="FFFFFF"/>
        <w:rPr>
          <w:rFonts w:eastAsia="Times New Roman" w:cstheme="minorHAnsi"/>
          <w:color w:val="161616"/>
          <w:szCs w:val="24"/>
          <w:u w:val="single"/>
          <w:lang w:val="en-GB" w:eastAsia="en-GB"/>
        </w:rPr>
      </w:pPr>
      <w:r w:rsidRPr="00441964">
        <w:rPr>
          <w:rFonts w:eastAsia="Times New Roman" w:cstheme="minorHAnsi"/>
          <w:color w:val="161616"/>
          <w:szCs w:val="24"/>
          <w:u w:val="single"/>
          <w:lang w:val="en-GB" w:eastAsia="en-GB"/>
        </w:rPr>
        <w:lastRenderedPageBreak/>
        <w:t>Real Life, Authentic Contexts</w:t>
      </w:r>
    </w:p>
    <w:p w14:paraId="7ADAA5A4" w14:textId="77777777" w:rsidR="00F748F5" w:rsidRPr="00441964" w:rsidRDefault="00F748F5" w:rsidP="00765A1A">
      <w:pPr>
        <w:shd w:val="clear" w:color="auto" w:fill="FFFFFF"/>
        <w:rPr>
          <w:rFonts w:eastAsia="Times New Roman" w:cstheme="minorHAnsi"/>
          <w:color w:val="161616"/>
          <w:szCs w:val="24"/>
          <w:lang w:val="en-GB" w:eastAsia="en-GB"/>
        </w:rPr>
      </w:pPr>
    </w:p>
    <w:p w14:paraId="3E70D6A5" w14:textId="42247134" w:rsidR="00441964" w:rsidRPr="00441964" w:rsidRDefault="00441964" w:rsidP="00765A1A">
      <w:pPr>
        <w:shd w:val="clear" w:color="auto" w:fill="FFFFFF"/>
        <w:rPr>
          <w:rFonts w:eastAsia="Times New Roman" w:cstheme="minorHAnsi"/>
          <w:color w:val="161616"/>
          <w:szCs w:val="24"/>
          <w:lang w:val="en-GB" w:eastAsia="en-GB"/>
        </w:rPr>
      </w:pPr>
      <w:r w:rsidRPr="00441964">
        <w:rPr>
          <w:rFonts w:eastAsia="Times New Roman" w:cstheme="minorHAnsi"/>
          <w:color w:val="161616"/>
          <w:szCs w:val="24"/>
          <w:lang w:val="en-GB" w:eastAsia="en-GB"/>
        </w:rPr>
        <w:t>Some of the challenges involved in this home learning embedded learning and skills development in a natural context. Certain tasks were designed to reinforce what learners had previously learned or offer new experiences. One of the challenges required the learners to bake brownies, a relatively simple food to bake. To make the brownies</w:t>
      </w:r>
      <w:r w:rsidR="004E3F83">
        <w:rPr>
          <w:rFonts w:eastAsia="Times New Roman" w:cstheme="minorHAnsi"/>
          <w:color w:val="161616"/>
          <w:szCs w:val="24"/>
          <w:lang w:val="en-GB" w:eastAsia="en-GB"/>
        </w:rPr>
        <w:t xml:space="preserve">, learners were had </w:t>
      </w:r>
      <w:r w:rsidRPr="00441964">
        <w:rPr>
          <w:rFonts w:eastAsia="Times New Roman" w:cstheme="minorHAnsi"/>
          <w:color w:val="161616"/>
          <w:szCs w:val="24"/>
          <w:lang w:val="en-GB" w:eastAsia="en-GB"/>
        </w:rPr>
        <w:t xml:space="preserve">to be able to correctly read and follow instructions, use scales to weigh ingredients, and to be able to time how long the brownies were in the oven until they were ready, reinforcing skills they would have already learned while in school. Another challenge was letter writing to Santa to tell him why they deserved presents. Many children write letters to Santa, and this activity allowed learners to practice their handwriting, their letter writing technique as well as their persuasive writing. There was a task set for learners to go outside to see what animals and insects they could find and create a fact file on one. This task aimed to get learners outside to encourage physical activity and to stimulate their curiosity in their local wildlife. Observation, </w:t>
      </w:r>
      <w:r w:rsidR="004E3F83" w:rsidRPr="00441964">
        <w:rPr>
          <w:rFonts w:eastAsia="Times New Roman" w:cstheme="minorHAnsi"/>
          <w:color w:val="161616"/>
          <w:szCs w:val="24"/>
          <w:lang w:val="en-GB" w:eastAsia="en-GB"/>
        </w:rPr>
        <w:t>research,</w:t>
      </w:r>
      <w:r w:rsidRPr="00441964">
        <w:rPr>
          <w:rFonts w:eastAsia="Times New Roman" w:cstheme="minorHAnsi"/>
          <w:color w:val="161616"/>
          <w:szCs w:val="24"/>
          <w:lang w:val="en-GB" w:eastAsia="en-GB"/>
        </w:rPr>
        <w:t xml:space="preserve"> and data organisation were aimed to be developed in this task, in the context of getting outside into natural, local areas and being aware of the wildlife</w:t>
      </w:r>
      <w:r w:rsidRPr="00441964">
        <w:rPr>
          <w:rFonts w:ascii="Helvetica" w:eastAsia="Times New Roman" w:hAnsi="Helvetica" w:cs="Helvetica"/>
          <w:color w:val="161616"/>
          <w:szCs w:val="24"/>
          <w:lang w:val="en-GB" w:eastAsia="en-GB"/>
        </w:rPr>
        <w:t xml:space="preserve"> </w:t>
      </w:r>
      <w:r w:rsidRPr="004E3F83">
        <w:rPr>
          <w:rFonts w:eastAsia="Times New Roman" w:cstheme="minorHAnsi"/>
          <w:color w:val="161616"/>
          <w:szCs w:val="24"/>
          <w:lang w:val="en-GB" w:eastAsia="en-GB"/>
        </w:rPr>
        <w:t>near the learners</w:t>
      </w:r>
      <w:r w:rsidRPr="00441964">
        <w:rPr>
          <w:rFonts w:ascii="Helvetica" w:eastAsia="Times New Roman" w:hAnsi="Helvetica" w:cs="Helvetica"/>
          <w:color w:val="161616"/>
          <w:szCs w:val="24"/>
          <w:lang w:val="en-GB" w:eastAsia="en-GB"/>
        </w:rPr>
        <w:t xml:space="preserve">. </w:t>
      </w:r>
      <w:r w:rsidRPr="00441964">
        <w:rPr>
          <w:rFonts w:eastAsia="Times New Roman" w:cstheme="minorHAnsi"/>
          <w:color w:val="161616"/>
          <w:szCs w:val="24"/>
          <w:lang w:val="en-GB" w:eastAsia="en-GB"/>
        </w:rPr>
        <w:t xml:space="preserve">Another task that shared similar aims was the den building task. This task got learners outside and physically active. It developed problem solving and research skills, as learners would have had to figure out what creature they were going to build a den for and how they would do it using the materials available. As learners were able to choose the activities they wanted to </w:t>
      </w:r>
      <w:r w:rsidRPr="00765A1A">
        <w:rPr>
          <w:rFonts w:eastAsia="Times New Roman" w:cstheme="minorHAnsi"/>
          <w:color w:val="161616"/>
          <w:szCs w:val="24"/>
          <w:lang w:val="en-GB" w:eastAsia="en-GB"/>
        </w:rPr>
        <w:t>do and</w:t>
      </w:r>
      <w:r w:rsidRPr="00441964">
        <w:rPr>
          <w:rFonts w:eastAsia="Times New Roman" w:cstheme="minorHAnsi"/>
          <w:color w:val="161616"/>
          <w:szCs w:val="24"/>
          <w:lang w:val="en-GB" w:eastAsia="en-GB"/>
        </w:rPr>
        <w:t xml:space="preserve"> carried them out at home without a teacher present, independence was encouraged throughout, within authentic contexts.</w:t>
      </w:r>
      <w:r w:rsidR="004E3F83">
        <w:rPr>
          <w:rFonts w:eastAsia="Times New Roman" w:cstheme="minorHAnsi"/>
          <w:color w:val="161616"/>
          <w:szCs w:val="24"/>
          <w:lang w:val="en-GB" w:eastAsia="en-GB"/>
        </w:rPr>
        <w:t xml:space="preserve"> Using authentic contexts is important for stimulating learners’ interests and allowing them to see the purpose of their learning, rather than thinking they are doing it for the sake of doing it. In 2003, countries that moved away from authentic contexts in learning science reported that students were leaving school with a lower interest as they could not see the meaning for it and would not consider it as a career possibility (</w:t>
      </w:r>
      <w:proofErr w:type="spellStart"/>
      <w:r w:rsidR="004E3F83">
        <w:rPr>
          <w:rFonts w:eastAsia="Times New Roman" w:cstheme="minorHAnsi"/>
          <w:color w:val="161616"/>
          <w:szCs w:val="24"/>
          <w:lang w:val="en-GB" w:eastAsia="en-GB"/>
        </w:rPr>
        <w:t>Fensham</w:t>
      </w:r>
      <w:proofErr w:type="spellEnd"/>
      <w:r w:rsidR="004E3F83">
        <w:rPr>
          <w:rFonts w:eastAsia="Times New Roman" w:cstheme="minorHAnsi"/>
          <w:color w:val="161616"/>
          <w:szCs w:val="24"/>
          <w:lang w:val="en-GB" w:eastAsia="en-GB"/>
        </w:rPr>
        <w:t xml:space="preserve">, 2009). Allowing learners to complete activities in authentic contexts can provide some meaning to their </w:t>
      </w:r>
      <w:r w:rsidR="00EF6391">
        <w:rPr>
          <w:rFonts w:eastAsia="Times New Roman" w:cstheme="minorHAnsi"/>
          <w:color w:val="161616"/>
          <w:szCs w:val="24"/>
          <w:lang w:val="en-GB" w:eastAsia="en-GB"/>
        </w:rPr>
        <w:t>learning and</w:t>
      </w:r>
      <w:r w:rsidR="004E3F83">
        <w:rPr>
          <w:rFonts w:eastAsia="Times New Roman" w:cstheme="minorHAnsi"/>
          <w:color w:val="161616"/>
          <w:szCs w:val="24"/>
          <w:lang w:val="en-GB" w:eastAsia="en-GB"/>
        </w:rPr>
        <w:t xml:space="preserve"> </w:t>
      </w:r>
      <w:r w:rsidR="002B3A82">
        <w:rPr>
          <w:rFonts w:eastAsia="Times New Roman" w:cstheme="minorHAnsi"/>
          <w:color w:val="161616"/>
          <w:szCs w:val="24"/>
          <w:lang w:val="en-GB" w:eastAsia="en-GB"/>
        </w:rPr>
        <w:tab/>
      </w:r>
      <w:r w:rsidR="004E3F83">
        <w:rPr>
          <w:rFonts w:eastAsia="Times New Roman" w:cstheme="minorHAnsi"/>
          <w:color w:val="161616"/>
          <w:szCs w:val="24"/>
          <w:lang w:val="en-GB" w:eastAsia="en-GB"/>
        </w:rPr>
        <w:t>allow them to feel as if they are getting something from it, instead of doing it for the sake of it.</w:t>
      </w:r>
    </w:p>
    <w:p w14:paraId="2260BE72" w14:textId="4596981B" w:rsidR="00505886" w:rsidRPr="00505886" w:rsidRDefault="00505886" w:rsidP="00505886"/>
    <w:p w14:paraId="7142A8EC" w14:textId="3CD8B06A" w:rsidR="007C32AA" w:rsidRPr="007C32AA" w:rsidRDefault="007C32AA" w:rsidP="00B70105">
      <w:pPr>
        <w:pStyle w:val="Heading3"/>
      </w:pPr>
      <w:r>
        <w:lastRenderedPageBreak/>
        <w:t>What next?</w:t>
      </w:r>
    </w:p>
    <w:p w14:paraId="757246E4" w14:textId="032173B1" w:rsidR="00441964" w:rsidRPr="00441964" w:rsidRDefault="00441964" w:rsidP="00765A1A">
      <w:pPr>
        <w:rPr>
          <w:rFonts w:eastAsia="Times New Roman" w:cstheme="minorHAnsi"/>
          <w:color w:val="161616"/>
          <w:szCs w:val="24"/>
          <w:lang w:val="en-GB" w:eastAsia="en-GB"/>
        </w:rPr>
      </w:pPr>
      <w:r w:rsidRPr="00441964">
        <w:rPr>
          <w:rFonts w:eastAsia="Times New Roman" w:cstheme="minorHAnsi"/>
          <w:color w:val="161616"/>
          <w:szCs w:val="24"/>
          <w:lang w:val="en-GB" w:eastAsia="en-GB"/>
        </w:rPr>
        <w:t xml:space="preserve">As a result of this experience, I feel more knowledgeable around how learning and learning experiences can take place outside of the classroom. Involving partners in learning is important for learners, and through this experience I understand that it is especially important if learners are required to isolate, or schools are required to close temporarily as their parent/guardian/sibling will be the more knowledgeable other to guide them through their learning. It is important to consider them in planning activities as you want them to be able to engage also. My own learning has developed </w:t>
      </w:r>
      <w:proofErr w:type="gramStart"/>
      <w:r w:rsidRPr="00441964">
        <w:rPr>
          <w:rFonts w:eastAsia="Times New Roman" w:cstheme="minorHAnsi"/>
          <w:color w:val="161616"/>
          <w:szCs w:val="24"/>
          <w:lang w:val="en-GB" w:eastAsia="en-GB"/>
        </w:rPr>
        <w:t>as a result of</w:t>
      </w:r>
      <w:proofErr w:type="gramEnd"/>
      <w:r w:rsidRPr="00441964">
        <w:rPr>
          <w:rFonts w:eastAsia="Times New Roman" w:cstheme="minorHAnsi"/>
          <w:color w:val="161616"/>
          <w:szCs w:val="24"/>
          <w:lang w:val="en-GB" w:eastAsia="en-GB"/>
        </w:rPr>
        <w:t xml:space="preserve"> this experience. I have learned a new skill that may become more valuable if distanced learning is required in the future, and I feel more confident in my ability to plan activities and teach/guide through videos. If I am required to teach or plan activities for learners from home again, I feel I will be able to plan appropriate, engaging activities supported with resources.</w:t>
      </w:r>
    </w:p>
    <w:p w14:paraId="1C3A28D3" w14:textId="457C3E22" w:rsidR="00A95C95" w:rsidRPr="00A95C95" w:rsidRDefault="00A95C95" w:rsidP="00A95C95"/>
    <w:p w14:paraId="1A6E7164" w14:textId="4D95ABCC" w:rsidR="00811007" w:rsidRDefault="00811007" w:rsidP="00811007"/>
    <w:p w14:paraId="01EC8868" w14:textId="77777777" w:rsidR="00552BF1" w:rsidRDefault="00552BF1" w:rsidP="00811007"/>
    <w:p w14:paraId="11F56628" w14:textId="6F99DDA4" w:rsidR="00B9167E" w:rsidRDefault="00B357D8" w:rsidP="00B9167E">
      <w:pPr>
        <w:pStyle w:val="Heading2"/>
      </w:pPr>
      <w:r>
        <w:t>Professional Experience Template 2</w:t>
      </w:r>
      <w:r w:rsidR="00B9167E">
        <w:t>:</w:t>
      </w:r>
      <w:r w:rsidR="00B9167E" w:rsidRPr="00B9167E">
        <w:t xml:space="preserve"> </w:t>
      </w:r>
      <w:r w:rsidR="00441964">
        <w:t>Estimations and Conversions</w:t>
      </w:r>
    </w:p>
    <w:p w14:paraId="0C30188C" w14:textId="4A14DA35"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41964">
            <w:t>Refining: Assessment</w:t>
          </w:r>
        </w:sdtContent>
      </w:sdt>
    </w:p>
    <w:p w14:paraId="2C2A77DF" w14:textId="77777777" w:rsidR="00846548" w:rsidRDefault="00846548" w:rsidP="00B70105">
      <w:pPr>
        <w:pStyle w:val="Heading3"/>
      </w:pPr>
      <w:r>
        <w:t>What did you do and why?</w:t>
      </w:r>
    </w:p>
    <w:p w14:paraId="744564A6" w14:textId="0D8AF876" w:rsidR="00846548" w:rsidRPr="008F713A" w:rsidRDefault="00441964" w:rsidP="00846548">
      <w:r>
        <w:t xml:space="preserve">I chose this lesson specifically as I felt it was one of my better lessons from my placement. For the week, I was responsible for teaching measurements and unit conversions. This lesson was the second one I taught, and the lesson before had not been as successful as </w:t>
      </w:r>
      <w:proofErr w:type="gramStart"/>
      <w:r>
        <w:t>I'd</w:t>
      </w:r>
      <w:proofErr w:type="gramEnd"/>
      <w:r>
        <w:t xml:space="preserve"> hoped. Assessment was focused on in this experience. Using assessment, I was better able to understand the current knowledge and of the class after the first lesson to revise what I was going to do going into this lesson. I was also able to readdress how I could deliver the introduction to the lesson more effectively for this class. Another standard focused on was enabling improvement. I was able to gain valuable advice from my mentor after the first session to prepare me for the second session. This advice helped me to revise the lesson plan, activities and how I planned to deliver the introduction. Evaluating the impact of changes in practice was also present in this experience as I was able to see what went better in this lesson compared to </w:t>
      </w:r>
      <w:r>
        <w:lastRenderedPageBreak/>
        <w:t>the previous one. This evaluation helped shape the planning and delivery of my lessons throughout my placement. </w:t>
      </w:r>
    </w:p>
    <w:p w14:paraId="25332ED0" w14:textId="77777777" w:rsidR="00846548" w:rsidRDefault="00846548" w:rsidP="00B70105">
      <w:pPr>
        <w:pStyle w:val="Heading3"/>
      </w:pPr>
      <w:r>
        <w:t>What have you learned?</w:t>
      </w:r>
    </w:p>
    <w:p w14:paraId="750D7DC3" w14:textId="4766E148" w:rsidR="00441964" w:rsidRPr="00441964" w:rsidRDefault="00441964" w:rsidP="00765A1A">
      <w:pPr>
        <w:pStyle w:val="NormalWeb"/>
        <w:spacing w:line="360" w:lineRule="auto"/>
        <w:rPr>
          <w:rFonts w:asciiTheme="minorHAnsi" w:hAnsiTheme="minorHAnsi" w:cstheme="minorHAnsi"/>
          <w:lang w:eastAsia="en-GB"/>
        </w:rPr>
      </w:pPr>
      <w:r w:rsidRPr="00441964">
        <w:rPr>
          <w:rFonts w:asciiTheme="minorHAnsi" w:hAnsiTheme="minorHAnsi" w:cstheme="minorHAnsi"/>
          <w:u w:val="single"/>
          <w:lang w:eastAsia="en-GB"/>
        </w:rPr>
        <w:t>Assessment</w:t>
      </w:r>
    </w:p>
    <w:p w14:paraId="219E9588" w14:textId="34342808"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lang w:val="en-GB" w:eastAsia="en-GB"/>
        </w:rPr>
        <w:t>From the number of learners that needed help with the last sessions activities, it was clear that I had not gauged their understanding appropriately prior to teaching the lesson. Whilst it was evident that some learners had understood as they had been able to work independently and had offered correct answers during the plenary, there were many that had struggled. Furthermore, the introduction of the lesson had gone on for longer than usual, giving learners less time to work through the activities and develop their understanding. </w:t>
      </w:r>
    </w:p>
    <w:p w14:paraId="5BDB4744" w14:textId="2E4529A7"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lang w:val="en-GB" w:eastAsia="en-GB"/>
        </w:rPr>
        <w:t>  Going into this second lesson, I began with a brief recap of what I had wanted the learners to know and understand from the previous lesson and gave the class a quiz to gauge their understanding.</w:t>
      </w:r>
      <w:r w:rsidR="00961C6F">
        <w:rPr>
          <w:rFonts w:eastAsia="Times New Roman" w:cstheme="minorHAnsi"/>
          <w:szCs w:val="24"/>
          <w:lang w:val="en-GB" w:eastAsia="en-GB"/>
        </w:rPr>
        <w:t xml:space="preserve"> Quizzes are useful tools for assessing learning and engaging students, as they encourage learners to recall what they have been learning about to receive quiz points. They also provide immediate feedback to learners to remind them how much they know, or do not know, which can encourage extra study and effort (Haigh, 2007).</w:t>
      </w:r>
      <w:r w:rsidRPr="00441964">
        <w:rPr>
          <w:rFonts w:eastAsia="Times New Roman" w:cstheme="minorHAnsi"/>
          <w:szCs w:val="24"/>
          <w:lang w:val="en-GB" w:eastAsia="en-GB"/>
        </w:rPr>
        <w:t xml:space="preserve"> This introduction was briefer, which my mentor had told me suited the learners better. The class enjoyed the quiz, and it was a good way to engage them early in the lesson. The activities were more appropriate for them, and many more learners were keen to give their answers during the plenary where the activities were marked as a class. The assessment at the end of the first lesson helped me to revise this lesson plan, and using the quiz was helpful to assess what the learners already understood at the start of this lesson. Marking activities as a class allowed me to assess what had been learned and understood from this session based on how many learners were confident in giving their answers. I found assessment very valuable in this lesson as it gave me a clearer understanding of what the class was capable of and what they already knew, which I could then use to plan for the next session more clearly.</w:t>
      </w:r>
    </w:p>
    <w:p w14:paraId="0649D2C6" w14:textId="77777777" w:rsidR="00441964" w:rsidRPr="00441964" w:rsidRDefault="00441964" w:rsidP="00765A1A">
      <w:pPr>
        <w:spacing w:before="100" w:beforeAutospacing="1" w:after="100" w:afterAutospacing="1"/>
        <w:rPr>
          <w:rFonts w:eastAsia="Times New Roman" w:cstheme="minorHAnsi"/>
          <w:szCs w:val="24"/>
          <w:lang w:val="en-GB" w:eastAsia="en-GB"/>
        </w:rPr>
      </w:pPr>
    </w:p>
    <w:p w14:paraId="5927ABF4" w14:textId="77777777"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u w:val="single"/>
          <w:lang w:val="en-GB" w:eastAsia="en-GB"/>
        </w:rPr>
        <w:lastRenderedPageBreak/>
        <w:t>Enabling Improvement</w:t>
      </w:r>
    </w:p>
    <w:p w14:paraId="61FC880E" w14:textId="033CF10A"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lang w:val="en-GB" w:eastAsia="en-GB"/>
        </w:rPr>
        <w:t xml:space="preserve">Thanks to the advice and guidance given to me from my mentor, I was able to improve my own performance, as well as the learners' outcomes, from the first session. My mentor's feedback from the second session helped me to see what went well that I could use to improve my future planning. </w:t>
      </w:r>
      <w:r w:rsidR="00961C6F">
        <w:rPr>
          <w:rFonts w:eastAsia="Times New Roman" w:cstheme="minorHAnsi"/>
          <w:szCs w:val="24"/>
          <w:lang w:val="en-GB" w:eastAsia="en-GB"/>
        </w:rPr>
        <w:t xml:space="preserve">Taking onboard feedback from my mentor is essential to improving the quality of my teaching. Research suggests that constructive and individualised feedback for teachers from observation is a promising method for developing teachers (Darling-Hammond, 2014; </w:t>
      </w:r>
      <w:proofErr w:type="spellStart"/>
      <w:r w:rsidR="00961C6F">
        <w:rPr>
          <w:rFonts w:eastAsia="Times New Roman" w:cstheme="minorHAnsi"/>
          <w:szCs w:val="24"/>
          <w:lang w:val="en-GB" w:eastAsia="en-GB"/>
        </w:rPr>
        <w:t>Stronge</w:t>
      </w:r>
      <w:proofErr w:type="spellEnd"/>
      <w:r w:rsidR="00961C6F">
        <w:rPr>
          <w:rFonts w:eastAsia="Times New Roman" w:cstheme="minorHAnsi"/>
          <w:szCs w:val="24"/>
          <w:lang w:val="en-GB" w:eastAsia="en-GB"/>
        </w:rPr>
        <w:t xml:space="preserve"> and Tucker, 2017, cited by Liu </w:t>
      </w:r>
      <w:r w:rsidR="00961C6F">
        <w:rPr>
          <w:rFonts w:eastAsia="Times New Roman" w:cstheme="minorHAnsi"/>
          <w:i/>
          <w:iCs/>
          <w:szCs w:val="24"/>
          <w:lang w:val="en-GB" w:eastAsia="en-GB"/>
        </w:rPr>
        <w:t xml:space="preserve">et al, </w:t>
      </w:r>
      <w:r w:rsidR="00961C6F">
        <w:rPr>
          <w:rFonts w:eastAsia="Times New Roman" w:cstheme="minorHAnsi"/>
          <w:szCs w:val="24"/>
          <w:lang w:val="en-GB" w:eastAsia="en-GB"/>
        </w:rPr>
        <w:t xml:space="preserve">2019). </w:t>
      </w:r>
      <w:r w:rsidRPr="00961C6F">
        <w:rPr>
          <w:rFonts w:eastAsia="Times New Roman" w:cstheme="minorHAnsi"/>
          <w:szCs w:val="24"/>
          <w:lang w:val="en-GB" w:eastAsia="en-GB"/>
        </w:rPr>
        <w:t>In</w:t>
      </w:r>
      <w:r w:rsidRPr="00441964">
        <w:rPr>
          <w:rFonts w:eastAsia="Times New Roman" w:cstheme="minorHAnsi"/>
          <w:szCs w:val="24"/>
          <w:lang w:val="en-GB" w:eastAsia="en-GB"/>
        </w:rPr>
        <w:t xml:space="preserve"> the first session, my introduction was long and focus levels </w:t>
      </w:r>
      <w:r>
        <w:rPr>
          <w:rFonts w:eastAsia="Times New Roman" w:cstheme="minorHAnsi"/>
          <w:szCs w:val="24"/>
          <w:lang w:val="en-GB" w:eastAsia="en-GB"/>
        </w:rPr>
        <w:t>with</w:t>
      </w:r>
      <w:r w:rsidRPr="00441964">
        <w:rPr>
          <w:rFonts w:eastAsia="Times New Roman" w:cstheme="minorHAnsi"/>
          <w:szCs w:val="24"/>
          <w:lang w:val="en-GB" w:eastAsia="en-GB"/>
        </w:rPr>
        <w:t>in the class were dipping. The second session's introduction was much briefer, whilst being more engaging. I was told that the quiz was used well to recap the previous session and prepare learners for the activities. I was also told that the activities were much more suitable. The learners were more engaged with them, and they were completed in a suitable time frame.</w:t>
      </w:r>
    </w:p>
    <w:p w14:paraId="2FFC67D0" w14:textId="33C03C7F"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lang w:val="en-GB" w:eastAsia="en-GB"/>
        </w:rPr>
        <w:t>This lesson and the feedback I received helped me to gauge my class's current understanding and how much I could expect them to work through in a session. Being told to keep the introduction briefer helped me to improve, as I was able to be more direct and use the introduction time more valuably, without being side-tracked or going off on a tangent. This also assisted with classroom management, as learners were not as likely to be disruptive during briefer introductions and suitable activities where they were more engaged.</w:t>
      </w:r>
    </w:p>
    <w:p w14:paraId="01277188" w14:textId="77777777" w:rsidR="00441964" w:rsidRPr="00441964" w:rsidRDefault="00441964" w:rsidP="00765A1A">
      <w:pPr>
        <w:spacing w:before="100" w:beforeAutospacing="1" w:after="100" w:afterAutospacing="1"/>
        <w:rPr>
          <w:rFonts w:eastAsia="Times New Roman" w:cstheme="minorHAnsi"/>
          <w:szCs w:val="24"/>
          <w:lang w:val="en-GB" w:eastAsia="en-GB"/>
        </w:rPr>
      </w:pPr>
    </w:p>
    <w:p w14:paraId="613B0F26" w14:textId="77777777"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u w:val="single"/>
          <w:lang w:val="en-GB" w:eastAsia="en-GB"/>
        </w:rPr>
        <w:t>Evaluating the Impact of Changes in Practice</w:t>
      </w:r>
    </w:p>
    <w:p w14:paraId="31C10D1B" w14:textId="5EF3B1DA" w:rsidR="00441964" w:rsidRPr="00441964" w:rsidRDefault="00441964" w:rsidP="00765A1A">
      <w:pPr>
        <w:spacing w:before="100" w:beforeAutospacing="1" w:after="100" w:afterAutospacing="1"/>
        <w:rPr>
          <w:rFonts w:eastAsia="Times New Roman" w:cstheme="minorHAnsi"/>
          <w:szCs w:val="24"/>
          <w:lang w:val="en-GB" w:eastAsia="en-GB"/>
        </w:rPr>
      </w:pPr>
      <w:r w:rsidRPr="00441964">
        <w:rPr>
          <w:rFonts w:eastAsia="Times New Roman" w:cstheme="minorHAnsi"/>
          <w:szCs w:val="24"/>
          <w:lang w:val="en-GB" w:eastAsia="en-GB"/>
        </w:rPr>
        <w:t xml:space="preserve">This lesson was the first time I used a quiz. I chose a quiz as it was useful for assessing what the learners already knew and I thought it would be fun and engaging for them to take part in. In the previous session I had mostly stood at the front of the class and talked, and the introduction went on for around 30 minutes. Upon reflection and feedback from my mentor, this had caused learners to disengage, which may have been why a lot of them struggled with the activities as they were not able to focus during the introduction. I changed my approach in </w:t>
      </w:r>
      <w:r w:rsidRPr="00441964">
        <w:rPr>
          <w:rFonts w:eastAsia="Times New Roman" w:cstheme="minorHAnsi"/>
          <w:szCs w:val="24"/>
          <w:lang w:val="en-GB" w:eastAsia="en-GB"/>
        </w:rPr>
        <w:lastRenderedPageBreak/>
        <w:t>this session, keeping a brief, direct and to the point introduction, without going off topic. This made it clearer what the learners were expected to know and do throughout the session. The quiz also worked to engage them early in the session, which made transitioning into the activities smoother as the learners were already engaged and thinking, ready to work. I could see that the learners were engaged as they were discussing answers to the quiz with their partners and gave audible responses of success or disappointment depending on whether they got the question right or wrong. After this session, I tried to ensure that my future lesson introductions would be kept brief and engaging. This target would help me to recognise what information is important that the class will need before they start working, as well as how I can get them to think about and engage with the information.</w:t>
      </w:r>
      <w:r w:rsidR="00B86A10">
        <w:rPr>
          <w:rFonts w:eastAsia="Times New Roman" w:cstheme="minorHAnsi"/>
          <w:szCs w:val="24"/>
          <w:lang w:val="en-GB" w:eastAsia="en-GB"/>
        </w:rPr>
        <w:t xml:space="preserve"> This method of reflecting on an experience and experimenting with a different approach reached through reflection shows Kolb’s reflective cycle in practice. Reflecting on actions in this way can improve the practice of training teachers such as myself through expanding problem solving and thinking patterns (Lotter and Miller, 2017)</w:t>
      </w:r>
      <w:r w:rsidR="00AA225D">
        <w:rPr>
          <w:rFonts w:eastAsia="Times New Roman" w:cstheme="minorHAnsi"/>
          <w:szCs w:val="24"/>
          <w:lang w:val="en-GB" w:eastAsia="en-GB"/>
        </w:rPr>
        <w:t>. Through discussions with my mentor and my own reflection, I was able to change my approach and recognise what went better, which will influence my practice going forward.</w:t>
      </w:r>
    </w:p>
    <w:p w14:paraId="3797BACE" w14:textId="42A82381" w:rsidR="00846548" w:rsidRPr="00505886" w:rsidRDefault="00846548" w:rsidP="00846548"/>
    <w:p w14:paraId="52E63120" w14:textId="77777777" w:rsidR="00846548" w:rsidRPr="007C32AA" w:rsidRDefault="00846548" w:rsidP="00B70105">
      <w:pPr>
        <w:pStyle w:val="Heading3"/>
      </w:pPr>
      <w:r>
        <w:t>What next?</w:t>
      </w:r>
    </w:p>
    <w:p w14:paraId="63F76C9E" w14:textId="1E0F6260" w:rsidR="00846548" w:rsidRPr="00A95C95" w:rsidRDefault="00441964" w:rsidP="00846548">
      <w:r>
        <w:t xml:space="preserve">As a result of this experience, </w:t>
      </w:r>
      <w:proofErr w:type="gramStart"/>
      <w:r>
        <w:t>I'm</w:t>
      </w:r>
      <w:proofErr w:type="gramEnd"/>
      <w:r>
        <w:t xml:space="preserve"> starting to understand how useful assessment is when planning from one lesson to the next. I will aim to experiment with different assessment strategies in the future, to see which ones are effective for the class I will be teaching. I felt that using a quiz to assess understanding of learners was useful for me, whilst being fun for them and a good way for them to engage with the lesson. However, in future I may find that other assessment tools work better for the class </w:t>
      </w:r>
      <w:proofErr w:type="gramStart"/>
      <w:r>
        <w:t>I'm</w:t>
      </w:r>
      <w:proofErr w:type="gramEnd"/>
      <w:r>
        <w:t xml:space="preserve"> teaching, such as using 2 stars and a wish, traffic lights or thumbs up/down. I will be able to use online resources and the UWTSD library to look further into different assessment tools and how to use them effectively. The advice given from my mentor was extremely useful as </w:t>
      </w:r>
      <w:r w:rsidR="00765A1A">
        <w:t>well and</w:t>
      </w:r>
      <w:r>
        <w:t xml:space="preserve"> caused this lesson to go much smoother than the previous. This experience has encouraged me to keep evaluating my practice, and to not hesitate to ask more experienced colleagues for advice and guidance.</w:t>
      </w:r>
    </w:p>
    <w:p w14:paraId="7BFFAF76" w14:textId="4BDBA1FE" w:rsidR="00B357D8" w:rsidRDefault="00B357D8" w:rsidP="00811007"/>
    <w:p w14:paraId="4A79E83B" w14:textId="77777777" w:rsidR="00552BF1" w:rsidRDefault="00552BF1">
      <w:pPr>
        <w:spacing w:line="240" w:lineRule="auto"/>
        <w:rPr>
          <w:rFonts w:asciiTheme="majorHAnsi" w:eastAsiaTheme="majorEastAsia" w:hAnsiTheme="majorHAnsi" w:cstheme="majorBidi"/>
          <w:b/>
          <w:color w:val="1F4E79" w:themeColor="accent1" w:themeShade="80"/>
          <w:sz w:val="28"/>
          <w:szCs w:val="26"/>
        </w:rPr>
      </w:pPr>
      <w:r>
        <w:lastRenderedPageBreak/>
        <w:br w:type="page"/>
      </w:r>
    </w:p>
    <w:p w14:paraId="4D213446" w14:textId="2CCBC6DB" w:rsidR="00B9167E" w:rsidRDefault="00B357D8" w:rsidP="00B9167E">
      <w:pPr>
        <w:pStyle w:val="Heading2"/>
      </w:pPr>
      <w:r>
        <w:lastRenderedPageBreak/>
        <w:t>Professional Experience Template 3</w:t>
      </w:r>
      <w:r w:rsidR="00B9167E">
        <w:t xml:space="preserve">: </w:t>
      </w:r>
      <w:proofErr w:type="spellStart"/>
      <w:r w:rsidR="00765A1A">
        <w:t>Proffil</w:t>
      </w:r>
      <w:proofErr w:type="spellEnd"/>
      <w:r w:rsidR="00765A1A">
        <w:t xml:space="preserve"> </w:t>
      </w:r>
      <w:proofErr w:type="spellStart"/>
      <w:r w:rsidR="00765A1A">
        <w:t>Personol</w:t>
      </w:r>
      <w:proofErr w:type="spellEnd"/>
    </w:p>
    <w:p w14:paraId="2BE3F2F3" w14:textId="18251C88"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65A1A">
            <w:t>Influencing: Challenge &amp; Expectations</w:t>
          </w:r>
        </w:sdtContent>
      </w:sdt>
    </w:p>
    <w:p w14:paraId="62EC1BD5" w14:textId="77777777" w:rsidR="00846548" w:rsidRDefault="00846548" w:rsidP="00B70105">
      <w:pPr>
        <w:pStyle w:val="Heading3"/>
      </w:pPr>
      <w:r>
        <w:t>What did you do and why?</w:t>
      </w:r>
    </w:p>
    <w:p w14:paraId="16F4A621" w14:textId="6B0D7F46" w:rsidR="00846548" w:rsidRPr="008F713A" w:rsidRDefault="00765A1A" w:rsidP="00846548">
      <w:r>
        <w:t>I was responsible for teaching Welsh lessons on the week this experience took place. The class had previously completed personal profiles to a basic level, and my mentor advised me to help them bring their profiles from a low level 3 standard to a high level 3 or level 4 standard. I felt that this week would be an excellent opportunity to improve my Welsh language skills as my weekly target as I would need to improve them to teach Welsh, and I had noticed I was not using incidental Welsh, such as praise and commands, as much as I felt that I should.</w:t>
      </w:r>
    </w:p>
    <w:p w14:paraId="4295FB1B" w14:textId="77777777" w:rsidR="00846548" w:rsidRDefault="00846548" w:rsidP="00B70105">
      <w:pPr>
        <w:pStyle w:val="Heading3"/>
      </w:pPr>
      <w:r>
        <w:t>What have you learned?</w:t>
      </w:r>
    </w:p>
    <w:p w14:paraId="2479A827" w14:textId="2C832CC5" w:rsidR="00765A1A" w:rsidRPr="00765A1A" w:rsidRDefault="00765A1A" w:rsidP="00765A1A">
      <w:pPr>
        <w:pStyle w:val="NormalWeb"/>
        <w:spacing w:line="360" w:lineRule="auto"/>
        <w:rPr>
          <w:rFonts w:asciiTheme="minorHAnsi" w:hAnsiTheme="minorHAnsi" w:cstheme="minorHAnsi"/>
          <w:lang w:eastAsia="en-GB"/>
        </w:rPr>
      </w:pPr>
      <w:r w:rsidRPr="00765A1A">
        <w:rPr>
          <w:rFonts w:asciiTheme="minorHAnsi" w:hAnsiTheme="minorHAnsi" w:cstheme="minorHAnsi"/>
          <w:u w:val="single"/>
          <w:lang w:eastAsia="en-GB"/>
        </w:rPr>
        <w:t>Welsh Language Skills</w:t>
      </w:r>
    </w:p>
    <w:p w14:paraId="6A34A2C7" w14:textId="61D55637"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lang w:val="en-GB" w:eastAsia="en-GB"/>
        </w:rPr>
        <w:t>To prepare for teaching Welsh and using more incidental Welsh, I started using Duolingo, a language phone app, as well as looking through my work and notes completed during my Welsh language sessions with UWTSD. This helped refresh my Welsh knowledge going into the teach. I also looked through the 'Moving learners from level 3 to 4' and 'Moving learners from level 4 to 5' personal profile resources by WJEC as suggested by my Mentor. I struggled with the planning and delivery of this session as my Welsh language skills still required improvement. In the session, I relied on my mentor to help explain what was expected of learners. I spent a lot of time helping learners one to one. Due to this, and disengagement from several learner</w:t>
      </w:r>
      <w:r w:rsidR="00AA225D">
        <w:rPr>
          <w:rFonts w:eastAsia="Times New Roman" w:cstheme="minorHAnsi"/>
          <w:szCs w:val="24"/>
          <w:lang w:val="en-GB" w:eastAsia="en-GB"/>
        </w:rPr>
        <w:t>s</w:t>
      </w:r>
      <w:r w:rsidRPr="00765A1A">
        <w:rPr>
          <w:rFonts w:eastAsia="Times New Roman" w:cstheme="minorHAnsi"/>
          <w:szCs w:val="24"/>
          <w:lang w:val="en-GB" w:eastAsia="en-GB"/>
        </w:rPr>
        <w:t xml:space="preserve">, my mentor advised that I should stop the class and address what learners do not understand to help keep them on track. For the next session, I read up on exactly the kind of phrases I wanted them to include and made WAGOLL examples of different ability levels to help guide the class. I went through examples of improving sentences from 'I like' and 'I don't like' to 'I enjoy/love because' and 'I don't enjoy/hate because'. I went through different adjectives they could use and sentence structures of different ways they could give their opinions. I felt more confident in my Welsh ability this session and used a WAGOLL example early in the session from a learner with ASD who had successfully met the success criteria with an improved personal profile. Learners were more engaged and had more ideas of how to improve their profiles this session, </w:t>
      </w:r>
      <w:r w:rsidRPr="00765A1A">
        <w:rPr>
          <w:rFonts w:eastAsia="Times New Roman" w:cstheme="minorHAnsi"/>
          <w:szCs w:val="24"/>
          <w:lang w:val="en-GB" w:eastAsia="en-GB"/>
        </w:rPr>
        <w:lastRenderedPageBreak/>
        <w:t>and I felt that using a WAGOLL example not only improved the motivation of the learner whose example was used, but motivated other learners with their own work. My mentor and I discussed the value of redrafting old work, and she said it was more useful for improving Welsh skills than writing new pieces of work. My mentor also commented that there were big improvements made to their profiles.</w:t>
      </w:r>
    </w:p>
    <w:p w14:paraId="0055987E" w14:textId="400CC999"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lang w:val="en-GB" w:eastAsia="en-GB"/>
        </w:rPr>
        <w:t>  As for my own Welsh language skills, I felt that the preparation for these lessons, as well as using Duolingo and revising my notes from my Welsh sessions with UWTSD had helped me improve and become more confident in my Welsh ability. Throughout the week, in other sessions as well as the Welsh sessions, I made a more conscious effort to use incidental Welsh, such as saying '</w:t>
      </w:r>
      <w:proofErr w:type="spellStart"/>
      <w:r w:rsidRPr="00765A1A">
        <w:rPr>
          <w:rFonts w:eastAsia="Times New Roman" w:cstheme="minorHAnsi"/>
          <w:szCs w:val="24"/>
          <w:lang w:val="en-GB" w:eastAsia="en-GB"/>
        </w:rPr>
        <w:t>gwrandewch</w:t>
      </w:r>
      <w:proofErr w:type="spellEnd"/>
      <w:r w:rsidRPr="00765A1A">
        <w:rPr>
          <w:rFonts w:eastAsia="Times New Roman" w:cstheme="minorHAnsi"/>
          <w:szCs w:val="24"/>
          <w:lang w:val="en-GB" w:eastAsia="en-GB"/>
        </w:rPr>
        <w:t>' instead of 'listen' and '</w:t>
      </w:r>
      <w:proofErr w:type="spellStart"/>
      <w:r w:rsidRPr="00765A1A">
        <w:rPr>
          <w:rFonts w:eastAsia="Times New Roman" w:cstheme="minorHAnsi"/>
          <w:szCs w:val="24"/>
          <w:lang w:val="en-GB" w:eastAsia="en-GB"/>
        </w:rPr>
        <w:t>eistedd</w:t>
      </w:r>
      <w:proofErr w:type="spellEnd"/>
      <w:r w:rsidRPr="00765A1A">
        <w:rPr>
          <w:rFonts w:eastAsia="Times New Roman" w:cstheme="minorHAnsi"/>
          <w:szCs w:val="24"/>
          <w:lang w:val="en-GB" w:eastAsia="en-GB"/>
        </w:rPr>
        <w:t xml:space="preserve"> </w:t>
      </w:r>
      <w:proofErr w:type="spellStart"/>
      <w:r w:rsidRPr="00765A1A">
        <w:rPr>
          <w:rFonts w:eastAsia="Times New Roman" w:cstheme="minorHAnsi"/>
          <w:szCs w:val="24"/>
          <w:lang w:val="en-GB" w:eastAsia="en-GB"/>
        </w:rPr>
        <w:t>lawr</w:t>
      </w:r>
      <w:proofErr w:type="spellEnd"/>
      <w:r w:rsidRPr="00765A1A">
        <w:rPr>
          <w:rFonts w:eastAsia="Times New Roman" w:cstheme="minorHAnsi"/>
          <w:szCs w:val="24"/>
          <w:lang w:val="en-GB" w:eastAsia="en-GB"/>
        </w:rPr>
        <w:t>' instead of 'sit down'.</w:t>
      </w:r>
      <w:r w:rsidR="00175E76">
        <w:rPr>
          <w:rFonts w:eastAsia="Times New Roman" w:cstheme="minorHAnsi"/>
          <w:szCs w:val="24"/>
          <w:lang w:val="en-GB" w:eastAsia="en-GB"/>
        </w:rPr>
        <w:t xml:space="preserve"> </w:t>
      </w:r>
      <w:r w:rsidRPr="00765A1A">
        <w:rPr>
          <w:rFonts w:eastAsia="Times New Roman" w:cstheme="minorHAnsi"/>
          <w:szCs w:val="24"/>
          <w:lang w:val="en-GB" w:eastAsia="en-GB"/>
        </w:rPr>
        <w:t xml:space="preserve">I also used Welsh praise when marking books. </w:t>
      </w:r>
      <w:r w:rsidR="00175E76">
        <w:rPr>
          <w:rFonts w:eastAsia="Times New Roman" w:cstheme="minorHAnsi"/>
          <w:szCs w:val="24"/>
          <w:lang w:val="en-GB" w:eastAsia="en-GB"/>
        </w:rPr>
        <w:t xml:space="preserve">Using Welsh as often as possible around learners is essential for building their own Welsh language skills as well as mine. Studies have shown that there is a relationship between the amount of time a child spends hearing a certain language and their success with speaking it (Thomas, Lewis and </w:t>
      </w:r>
      <w:proofErr w:type="spellStart"/>
      <w:r w:rsidR="00175E76">
        <w:rPr>
          <w:rFonts w:eastAsia="Times New Roman" w:cstheme="minorHAnsi"/>
          <w:szCs w:val="24"/>
          <w:lang w:val="en-GB" w:eastAsia="en-GB"/>
        </w:rPr>
        <w:t>Apolloni</w:t>
      </w:r>
      <w:proofErr w:type="spellEnd"/>
      <w:r w:rsidR="00175E76">
        <w:rPr>
          <w:rFonts w:eastAsia="Times New Roman" w:cstheme="minorHAnsi"/>
          <w:szCs w:val="24"/>
          <w:lang w:val="en-GB" w:eastAsia="en-GB"/>
        </w:rPr>
        <w:t xml:space="preserve">, 2012). </w:t>
      </w:r>
      <w:r w:rsidRPr="00765A1A">
        <w:rPr>
          <w:rFonts w:eastAsia="Times New Roman" w:cstheme="minorHAnsi"/>
          <w:szCs w:val="24"/>
          <w:lang w:val="en-GB" w:eastAsia="en-GB"/>
        </w:rPr>
        <w:t>Unfortunately, my mentor was not in on the Friday of this week so I could not get feedback of my Welsh language skills.</w:t>
      </w:r>
    </w:p>
    <w:p w14:paraId="6EC7D856" w14:textId="77777777" w:rsidR="00765A1A" w:rsidRPr="00765A1A" w:rsidRDefault="00765A1A" w:rsidP="00765A1A">
      <w:pPr>
        <w:spacing w:before="100" w:beforeAutospacing="1" w:after="100" w:afterAutospacing="1"/>
        <w:rPr>
          <w:rFonts w:eastAsia="Times New Roman" w:cstheme="minorHAnsi"/>
          <w:szCs w:val="24"/>
          <w:lang w:val="en-GB" w:eastAsia="en-GB"/>
        </w:rPr>
      </w:pPr>
    </w:p>
    <w:p w14:paraId="03C34EC9" w14:textId="77777777"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u w:val="single"/>
          <w:lang w:val="en-GB" w:eastAsia="en-GB"/>
        </w:rPr>
        <w:t>Challenge and Expectations</w:t>
      </w:r>
    </w:p>
    <w:p w14:paraId="76B23A53" w14:textId="6E56F465"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lang w:val="en-GB" w:eastAsia="en-GB"/>
        </w:rPr>
        <w:t xml:space="preserve">Although all learners were tasked with improving their personal profiles, I expected the MA learners to have more detail included and use a wider variety of sentence patterns. I gave out resources of WAGOLL and useful translation sheets and MA learners received resources with more detail and translations of more advanced sentence patterns, adapted from the 'Moving learners from level 4 to level 5' personal profile resource by WJEC whilst the majority of the class' resources were appropriate for moving from level 3 to level 4. The profile drafts were marked one to one with learners, which was useful as it provided instant feedback and direction. It also allowed me to set individual expectations to the learners to stretch them to get a high standard of work to their own ability. As a result, the personal profiles of the class were of varying standards according to each learner’s ability as they had been given </w:t>
      </w:r>
      <w:r w:rsidRPr="00765A1A">
        <w:rPr>
          <w:rFonts w:eastAsia="Times New Roman" w:cstheme="minorHAnsi"/>
          <w:szCs w:val="24"/>
          <w:lang w:val="en-GB" w:eastAsia="en-GB"/>
        </w:rPr>
        <w:lastRenderedPageBreak/>
        <w:t>appropriate resources for guidance, suitable to their ability, and had received effective feedback that allowed them to improve their original personal profiles to a higher standard according to their ability. This standard ranged from LA learners writing in a few more sentences, including self-descriptions of their personality and reasons why they like/dislike different things, to MA learners incorporating a variety of sentence structures into their profile expressing differing levels of like and dislike for activities and different ways of expressing their opinion.</w:t>
      </w:r>
      <w:r w:rsidR="003D7068">
        <w:rPr>
          <w:rFonts w:eastAsia="Times New Roman" w:cstheme="minorHAnsi"/>
          <w:szCs w:val="24"/>
          <w:lang w:val="en-GB" w:eastAsia="en-GB"/>
        </w:rPr>
        <w:t xml:space="preserve"> The way classrooms typically run make it hard to meet the individual need of each learner and to differentiate to each learner individually (</w:t>
      </w:r>
      <w:proofErr w:type="spellStart"/>
      <w:r w:rsidR="003D7068">
        <w:rPr>
          <w:rFonts w:eastAsia="Times New Roman" w:cstheme="minorHAnsi"/>
          <w:szCs w:val="24"/>
          <w:lang w:val="en-GB" w:eastAsia="en-GB"/>
        </w:rPr>
        <w:t>Hertberg</w:t>
      </w:r>
      <w:proofErr w:type="spellEnd"/>
      <w:r w:rsidR="003D7068">
        <w:rPr>
          <w:rFonts w:eastAsia="Times New Roman" w:cstheme="minorHAnsi"/>
          <w:szCs w:val="24"/>
          <w:lang w:val="en-GB" w:eastAsia="en-GB"/>
        </w:rPr>
        <w:t>-Davis, 2009). However, a writing task such as this is more flexible for allowing the teacher to set different expectations for different learners.</w:t>
      </w:r>
    </w:p>
    <w:p w14:paraId="2E748308" w14:textId="77777777" w:rsidR="00765A1A" w:rsidRPr="00765A1A" w:rsidRDefault="00765A1A" w:rsidP="00765A1A">
      <w:pPr>
        <w:spacing w:before="100" w:beforeAutospacing="1" w:after="100" w:afterAutospacing="1"/>
        <w:rPr>
          <w:rFonts w:eastAsia="Times New Roman" w:cstheme="minorHAnsi"/>
          <w:szCs w:val="24"/>
          <w:lang w:val="en-GB" w:eastAsia="en-GB"/>
        </w:rPr>
      </w:pPr>
    </w:p>
    <w:p w14:paraId="46D38D91" w14:textId="54DA2AE6"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lang w:val="en-GB" w:eastAsia="en-GB"/>
        </w:rPr>
        <w:t xml:space="preserve">This experience was a good start to developing my Welsh language skills. My Welsh still has a lot of room for development and will always be a standard I will look to develop further. As for the challenge and expectations standard, I feel this experience was a good opportunity to develop this standing. The one to one marking of drafts allowed me to stretch learners a little further before moving on to their final drafts, giving </w:t>
      </w:r>
      <w:proofErr w:type="gramStart"/>
      <w:r w:rsidRPr="00765A1A">
        <w:rPr>
          <w:rFonts w:eastAsia="Times New Roman" w:cstheme="minorHAnsi"/>
          <w:szCs w:val="24"/>
          <w:lang w:val="en-GB" w:eastAsia="en-GB"/>
        </w:rPr>
        <w:t>each individual</w:t>
      </w:r>
      <w:proofErr w:type="gramEnd"/>
      <w:r w:rsidRPr="00765A1A">
        <w:rPr>
          <w:rFonts w:eastAsia="Times New Roman" w:cstheme="minorHAnsi"/>
          <w:szCs w:val="24"/>
          <w:lang w:val="en-GB" w:eastAsia="en-GB"/>
        </w:rPr>
        <w:t xml:space="preserve"> an appropriate challenge to work towards based on what they had done in the first draft. Being able to set challenges appropriate to the individual for work like this felt valuable for pushing every learners Welsh language a bit further and being able to set work where this type of process occurs in the future would be useful for developing this standard further.</w:t>
      </w:r>
    </w:p>
    <w:p w14:paraId="0ECF20B7" w14:textId="229796DC" w:rsidR="00846548" w:rsidRPr="00505886" w:rsidRDefault="00846548" w:rsidP="00846548"/>
    <w:p w14:paraId="3B26C128" w14:textId="77777777" w:rsidR="00846548" w:rsidRPr="007C32AA" w:rsidRDefault="00846548" w:rsidP="00B70105">
      <w:pPr>
        <w:pStyle w:val="Heading3"/>
      </w:pPr>
      <w:r>
        <w:t>What next?</w:t>
      </w:r>
    </w:p>
    <w:p w14:paraId="7B750C0B" w14:textId="0B63C196" w:rsidR="00765A1A" w:rsidRPr="00765A1A" w:rsidRDefault="00765A1A" w:rsidP="00765A1A">
      <w:pPr>
        <w:pStyle w:val="NormalWeb"/>
        <w:spacing w:line="360" w:lineRule="auto"/>
        <w:rPr>
          <w:rFonts w:asciiTheme="minorHAnsi" w:hAnsiTheme="minorHAnsi" w:cstheme="minorHAnsi"/>
          <w:lang w:eastAsia="en-GB"/>
        </w:rPr>
      </w:pPr>
      <w:r w:rsidRPr="00765A1A">
        <w:rPr>
          <w:rFonts w:asciiTheme="minorHAnsi" w:hAnsiTheme="minorHAnsi" w:cstheme="minorHAnsi"/>
          <w:lang w:eastAsia="en-GB"/>
        </w:rPr>
        <w:t xml:space="preserve">As a result of this experience, I will look to keep developing my Welsh language skills. I feel the mobile phone app Duolingo, recommended by my Welsh lecturer, is useful for developing Welsh language skills and we be beneficial to my Welsh in the long term. Furthermore, if I keep </w:t>
      </w:r>
      <w:proofErr w:type="gramStart"/>
      <w:r w:rsidRPr="00765A1A">
        <w:rPr>
          <w:rFonts w:asciiTheme="minorHAnsi" w:hAnsiTheme="minorHAnsi" w:cstheme="minorHAnsi"/>
          <w:lang w:eastAsia="en-GB"/>
        </w:rPr>
        <w:t>making an effort</w:t>
      </w:r>
      <w:proofErr w:type="gramEnd"/>
      <w:r w:rsidRPr="00765A1A">
        <w:rPr>
          <w:rFonts w:asciiTheme="minorHAnsi" w:hAnsiTheme="minorHAnsi" w:cstheme="minorHAnsi"/>
          <w:lang w:eastAsia="en-GB"/>
        </w:rPr>
        <w:t xml:space="preserve"> to use incidental Welsh then this may improve my confidence in speaking Welsh which will help develop my Welsh ability over time.</w:t>
      </w:r>
    </w:p>
    <w:p w14:paraId="545BFA08" w14:textId="77777777" w:rsidR="00765A1A" w:rsidRPr="00765A1A" w:rsidRDefault="00765A1A" w:rsidP="00765A1A">
      <w:pPr>
        <w:spacing w:before="100" w:beforeAutospacing="1" w:after="100" w:afterAutospacing="1"/>
        <w:rPr>
          <w:rFonts w:eastAsia="Times New Roman" w:cstheme="minorHAnsi"/>
          <w:szCs w:val="24"/>
          <w:lang w:val="en-GB" w:eastAsia="en-GB"/>
        </w:rPr>
      </w:pPr>
      <w:r w:rsidRPr="00765A1A">
        <w:rPr>
          <w:rFonts w:eastAsia="Times New Roman" w:cstheme="minorHAnsi"/>
          <w:szCs w:val="24"/>
          <w:lang w:val="en-GB" w:eastAsia="en-GB"/>
        </w:rPr>
        <w:lastRenderedPageBreak/>
        <w:t xml:space="preserve">I feel that the use of WAGOLL examples was great for guiding learners' writing and marking one to one with them was valuable as they received instant feedback to work with. It also allowed me to get an appropriate standard of work out of each learner. Whilst one to one marking </w:t>
      </w:r>
      <w:proofErr w:type="gramStart"/>
      <w:r w:rsidRPr="00765A1A">
        <w:rPr>
          <w:rFonts w:eastAsia="Times New Roman" w:cstheme="minorHAnsi"/>
          <w:szCs w:val="24"/>
          <w:lang w:val="en-GB" w:eastAsia="en-GB"/>
        </w:rPr>
        <w:t>isn't</w:t>
      </w:r>
      <w:proofErr w:type="gramEnd"/>
      <w:r w:rsidRPr="00765A1A">
        <w:rPr>
          <w:rFonts w:eastAsia="Times New Roman" w:cstheme="minorHAnsi"/>
          <w:szCs w:val="24"/>
          <w:lang w:val="en-GB" w:eastAsia="en-GB"/>
        </w:rPr>
        <w:t xml:space="preserve"> always possible or efficient, I feel it was really useful for appropriately challenging learners as individuals which I will likely use again. As it may not always be efficient, it would be useful to find other techniques that can be employed to suitably challenge individual learners in the classroom.</w:t>
      </w:r>
    </w:p>
    <w:p w14:paraId="58CCE99B" w14:textId="3ACDFCB0"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sdt>
          <w:sdtPr>
            <w:alias w:val="Word Count"/>
            <w:tag w:val="Word Count"/>
            <w:id w:val="-101493410"/>
            <w:placeholder>
              <w:docPart w:val="EBAF1A77925B4774BB7C5DAEDCEA8EE0"/>
            </w:placeholder>
            <w:temporary/>
            <w:showingPlcHdr/>
            <w:text/>
          </w:sdtPr>
          <w:sdtEndPr/>
          <w:sdtContent>
            <w:p w14:paraId="60B60867" w14:textId="1E5B2045" w:rsidR="00AC19FF" w:rsidRPr="00AC19FF" w:rsidRDefault="00F778CF" w:rsidP="00AC19FF">
              <w:r w:rsidRPr="00204508">
                <w:rPr>
                  <w:rStyle w:val="PlaceholderText"/>
                </w:rPr>
                <w:t>Click or tap here to enter text.</w:t>
              </w:r>
            </w:p>
          </w:sdtContent>
        </w:sdt>
      </w:sdtContent>
    </w:sdt>
    <w:p w14:paraId="2AA56D82" w14:textId="77777777" w:rsidR="00811007" w:rsidRDefault="00811007" w:rsidP="00811007"/>
    <w:p w14:paraId="1A02AFCB" w14:textId="77777777" w:rsidR="002E626B" w:rsidRDefault="00811007" w:rsidP="002E626B">
      <w:pPr>
        <w:pStyle w:val="Heading2"/>
      </w:pPr>
      <w:r>
        <w:t>Introduction</w:t>
      </w:r>
    </w:p>
    <w:p w14:paraId="6DFA1D78" w14:textId="20C3CE49" w:rsidR="002E626B" w:rsidRPr="001A68DD" w:rsidRDefault="007A3940" w:rsidP="002E626B">
      <w:r>
        <w:t xml:space="preserve">The aspect of my practice that I have chosen to reflect on and develop is </w:t>
      </w:r>
      <w:r w:rsidR="00C64221">
        <w:t>my ability to create</w:t>
      </w:r>
      <w:r>
        <w:t xml:space="preserve"> a supporti</w:t>
      </w:r>
      <w:r w:rsidR="003B52B5">
        <w:t>ve learning</w:t>
      </w:r>
      <w:r>
        <w:t xml:space="preserve"> environment. This aspect is an important priority for teachers identified by Coe </w:t>
      </w:r>
      <w:r>
        <w:rPr>
          <w:i/>
          <w:iCs/>
        </w:rPr>
        <w:t>et al</w:t>
      </w:r>
      <w:r>
        <w:t xml:space="preserve"> (2020) and can be broken down into four parts: promoting positive student-teacher relationships, promoting positive student-student relationships, motivating learners through their feelings of competence and autonomy, and creating a climate of high expectations. I </w:t>
      </w:r>
      <w:r w:rsidR="003B52B5">
        <w:t>started to develop</w:t>
      </w:r>
      <w:r>
        <w:t xml:space="preserve"> the challenge and expectations professional standard in my</w:t>
      </w:r>
      <w:r w:rsidR="003B52B5">
        <w:t xml:space="preserve"> ‘</w:t>
      </w:r>
      <w:proofErr w:type="spellStart"/>
      <w:r w:rsidR="003B52B5">
        <w:t>Proffil</w:t>
      </w:r>
      <w:proofErr w:type="spellEnd"/>
      <w:r w:rsidR="003B52B5">
        <w:t xml:space="preserve"> </w:t>
      </w:r>
      <w:proofErr w:type="spellStart"/>
      <w:r w:rsidR="003B52B5">
        <w:t>Personol</w:t>
      </w:r>
      <w:proofErr w:type="spellEnd"/>
      <w:r w:rsidR="003B52B5">
        <w:t>’ template above. In this experience, I was more easily able to set individual standards and provide personalized feedback due to the nature of the writing activity, which gave me the opportunity to stretch individual learners and challenge them. However, the way that classrooms typically function make it hard to set individual standards to learners (</w:t>
      </w:r>
      <w:proofErr w:type="spellStart"/>
      <w:r w:rsidR="003B52B5">
        <w:t>Hertberg</w:t>
      </w:r>
      <w:proofErr w:type="spellEnd"/>
      <w:r w:rsidR="003B52B5">
        <w:t>-Davis, 2009). To develop my practice</w:t>
      </w:r>
      <w:r w:rsidR="001A68DD">
        <w:t xml:space="preserve"> and to be able to set challenges and high expectations consistently, </w:t>
      </w:r>
      <w:r w:rsidR="003B52B5">
        <w:t xml:space="preserve">I </w:t>
      </w:r>
      <w:r w:rsidR="001A68DD">
        <w:t>need</w:t>
      </w:r>
      <w:r w:rsidR="003B52B5">
        <w:t xml:space="preserve"> to be able to create a supportive learning environment that enables learners to </w:t>
      </w:r>
      <w:r w:rsidR="001A68DD">
        <w:t xml:space="preserve">enjoy </w:t>
      </w:r>
      <w:r w:rsidR="003B52B5">
        <w:t>seek</w:t>
      </w:r>
      <w:r w:rsidR="001A68DD">
        <w:t>ing</w:t>
      </w:r>
      <w:r w:rsidR="003B52B5">
        <w:t xml:space="preserve"> </w:t>
      </w:r>
      <w:r w:rsidR="001A68DD">
        <w:t>challenges</w:t>
      </w:r>
      <w:r w:rsidR="003B52B5">
        <w:t>. Producing ambitious, capable learners that can set themselves high standards and enjoy seeking challenges is a focus of the Welsh curriculum (Donaldson, 2015) which highlights the importance of developing this are</w:t>
      </w:r>
      <w:r w:rsidR="001A68DD">
        <w:t>a</w:t>
      </w:r>
      <w:r w:rsidR="003B52B5">
        <w:t xml:space="preserve"> in my practice also.</w:t>
      </w:r>
      <w:r w:rsidR="001A68DD">
        <w:t xml:space="preserve"> In this assignment, I shall be discussing the literature related to the four aspects required to build a supportive learning environment (Coe </w:t>
      </w:r>
      <w:r w:rsidR="001A68DD">
        <w:rPr>
          <w:i/>
          <w:iCs/>
        </w:rPr>
        <w:t>et al</w:t>
      </w:r>
      <w:r w:rsidR="001A68DD">
        <w:t>, 2020) and shall reflect on how I can develop these areas in my practice.</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2BFDD23F" w14:textId="5F568041" w:rsidR="009F1533" w:rsidRDefault="009F1533" w:rsidP="00811007">
      <w:pPr>
        <w:rPr>
          <w:u w:val="single"/>
        </w:rPr>
      </w:pPr>
      <w:r>
        <w:rPr>
          <w:u w:val="single"/>
        </w:rPr>
        <w:t>Positive Teacher-Student Relationships</w:t>
      </w:r>
    </w:p>
    <w:p w14:paraId="1483252B" w14:textId="77777777" w:rsidR="00EB1832" w:rsidRPr="009F1533" w:rsidRDefault="00EB1832" w:rsidP="00811007">
      <w:pPr>
        <w:rPr>
          <w:u w:val="single"/>
        </w:rPr>
      </w:pPr>
    </w:p>
    <w:p w14:paraId="4ADBBD1C" w14:textId="442B2F6C" w:rsidR="00811007" w:rsidRDefault="001A68DD" w:rsidP="00811007">
      <w:r>
        <w:t xml:space="preserve">The first aspect for developing a supportive learning environment is developing positive student-teacher relationships (Coe </w:t>
      </w:r>
      <w:r>
        <w:rPr>
          <w:i/>
          <w:iCs/>
        </w:rPr>
        <w:t>et al</w:t>
      </w:r>
      <w:r>
        <w:t xml:space="preserve">, 2020). These are not only associated with higher educational outcomes for learners (Hamre and </w:t>
      </w:r>
      <w:proofErr w:type="spellStart"/>
      <w:r>
        <w:t>Pianta</w:t>
      </w:r>
      <w:proofErr w:type="spellEnd"/>
      <w:r>
        <w:t xml:space="preserve">, 2001; </w:t>
      </w:r>
      <w:proofErr w:type="spellStart"/>
      <w:r>
        <w:t>Pianta</w:t>
      </w:r>
      <w:proofErr w:type="spellEnd"/>
      <w:r>
        <w:t xml:space="preserve">, 1999, cited by Skipper and Douglas, 2015), they also boost the well-being of the teacher (Spilt </w:t>
      </w:r>
      <w:r>
        <w:rPr>
          <w:i/>
          <w:iCs/>
        </w:rPr>
        <w:t>et al</w:t>
      </w:r>
      <w:r>
        <w:t xml:space="preserve">, 2011). To develop </w:t>
      </w:r>
      <w:r>
        <w:lastRenderedPageBreak/>
        <w:t xml:space="preserve">these relationships, teachers should show respect and sensitivity towards the needs, </w:t>
      </w:r>
      <w:proofErr w:type="gramStart"/>
      <w:r>
        <w:t>emotions</w:t>
      </w:r>
      <w:proofErr w:type="gramEnd"/>
      <w:r>
        <w:t xml:space="preserve"> and beliefs of their pupils, and behave in way that promotes student respect for the teacher (Coe </w:t>
      </w:r>
      <w:r>
        <w:rPr>
          <w:i/>
          <w:iCs/>
        </w:rPr>
        <w:t>et al</w:t>
      </w:r>
      <w:r>
        <w:t>, 2020). To do so, it is important for teachers to develop their social and emotional competence (SEC). Teachers with high SEC have high self-awareness and can recognize their emotions, emotional patterns and tendencies, and can bring about joy and enthusiasm to motivate themselves and their class. Developing SEC</w:t>
      </w:r>
      <w:r w:rsidR="00532A5F">
        <w:t xml:space="preserve"> increases one’s capacity to recognize and understand the emotions of others, which helps to develop relationships (Jennings and Greenberg, 2009). Promoting self-awareness develops SEC, which can be improved through setting time to reflect on feelings and actions (</w:t>
      </w:r>
      <w:proofErr w:type="spellStart"/>
      <w:r w:rsidR="00532A5F">
        <w:t>Cherniss</w:t>
      </w:r>
      <w:proofErr w:type="spellEnd"/>
      <w:r w:rsidR="00532A5F">
        <w:t xml:space="preserve"> and Goleman, 2001)</w:t>
      </w:r>
      <w:r w:rsidR="009F1533">
        <w:t xml:space="preserve">. Reflection is incorporated into the teacher training experience, although using self-reflection to reflect on experiences outside of the professional environment can also raise self-awareness, as well as help to develop a self-representation (Katznelson, 2014, cited by </w:t>
      </w:r>
      <w:proofErr w:type="spellStart"/>
      <w:r w:rsidR="009F1533">
        <w:t>Dishon</w:t>
      </w:r>
      <w:proofErr w:type="spellEnd"/>
      <w:r w:rsidR="009F1533">
        <w:t xml:space="preserve"> </w:t>
      </w:r>
      <w:r w:rsidR="009F1533">
        <w:rPr>
          <w:i/>
          <w:iCs/>
        </w:rPr>
        <w:t>et al</w:t>
      </w:r>
      <w:r w:rsidR="009F1533">
        <w:t>, 2017) making it a viable strategy to develop SEC.</w:t>
      </w:r>
    </w:p>
    <w:p w14:paraId="47C70EBC" w14:textId="3D9C81DF" w:rsidR="009F1533" w:rsidRDefault="009F1533" w:rsidP="00811007">
      <w:pPr>
        <w:rPr>
          <w:rStyle w:val="normaltextrun"/>
          <w:rFonts w:ascii="Calibri" w:hAnsi="Calibri" w:cs="Calibri"/>
          <w:color w:val="000000"/>
          <w:shd w:val="clear" w:color="auto" w:fill="FFFFFF"/>
        </w:rPr>
      </w:pPr>
      <w:r>
        <w:t xml:space="preserve">  Using praise effectively can also promote positive student-teacher relationships, which positively effects the classroom environment (Shores </w:t>
      </w:r>
      <w:r>
        <w:rPr>
          <w:i/>
          <w:iCs/>
        </w:rPr>
        <w:t>et al</w:t>
      </w:r>
      <w:r>
        <w:t xml:space="preserve">, 1993; Walker </w:t>
      </w:r>
      <w:r>
        <w:rPr>
          <w:i/>
          <w:iCs/>
        </w:rPr>
        <w:t>et al</w:t>
      </w:r>
      <w:r>
        <w:t xml:space="preserve">, 1999, cited by Gable </w:t>
      </w:r>
      <w:r>
        <w:rPr>
          <w:i/>
          <w:iCs/>
        </w:rPr>
        <w:t>et al</w:t>
      </w:r>
      <w:r>
        <w:t xml:space="preserve">, 2009; Marchant and Anderson, 2012). In the same vein, negative responses to learners can alienate them and weaken the relationship (Gable </w:t>
      </w:r>
      <w:r>
        <w:rPr>
          <w:i/>
          <w:iCs/>
        </w:rPr>
        <w:t>et al</w:t>
      </w:r>
      <w:r>
        <w:t xml:space="preserve">, 2009). This is supported by a study that found a correlation between the use of praise and student-teacher relationships; however, the researchers could not determine exactly whether using praise promoted positive relationships, or having positive relationships promoted the use of praise, and believed that a bidirectional relationship was likely (Bear </w:t>
      </w:r>
      <w:r>
        <w:rPr>
          <w:i/>
          <w:iCs/>
        </w:rPr>
        <w:t>et al</w:t>
      </w:r>
      <w:r>
        <w:t xml:space="preserve">, 2016). Teachers are constantly giving feedback in class. When giving feedback, a study found that </w:t>
      </w:r>
      <w:r>
        <w:rPr>
          <w:rStyle w:val="normaltextrun"/>
          <w:rFonts w:ascii="Calibri" w:hAnsi="Calibri" w:cs="Calibri"/>
          <w:color w:val="000000"/>
          <w:shd w:val="clear" w:color="auto" w:fill="FFFFFF"/>
        </w:rPr>
        <w:t xml:space="preserve">whilst the type of feedback given for success did not influence the student-teacher relationship, </w:t>
      </w:r>
      <w:r w:rsidR="00C64221">
        <w:rPr>
          <w:rStyle w:val="normaltextrun"/>
          <w:rFonts w:ascii="Calibri" w:hAnsi="Calibri" w:cs="Calibri"/>
          <w:color w:val="000000"/>
          <w:shd w:val="clear" w:color="auto" w:fill="FFFFFF"/>
        </w:rPr>
        <w:t xml:space="preserve">but </w:t>
      </w:r>
      <w:r>
        <w:rPr>
          <w:rStyle w:val="normaltextrun"/>
          <w:rFonts w:ascii="Calibri" w:hAnsi="Calibri" w:cs="Calibri"/>
          <w:color w:val="000000"/>
          <w:shd w:val="clear" w:color="auto" w:fill="FFFFFF"/>
        </w:rPr>
        <w:t>giving personal criticism following failure can weaken the relationship (Skipper and Douglas, 2015).  Several studies and articles (Gable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2009; Marchant and Anderson, 2012; Bear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2016; Ibrahim, 2016) suggest the importance that praise has on developing student-teacher relationships. More specifically, research suggests that behaviour-specific praise is more effective than general praise and has a more beneficial impacts on behaviour and student-teacher relationships (Gable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al, 2009; Hattie and Timperley, 2007; Jenkins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al, 2015; Spilt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al, 2016, Simonsen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al, 2008; Skiba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 xml:space="preserve">al, 2016, cited by </w:t>
      </w:r>
      <w:proofErr w:type="spellStart"/>
      <w:r>
        <w:rPr>
          <w:rStyle w:val="normaltextrun"/>
          <w:rFonts w:ascii="Calibri" w:hAnsi="Calibri" w:cs="Calibri"/>
          <w:color w:val="000000"/>
          <w:shd w:val="clear" w:color="auto" w:fill="FFFFFF"/>
        </w:rPr>
        <w:t>Ingemarson</w:t>
      </w:r>
      <w:proofErr w:type="spellEnd"/>
      <w:r>
        <w:rPr>
          <w:rStyle w:val="normaltextrun"/>
          <w:rFonts w:ascii="Calibri" w:hAnsi="Calibri" w:cs="Calibri"/>
          <w:color w:val="000000"/>
          <w:shd w:val="clear" w:color="auto" w:fill="FFFFFF"/>
        </w:rPr>
        <w:t> </w:t>
      </w:r>
      <w:r>
        <w:rPr>
          <w:rStyle w:val="normaltextrun"/>
          <w:rFonts w:ascii="Calibri" w:hAnsi="Calibri" w:cs="Calibri"/>
          <w:i/>
          <w:iCs/>
          <w:color w:val="000000"/>
          <w:shd w:val="clear" w:color="auto" w:fill="FFFFFF"/>
        </w:rPr>
        <w:t>et </w:t>
      </w:r>
      <w:r>
        <w:rPr>
          <w:rStyle w:val="normaltextrun"/>
          <w:rFonts w:ascii="Calibri" w:hAnsi="Calibri" w:cs="Calibri"/>
          <w:color w:val="000000"/>
          <w:shd w:val="clear" w:color="auto" w:fill="FFFFFF"/>
        </w:rPr>
        <w:t xml:space="preserve">al, 2019). Therefore, being conscious of and looking for </w:t>
      </w:r>
      <w:r>
        <w:rPr>
          <w:rStyle w:val="normaltextrun"/>
          <w:rFonts w:ascii="Calibri" w:hAnsi="Calibri" w:cs="Calibri"/>
          <w:color w:val="000000"/>
          <w:shd w:val="clear" w:color="auto" w:fill="FFFFFF"/>
        </w:rPr>
        <w:lastRenderedPageBreak/>
        <w:t>opportunities to praise appropriate, prosocial behaviour would be useful for improving professional practice as it benefits the development of student-teacher relationships.</w:t>
      </w:r>
    </w:p>
    <w:p w14:paraId="4E4DFE86" w14:textId="212A4C20" w:rsidR="007F7B78" w:rsidRDefault="007F7B78" w:rsidP="00811007">
      <w:pPr>
        <w:rPr>
          <w:rStyle w:val="normaltextrun"/>
          <w:rFonts w:ascii="Calibri" w:hAnsi="Calibri" w:cs="Calibri"/>
          <w:color w:val="000000"/>
          <w:shd w:val="clear" w:color="auto" w:fill="FFFFFF"/>
        </w:rPr>
      </w:pPr>
    </w:p>
    <w:p w14:paraId="6EB73240" w14:textId="06359726" w:rsidR="007F7B78" w:rsidRDefault="007F7B78" w:rsidP="00811007">
      <w:pPr>
        <w:rPr>
          <w:rStyle w:val="normaltextrun"/>
          <w:rFonts w:ascii="Calibri" w:hAnsi="Calibri" w:cs="Calibri"/>
          <w:color w:val="000000"/>
          <w:u w:val="single"/>
          <w:shd w:val="clear" w:color="auto" w:fill="FFFFFF"/>
        </w:rPr>
      </w:pPr>
      <w:r>
        <w:rPr>
          <w:rStyle w:val="normaltextrun"/>
          <w:rFonts w:ascii="Calibri" w:hAnsi="Calibri" w:cs="Calibri"/>
          <w:color w:val="000000"/>
          <w:u w:val="single"/>
          <w:shd w:val="clear" w:color="auto" w:fill="FFFFFF"/>
        </w:rPr>
        <w:t>Positive Student-Student Relationships</w:t>
      </w:r>
    </w:p>
    <w:p w14:paraId="50F44CF1" w14:textId="77777777" w:rsidR="00EB1832" w:rsidRDefault="00EB1832" w:rsidP="00811007">
      <w:pPr>
        <w:rPr>
          <w:rStyle w:val="normaltextrun"/>
          <w:rFonts w:ascii="Calibri" w:hAnsi="Calibri" w:cs="Calibri"/>
          <w:color w:val="000000"/>
          <w:u w:val="single"/>
          <w:shd w:val="clear" w:color="auto" w:fill="FFFFFF"/>
        </w:rPr>
      </w:pPr>
    </w:p>
    <w:p w14:paraId="2ADC3069" w14:textId="018F7DB2" w:rsidR="00CC5969" w:rsidRDefault="007F7B78" w:rsidP="00CC5969">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The second aspect for developing a supportive learning environment is encouraging positive student-student relationships. Student-student interactions and relationships effect the learning environment, and classrooms where students show respect, pay attention to </w:t>
      </w:r>
      <w:r w:rsidR="00C64221">
        <w:rPr>
          <w:rStyle w:val="normaltextrun"/>
          <w:rFonts w:ascii="Calibri" w:hAnsi="Calibri" w:cs="Calibri"/>
          <w:color w:val="000000"/>
          <w:shd w:val="clear" w:color="auto" w:fill="FFFFFF"/>
        </w:rPr>
        <w:t>each other,</w:t>
      </w:r>
      <w:r>
        <w:rPr>
          <w:rStyle w:val="normaltextrun"/>
          <w:rFonts w:ascii="Calibri" w:hAnsi="Calibri" w:cs="Calibri"/>
          <w:color w:val="000000"/>
          <w:shd w:val="clear" w:color="auto" w:fill="FFFFFF"/>
        </w:rPr>
        <w:t xml:space="preserve"> and feel comfortable expressing their thoughts are more productive and beneficial for learning (Coe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2020). Awareness of support from peers has been found to help learners fulfil social and academic goals, as well as support their psychological adjustment (</w:t>
      </w:r>
      <w:proofErr w:type="spellStart"/>
      <w:r>
        <w:rPr>
          <w:rStyle w:val="normaltextrun"/>
          <w:rFonts w:ascii="Calibri" w:hAnsi="Calibri" w:cs="Calibri"/>
          <w:color w:val="000000"/>
          <w:shd w:val="clear" w:color="auto" w:fill="FFFFFF"/>
        </w:rPr>
        <w:t>Ingemarson</w:t>
      </w:r>
      <w:proofErr w:type="spellEnd"/>
      <w:r>
        <w:rPr>
          <w:rStyle w:val="normaltextrun"/>
          <w:rFonts w:ascii="Calibri" w:hAnsi="Calibri" w:cs="Calibri"/>
          <w:color w:val="000000"/>
          <w:shd w:val="clear" w:color="auto" w:fill="FFFFFF"/>
        </w:rPr>
        <w:t>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2019). A study found that when learners feel more included in the class community and have relationships with peers that they can use for academic or social support, the classroom activities become more accessible for them and they are more likely to engage in class and less likely to cause disruptive behaviour (Cappella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2013). Furthermore, using peer tutoring and peer-assisted learning can raise attainment and improve behaviour (McGrath and Noble, 2010; Higgins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2011, cited by Ellis and Tod, 2014). Hattie (2012) believes this is due to cognitive development being a social process that requires high quality dialogue between peers, supported by the teacher. On the other hand, classrooms where negative student-student relationships are frequently present have their learning impeded (Coe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xml:space="preserve">, 2020) and a lack of peer support is linked with low self-esteem, </w:t>
      </w:r>
      <w:r w:rsidR="00C64221">
        <w:rPr>
          <w:rStyle w:val="normaltextrun"/>
          <w:rFonts w:ascii="Calibri" w:hAnsi="Calibri" w:cs="Calibri"/>
          <w:color w:val="000000"/>
          <w:shd w:val="clear" w:color="auto" w:fill="FFFFFF"/>
        </w:rPr>
        <w:t>depression,</w:t>
      </w:r>
      <w:r>
        <w:rPr>
          <w:rStyle w:val="normaltextrun"/>
          <w:rFonts w:ascii="Calibri" w:hAnsi="Calibri" w:cs="Calibri"/>
          <w:color w:val="000000"/>
          <w:shd w:val="clear" w:color="auto" w:fill="FFFFFF"/>
        </w:rPr>
        <w:t xml:space="preserve"> and problem </w:t>
      </w:r>
      <w:proofErr w:type="spellStart"/>
      <w:r>
        <w:rPr>
          <w:rStyle w:val="normaltextrun"/>
          <w:rFonts w:ascii="Calibri" w:hAnsi="Calibri" w:cs="Calibri"/>
          <w:color w:val="000000"/>
          <w:shd w:val="clear" w:color="auto" w:fill="FFFFFF"/>
        </w:rPr>
        <w:t>behaviours</w:t>
      </w:r>
      <w:proofErr w:type="spellEnd"/>
      <w:r>
        <w:rPr>
          <w:rStyle w:val="normaltextrun"/>
          <w:rFonts w:ascii="Calibri" w:hAnsi="Calibri" w:cs="Calibri"/>
          <w:color w:val="000000"/>
          <w:shd w:val="clear" w:color="auto" w:fill="FFFFFF"/>
        </w:rPr>
        <w:t xml:space="preserve"> (</w:t>
      </w:r>
      <w:proofErr w:type="spellStart"/>
      <w:r>
        <w:rPr>
          <w:rStyle w:val="normaltextrun"/>
          <w:rFonts w:ascii="Calibri" w:hAnsi="Calibri" w:cs="Calibri"/>
          <w:color w:val="000000"/>
          <w:shd w:val="clear" w:color="auto" w:fill="FFFFFF"/>
        </w:rPr>
        <w:t>Ingemarson</w:t>
      </w:r>
      <w:proofErr w:type="spellEnd"/>
      <w:r>
        <w:rPr>
          <w:rStyle w:val="normaltextrun"/>
          <w:rFonts w:ascii="Calibri" w:hAnsi="Calibri" w:cs="Calibri"/>
          <w:color w:val="000000"/>
          <w:shd w:val="clear" w:color="auto" w:fill="FFFFFF"/>
        </w:rPr>
        <w:t>, 2019).</w:t>
      </w:r>
      <w:r>
        <w:rPr>
          <w:rStyle w:val="eop"/>
          <w:rFonts w:ascii="Calibri" w:hAnsi="Calibri" w:cs="Calibri"/>
          <w:color w:val="000000"/>
          <w:shd w:val="clear" w:color="auto" w:fill="FFFFFF"/>
        </w:rPr>
        <w:t> </w:t>
      </w:r>
    </w:p>
    <w:p w14:paraId="28EF2939" w14:textId="0294562D" w:rsidR="007F7B78" w:rsidRDefault="007F7B78" w:rsidP="00CC5969">
      <w:pPr>
        <w:rPr>
          <w:rStyle w:val="normaltextrun"/>
          <w:rFonts w:ascii="Calibri" w:hAnsi="Calibri" w:cs="Calibri"/>
          <w:color w:val="000000"/>
          <w:shd w:val="clear" w:color="auto" w:fill="FFFFFF"/>
        </w:rPr>
      </w:pPr>
      <w:r>
        <w:rPr>
          <w:rStyle w:val="eop"/>
          <w:rFonts w:ascii="Calibri" w:hAnsi="Calibri" w:cs="Calibri"/>
          <w:color w:val="000000"/>
          <w:shd w:val="clear" w:color="auto" w:fill="FFFFFF"/>
        </w:rPr>
        <w:t xml:space="preserve">  </w:t>
      </w:r>
      <w:proofErr w:type="spellStart"/>
      <w:r>
        <w:rPr>
          <w:rStyle w:val="normaltextrun"/>
          <w:rFonts w:ascii="Calibri" w:hAnsi="Calibri" w:cs="Calibri"/>
          <w:color w:val="000000"/>
          <w:shd w:val="clear" w:color="auto" w:fill="FFFFFF"/>
        </w:rPr>
        <w:t>Mcgrath</w:t>
      </w:r>
      <w:proofErr w:type="spellEnd"/>
      <w:r>
        <w:rPr>
          <w:rStyle w:val="normaltextrun"/>
          <w:rFonts w:ascii="Calibri" w:hAnsi="Calibri" w:cs="Calibri"/>
          <w:color w:val="000000"/>
          <w:shd w:val="clear" w:color="auto" w:fill="FFFFFF"/>
        </w:rPr>
        <w:t xml:space="preserve"> and Noble (2010, cited by Roffey, 2011) found that schools that experienced low levels of bullying, thus representing more positive student-student relationships, had effective leadership working to implement a whole school vision for safety and well-being, effective behaviour policies and had planned for a ‘relationship culture’ which used strategies such as co-operative learning, cross age social activities and an active teaching of prosocial skills. Each school also highly prioritised student well-being.</w:t>
      </w:r>
      <w:r>
        <w:rPr>
          <w:rStyle w:val="eop"/>
          <w:rFonts w:ascii="Calibri" w:hAnsi="Calibri" w:cs="Calibri"/>
          <w:color w:val="000000"/>
          <w:shd w:val="clear" w:color="auto" w:fill="FFFFFF"/>
        </w:rPr>
        <w:t> </w:t>
      </w:r>
      <w:r>
        <w:rPr>
          <w:rStyle w:val="normaltextrun"/>
          <w:rFonts w:ascii="Calibri" w:hAnsi="Calibri" w:cs="Calibri"/>
          <w:color w:val="000000"/>
          <w:shd w:val="clear" w:color="auto" w:fill="FFFFFF"/>
        </w:rPr>
        <w:t>Promoting positive relationships within a school effectively can take a whole-school approach (Roffey, 2011; Rae and </w:t>
      </w:r>
      <w:proofErr w:type="spellStart"/>
      <w:r>
        <w:rPr>
          <w:rStyle w:val="normaltextrun"/>
          <w:rFonts w:ascii="Calibri" w:hAnsi="Calibri" w:cs="Calibri"/>
          <w:color w:val="000000"/>
          <w:shd w:val="clear" w:color="auto" w:fill="FFFFFF"/>
        </w:rPr>
        <w:t>MacConville</w:t>
      </w:r>
      <w:proofErr w:type="spellEnd"/>
      <w:r>
        <w:rPr>
          <w:rStyle w:val="normaltextrun"/>
          <w:rFonts w:ascii="Calibri" w:hAnsi="Calibri" w:cs="Calibri"/>
          <w:color w:val="000000"/>
          <w:shd w:val="clear" w:color="auto" w:fill="FFFFFF"/>
        </w:rPr>
        <w:t xml:space="preserve">, 2006). However, there are steps that individual teachers can take. Running activities in class </w:t>
      </w:r>
      <w:r>
        <w:rPr>
          <w:rStyle w:val="normaltextrun"/>
          <w:rFonts w:ascii="Calibri" w:hAnsi="Calibri" w:cs="Calibri"/>
          <w:color w:val="000000"/>
          <w:shd w:val="clear" w:color="auto" w:fill="FFFFFF"/>
        </w:rPr>
        <w:lastRenderedPageBreak/>
        <w:t>that get learners to think about what makes people like each other and reasons why some people are harder to get along with can allow children to consider different positive and negative behaviours and attitudes that they may see and exhibit (Rae and </w:t>
      </w:r>
      <w:proofErr w:type="spellStart"/>
      <w:r>
        <w:rPr>
          <w:rStyle w:val="normaltextrun"/>
          <w:rFonts w:ascii="Calibri" w:hAnsi="Calibri" w:cs="Calibri"/>
          <w:color w:val="000000"/>
          <w:shd w:val="clear" w:color="auto" w:fill="FFFFFF"/>
        </w:rPr>
        <w:t>MacConville</w:t>
      </w:r>
      <w:proofErr w:type="spellEnd"/>
      <w:r>
        <w:rPr>
          <w:rStyle w:val="normaltextrun"/>
          <w:rFonts w:ascii="Calibri" w:hAnsi="Calibri" w:cs="Calibri"/>
          <w:color w:val="000000"/>
          <w:shd w:val="clear" w:color="auto" w:fill="FFFFFF"/>
        </w:rPr>
        <w:t xml:space="preserve">, 2006). Providing more opportunities for partner or group work that allows learners to </w:t>
      </w:r>
      <w:proofErr w:type="spellStart"/>
      <w:r>
        <w:rPr>
          <w:rStyle w:val="normaltextrun"/>
          <w:rFonts w:ascii="Calibri" w:hAnsi="Calibri" w:cs="Calibri"/>
          <w:color w:val="000000"/>
          <w:shd w:val="clear" w:color="auto" w:fill="FFFFFF"/>
        </w:rPr>
        <w:t>socialise</w:t>
      </w:r>
      <w:proofErr w:type="spellEnd"/>
      <w:r>
        <w:rPr>
          <w:rStyle w:val="normaltextrun"/>
          <w:rFonts w:ascii="Calibri" w:hAnsi="Calibri" w:cs="Calibri"/>
          <w:color w:val="000000"/>
          <w:shd w:val="clear" w:color="auto" w:fill="FFFFFF"/>
        </w:rPr>
        <w:t xml:space="preserve"> in a productive manner can also benefit the student-student relationships in class (Ellis and Tod, 2015). A teacher can also model appropriate and professional relationship behaviour, carry high expectations of behaviour, and use praise and rewards to </w:t>
      </w:r>
      <w:proofErr w:type="spellStart"/>
      <w:r>
        <w:rPr>
          <w:rStyle w:val="normaltextrun"/>
          <w:rFonts w:ascii="Calibri" w:hAnsi="Calibri" w:cs="Calibri"/>
          <w:color w:val="000000"/>
          <w:shd w:val="clear" w:color="auto" w:fill="FFFFFF"/>
        </w:rPr>
        <w:t>recogni</w:t>
      </w:r>
      <w:r w:rsidR="00F9068C">
        <w:rPr>
          <w:rStyle w:val="normaltextrun"/>
          <w:rFonts w:ascii="Calibri" w:hAnsi="Calibri" w:cs="Calibri"/>
          <w:color w:val="000000"/>
          <w:shd w:val="clear" w:color="auto" w:fill="FFFFFF"/>
        </w:rPr>
        <w:t>s</w:t>
      </w:r>
      <w:r>
        <w:rPr>
          <w:rStyle w:val="normaltextrun"/>
          <w:rFonts w:ascii="Calibri" w:hAnsi="Calibri" w:cs="Calibri"/>
          <w:color w:val="000000"/>
          <w:shd w:val="clear" w:color="auto" w:fill="FFFFFF"/>
        </w:rPr>
        <w:t>e</w:t>
      </w:r>
      <w:proofErr w:type="spellEnd"/>
      <w:r>
        <w:rPr>
          <w:rStyle w:val="normaltextrun"/>
          <w:rFonts w:ascii="Calibri" w:hAnsi="Calibri" w:cs="Calibri"/>
          <w:color w:val="000000"/>
          <w:shd w:val="clear" w:color="auto" w:fill="FFFFFF"/>
        </w:rPr>
        <w:t xml:space="preserve"> appropriate social </w:t>
      </w:r>
      <w:proofErr w:type="spellStart"/>
      <w:r>
        <w:rPr>
          <w:rStyle w:val="normaltextrun"/>
          <w:rFonts w:ascii="Calibri" w:hAnsi="Calibri" w:cs="Calibri"/>
          <w:color w:val="000000"/>
          <w:shd w:val="clear" w:color="auto" w:fill="FFFFFF"/>
        </w:rPr>
        <w:t>behaviour</w:t>
      </w:r>
      <w:proofErr w:type="spellEnd"/>
      <w:r>
        <w:rPr>
          <w:rStyle w:val="normaltextrun"/>
          <w:rFonts w:ascii="Calibri" w:hAnsi="Calibri" w:cs="Calibri"/>
          <w:color w:val="000000"/>
          <w:shd w:val="clear" w:color="auto" w:fill="FFFFFF"/>
        </w:rPr>
        <w:t xml:space="preserve"> (Ellis and Tod, 2015). Developing these areas can promote student-student relationships in the classroom, with the latter point being especially valuable as it has also been found to promote teacher-student relationships as well (Gable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2009; Marchant and Anderson, 2012; Bear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2016; Ibrahim, 2016).</w:t>
      </w:r>
    </w:p>
    <w:p w14:paraId="265B363B" w14:textId="143C39FF" w:rsidR="007F7B78" w:rsidRDefault="007F7B78" w:rsidP="00CC5969">
      <w:pPr>
        <w:rPr>
          <w:rStyle w:val="normaltextrun"/>
          <w:rFonts w:ascii="Calibri" w:hAnsi="Calibri" w:cs="Calibri"/>
          <w:color w:val="000000"/>
          <w:shd w:val="clear" w:color="auto" w:fill="FFFFFF"/>
        </w:rPr>
      </w:pPr>
    </w:p>
    <w:p w14:paraId="6589A6D4" w14:textId="4738A5F9" w:rsidR="007F7B78" w:rsidRDefault="007F7B78" w:rsidP="00CC5969">
      <w:pPr>
        <w:rPr>
          <w:u w:val="single"/>
        </w:rPr>
      </w:pPr>
      <w:r>
        <w:rPr>
          <w:u w:val="single"/>
        </w:rPr>
        <w:t>Promoting Learner Competence and Autonomy</w:t>
      </w:r>
    </w:p>
    <w:p w14:paraId="634414ED" w14:textId="77777777" w:rsidR="00EB1832" w:rsidRDefault="00EB1832" w:rsidP="00CC5969"/>
    <w:p w14:paraId="0FFA24E0" w14:textId="70C11FAF" w:rsidR="007F7B78" w:rsidRDefault="007403AD" w:rsidP="00CC5969">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Another element of promoting a supportive classroom involves student motivation, and those who are motivated to study, </w:t>
      </w:r>
      <w:r w:rsidR="00F9068C">
        <w:rPr>
          <w:rStyle w:val="normaltextrun"/>
          <w:rFonts w:ascii="Calibri" w:hAnsi="Calibri" w:cs="Calibri"/>
          <w:color w:val="000000"/>
          <w:shd w:val="clear" w:color="auto" w:fill="FFFFFF"/>
        </w:rPr>
        <w:t>learn,</w:t>
      </w:r>
      <w:r>
        <w:rPr>
          <w:rStyle w:val="normaltextrun"/>
          <w:rFonts w:ascii="Calibri" w:hAnsi="Calibri" w:cs="Calibri"/>
          <w:color w:val="000000"/>
          <w:shd w:val="clear" w:color="auto" w:fill="FFFFFF"/>
        </w:rPr>
        <w:t xml:space="preserve"> and engage are more likely to succeed (Coe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2020). Self-determination theory (SDT) is a theory of behaviour and development that looks at different factors</w:t>
      </w:r>
      <w:r w:rsidR="00F9068C">
        <w:rPr>
          <w:rStyle w:val="normaltextrun"/>
          <w:rFonts w:ascii="Calibri" w:hAnsi="Calibri" w:cs="Calibri"/>
          <w:color w:val="000000"/>
          <w:shd w:val="clear" w:color="auto" w:fill="FFFFFF"/>
        </w:rPr>
        <w:t xml:space="preserve"> that</w:t>
      </w:r>
      <w:r>
        <w:rPr>
          <w:rStyle w:val="normaltextrun"/>
          <w:rFonts w:ascii="Calibri" w:hAnsi="Calibri" w:cs="Calibri"/>
          <w:color w:val="000000"/>
          <w:shd w:val="clear" w:color="auto" w:fill="FFFFFF"/>
        </w:rPr>
        <w:t xml:space="preserve"> can support o</w:t>
      </w:r>
      <w:r w:rsidR="00F9068C">
        <w:rPr>
          <w:rStyle w:val="normaltextrun"/>
          <w:rFonts w:ascii="Calibri" w:hAnsi="Calibri" w:cs="Calibri"/>
          <w:color w:val="000000"/>
          <w:shd w:val="clear" w:color="auto" w:fill="FFFFFF"/>
        </w:rPr>
        <w:t>r</w:t>
      </w:r>
      <w:r>
        <w:rPr>
          <w:rStyle w:val="normaltextrun"/>
          <w:rFonts w:ascii="Calibri" w:hAnsi="Calibri" w:cs="Calibri"/>
          <w:color w:val="000000"/>
          <w:shd w:val="clear" w:color="auto" w:fill="FFFFFF"/>
        </w:rPr>
        <w:t xml:space="preserve"> hinder an individual’s thriving based on the satisfaction of their needs for competence, </w:t>
      </w:r>
      <w:r w:rsidR="00F9068C">
        <w:rPr>
          <w:rStyle w:val="normaltextrun"/>
          <w:rFonts w:ascii="Calibri" w:hAnsi="Calibri" w:cs="Calibri"/>
          <w:color w:val="000000"/>
          <w:shd w:val="clear" w:color="auto" w:fill="FFFFFF"/>
        </w:rPr>
        <w:t>relatedness,</w:t>
      </w:r>
      <w:r>
        <w:rPr>
          <w:rStyle w:val="normaltextrun"/>
          <w:rFonts w:ascii="Calibri" w:hAnsi="Calibri" w:cs="Calibri"/>
          <w:color w:val="000000"/>
          <w:shd w:val="clear" w:color="auto" w:fill="FFFFFF"/>
        </w:rPr>
        <w:t xml:space="preserve"> and autonomy (Ryan and Deci, 2017). It </w:t>
      </w:r>
      <w:proofErr w:type="spellStart"/>
      <w:r>
        <w:rPr>
          <w:rStyle w:val="normaltextrun"/>
          <w:rFonts w:ascii="Calibri" w:hAnsi="Calibri" w:cs="Calibri"/>
          <w:color w:val="000000"/>
          <w:shd w:val="clear" w:color="auto" w:fill="FFFFFF"/>
        </w:rPr>
        <w:t>prioritises</w:t>
      </w:r>
      <w:proofErr w:type="spellEnd"/>
      <w:r>
        <w:rPr>
          <w:rStyle w:val="normaltextrun"/>
          <w:rFonts w:ascii="Calibri" w:hAnsi="Calibri" w:cs="Calibri"/>
          <w:color w:val="000000"/>
          <w:shd w:val="clear" w:color="auto" w:fill="FFFFFF"/>
        </w:rPr>
        <w:t xml:space="preserve"> the type of motivation that can support a learners’ wellbeing and development (Coe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2020). </w:t>
      </w:r>
      <w:proofErr w:type="spellStart"/>
      <w:r>
        <w:rPr>
          <w:rStyle w:val="normaltextrun"/>
          <w:rFonts w:ascii="Calibri" w:hAnsi="Calibri" w:cs="Calibri"/>
          <w:color w:val="000000"/>
          <w:shd w:val="clear" w:color="auto" w:fill="FFFFFF"/>
        </w:rPr>
        <w:t>Guay</w:t>
      </w:r>
      <w:proofErr w:type="spellEnd"/>
      <w:r>
        <w:rPr>
          <w:rStyle w:val="normaltextrun"/>
          <w:rFonts w:ascii="Calibri" w:hAnsi="Calibri" w:cs="Calibri"/>
          <w:color w:val="000000"/>
          <w:shd w:val="clear" w:color="auto" w:fill="FFFFFF"/>
        </w:rPr>
        <w:t>, </w:t>
      </w:r>
      <w:proofErr w:type="spellStart"/>
      <w:r>
        <w:rPr>
          <w:rStyle w:val="normaltextrun"/>
          <w:rFonts w:ascii="Calibri" w:hAnsi="Calibri" w:cs="Calibri"/>
          <w:color w:val="000000"/>
          <w:shd w:val="clear" w:color="auto" w:fill="FFFFFF"/>
        </w:rPr>
        <w:t>Ratelle</w:t>
      </w:r>
      <w:proofErr w:type="spellEnd"/>
      <w:r>
        <w:rPr>
          <w:rStyle w:val="normaltextrun"/>
          <w:rFonts w:ascii="Calibri" w:hAnsi="Calibri" w:cs="Calibri"/>
          <w:color w:val="000000"/>
          <w:shd w:val="clear" w:color="auto" w:fill="FFFFFF"/>
        </w:rPr>
        <w:t xml:space="preserve"> and </w:t>
      </w:r>
      <w:proofErr w:type="spellStart"/>
      <w:r>
        <w:rPr>
          <w:rStyle w:val="normaltextrun"/>
          <w:rFonts w:ascii="Calibri" w:hAnsi="Calibri" w:cs="Calibri"/>
          <w:color w:val="000000"/>
          <w:shd w:val="clear" w:color="auto" w:fill="FFFFFF"/>
        </w:rPr>
        <w:t>Chanal</w:t>
      </w:r>
      <w:proofErr w:type="spellEnd"/>
      <w:r>
        <w:rPr>
          <w:rStyle w:val="normaltextrun"/>
          <w:rFonts w:ascii="Calibri" w:hAnsi="Calibri" w:cs="Calibri"/>
          <w:color w:val="000000"/>
          <w:shd w:val="clear" w:color="auto" w:fill="FFFFFF"/>
        </w:rPr>
        <w:t> (2008) outline the different qualities of motivation, with a higher quality being intrinsic and a lower quality being external, promoted through controlling methods. </w:t>
      </w:r>
      <w:r w:rsidR="00F9068C">
        <w:rPr>
          <w:rStyle w:val="normaltextrun"/>
          <w:rFonts w:ascii="Calibri" w:hAnsi="Calibri" w:cs="Calibri"/>
          <w:color w:val="000000"/>
          <w:shd w:val="clear" w:color="auto" w:fill="FFFFFF"/>
        </w:rPr>
        <w:t>To</w:t>
      </w:r>
      <w:r>
        <w:rPr>
          <w:rStyle w:val="normaltextrun"/>
          <w:rFonts w:ascii="Calibri" w:hAnsi="Calibri" w:cs="Calibri"/>
          <w:color w:val="000000"/>
          <w:shd w:val="clear" w:color="auto" w:fill="FFFFFF"/>
        </w:rPr>
        <w:t xml:space="preserve"> attain a more intrinsic motivation, autonomy must be present. When an individual is autonomous, their behaviours become an expression of themselves and their values and are consistently present within the individual. When controlled, the individual’s behaviour may be present due to an external or internal pressure to act in a certain way, and these actions are more inconsistent and less meaningful to the individual (Ryan and Deci, 2017). Intrinsic motivation is regarded as superior as learners that are intrinsically motivated are more curious and desire challenges (Deci </w:t>
      </w:r>
      <w:r>
        <w:rPr>
          <w:rStyle w:val="normaltextrun"/>
          <w:rFonts w:ascii="Calibri" w:hAnsi="Calibri" w:cs="Calibri"/>
          <w:i/>
          <w:iCs/>
          <w:color w:val="000000"/>
          <w:shd w:val="clear" w:color="auto" w:fill="FFFFFF"/>
        </w:rPr>
        <w:t>et al, </w:t>
      </w:r>
      <w:r>
        <w:rPr>
          <w:rStyle w:val="normaltextrun"/>
          <w:rFonts w:ascii="Calibri" w:hAnsi="Calibri" w:cs="Calibri"/>
          <w:color w:val="000000"/>
          <w:shd w:val="clear" w:color="auto" w:fill="FFFFFF"/>
        </w:rPr>
        <w:t xml:space="preserve">1981; </w:t>
      </w:r>
      <w:proofErr w:type="spellStart"/>
      <w:r>
        <w:rPr>
          <w:rStyle w:val="normaltextrun"/>
          <w:rFonts w:ascii="Calibri" w:hAnsi="Calibri" w:cs="Calibri"/>
          <w:color w:val="000000"/>
          <w:shd w:val="clear" w:color="auto" w:fill="FFFFFF"/>
        </w:rPr>
        <w:t>Flink</w:t>
      </w:r>
      <w:proofErr w:type="spellEnd"/>
      <w:r>
        <w:rPr>
          <w:rStyle w:val="normaltextrun"/>
          <w:rFonts w:ascii="Calibri" w:hAnsi="Calibri" w:cs="Calibri"/>
          <w:color w:val="000000"/>
          <w:shd w:val="clear" w:color="auto" w:fill="FFFFFF"/>
        </w:rPr>
        <w:t>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1990; Ryan and </w:t>
      </w:r>
      <w:proofErr w:type="spellStart"/>
      <w:r>
        <w:rPr>
          <w:rStyle w:val="normaltextrun"/>
          <w:rFonts w:ascii="Calibri" w:hAnsi="Calibri" w:cs="Calibri"/>
          <w:color w:val="000000"/>
          <w:shd w:val="clear" w:color="auto" w:fill="FFFFFF"/>
        </w:rPr>
        <w:t>Grolnik</w:t>
      </w:r>
      <w:proofErr w:type="spellEnd"/>
      <w:r>
        <w:rPr>
          <w:rStyle w:val="normaltextrun"/>
          <w:rFonts w:ascii="Calibri" w:hAnsi="Calibri" w:cs="Calibri"/>
          <w:color w:val="000000"/>
          <w:shd w:val="clear" w:color="auto" w:fill="FFFFFF"/>
        </w:rPr>
        <w:t>, 1986, cited by Ryan and Deci, 2000) and is associated with active learning and cognitive growth (Danner and </w:t>
      </w:r>
      <w:proofErr w:type="spellStart"/>
      <w:r>
        <w:rPr>
          <w:rStyle w:val="normaltextrun"/>
          <w:rFonts w:ascii="Calibri" w:hAnsi="Calibri" w:cs="Calibri"/>
          <w:color w:val="000000"/>
          <w:shd w:val="clear" w:color="auto" w:fill="FFFFFF"/>
        </w:rPr>
        <w:t>Lonky</w:t>
      </w:r>
      <w:proofErr w:type="spellEnd"/>
      <w:r>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lastRenderedPageBreak/>
        <w:t>1981, cited by Ryan and Deci, 2017), whereas learners taught with a more controlling approach lose initiative and learn less effectively, especially when the material requires conceptual, creative processing (Amabile, 1996; </w:t>
      </w:r>
      <w:proofErr w:type="spellStart"/>
      <w:r>
        <w:rPr>
          <w:rStyle w:val="normaltextrun"/>
          <w:rFonts w:ascii="Calibri" w:hAnsi="Calibri" w:cs="Calibri"/>
          <w:color w:val="000000"/>
          <w:shd w:val="clear" w:color="auto" w:fill="FFFFFF"/>
        </w:rPr>
        <w:t>Grolnick</w:t>
      </w:r>
      <w:proofErr w:type="spellEnd"/>
      <w:r>
        <w:rPr>
          <w:rStyle w:val="normaltextrun"/>
          <w:rFonts w:ascii="Calibri" w:hAnsi="Calibri" w:cs="Calibri"/>
          <w:color w:val="000000"/>
          <w:shd w:val="clear" w:color="auto" w:fill="FFFFFF"/>
        </w:rPr>
        <w:t xml:space="preserve"> and Ryan, 1987; </w:t>
      </w:r>
      <w:proofErr w:type="spellStart"/>
      <w:r>
        <w:rPr>
          <w:rStyle w:val="normaltextrun"/>
          <w:rFonts w:ascii="Calibri" w:hAnsi="Calibri" w:cs="Calibri"/>
          <w:color w:val="000000"/>
          <w:shd w:val="clear" w:color="auto" w:fill="FFFFFF"/>
        </w:rPr>
        <w:t>Utman</w:t>
      </w:r>
      <w:proofErr w:type="spellEnd"/>
      <w:r>
        <w:rPr>
          <w:rStyle w:val="normaltextrun"/>
          <w:rFonts w:ascii="Calibri" w:hAnsi="Calibri" w:cs="Calibri"/>
          <w:color w:val="000000"/>
          <w:shd w:val="clear" w:color="auto" w:fill="FFFFFF"/>
        </w:rPr>
        <w:t>, 1997, cited by Ryan and Deci, 2000).</w:t>
      </w:r>
    </w:p>
    <w:p w14:paraId="5DEC04BA" w14:textId="1F125421" w:rsidR="007403AD" w:rsidRDefault="007403AD" w:rsidP="00CC5969">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  Supporting the learners’ autonomy is </w:t>
      </w:r>
      <w:proofErr w:type="spellStart"/>
      <w:r>
        <w:rPr>
          <w:rStyle w:val="normaltextrun"/>
          <w:rFonts w:ascii="Calibri" w:hAnsi="Calibri" w:cs="Calibri"/>
          <w:color w:val="000000"/>
          <w:shd w:val="clear" w:color="auto" w:fill="FFFFFF"/>
        </w:rPr>
        <w:t>emphasised</w:t>
      </w:r>
      <w:proofErr w:type="spellEnd"/>
      <w:r>
        <w:rPr>
          <w:rStyle w:val="normaltextrun"/>
          <w:rFonts w:ascii="Calibri" w:hAnsi="Calibri" w:cs="Calibri"/>
          <w:color w:val="000000"/>
          <w:shd w:val="clear" w:color="auto" w:fill="FFFFFF"/>
        </w:rPr>
        <w:t xml:space="preserve"> in SDT as studies have shown that received autonomy support from parents rather than control for the first three years of </w:t>
      </w:r>
      <w:r w:rsidR="00F9068C">
        <w:rPr>
          <w:rStyle w:val="normaltextrun"/>
          <w:rFonts w:ascii="Calibri" w:hAnsi="Calibri" w:cs="Calibri"/>
          <w:color w:val="000000"/>
          <w:shd w:val="clear" w:color="auto" w:fill="FFFFFF"/>
        </w:rPr>
        <w:t>a child’s</w:t>
      </w:r>
      <w:r>
        <w:rPr>
          <w:rStyle w:val="normaltextrun"/>
          <w:rFonts w:ascii="Calibri" w:hAnsi="Calibri" w:cs="Calibri"/>
          <w:color w:val="000000"/>
          <w:shd w:val="clear" w:color="auto" w:fill="FFFFFF"/>
        </w:rPr>
        <w:t xml:space="preserve"> li</w:t>
      </w:r>
      <w:r w:rsidR="00F9068C">
        <w:rPr>
          <w:rStyle w:val="normaltextrun"/>
          <w:rFonts w:ascii="Calibri" w:hAnsi="Calibri" w:cs="Calibri"/>
          <w:color w:val="000000"/>
          <w:shd w:val="clear" w:color="auto" w:fill="FFFFFF"/>
        </w:rPr>
        <w:t xml:space="preserve">fe </w:t>
      </w:r>
      <w:r>
        <w:rPr>
          <w:rStyle w:val="normaltextrun"/>
          <w:rFonts w:ascii="Calibri" w:hAnsi="Calibri" w:cs="Calibri"/>
          <w:color w:val="000000"/>
          <w:shd w:val="clear" w:color="auto" w:fill="FFFFFF"/>
        </w:rPr>
        <w:t>showed great</w:t>
      </w:r>
      <w:r w:rsidR="00F9068C">
        <w:rPr>
          <w:rStyle w:val="normaltextrun"/>
          <w:rFonts w:ascii="Calibri" w:hAnsi="Calibri" w:cs="Calibri"/>
          <w:color w:val="000000"/>
          <w:shd w:val="clear" w:color="auto" w:fill="FFFFFF"/>
        </w:rPr>
        <w:t>er</w:t>
      </w:r>
      <w:r>
        <w:rPr>
          <w:rStyle w:val="normaltextrun"/>
          <w:rFonts w:ascii="Calibri" w:hAnsi="Calibri" w:cs="Calibri"/>
          <w:color w:val="000000"/>
          <w:shd w:val="clear" w:color="auto" w:fill="FFFFFF"/>
        </w:rPr>
        <w:t xml:space="preserve"> executive function – including better ability to sustain attention and greater inhibition (Bindman, Pomerantz and </w:t>
      </w:r>
      <w:proofErr w:type="spellStart"/>
      <w:r>
        <w:rPr>
          <w:rStyle w:val="normaltextrun"/>
          <w:rFonts w:ascii="Calibri" w:hAnsi="Calibri" w:cs="Calibri"/>
          <w:color w:val="000000"/>
          <w:shd w:val="clear" w:color="auto" w:fill="FFFFFF"/>
        </w:rPr>
        <w:t>Roisman</w:t>
      </w:r>
      <w:proofErr w:type="spellEnd"/>
      <w:r>
        <w:rPr>
          <w:rStyle w:val="normaltextrun"/>
          <w:rFonts w:ascii="Calibri" w:hAnsi="Calibri" w:cs="Calibri"/>
          <w:color w:val="000000"/>
          <w:shd w:val="clear" w:color="auto" w:fill="FFFFFF"/>
        </w:rPr>
        <w:t>, 2015, cited by Ryan and Deci, 2017). The involvement of parents in a child’s life, including their education, along with autonomy support, has been found to improve children’s motivation and performance in education and heighten their sense of autonomy and competence (</w:t>
      </w:r>
      <w:proofErr w:type="spellStart"/>
      <w:r>
        <w:rPr>
          <w:rStyle w:val="normaltextrun"/>
          <w:rFonts w:ascii="Calibri" w:hAnsi="Calibri" w:cs="Calibri"/>
          <w:color w:val="000000"/>
          <w:shd w:val="clear" w:color="auto" w:fill="FFFFFF"/>
        </w:rPr>
        <w:t>Grolnick</w:t>
      </w:r>
      <w:proofErr w:type="spellEnd"/>
      <w:r>
        <w:rPr>
          <w:rStyle w:val="normaltextrun"/>
          <w:rFonts w:ascii="Calibri" w:hAnsi="Calibri" w:cs="Calibri"/>
          <w:color w:val="000000"/>
          <w:shd w:val="clear" w:color="auto" w:fill="FFFFFF"/>
        </w:rPr>
        <w:t xml:space="preserve">, Ryan and Deci, 1991, cited by Ryan and Deci, 2017). Autonomy support is highlighted here however, as studies have shown that caregivers who are controlling rather than supportive of autonomy can impede a child’s intrinsic motivation to learn and explore (Bernier, </w:t>
      </w:r>
      <w:proofErr w:type="gramStart"/>
      <w:r>
        <w:rPr>
          <w:rStyle w:val="normaltextrun"/>
          <w:rFonts w:ascii="Calibri" w:hAnsi="Calibri" w:cs="Calibri"/>
          <w:color w:val="000000"/>
          <w:shd w:val="clear" w:color="auto" w:fill="FFFFFF"/>
        </w:rPr>
        <w:t>Carlson</w:t>
      </w:r>
      <w:proofErr w:type="gramEnd"/>
      <w:r>
        <w:rPr>
          <w:rStyle w:val="normaltextrun"/>
          <w:rFonts w:ascii="Calibri" w:hAnsi="Calibri" w:cs="Calibri"/>
          <w:color w:val="000000"/>
          <w:shd w:val="clear" w:color="auto" w:fill="FFFFFF"/>
        </w:rPr>
        <w:t xml:space="preserve"> and Whipper, 2010; </w:t>
      </w:r>
      <w:proofErr w:type="spellStart"/>
      <w:r>
        <w:rPr>
          <w:rStyle w:val="normaltextrun"/>
          <w:rFonts w:ascii="Calibri" w:hAnsi="Calibri" w:cs="Calibri"/>
          <w:color w:val="000000"/>
          <w:shd w:val="clear" w:color="auto" w:fill="FFFFFF"/>
        </w:rPr>
        <w:t>Grolnick</w:t>
      </w:r>
      <w:proofErr w:type="spellEnd"/>
      <w:r>
        <w:rPr>
          <w:rStyle w:val="normaltextrun"/>
          <w:rFonts w:ascii="Calibri" w:hAnsi="Calibri" w:cs="Calibri"/>
          <w:color w:val="000000"/>
          <w:shd w:val="clear" w:color="auto" w:fill="FFFFFF"/>
        </w:rPr>
        <w:t xml:space="preserve">, </w:t>
      </w:r>
      <w:proofErr w:type="spellStart"/>
      <w:r>
        <w:rPr>
          <w:rStyle w:val="normaltextrun"/>
          <w:rFonts w:ascii="Calibri" w:hAnsi="Calibri" w:cs="Calibri"/>
          <w:color w:val="000000"/>
          <w:shd w:val="clear" w:color="auto" w:fill="FFFFFF"/>
        </w:rPr>
        <w:t>Frodi</w:t>
      </w:r>
      <w:proofErr w:type="spellEnd"/>
      <w:r>
        <w:rPr>
          <w:rStyle w:val="normaltextrun"/>
          <w:rFonts w:ascii="Calibri" w:hAnsi="Calibri" w:cs="Calibri"/>
          <w:color w:val="000000"/>
          <w:shd w:val="clear" w:color="auto" w:fill="FFFFFF"/>
        </w:rPr>
        <w:t xml:space="preserve"> and Bridges, 1984, cited by Ryan and Deci, 2017). These studies highlight the importance of interacting with parents and encouraging them to get involved with the school and their child’s learning, and links it with how a more supportive classroom environment can be formed.</w:t>
      </w:r>
      <w:r>
        <w:rPr>
          <w:rStyle w:val="eop"/>
          <w:rFonts w:ascii="Calibri" w:hAnsi="Calibri" w:cs="Calibri"/>
          <w:color w:val="000000"/>
          <w:shd w:val="clear" w:color="auto" w:fill="FFFFFF"/>
        </w:rPr>
        <w:t> </w:t>
      </w:r>
    </w:p>
    <w:p w14:paraId="1719B452" w14:textId="008F2FC0" w:rsidR="007403AD" w:rsidRPr="007403AD" w:rsidRDefault="007403AD" w:rsidP="00CC5969">
      <w:pPr>
        <w:rPr>
          <w:rStyle w:val="normaltextrun"/>
          <w:rFonts w:ascii="Calibri" w:hAnsi="Calibri" w:cs="Calibri"/>
          <w:color w:val="000000"/>
          <w:shd w:val="clear" w:color="auto" w:fill="FFFFFF"/>
        </w:rPr>
      </w:pPr>
      <w:r>
        <w:rPr>
          <w:rStyle w:val="eop"/>
          <w:rFonts w:ascii="Calibri" w:hAnsi="Calibri" w:cs="Calibri"/>
          <w:color w:val="000000"/>
          <w:shd w:val="clear" w:color="auto" w:fill="FFFFFF"/>
        </w:rPr>
        <w:t xml:space="preserve">  </w:t>
      </w:r>
      <w:r>
        <w:rPr>
          <w:rStyle w:val="normaltextrun"/>
          <w:rFonts w:ascii="Calibri" w:hAnsi="Calibri" w:cs="Calibri"/>
          <w:color w:val="000000"/>
          <w:shd w:val="clear" w:color="auto" w:fill="FFFFFF"/>
        </w:rPr>
        <w:t>To provide autonomy support, it is recommended that teachers should provide learners with opportunities to take initiative and seek out information relevant to their interests. Learners should be given choices and options wherever possible and should be encouraged to take responsibility for directing their learning (Ryan and Deci, 2017). EPIC (Everyone Planning in Class) planning provides learners with a great opportunity to lead and take responsibility for their learning and is good for teachers to be aware of to provide autonomy support. EPIC planning sessions allow learners to figure out what they collectively know and what they want to know about a new topic that they have decided on (</w:t>
      </w:r>
      <w:proofErr w:type="spellStart"/>
      <w:r>
        <w:rPr>
          <w:rStyle w:val="normaltextrun"/>
          <w:rFonts w:ascii="Calibri" w:hAnsi="Calibri" w:cs="Calibri"/>
          <w:color w:val="000000"/>
          <w:shd w:val="clear" w:color="auto" w:fill="FFFFFF"/>
        </w:rPr>
        <w:t>Estyn</w:t>
      </w:r>
      <w:proofErr w:type="spellEnd"/>
      <w:r>
        <w:rPr>
          <w:rStyle w:val="normaltextrun"/>
          <w:rFonts w:ascii="Calibri" w:hAnsi="Calibri" w:cs="Calibri"/>
          <w:color w:val="000000"/>
          <w:shd w:val="clear" w:color="auto" w:fill="FFFFFF"/>
        </w:rPr>
        <w:t xml:space="preserve">, 2018). Other aspects of autonomy support involve considering the needs and interests of the class when planning lessons, which can spark their intrinsic motivation, acknowledging the views and feelings present in class when decision-making, and to avoid using control-styled language (Jang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2010).</w:t>
      </w:r>
    </w:p>
    <w:p w14:paraId="1B4BD121" w14:textId="10278DF4" w:rsidR="007403AD" w:rsidRDefault="007403AD" w:rsidP="00CC5969">
      <w:pPr>
        <w:rPr>
          <w:rStyle w:val="normaltextrun"/>
          <w:rFonts w:ascii="Calibri" w:hAnsi="Calibri" w:cs="Calibri"/>
          <w:color w:val="000000"/>
          <w:shd w:val="clear" w:color="auto" w:fill="FFFFFF"/>
        </w:rPr>
      </w:pPr>
    </w:p>
    <w:p w14:paraId="55AEEB44" w14:textId="77777777" w:rsidR="00EE6244" w:rsidRDefault="00EE6244" w:rsidP="00CC5969">
      <w:pPr>
        <w:rPr>
          <w:rStyle w:val="normaltextrun"/>
          <w:rFonts w:ascii="Calibri" w:hAnsi="Calibri" w:cs="Calibri"/>
          <w:color w:val="000000"/>
          <w:u w:val="single"/>
          <w:shd w:val="clear" w:color="auto" w:fill="FFFFFF"/>
        </w:rPr>
      </w:pPr>
    </w:p>
    <w:p w14:paraId="1C0E53F7" w14:textId="77777777" w:rsidR="00EE6244" w:rsidRDefault="00EE6244" w:rsidP="00CC5969">
      <w:pPr>
        <w:rPr>
          <w:rStyle w:val="normaltextrun"/>
          <w:rFonts w:ascii="Calibri" w:hAnsi="Calibri" w:cs="Calibri"/>
          <w:color w:val="000000"/>
          <w:u w:val="single"/>
          <w:shd w:val="clear" w:color="auto" w:fill="FFFFFF"/>
        </w:rPr>
      </w:pPr>
    </w:p>
    <w:p w14:paraId="587D7BC5" w14:textId="6CB7E971" w:rsidR="007403AD" w:rsidRDefault="007403AD" w:rsidP="00CC5969">
      <w:pPr>
        <w:rPr>
          <w:rStyle w:val="normaltextrun"/>
          <w:rFonts w:ascii="Calibri" w:hAnsi="Calibri" w:cs="Calibri"/>
          <w:color w:val="000000"/>
          <w:u w:val="single"/>
          <w:shd w:val="clear" w:color="auto" w:fill="FFFFFF"/>
        </w:rPr>
      </w:pPr>
      <w:r>
        <w:rPr>
          <w:rStyle w:val="normaltextrun"/>
          <w:rFonts w:ascii="Calibri" w:hAnsi="Calibri" w:cs="Calibri"/>
          <w:color w:val="000000"/>
          <w:u w:val="single"/>
          <w:shd w:val="clear" w:color="auto" w:fill="FFFFFF"/>
        </w:rPr>
        <w:t>Creating a Climate of High Expectations</w:t>
      </w:r>
    </w:p>
    <w:p w14:paraId="66839586" w14:textId="77777777" w:rsidR="00EE6244" w:rsidRDefault="00EE6244" w:rsidP="00CC5969">
      <w:pPr>
        <w:rPr>
          <w:rStyle w:val="normaltextrun"/>
          <w:rFonts w:ascii="Calibri" w:hAnsi="Calibri" w:cs="Calibri"/>
          <w:color w:val="000000"/>
          <w:shd w:val="clear" w:color="auto" w:fill="FFFFFF"/>
        </w:rPr>
      </w:pPr>
    </w:p>
    <w:p w14:paraId="02200038" w14:textId="610C3116" w:rsidR="007403AD" w:rsidRDefault="00EE6244" w:rsidP="00CC5969">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The final aspect of creating a supporting learning environment, which links directly with the PLP standard that inspired the research of this assignment, is about teacher expectations. It is important for teachers to set high expectations for every learner, without undermining the learning or confidence of any lower ability learners. When expectations are set high, it is important that learners feel comfortable to have a go and take risks, which requires an environment of trust and a teaching style where a lot is asked for, but it is okay if the learner only produces part of it (Coe </w:t>
      </w:r>
      <w:r>
        <w:rPr>
          <w:rStyle w:val="normaltextrun"/>
          <w:rFonts w:ascii="Calibri" w:hAnsi="Calibri" w:cs="Calibri"/>
          <w:i/>
          <w:iCs/>
          <w:color w:val="000000"/>
          <w:shd w:val="clear" w:color="auto" w:fill="FFFFFF"/>
        </w:rPr>
        <w:t>et al</w:t>
      </w:r>
      <w:r>
        <w:rPr>
          <w:rStyle w:val="normaltextrun"/>
          <w:rFonts w:ascii="Calibri" w:hAnsi="Calibri" w:cs="Calibri"/>
          <w:color w:val="000000"/>
          <w:shd w:val="clear" w:color="auto" w:fill="FFFFFF"/>
        </w:rPr>
        <w:t>, 2020). A safe learning environment welcomes error, which is important because people learn from their errors and the feedback they receive. Exposure to errors in a safe environment can result in higher performance (Hattie, 2012). It is also important that the learners’ success or failure is attributed to things that they can change, and not a set factor such as their personal ability, luck or not having been taught it (Coe </w:t>
      </w:r>
      <w:r>
        <w:rPr>
          <w:rStyle w:val="normaltextrun"/>
          <w:rFonts w:ascii="Calibri" w:hAnsi="Calibri" w:cs="Calibri"/>
          <w:i/>
          <w:iCs/>
          <w:color w:val="000000"/>
          <w:shd w:val="clear" w:color="auto" w:fill="FFFFFF"/>
        </w:rPr>
        <w:t>et al, </w:t>
      </w:r>
      <w:r>
        <w:rPr>
          <w:rStyle w:val="normaltextrun"/>
          <w:rFonts w:ascii="Calibri" w:hAnsi="Calibri" w:cs="Calibri"/>
          <w:color w:val="000000"/>
          <w:shd w:val="clear" w:color="auto" w:fill="FFFFFF"/>
        </w:rPr>
        <w:t>2020).</w:t>
      </w:r>
    </w:p>
    <w:p w14:paraId="272A0E62" w14:textId="62ED81C2" w:rsidR="00EE6244" w:rsidRDefault="00EE6244" w:rsidP="00CC5969">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  It is important for teachers to be self-aware of the expectations they have for individual learners. A study found that teachers were more likely to praise correct answers from high-expectation learners than low-expectation learners, even though the latter happened less often. Furthermore, teachers were found to criticize low-expectation learners more often, and would accept poor performance from them, whereas they would provide more effective support to high-expectation learners when they were struggling (Brophy and Good, 1970, cited by Ruby-Davies, 2007). To set high expectations, a teacher must believe that intelligence is changeable, not fixed, and teachers should have faith in their pupil’s ability, even when they are struggling. Expectations set should be challenging, appropriate and checkable to ensure that all learners are achieving valuable outcomes (Hattie, 2012). The value of setting high expectations is apparent in research, which has found that encouraging learners to simply do their best does not improve their learning, whereas setting harder</w:t>
      </w:r>
      <w:r w:rsidR="00F9068C">
        <w:rPr>
          <w:rStyle w:val="normaltextrun"/>
          <w:rFonts w:ascii="Calibri" w:hAnsi="Calibri" w:cs="Calibri"/>
          <w:color w:val="000000"/>
          <w:shd w:val="clear" w:color="auto" w:fill="FFFFFF"/>
        </w:rPr>
        <w:t xml:space="preserve">, challenging goals is </w:t>
      </w:r>
      <w:r>
        <w:rPr>
          <w:rStyle w:val="normaltextrun"/>
          <w:rFonts w:ascii="Calibri" w:hAnsi="Calibri" w:cs="Calibri"/>
          <w:color w:val="000000"/>
          <w:shd w:val="clear" w:color="auto" w:fill="FFFFFF"/>
        </w:rPr>
        <w:t>more effective. (Welsh Government, 2010).</w:t>
      </w:r>
      <w:r>
        <w:rPr>
          <w:rStyle w:val="eop"/>
          <w:rFonts w:ascii="Calibri" w:hAnsi="Calibri" w:cs="Calibri"/>
          <w:color w:val="000000"/>
          <w:shd w:val="clear" w:color="auto" w:fill="FFFFFF"/>
        </w:rPr>
        <w:t> </w:t>
      </w:r>
    </w:p>
    <w:p w14:paraId="2BC3F90D" w14:textId="78B97E86" w:rsidR="00EE6244" w:rsidRDefault="00EE6244" w:rsidP="00CC5969">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r>
        <w:rPr>
          <w:rStyle w:val="normaltextrun"/>
          <w:rFonts w:ascii="Calibri" w:hAnsi="Calibri" w:cs="Calibri"/>
          <w:color w:val="000000"/>
          <w:shd w:val="clear" w:color="auto" w:fill="FFFFFF"/>
        </w:rPr>
        <w:t xml:space="preserve"> The key to finding a suitable challenge is to recognise the appropriate next steps in a child’s learning, to ‘stretch’ them. (Welsh Government, 2010).</w:t>
      </w:r>
      <w:r>
        <w:rPr>
          <w:rStyle w:val="eop"/>
          <w:rFonts w:ascii="Calibri" w:hAnsi="Calibri" w:cs="Calibri"/>
          <w:color w:val="000000"/>
          <w:shd w:val="clear" w:color="auto" w:fill="FFFFFF"/>
        </w:rPr>
        <w:t> </w:t>
      </w:r>
      <w:r>
        <w:rPr>
          <w:rStyle w:val="normaltextrun"/>
          <w:rFonts w:ascii="Calibri" w:hAnsi="Calibri" w:cs="Calibri"/>
          <w:color w:val="000000"/>
          <w:shd w:val="clear" w:color="auto" w:fill="FFFFFF"/>
        </w:rPr>
        <w:t xml:space="preserve">To develop thinking in class, a rich, </w:t>
      </w:r>
      <w:r>
        <w:rPr>
          <w:rStyle w:val="normaltextrun"/>
          <w:rFonts w:ascii="Calibri" w:hAnsi="Calibri" w:cs="Calibri"/>
          <w:color w:val="000000"/>
          <w:shd w:val="clear" w:color="auto" w:fill="FFFFFF"/>
        </w:rPr>
        <w:lastRenderedPageBreak/>
        <w:t>challenging task is required, sometimes causing what is referred to as ‘cognitive conflict’ as it disturbs the learners’ existing understanding, forcing the learner to change the way they think to address the problem, </w:t>
      </w:r>
      <w:proofErr w:type="gramStart"/>
      <w:r>
        <w:rPr>
          <w:rStyle w:val="normaltextrun"/>
          <w:rFonts w:ascii="Calibri" w:hAnsi="Calibri" w:cs="Calibri"/>
          <w:color w:val="000000"/>
          <w:shd w:val="clear" w:color="auto" w:fill="FFFFFF"/>
        </w:rPr>
        <w:t>opening up</w:t>
      </w:r>
      <w:proofErr w:type="gramEnd"/>
      <w:r>
        <w:rPr>
          <w:rStyle w:val="normaltextrun"/>
          <w:rFonts w:ascii="Calibri" w:hAnsi="Calibri" w:cs="Calibri"/>
          <w:color w:val="000000"/>
          <w:shd w:val="clear" w:color="auto" w:fill="FFFFFF"/>
        </w:rPr>
        <w:t> and developing different ways of problem solving (Welsh Government, 2010).</w:t>
      </w:r>
      <w:r>
        <w:rPr>
          <w:rStyle w:val="eop"/>
          <w:rFonts w:ascii="Calibri" w:hAnsi="Calibri" w:cs="Calibri"/>
          <w:color w:val="000000"/>
          <w:shd w:val="clear" w:color="auto" w:fill="FFFFFF"/>
        </w:rPr>
        <w:t> Different methods teachers can develop to promote challenges include using rich tasks, exploring wrong answers, encouraging debates in the class, and asking ‘devil’s advocate’ questions (Welsh Government, 2010). Linking future lessons to previous lessons and the learner’s existing knowledge is also good practice amongst high-expectation teachers and important to consider when looking to set high expectations (Ruby-Davies, 2007).</w:t>
      </w:r>
    </w:p>
    <w:p w14:paraId="6E5EE582" w14:textId="4997A4A3" w:rsidR="00EE6244" w:rsidRDefault="00EE6244" w:rsidP="00CC5969">
      <w:pPr>
        <w:rPr>
          <w:rStyle w:val="normaltextrun"/>
          <w:rFonts w:ascii="Calibri" w:hAnsi="Calibri" w:cs="Calibri"/>
          <w:color w:val="000000"/>
          <w:shd w:val="clear" w:color="auto" w:fill="FFFFFF"/>
        </w:rPr>
      </w:pPr>
    </w:p>
    <w:p w14:paraId="6AF2B289" w14:textId="373C9991" w:rsidR="00811007" w:rsidRDefault="00811007" w:rsidP="00811007">
      <w:pPr>
        <w:pStyle w:val="Heading2"/>
      </w:pPr>
      <w:r>
        <w:t>Conclusion</w:t>
      </w:r>
    </w:p>
    <w:p w14:paraId="72FAA5E9" w14:textId="06C18C5B" w:rsidR="00811007" w:rsidRDefault="00147A85" w:rsidP="00FB2270">
      <w:pPr>
        <w:rPr>
          <w:rStyle w:val="normaltextrun"/>
          <w:rFonts w:cstheme="minorHAnsi"/>
          <w:color w:val="000000"/>
          <w:shd w:val="clear" w:color="auto" w:fill="FFFFFF"/>
        </w:rPr>
      </w:pPr>
      <w:r>
        <w:t>To</w:t>
      </w:r>
      <w:r w:rsidR="00EE6244">
        <w:t xml:space="preserve"> develop my ability to promote a supportive learning environment, there are several aspects I will look to develop in my practice. To develop student-teacher relationships more effectively, I can use reflection to develop my self-awareness and SEC (</w:t>
      </w:r>
      <w:proofErr w:type="spellStart"/>
      <w:r w:rsidR="00EE6244">
        <w:t>Cherniss</w:t>
      </w:r>
      <w:proofErr w:type="spellEnd"/>
      <w:r w:rsidR="00EE6244">
        <w:t xml:space="preserve"> and Goleman, 2001; Katznelson, 2014, cited by </w:t>
      </w:r>
      <w:proofErr w:type="spellStart"/>
      <w:r w:rsidR="00EE6244">
        <w:t>Dishon</w:t>
      </w:r>
      <w:proofErr w:type="spellEnd"/>
      <w:r w:rsidR="00EE6244">
        <w:t xml:space="preserve"> </w:t>
      </w:r>
      <w:r w:rsidR="00EE6244">
        <w:rPr>
          <w:i/>
          <w:iCs/>
        </w:rPr>
        <w:t>et al</w:t>
      </w:r>
      <w:r w:rsidR="00EE6244">
        <w:t xml:space="preserve">, 2017). </w:t>
      </w:r>
      <w:r>
        <w:t>I shall also look for more opportunities in the classroom to use praise (</w:t>
      </w:r>
      <w:proofErr w:type="spellStart"/>
      <w:r>
        <w:t>Ingemarson</w:t>
      </w:r>
      <w:proofErr w:type="spellEnd"/>
      <w:r>
        <w:t xml:space="preserve"> </w:t>
      </w:r>
      <w:r>
        <w:rPr>
          <w:i/>
          <w:iCs/>
        </w:rPr>
        <w:t>et al</w:t>
      </w:r>
      <w:r>
        <w:t xml:space="preserve">, 2019; </w:t>
      </w:r>
      <w:r w:rsidRPr="00147A85">
        <w:rPr>
          <w:rStyle w:val="normaltextrun"/>
          <w:rFonts w:cstheme="minorHAnsi"/>
          <w:color w:val="000000"/>
          <w:shd w:val="clear" w:color="auto" w:fill="FFFFFF"/>
        </w:rPr>
        <w:t>Gable </w:t>
      </w:r>
      <w:r w:rsidRPr="00147A85">
        <w:rPr>
          <w:rStyle w:val="normaltextrun"/>
          <w:rFonts w:cstheme="minorHAnsi"/>
          <w:i/>
          <w:iCs/>
          <w:color w:val="000000"/>
          <w:shd w:val="clear" w:color="auto" w:fill="FFFFFF"/>
        </w:rPr>
        <w:t>et al</w:t>
      </w:r>
      <w:r w:rsidRPr="00147A85">
        <w:rPr>
          <w:rStyle w:val="normaltextrun"/>
          <w:rFonts w:cstheme="minorHAnsi"/>
          <w:color w:val="000000"/>
          <w:shd w:val="clear" w:color="auto" w:fill="FFFFFF"/>
        </w:rPr>
        <w:t>, 2009; Marchant and Anderson, 2012; Bear </w:t>
      </w:r>
      <w:r w:rsidRPr="00147A85">
        <w:rPr>
          <w:rStyle w:val="normaltextrun"/>
          <w:rFonts w:cstheme="minorHAnsi"/>
          <w:i/>
          <w:iCs/>
          <w:color w:val="000000"/>
          <w:shd w:val="clear" w:color="auto" w:fill="FFFFFF"/>
        </w:rPr>
        <w:t>et al</w:t>
      </w:r>
      <w:r w:rsidRPr="00147A85">
        <w:rPr>
          <w:rStyle w:val="normaltextrun"/>
          <w:rFonts w:cstheme="minorHAnsi"/>
          <w:color w:val="000000"/>
          <w:shd w:val="clear" w:color="auto" w:fill="FFFFFF"/>
        </w:rPr>
        <w:t>, 2016; Ibrahim, 2016</w:t>
      </w:r>
      <w:r>
        <w:rPr>
          <w:rStyle w:val="normaltextrun"/>
          <w:rFonts w:cstheme="minorHAnsi"/>
          <w:color w:val="000000"/>
          <w:shd w:val="clear" w:color="auto" w:fill="FFFFFF"/>
        </w:rPr>
        <w:t>) whilst being conscious that I am not being personally critical of learners when providing negative feedback (Skipper and Douglas, 2015).</w:t>
      </w:r>
    </w:p>
    <w:p w14:paraId="5BB3093D" w14:textId="4C97D335" w:rsidR="00147A85" w:rsidRDefault="006B4524" w:rsidP="00FB2270">
      <w:pPr>
        <w:rPr>
          <w:rStyle w:val="normaltextrun"/>
          <w:rFonts w:cstheme="minorHAnsi"/>
          <w:color w:val="000000"/>
          <w:shd w:val="clear" w:color="auto" w:fill="FFFFFF"/>
        </w:rPr>
      </w:pPr>
      <w:r>
        <w:rPr>
          <w:rStyle w:val="normaltextrun"/>
          <w:rFonts w:cstheme="minorHAnsi"/>
          <w:color w:val="000000"/>
          <w:shd w:val="clear" w:color="auto" w:fill="FFFFFF"/>
        </w:rPr>
        <w:t xml:space="preserve">  Using praise appropriately to recognise prosocial behaviours can also promote more positive student-student relationships (Ellis and Tod, 2015</w:t>
      </w:r>
      <w:r w:rsidR="00F9068C">
        <w:rPr>
          <w:rStyle w:val="normaltextrun"/>
          <w:rFonts w:cstheme="minorHAnsi"/>
          <w:color w:val="000000"/>
          <w:shd w:val="clear" w:color="auto" w:fill="FFFFFF"/>
        </w:rPr>
        <w:t>)</w:t>
      </w:r>
      <w:r>
        <w:rPr>
          <w:rStyle w:val="normaltextrun"/>
          <w:rFonts w:cstheme="minorHAnsi"/>
          <w:color w:val="000000"/>
          <w:shd w:val="clear" w:color="auto" w:fill="FFFFFF"/>
        </w:rPr>
        <w:t>.</w:t>
      </w:r>
      <w:r w:rsidR="00147A85">
        <w:rPr>
          <w:rStyle w:val="normaltextrun"/>
          <w:rFonts w:cstheme="minorHAnsi"/>
          <w:color w:val="000000"/>
          <w:shd w:val="clear" w:color="auto" w:fill="FFFFFF"/>
        </w:rPr>
        <w:t xml:space="preserve"> </w:t>
      </w:r>
      <w:r>
        <w:rPr>
          <w:rStyle w:val="normaltextrun"/>
          <w:rFonts w:cstheme="minorHAnsi"/>
          <w:color w:val="000000"/>
          <w:shd w:val="clear" w:color="auto" w:fill="FFFFFF"/>
        </w:rPr>
        <w:t>To develop this aspect further</w:t>
      </w:r>
      <w:r w:rsidR="00147A85">
        <w:rPr>
          <w:rStyle w:val="normaltextrun"/>
          <w:rFonts w:cstheme="minorHAnsi"/>
          <w:color w:val="000000"/>
          <w:shd w:val="clear" w:color="auto" w:fill="FFFFFF"/>
        </w:rPr>
        <w:t xml:space="preserve"> I can </w:t>
      </w:r>
      <w:r>
        <w:rPr>
          <w:rStyle w:val="normaltextrun"/>
          <w:rFonts w:cstheme="minorHAnsi"/>
          <w:color w:val="000000"/>
          <w:shd w:val="clear" w:color="auto" w:fill="FFFFFF"/>
        </w:rPr>
        <w:t xml:space="preserve">also </w:t>
      </w:r>
      <w:r w:rsidR="00147A85">
        <w:rPr>
          <w:rStyle w:val="normaltextrun"/>
          <w:rFonts w:cstheme="minorHAnsi"/>
          <w:color w:val="000000"/>
          <w:shd w:val="clear" w:color="auto" w:fill="FFFFFF"/>
        </w:rPr>
        <w:t xml:space="preserve">use lessons that require learners to think about what makes people like each other and what does not (Rae and </w:t>
      </w:r>
      <w:proofErr w:type="spellStart"/>
      <w:r w:rsidR="00147A85">
        <w:rPr>
          <w:rStyle w:val="normaltextrun"/>
          <w:rFonts w:cstheme="minorHAnsi"/>
          <w:color w:val="000000"/>
          <w:shd w:val="clear" w:color="auto" w:fill="FFFFFF"/>
        </w:rPr>
        <w:t>MacConville</w:t>
      </w:r>
      <w:proofErr w:type="spellEnd"/>
      <w:r w:rsidR="00147A85">
        <w:rPr>
          <w:rStyle w:val="normaltextrun"/>
          <w:rFonts w:cstheme="minorHAnsi"/>
          <w:color w:val="000000"/>
          <w:shd w:val="clear" w:color="auto" w:fill="FFFFFF"/>
        </w:rPr>
        <w:t xml:space="preserve">, 2006) and provide plenty of opportunities for group work (Ellis and Tod, 2015). </w:t>
      </w:r>
    </w:p>
    <w:p w14:paraId="0BAB46FE" w14:textId="69979D54" w:rsidR="006B4524" w:rsidRDefault="006B4524" w:rsidP="00FB2270">
      <w:pPr>
        <w:rPr>
          <w:rStyle w:val="normaltextrun"/>
          <w:rFonts w:cstheme="minorHAnsi"/>
          <w:color w:val="000000"/>
          <w:shd w:val="clear" w:color="auto" w:fill="FFFFFF"/>
        </w:rPr>
      </w:pPr>
      <w:r>
        <w:rPr>
          <w:rStyle w:val="normaltextrun"/>
          <w:rFonts w:cstheme="minorHAnsi"/>
          <w:color w:val="000000"/>
          <w:shd w:val="clear" w:color="auto" w:fill="FFFFFF"/>
        </w:rPr>
        <w:t xml:space="preserve">  I have had experience with EPIC Planning (</w:t>
      </w:r>
      <w:proofErr w:type="spellStart"/>
      <w:r>
        <w:rPr>
          <w:rStyle w:val="normaltextrun"/>
          <w:rFonts w:cstheme="minorHAnsi"/>
          <w:color w:val="000000"/>
          <w:shd w:val="clear" w:color="auto" w:fill="FFFFFF"/>
        </w:rPr>
        <w:t>Estyn</w:t>
      </w:r>
      <w:proofErr w:type="spellEnd"/>
      <w:r>
        <w:rPr>
          <w:rStyle w:val="normaltextrun"/>
          <w:rFonts w:cstheme="minorHAnsi"/>
          <w:color w:val="000000"/>
          <w:shd w:val="clear" w:color="auto" w:fill="FFFFFF"/>
        </w:rPr>
        <w:t xml:space="preserve">, 2018) on PTE 1 and will look to incorporate it into my future practice to develop my autonomy support to promote learner autonomy and competence. This will help me to consider the interests and needs of the class, and the views and feelings present, which having an awareness of and acting in accordance with are important aspects of providing autonomy support (Jang </w:t>
      </w:r>
      <w:r>
        <w:rPr>
          <w:rStyle w:val="normaltextrun"/>
          <w:rFonts w:cstheme="minorHAnsi"/>
          <w:i/>
          <w:iCs/>
          <w:color w:val="000000"/>
          <w:shd w:val="clear" w:color="auto" w:fill="FFFFFF"/>
        </w:rPr>
        <w:t>et al</w:t>
      </w:r>
      <w:r>
        <w:rPr>
          <w:rStyle w:val="normaltextrun"/>
          <w:rFonts w:cstheme="minorHAnsi"/>
          <w:color w:val="000000"/>
          <w:shd w:val="clear" w:color="auto" w:fill="FFFFFF"/>
        </w:rPr>
        <w:t>, 2010).</w:t>
      </w:r>
    </w:p>
    <w:p w14:paraId="787BA1E3" w14:textId="5E5DE29A" w:rsidR="006B4524" w:rsidRPr="006B4524" w:rsidRDefault="006B4524" w:rsidP="00FB2270">
      <w:pPr>
        <w:rPr>
          <w:rFonts w:cstheme="minorHAnsi"/>
          <w:color w:val="000000"/>
          <w:shd w:val="clear" w:color="auto" w:fill="FFFFFF"/>
        </w:rPr>
      </w:pPr>
      <w:r>
        <w:rPr>
          <w:rStyle w:val="normaltextrun"/>
          <w:rFonts w:cstheme="minorHAnsi"/>
          <w:color w:val="000000"/>
          <w:shd w:val="clear" w:color="auto" w:fill="FFFFFF"/>
        </w:rPr>
        <w:t xml:space="preserve">  It is important to maintain high expectations for all learners going into my future practice (Hattie, 2012; Ruby-Davies, 2007) which I will aim to do. To promote challenges in the classroom, I will experiment with different methods, including deploying rich tasks, exploring </w:t>
      </w:r>
      <w:r>
        <w:rPr>
          <w:rStyle w:val="normaltextrun"/>
          <w:rFonts w:cstheme="minorHAnsi"/>
          <w:color w:val="000000"/>
          <w:shd w:val="clear" w:color="auto" w:fill="FFFFFF"/>
        </w:rPr>
        <w:lastRenderedPageBreak/>
        <w:t>wrong answers, encouraging debates before a consensus is reached, and posing ‘devil’s advocate’ questions to the class (Welsh Government, 2010). By focusing on developing these specific aspects, I will be able to promote a learning supportive environment where learners can thrive and enjoy seeking challenges.</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lastRenderedPageBreak/>
        <w:t>Reference List</w:t>
      </w:r>
    </w:p>
    <w:p w14:paraId="49740760"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 xml:space="preserve">Bear, G., Chen, D., </w:t>
      </w:r>
      <w:proofErr w:type="spellStart"/>
      <w:r>
        <w:rPr>
          <w:rStyle w:val="normaltextrun"/>
          <w:rFonts w:ascii="Calibri" w:eastAsiaTheme="majorEastAsia" w:hAnsi="Calibri" w:cs="Calibri"/>
          <w:color w:val="000000"/>
        </w:rPr>
        <w:t>Mantz</w:t>
      </w:r>
      <w:proofErr w:type="spellEnd"/>
      <w:r>
        <w:rPr>
          <w:rStyle w:val="normaltextrun"/>
          <w:rFonts w:ascii="Calibri" w:eastAsiaTheme="majorEastAsia" w:hAnsi="Calibri" w:cs="Calibri"/>
          <w:color w:val="000000"/>
        </w:rPr>
        <w:t xml:space="preserve">, L., Yang, C., Huang, X. and </w:t>
      </w:r>
      <w:proofErr w:type="spellStart"/>
      <w:r>
        <w:rPr>
          <w:rStyle w:val="normaltextrun"/>
          <w:rFonts w:ascii="Calibri" w:eastAsiaTheme="majorEastAsia" w:hAnsi="Calibri" w:cs="Calibri"/>
          <w:color w:val="000000"/>
        </w:rPr>
        <w:t>Shiomi</w:t>
      </w:r>
      <w:proofErr w:type="spellEnd"/>
      <w:r>
        <w:rPr>
          <w:rStyle w:val="normaltextrun"/>
          <w:rFonts w:ascii="Calibri" w:eastAsiaTheme="majorEastAsia" w:hAnsi="Calibri" w:cs="Calibri"/>
          <w:color w:val="000000"/>
        </w:rPr>
        <w:t>, K. (2016) ‘Differences in classroom removals and use of praise and rewards in American, Chinese, and Japanese </w:t>
      </w:r>
      <w:proofErr w:type="gramStart"/>
      <w:r>
        <w:rPr>
          <w:rStyle w:val="normaltextrun"/>
          <w:rFonts w:ascii="Calibri" w:eastAsiaTheme="majorEastAsia" w:hAnsi="Calibri" w:cs="Calibri"/>
          <w:color w:val="000000"/>
        </w:rPr>
        <w:t>schools’</w:t>
      </w:r>
      <w:proofErr w:type="gramEnd"/>
      <w:r>
        <w:rPr>
          <w:rStyle w:val="normaltextrun"/>
          <w:rFonts w:ascii="Calibri" w:eastAsiaTheme="majorEastAsia" w:hAnsi="Calibri" w:cs="Calibri"/>
          <w:color w:val="000000"/>
        </w:rPr>
        <w:t>. </w:t>
      </w:r>
      <w:r>
        <w:rPr>
          <w:rStyle w:val="normaltextrun"/>
          <w:rFonts w:ascii="Calibri" w:eastAsiaTheme="majorEastAsia" w:hAnsi="Calibri" w:cs="Calibri"/>
          <w:i/>
          <w:iCs/>
          <w:color w:val="000000"/>
        </w:rPr>
        <w:t>Teaching and Teacher Education</w:t>
      </w:r>
      <w:r>
        <w:rPr>
          <w:rStyle w:val="normaltextrun"/>
          <w:rFonts w:ascii="Calibri" w:eastAsiaTheme="majorEastAsia" w:hAnsi="Calibri" w:cs="Calibri"/>
          <w:color w:val="000000"/>
        </w:rPr>
        <w:t>. Vol. 53. pp. 41-50.</w:t>
      </w:r>
      <w:r>
        <w:rPr>
          <w:rStyle w:val="eop"/>
          <w:rFonts w:ascii="Calibri" w:eastAsiaTheme="majorEastAsia" w:hAnsi="Calibri" w:cs="Calibri"/>
          <w:color w:val="000000"/>
        </w:rPr>
        <w:t> </w:t>
      </w:r>
    </w:p>
    <w:p w14:paraId="034BC7D5"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Cappella, E., Kim, H., Neal, J. and Jackson, D. (2013) ‘Classroom Peer Relationships and </w:t>
      </w:r>
      <w:proofErr w:type="spellStart"/>
      <w:r>
        <w:rPr>
          <w:rStyle w:val="normaltextrun"/>
          <w:rFonts w:ascii="Calibri" w:eastAsiaTheme="majorEastAsia" w:hAnsi="Calibri" w:cs="Calibri"/>
          <w:color w:val="000000"/>
        </w:rPr>
        <w:t>Behavioral</w:t>
      </w:r>
      <w:proofErr w:type="spellEnd"/>
      <w:r>
        <w:rPr>
          <w:rStyle w:val="normaltextrun"/>
          <w:rFonts w:ascii="Calibri" w:eastAsiaTheme="majorEastAsia" w:hAnsi="Calibri" w:cs="Calibri"/>
          <w:color w:val="000000"/>
        </w:rPr>
        <w:t> Engagement in Elementary School: The Role of Social Network Equity’ </w:t>
      </w:r>
      <w:r>
        <w:rPr>
          <w:rStyle w:val="normaltextrun"/>
          <w:rFonts w:ascii="Calibri" w:eastAsiaTheme="majorEastAsia" w:hAnsi="Calibri" w:cs="Calibri"/>
          <w:i/>
          <w:iCs/>
          <w:color w:val="000000"/>
        </w:rPr>
        <w:t>Spring US</w:t>
      </w:r>
      <w:r>
        <w:rPr>
          <w:rStyle w:val="normaltextrun"/>
          <w:rFonts w:ascii="Calibri" w:eastAsiaTheme="majorEastAsia" w:hAnsi="Calibri" w:cs="Calibri"/>
          <w:color w:val="000000"/>
        </w:rPr>
        <w:t>. Vol. 52.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3. pp. 367-379.</w:t>
      </w:r>
      <w:r>
        <w:rPr>
          <w:rStyle w:val="eop"/>
          <w:rFonts w:ascii="Calibri" w:eastAsiaTheme="majorEastAsia" w:hAnsi="Calibri" w:cs="Calibri"/>
          <w:color w:val="000000"/>
        </w:rPr>
        <w:t> </w:t>
      </w:r>
    </w:p>
    <w:p w14:paraId="0D3DD900"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Calibri" w:eastAsiaTheme="majorEastAsia" w:hAnsi="Calibri" w:cs="Calibri"/>
        </w:rPr>
        <w:t>Cherniss</w:t>
      </w:r>
      <w:proofErr w:type="spellEnd"/>
      <w:r>
        <w:rPr>
          <w:rStyle w:val="normaltextrun"/>
          <w:rFonts w:ascii="Calibri" w:eastAsiaTheme="majorEastAsia" w:hAnsi="Calibri" w:cs="Calibri"/>
        </w:rPr>
        <w:t>, C. and Goleman, D. (2001) </w:t>
      </w:r>
      <w:r>
        <w:rPr>
          <w:rStyle w:val="normaltextrun"/>
          <w:rFonts w:ascii="Calibri" w:eastAsiaTheme="majorEastAsia" w:hAnsi="Calibri" w:cs="Calibri"/>
          <w:i/>
          <w:iCs/>
        </w:rPr>
        <w:t>The Emotionally Intelligent Workplace: How to Select for, Measure, and Improve Emotional Intelligence in Individuals, Groups and Organisations</w:t>
      </w:r>
      <w:r>
        <w:rPr>
          <w:rStyle w:val="normaltextrun"/>
          <w:rFonts w:ascii="Calibri" w:eastAsiaTheme="majorEastAsia" w:hAnsi="Calibri" w:cs="Calibri"/>
        </w:rPr>
        <w:t>, San Francisco: Jossey-Bass.</w:t>
      </w:r>
      <w:r>
        <w:rPr>
          <w:rStyle w:val="eop"/>
          <w:rFonts w:ascii="Calibri" w:eastAsiaTheme="majorEastAsia" w:hAnsi="Calibri" w:cs="Calibri"/>
        </w:rPr>
        <w:t> </w:t>
      </w:r>
    </w:p>
    <w:p w14:paraId="18BA8555"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 xml:space="preserve">Coe, R., Raunch, C.J., </w:t>
      </w:r>
      <w:proofErr w:type="spellStart"/>
      <w:r>
        <w:rPr>
          <w:rStyle w:val="normaltextrun"/>
          <w:rFonts w:ascii="Calibri" w:eastAsiaTheme="majorEastAsia" w:hAnsi="Calibri" w:cs="Calibri"/>
        </w:rPr>
        <w:t>Kime</w:t>
      </w:r>
      <w:proofErr w:type="spellEnd"/>
      <w:r>
        <w:rPr>
          <w:rStyle w:val="normaltextrun"/>
          <w:rFonts w:ascii="Calibri" w:eastAsiaTheme="majorEastAsia" w:hAnsi="Calibri" w:cs="Calibri"/>
        </w:rPr>
        <w:t>, S. and Singleton, D. (2020) </w:t>
      </w:r>
      <w:r>
        <w:rPr>
          <w:rStyle w:val="normaltextrun"/>
          <w:rFonts w:ascii="Calibri" w:eastAsiaTheme="majorEastAsia" w:hAnsi="Calibri" w:cs="Calibri"/>
          <w:i/>
          <w:iCs/>
        </w:rPr>
        <w:t>Great Teaching Toolkit: Evidence Review</w:t>
      </w:r>
      <w:r>
        <w:rPr>
          <w:rStyle w:val="normaltextrun"/>
          <w:rFonts w:ascii="Calibri" w:eastAsiaTheme="majorEastAsia" w:hAnsi="Calibri" w:cs="Calibri"/>
        </w:rPr>
        <w:t>, available at </w:t>
      </w:r>
      <w:hyperlink r:id="rId10" w:tgtFrame="_blank" w:history="1">
        <w:r>
          <w:rPr>
            <w:rStyle w:val="normaltextrun"/>
            <w:rFonts w:ascii="Calibri" w:eastAsiaTheme="majorEastAsia" w:hAnsi="Calibri" w:cs="Calibri"/>
            <w:color w:val="0563C1"/>
            <w:u w:val="single"/>
          </w:rPr>
          <w:t>https://www.cambridgeinternational.org/support-and-training-for-schools/teaching-cambridge-at-your-school/great-teaching-toolkit/</w:t>
        </w:r>
      </w:hyperlink>
      <w:r>
        <w:rPr>
          <w:rStyle w:val="normaltextrun"/>
          <w:rFonts w:ascii="Calibri" w:eastAsiaTheme="majorEastAsia" w:hAnsi="Calibri" w:cs="Calibri"/>
        </w:rPr>
        <w:t>, accessed 01/03/21.</w:t>
      </w:r>
      <w:r>
        <w:rPr>
          <w:rStyle w:val="eop"/>
          <w:rFonts w:ascii="Calibri" w:eastAsiaTheme="majorEastAsia" w:hAnsi="Calibri" w:cs="Calibri"/>
        </w:rPr>
        <w:t> </w:t>
      </w:r>
    </w:p>
    <w:p w14:paraId="4699DE6B"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Calibri" w:eastAsiaTheme="majorEastAsia" w:hAnsi="Calibri" w:cs="Calibri"/>
        </w:rPr>
        <w:t>Dishon</w:t>
      </w:r>
      <w:proofErr w:type="spellEnd"/>
      <w:r>
        <w:rPr>
          <w:rStyle w:val="normaltextrun"/>
          <w:rFonts w:ascii="Calibri" w:eastAsiaTheme="majorEastAsia" w:hAnsi="Calibri" w:cs="Calibri"/>
        </w:rPr>
        <w:t>, N., </w:t>
      </w:r>
      <w:proofErr w:type="spellStart"/>
      <w:r>
        <w:rPr>
          <w:rStyle w:val="normaltextrun"/>
          <w:rFonts w:ascii="Calibri" w:eastAsiaTheme="majorEastAsia" w:hAnsi="Calibri" w:cs="Calibri"/>
        </w:rPr>
        <w:t>Oldmeadow</w:t>
      </w:r>
      <w:proofErr w:type="spellEnd"/>
      <w:r>
        <w:rPr>
          <w:rStyle w:val="normaltextrun"/>
          <w:rFonts w:ascii="Calibri" w:eastAsiaTheme="majorEastAsia" w:hAnsi="Calibri" w:cs="Calibri"/>
        </w:rPr>
        <w:t>, J., Critchley, C. and Kaufman, J. (2017) ‘The Effect of Trait Self-Awareness, Self-Reflection, and Perceptions of Choice Meaningfulness on Indicators of Social Identity within a Decision-Making Context’ [Online] </w:t>
      </w:r>
      <w:r>
        <w:rPr>
          <w:rStyle w:val="normaltextrun"/>
          <w:rFonts w:ascii="Calibri" w:eastAsiaTheme="majorEastAsia" w:hAnsi="Calibri" w:cs="Calibri"/>
          <w:i/>
          <w:iCs/>
        </w:rPr>
        <w:t>Frontiers in Psychology. </w:t>
      </w:r>
      <w:r>
        <w:rPr>
          <w:rStyle w:val="normaltextrun"/>
          <w:rFonts w:ascii="Calibri" w:eastAsiaTheme="majorEastAsia" w:hAnsi="Calibri" w:cs="Calibri"/>
        </w:rPr>
        <w:t>Available at</w:t>
      </w:r>
      <w:r>
        <w:rPr>
          <w:rStyle w:val="normaltextrun"/>
          <w:rFonts w:ascii="Calibri" w:eastAsiaTheme="majorEastAsia" w:hAnsi="Calibri" w:cs="Calibri"/>
          <w:sz w:val="28"/>
          <w:szCs w:val="28"/>
        </w:rPr>
        <w:t> </w:t>
      </w:r>
      <w:hyperlink r:id="rId11" w:tgtFrame="_blank" w:history="1">
        <w:r>
          <w:rPr>
            <w:rStyle w:val="normaltextrun"/>
            <w:rFonts w:ascii="Calibri" w:eastAsiaTheme="majorEastAsia" w:hAnsi="Calibri" w:cs="Calibri"/>
            <w:color w:val="0563C1"/>
            <w:u w:val="single"/>
          </w:rPr>
          <w:t>https://doi.org/10.3389/fpsyg.2017.02034</w:t>
        </w:r>
      </w:hyperlink>
      <w:r>
        <w:rPr>
          <w:rStyle w:val="normaltextrun"/>
          <w:rFonts w:ascii="Calibri" w:eastAsiaTheme="majorEastAsia" w:hAnsi="Calibri" w:cs="Calibri"/>
        </w:rPr>
        <w:t>. Accessed 01/03/21.</w:t>
      </w:r>
      <w:r>
        <w:rPr>
          <w:rStyle w:val="eop"/>
          <w:rFonts w:ascii="Calibri" w:eastAsiaTheme="majorEastAsia" w:hAnsi="Calibri" w:cs="Calibri"/>
        </w:rPr>
        <w:t> </w:t>
      </w:r>
    </w:p>
    <w:p w14:paraId="17F68395"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Donaldson, G. (2015) </w:t>
      </w:r>
      <w:r>
        <w:rPr>
          <w:rStyle w:val="normaltextrun"/>
          <w:rFonts w:ascii="Calibri" w:eastAsiaTheme="majorEastAsia" w:hAnsi="Calibri" w:cs="Calibri"/>
          <w:i/>
          <w:iCs/>
        </w:rPr>
        <w:t>Successful Futures: Independent Review of Curriculum and Assessment Arrangements in Wales</w:t>
      </w:r>
      <w:r>
        <w:rPr>
          <w:rStyle w:val="normaltextrun"/>
          <w:rFonts w:ascii="Calibri" w:eastAsiaTheme="majorEastAsia" w:hAnsi="Calibri" w:cs="Calibri"/>
        </w:rPr>
        <w:t>, available at </w:t>
      </w:r>
      <w:hyperlink r:id="rId12" w:tgtFrame="_blank" w:history="1">
        <w:r>
          <w:rPr>
            <w:rStyle w:val="normaltextrun"/>
            <w:rFonts w:ascii="Calibri" w:eastAsiaTheme="majorEastAsia" w:hAnsi="Calibri" w:cs="Calibri"/>
            <w:color w:val="0563C1"/>
            <w:u w:val="single"/>
          </w:rPr>
          <w:t>https://gov.wales/successful-futures-review-curriculum-and-assessment-arrangements</w:t>
        </w:r>
      </w:hyperlink>
      <w:r>
        <w:rPr>
          <w:rStyle w:val="normaltextrun"/>
          <w:rFonts w:ascii="Calibri" w:eastAsiaTheme="majorEastAsia" w:hAnsi="Calibri" w:cs="Calibri"/>
        </w:rPr>
        <w:t>, accessed 01/03/21.</w:t>
      </w:r>
      <w:r>
        <w:rPr>
          <w:rStyle w:val="eop"/>
          <w:rFonts w:ascii="Calibri" w:eastAsiaTheme="majorEastAsia" w:hAnsi="Calibri" w:cs="Calibri"/>
        </w:rPr>
        <w:t> </w:t>
      </w:r>
    </w:p>
    <w:p w14:paraId="672298AF"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Ellis, S. and Tod, J. (2015) </w:t>
      </w:r>
      <w:r>
        <w:rPr>
          <w:rStyle w:val="normaltextrun"/>
          <w:rFonts w:ascii="Calibri" w:eastAsiaTheme="majorEastAsia" w:hAnsi="Calibri" w:cs="Calibri"/>
          <w:i/>
          <w:iCs/>
        </w:rPr>
        <w:t xml:space="preserve">Promoting Behaviour for Learning in the Classroom: Effective Strategies, Personal </w:t>
      </w:r>
      <w:proofErr w:type="gramStart"/>
      <w:r>
        <w:rPr>
          <w:rStyle w:val="normaltextrun"/>
          <w:rFonts w:ascii="Calibri" w:eastAsiaTheme="majorEastAsia" w:hAnsi="Calibri" w:cs="Calibri"/>
          <w:i/>
          <w:iCs/>
        </w:rPr>
        <w:t>Style</w:t>
      </w:r>
      <w:proofErr w:type="gramEnd"/>
      <w:r>
        <w:rPr>
          <w:rStyle w:val="normaltextrun"/>
          <w:rFonts w:ascii="Calibri" w:eastAsiaTheme="majorEastAsia" w:hAnsi="Calibri" w:cs="Calibri"/>
          <w:i/>
          <w:iCs/>
        </w:rPr>
        <w:t xml:space="preserve"> and Professionalism</w:t>
      </w:r>
      <w:r>
        <w:rPr>
          <w:rStyle w:val="normaltextrun"/>
          <w:rFonts w:ascii="Calibri" w:eastAsiaTheme="majorEastAsia" w:hAnsi="Calibri" w:cs="Calibri"/>
        </w:rPr>
        <w:t>. Oxfordshire: Routledge.</w:t>
      </w:r>
      <w:r>
        <w:rPr>
          <w:rStyle w:val="eop"/>
          <w:rFonts w:ascii="Calibri" w:eastAsiaTheme="majorEastAsia" w:hAnsi="Calibri" w:cs="Calibri"/>
        </w:rPr>
        <w:t> </w:t>
      </w:r>
    </w:p>
    <w:p w14:paraId="35485C33"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rPr>
        <w:t>Estyn, (2018) </w:t>
      </w:r>
      <w:r>
        <w:rPr>
          <w:rStyle w:val="normaltextrun"/>
          <w:rFonts w:ascii="Calibri" w:eastAsiaTheme="majorEastAsia" w:hAnsi="Calibri" w:cs="Calibri"/>
          <w:i/>
          <w:iCs/>
        </w:rPr>
        <w:t>Planning a more flexible and adaptable creative curriculum to engage pupils’ interest</w:t>
      </w:r>
      <w:r>
        <w:rPr>
          <w:rStyle w:val="normaltextrun"/>
          <w:rFonts w:ascii="Calibri" w:eastAsiaTheme="majorEastAsia" w:hAnsi="Calibri" w:cs="Calibri"/>
        </w:rPr>
        <w:t> [Online]. Available at </w:t>
      </w:r>
      <w:hyperlink r:id="rId13" w:tgtFrame="_blank" w:history="1">
        <w:r>
          <w:rPr>
            <w:rStyle w:val="normaltextrun"/>
            <w:rFonts w:ascii="Calibri" w:eastAsiaTheme="majorEastAsia" w:hAnsi="Calibri" w:cs="Calibri"/>
            <w:color w:val="0563C1"/>
            <w:u w:val="single"/>
          </w:rPr>
          <w:t>https://www.estyn.gov.wales/effective-practice/planning-more-flexible-and-adaptable-creative-curriculum-engage-pupils-interest</w:t>
        </w:r>
      </w:hyperlink>
      <w:r>
        <w:rPr>
          <w:rStyle w:val="normaltextrun"/>
          <w:rFonts w:ascii="Calibri" w:eastAsiaTheme="majorEastAsia" w:hAnsi="Calibri" w:cs="Calibri"/>
        </w:rPr>
        <w:t>. Accessed 03/03/21.</w:t>
      </w:r>
      <w:r>
        <w:rPr>
          <w:rStyle w:val="eop"/>
          <w:rFonts w:ascii="Calibri" w:eastAsiaTheme="majorEastAsia" w:hAnsi="Calibri" w:cs="Calibri"/>
        </w:rPr>
        <w:t> </w:t>
      </w:r>
    </w:p>
    <w:p w14:paraId="3405D636"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Gable, R., Hester, P., Rock, M. and Hughes, K. (2009) ‘Back to Basics: Rules, Praise, Ignoring and Reprimands Revisited’. </w:t>
      </w:r>
      <w:r>
        <w:rPr>
          <w:rStyle w:val="normaltextrun"/>
          <w:rFonts w:ascii="Calibri" w:eastAsiaTheme="majorEastAsia" w:hAnsi="Calibri" w:cs="Calibri"/>
          <w:i/>
          <w:iCs/>
          <w:color w:val="000000"/>
        </w:rPr>
        <w:t>Intervention in School and Clinic</w:t>
      </w:r>
      <w:r>
        <w:rPr>
          <w:rStyle w:val="normaltextrun"/>
          <w:rFonts w:ascii="Calibri" w:eastAsiaTheme="majorEastAsia" w:hAnsi="Calibri" w:cs="Calibri"/>
          <w:color w:val="000000"/>
        </w:rPr>
        <w:t>. Vol. 44.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4. pp. 195-205.</w:t>
      </w:r>
      <w:r>
        <w:rPr>
          <w:rStyle w:val="eop"/>
          <w:rFonts w:ascii="Calibri" w:eastAsiaTheme="majorEastAsia" w:hAnsi="Calibri" w:cs="Calibri"/>
          <w:color w:val="000000"/>
        </w:rPr>
        <w:t> </w:t>
      </w:r>
    </w:p>
    <w:p w14:paraId="5EF7AC9B"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Calibri" w:eastAsiaTheme="majorEastAsia" w:hAnsi="Calibri" w:cs="Calibri"/>
          <w:color w:val="000000"/>
        </w:rPr>
        <w:lastRenderedPageBreak/>
        <w:t>Guay</w:t>
      </w:r>
      <w:proofErr w:type="spellEnd"/>
      <w:r>
        <w:rPr>
          <w:rStyle w:val="normaltextrun"/>
          <w:rFonts w:ascii="Calibri" w:eastAsiaTheme="majorEastAsia" w:hAnsi="Calibri" w:cs="Calibri"/>
          <w:color w:val="000000"/>
        </w:rPr>
        <w:t xml:space="preserve">, F. </w:t>
      </w:r>
      <w:proofErr w:type="spellStart"/>
      <w:r>
        <w:rPr>
          <w:rStyle w:val="normaltextrun"/>
          <w:rFonts w:ascii="Calibri" w:eastAsiaTheme="majorEastAsia" w:hAnsi="Calibri" w:cs="Calibri"/>
          <w:color w:val="000000"/>
        </w:rPr>
        <w:t>Ratelle</w:t>
      </w:r>
      <w:proofErr w:type="spellEnd"/>
      <w:r>
        <w:rPr>
          <w:rStyle w:val="normaltextrun"/>
          <w:rFonts w:ascii="Calibri" w:eastAsiaTheme="majorEastAsia" w:hAnsi="Calibri" w:cs="Calibri"/>
          <w:color w:val="000000"/>
        </w:rPr>
        <w:t xml:space="preserve">, C. and </w:t>
      </w:r>
      <w:proofErr w:type="spellStart"/>
      <w:r>
        <w:rPr>
          <w:rStyle w:val="normaltextrun"/>
          <w:rFonts w:ascii="Calibri" w:eastAsiaTheme="majorEastAsia" w:hAnsi="Calibri" w:cs="Calibri"/>
          <w:color w:val="000000"/>
        </w:rPr>
        <w:t>Chanal</w:t>
      </w:r>
      <w:proofErr w:type="spellEnd"/>
      <w:r>
        <w:rPr>
          <w:rStyle w:val="normaltextrun"/>
          <w:rFonts w:ascii="Calibri" w:eastAsiaTheme="majorEastAsia" w:hAnsi="Calibri" w:cs="Calibri"/>
          <w:color w:val="000000"/>
        </w:rPr>
        <w:t>, J. (2008) ‘Optimal Learning in Optimal Contexts: The Role of Self-Determination in Education’. </w:t>
      </w:r>
      <w:r>
        <w:rPr>
          <w:rStyle w:val="normaltextrun"/>
          <w:rFonts w:ascii="Calibri" w:eastAsiaTheme="majorEastAsia" w:hAnsi="Calibri" w:cs="Calibri"/>
          <w:i/>
          <w:iCs/>
          <w:color w:val="000000"/>
        </w:rPr>
        <w:t>Canadian Psychology</w:t>
      </w:r>
      <w:r>
        <w:rPr>
          <w:rStyle w:val="normaltextrun"/>
          <w:rFonts w:ascii="Calibri" w:eastAsiaTheme="majorEastAsia" w:hAnsi="Calibri" w:cs="Calibri"/>
          <w:color w:val="000000"/>
        </w:rPr>
        <w:t>. Vol. 49.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3. pp. 233-240. </w:t>
      </w:r>
      <w:r>
        <w:rPr>
          <w:rStyle w:val="eop"/>
          <w:rFonts w:ascii="Calibri" w:eastAsiaTheme="majorEastAsia" w:hAnsi="Calibri" w:cs="Calibri"/>
          <w:color w:val="000000"/>
        </w:rPr>
        <w:t> </w:t>
      </w:r>
    </w:p>
    <w:p w14:paraId="5EA5B217" w14:textId="12CD8A2F" w:rsidR="00C64221" w:rsidRPr="00C64221" w:rsidRDefault="00C64221" w:rsidP="00C64221">
      <w:pPr>
        <w:pStyle w:val="paragraph"/>
        <w:numPr>
          <w:ilvl w:val="0"/>
          <w:numId w:val="24"/>
        </w:numPr>
        <w:spacing w:before="0" w:beforeAutospacing="0" w:after="0" w:afterAutospacing="0" w:line="360" w:lineRule="auto"/>
        <w:textAlignment w:val="baseline"/>
        <w:rPr>
          <w:rStyle w:val="eop"/>
          <w:rFonts w:ascii="Segoe UI" w:hAnsi="Segoe UI" w:cs="Segoe UI"/>
          <w:sz w:val="18"/>
          <w:szCs w:val="18"/>
        </w:rPr>
      </w:pPr>
      <w:r>
        <w:rPr>
          <w:rStyle w:val="normaltextrun"/>
          <w:rFonts w:ascii="Calibri" w:eastAsiaTheme="majorEastAsia" w:hAnsi="Calibri" w:cs="Calibri"/>
          <w:color w:val="000000"/>
        </w:rPr>
        <w:t>Hattie, J. (2012) </w:t>
      </w:r>
      <w:r>
        <w:rPr>
          <w:rStyle w:val="normaltextrun"/>
          <w:rFonts w:ascii="Calibri" w:eastAsiaTheme="majorEastAsia" w:hAnsi="Calibri" w:cs="Calibri"/>
          <w:i/>
          <w:iCs/>
          <w:color w:val="000000"/>
        </w:rPr>
        <w:t>Visible Learning for Teachers: Maximizing Impact on Learning</w:t>
      </w:r>
      <w:r>
        <w:rPr>
          <w:rStyle w:val="normaltextrun"/>
          <w:rFonts w:ascii="Calibri" w:eastAsiaTheme="majorEastAsia" w:hAnsi="Calibri" w:cs="Calibri"/>
          <w:color w:val="000000"/>
        </w:rPr>
        <w:t>. London: Routledge.</w:t>
      </w:r>
      <w:r>
        <w:rPr>
          <w:rStyle w:val="eop"/>
          <w:rFonts w:ascii="Calibri" w:eastAsiaTheme="majorEastAsia" w:hAnsi="Calibri" w:cs="Calibri"/>
          <w:color w:val="000000"/>
        </w:rPr>
        <w:t> </w:t>
      </w:r>
    </w:p>
    <w:p w14:paraId="723AE15F" w14:textId="13328EBF"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proofErr w:type="spellStart"/>
      <w:r>
        <w:rPr>
          <w:rStyle w:val="eop"/>
          <w:rFonts w:ascii="Calibri" w:eastAsiaTheme="majorEastAsia" w:hAnsi="Calibri" w:cs="Calibri"/>
          <w:color w:val="000000"/>
        </w:rPr>
        <w:t>Hertberg</w:t>
      </w:r>
      <w:proofErr w:type="spellEnd"/>
      <w:r>
        <w:rPr>
          <w:rStyle w:val="eop"/>
          <w:rFonts w:ascii="Calibri" w:eastAsiaTheme="majorEastAsia" w:hAnsi="Calibri" w:cs="Calibri"/>
          <w:color w:val="000000"/>
        </w:rPr>
        <w:t xml:space="preserve">-Davis, H. (2009) ‘Myth 7: Differentiation in the Regular Classroom is Equivalent to Gifted Programmes and is Sufficient: Classroom Teachers Have the Time, the Skill, and the Will to Differentiate Adequately’. </w:t>
      </w:r>
      <w:r>
        <w:rPr>
          <w:rStyle w:val="eop"/>
          <w:rFonts w:ascii="Calibri" w:eastAsiaTheme="majorEastAsia" w:hAnsi="Calibri" w:cs="Calibri"/>
          <w:i/>
          <w:iCs/>
          <w:color w:val="000000"/>
        </w:rPr>
        <w:t>The Gifted Child Quarterly</w:t>
      </w:r>
      <w:r>
        <w:rPr>
          <w:rStyle w:val="eop"/>
          <w:rFonts w:ascii="Calibri" w:eastAsiaTheme="majorEastAsia" w:hAnsi="Calibri" w:cs="Calibri"/>
          <w:color w:val="000000"/>
        </w:rPr>
        <w:t xml:space="preserve">. Vol. 53. </w:t>
      </w:r>
      <w:proofErr w:type="spellStart"/>
      <w:r>
        <w:rPr>
          <w:rStyle w:val="eop"/>
          <w:rFonts w:ascii="Calibri" w:eastAsiaTheme="majorEastAsia" w:hAnsi="Calibri" w:cs="Calibri"/>
          <w:color w:val="000000"/>
        </w:rPr>
        <w:t>Iss</w:t>
      </w:r>
      <w:proofErr w:type="spellEnd"/>
      <w:r>
        <w:rPr>
          <w:rStyle w:val="eop"/>
          <w:rFonts w:ascii="Calibri" w:eastAsiaTheme="majorEastAsia" w:hAnsi="Calibri" w:cs="Calibri"/>
          <w:color w:val="000000"/>
        </w:rPr>
        <w:t xml:space="preserve">. 4. pp. 251-253. </w:t>
      </w:r>
    </w:p>
    <w:p w14:paraId="15ADF8E5"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Ibrahim, B. (2016) ‘Praise, Power and Pupil-teacher Relationships’. </w:t>
      </w:r>
      <w:r>
        <w:rPr>
          <w:rStyle w:val="normaltextrun"/>
          <w:rFonts w:ascii="Calibri" w:eastAsiaTheme="majorEastAsia" w:hAnsi="Calibri" w:cs="Calibri"/>
          <w:i/>
          <w:iCs/>
          <w:color w:val="000000"/>
        </w:rPr>
        <w:t>The STEP Journal</w:t>
      </w:r>
      <w:r>
        <w:rPr>
          <w:rStyle w:val="normaltextrun"/>
          <w:rFonts w:ascii="Calibri" w:eastAsiaTheme="majorEastAsia" w:hAnsi="Calibri" w:cs="Calibri"/>
          <w:color w:val="000000"/>
        </w:rPr>
        <w:t>. Vol. 3.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1. pp. 42-50.</w:t>
      </w:r>
      <w:r>
        <w:rPr>
          <w:rStyle w:val="eop"/>
          <w:rFonts w:ascii="Calibri" w:eastAsiaTheme="majorEastAsia" w:hAnsi="Calibri" w:cs="Calibri"/>
          <w:color w:val="000000"/>
        </w:rPr>
        <w:t> </w:t>
      </w:r>
    </w:p>
    <w:p w14:paraId="4E32292E"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proofErr w:type="spellStart"/>
      <w:r>
        <w:rPr>
          <w:rStyle w:val="normaltextrun"/>
          <w:rFonts w:ascii="Calibri" w:eastAsiaTheme="majorEastAsia" w:hAnsi="Calibri" w:cs="Calibri"/>
          <w:color w:val="000000"/>
        </w:rPr>
        <w:t>Ingemarson</w:t>
      </w:r>
      <w:proofErr w:type="spellEnd"/>
      <w:r>
        <w:rPr>
          <w:rStyle w:val="normaltextrun"/>
          <w:rFonts w:ascii="Calibri" w:eastAsiaTheme="majorEastAsia" w:hAnsi="Calibri" w:cs="Calibri"/>
          <w:color w:val="000000"/>
        </w:rPr>
        <w:t xml:space="preserve">, M., Rosendahl, I., </w:t>
      </w:r>
      <w:proofErr w:type="spellStart"/>
      <w:r>
        <w:rPr>
          <w:rStyle w:val="normaltextrun"/>
          <w:rFonts w:ascii="Calibri" w:eastAsiaTheme="majorEastAsia" w:hAnsi="Calibri" w:cs="Calibri"/>
          <w:color w:val="000000"/>
        </w:rPr>
        <w:t>Bodin</w:t>
      </w:r>
      <w:proofErr w:type="spellEnd"/>
      <w:r>
        <w:rPr>
          <w:rStyle w:val="normaltextrun"/>
          <w:rFonts w:ascii="Calibri" w:eastAsiaTheme="majorEastAsia" w:hAnsi="Calibri" w:cs="Calibri"/>
          <w:color w:val="000000"/>
        </w:rPr>
        <w:t>, M. and </w:t>
      </w:r>
      <w:proofErr w:type="spellStart"/>
      <w:r>
        <w:rPr>
          <w:rStyle w:val="normaltextrun"/>
          <w:rFonts w:ascii="Calibri" w:eastAsiaTheme="majorEastAsia" w:hAnsi="Calibri" w:cs="Calibri"/>
          <w:color w:val="000000"/>
        </w:rPr>
        <w:t>Birgegard</w:t>
      </w:r>
      <w:proofErr w:type="spellEnd"/>
      <w:r>
        <w:rPr>
          <w:rStyle w:val="normaltextrun"/>
          <w:rFonts w:ascii="Calibri" w:eastAsiaTheme="majorEastAsia" w:hAnsi="Calibri" w:cs="Calibri"/>
          <w:color w:val="000000"/>
        </w:rPr>
        <w:t>, A. (2019) ‘Teacher’s use of praise, clarity of school rules and classroom climate: comparing classroom compositions in term of disruptive </w:t>
      </w:r>
      <w:proofErr w:type="gramStart"/>
      <w:r>
        <w:rPr>
          <w:rStyle w:val="normaltextrun"/>
          <w:rFonts w:ascii="Calibri" w:eastAsiaTheme="majorEastAsia" w:hAnsi="Calibri" w:cs="Calibri"/>
          <w:color w:val="000000"/>
        </w:rPr>
        <w:t>students’</w:t>
      </w:r>
      <w:proofErr w:type="gramEnd"/>
      <w:r>
        <w:rPr>
          <w:rStyle w:val="normaltextrun"/>
          <w:rFonts w:ascii="Calibri" w:eastAsiaTheme="majorEastAsia" w:hAnsi="Calibri" w:cs="Calibri"/>
          <w:color w:val="000000"/>
        </w:rPr>
        <w:t>. </w:t>
      </w:r>
      <w:r>
        <w:rPr>
          <w:rStyle w:val="normaltextrun"/>
          <w:rFonts w:ascii="Calibri" w:eastAsiaTheme="majorEastAsia" w:hAnsi="Calibri" w:cs="Calibri"/>
          <w:i/>
          <w:iCs/>
          <w:color w:val="000000"/>
        </w:rPr>
        <w:t>Springer Nature</w:t>
      </w:r>
      <w:r>
        <w:rPr>
          <w:rStyle w:val="normaltextrun"/>
          <w:rFonts w:ascii="Calibri" w:eastAsiaTheme="majorEastAsia" w:hAnsi="Calibri" w:cs="Calibri"/>
          <w:color w:val="000000"/>
        </w:rPr>
        <w:t>. Vol. 23.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1. pp. 217-232.</w:t>
      </w:r>
      <w:r>
        <w:rPr>
          <w:rStyle w:val="eop"/>
          <w:rFonts w:ascii="Calibri" w:eastAsiaTheme="majorEastAsia" w:hAnsi="Calibri" w:cs="Calibri"/>
          <w:color w:val="000000"/>
        </w:rPr>
        <w:t> </w:t>
      </w:r>
    </w:p>
    <w:p w14:paraId="7562A831"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Jang, H., </w:t>
      </w:r>
      <w:proofErr w:type="spellStart"/>
      <w:r>
        <w:rPr>
          <w:rStyle w:val="normaltextrun"/>
          <w:rFonts w:ascii="Calibri" w:eastAsiaTheme="majorEastAsia" w:hAnsi="Calibri" w:cs="Calibri"/>
          <w:color w:val="000000"/>
        </w:rPr>
        <w:t>Johnmarshall</w:t>
      </w:r>
      <w:proofErr w:type="spellEnd"/>
      <w:r>
        <w:rPr>
          <w:rStyle w:val="normaltextrun"/>
          <w:rFonts w:ascii="Calibri" w:eastAsiaTheme="majorEastAsia" w:hAnsi="Calibri" w:cs="Calibri"/>
          <w:color w:val="000000"/>
        </w:rPr>
        <w:t>, R., and Deci, E. (2010) ‘Engaging Students in Learning Activities: It Is Not Autonomy Support or Structure but Autonomy Support and Structure’. </w:t>
      </w:r>
      <w:r>
        <w:rPr>
          <w:rStyle w:val="normaltextrun"/>
          <w:rFonts w:ascii="Calibri" w:eastAsiaTheme="majorEastAsia" w:hAnsi="Calibri" w:cs="Calibri"/>
          <w:i/>
          <w:iCs/>
          <w:color w:val="000000"/>
        </w:rPr>
        <w:t>Journal of Educational Psychology</w:t>
      </w:r>
      <w:r>
        <w:rPr>
          <w:rStyle w:val="normaltextrun"/>
          <w:rFonts w:ascii="Calibri" w:eastAsiaTheme="majorEastAsia" w:hAnsi="Calibri" w:cs="Calibri"/>
          <w:color w:val="000000"/>
        </w:rPr>
        <w:t>. Vol. 102.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3. pp. 588-600.</w:t>
      </w:r>
      <w:r>
        <w:rPr>
          <w:rStyle w:val="eop"/>
          <w:rFonts w:ascii="Calibri" w:eastAsiaTheme="majorEastAsia" w:hAnsi="Calibri" w:cs="Calibri"/>
          <w:color w:val="000000"/>
        </w:rPr>
        <w:t> </w:t>
      </w:r>
    </w:p>
    <w:p w14:paraId="64DB61E0"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Jennings, P. and Greenberg, M. (2009) ‘The Prosocial Classroom: Teacher Social and Emotional Competence in Relation to Student and Classroom Outcomes’. </w:t>
      </w:r>
      <w:r>
        <w:rPr>
          <w:rStyle w:val="normaltextrun"/>
          <w:rFonts w:ascii="Calibri" w:eastAsiaTheme="majorEastAsia" w:hAnsi="Calibri" w:cs="Calibri"/>
          <w:i/>
          <w:iCs/>
          <w:color w:val="000000"/>
        </w:rPr>
        <w:t>American Educational Research Association</w:t>
      </w:r>
      <w:r>
        <w:rPr>
          <w:rStyle w:val="normaltextrun"/>
          <w:rFonts w:ascii="Calibri" w:eastAsiaTheme="majorEastAsia" w:hAnsi="Calibri" w:cs="Calibri"/>
          <w:color w:val="000000"/>
        </w:rPr>
        <w:t>. Vol. 79.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1. pp. 491-525.</w:t>
      </w:r>
      <w:r>
        <w:rPr>
          <w:rStyle w:val="eop"/>
          <w:rFonts w:ascii="Calibri" w:eastAsiaTheme="majorEastAsia" w:hAnsi="Calibri" w:cs="Calibri"/>
          <w:color w:val="000000"/>
        </w:rPr>
        <w:t> </w:t>
      </w:r>
    </w:p>
    <w:p w14:paraId="4F46B4CD"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Marchant, M. and Anderson, D. (2012) ‘Improving Social and Academic Outcomes for All Learners </w:t>
      </w:r>
      <w:proofErr w:type="gramStart"/>
      <w:r>
        <w:rPr>
          <w:rStyle w:val="normaltextrun"/>
          <w:rFonts w:ascii="Calibri" w:eastAsiaTheme="majorEastAsia" w:hAnsi="Calibri" w:cs="Calibri"/>
          <w:color w:val="000000"/>
        </w:rPr>
        <w:t>through the Use of</w:t>
      </w:r>
      <w:proofErr w:type="gramEnd"/>
      <w:r>
        <w:rPr>
          <w:rStyle w:val="normaltextrun"/>
          <w:rFonts w:ascii="Calibri" w:eastAsiaTheme="majorEastAsia" w:hAnsi="Calibri" w:cs="Calibri"/>
          <w:color w:val="000000"/>
        </w:rPr>
        <w:t> Teacher Praise’. </w:t>
      </w:r>
      <w:r>
        <w:rPr>
          <w:rStyle w:val="normaltextrun"/>
          <w:rFonts w:ascii="Calibri" w:eastAsiaTheme="majorEastAsia" w:hAnsi="Calibri" w:cs="Calibri"/>
          <w:i/>
          <w:iCs/>
          <w:color w:val="000000"/>
        </w:rPr>
        <w:t>Beyond </w:t>
      </w:r>
      <w:proofErr w:type="spellStart"/>
      <w:r>
        <w:rPr>
          <w:rStyle w:val="normaltextrun"/>
          <w:rFonts w:ascii="Calibri" w:eastAsiaTheme="majorEastAsia" w:hAnsi="Calibri" w:cs="Calibri"/>
          <w:i/>
          <w:iCs/>
          <w:color w:val="000000"/>
        </w:rPr>
        <w:t>Behavior</w:t>
      </w:r>
      <w:proofErr w:type="spellEnd"/>
      <w:r>
        <w:rPr>
          <w:rStyle w:val="normaltextrun"/>
          <w:rFonts w:ascii="Calibri" w:eastAsiaTheme="majorEastAsia" w:hAnsi="Calibri" w:cs="Calibri"/>
          <w:color w:val="000000"/>
        </w:rPr>
        <w:t>. Vol. 21.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3. pp. 22-28.</w:t>
      </w:r>
      <w:r>
        <w:rPr>
          <w:rStyle w:val="eop"/>
          <w:rFonts w:ascii="Calibri" w:eastAsiaTheme="majorEastAsia" w:hAnsi="Calibri" w:cs="Calibri"/>
          <w:color w:val="000000"/>
        </w:rPr>
        <w:t> </w:t>
      </w:r>
    </w:p>
    <w:p w14:paraId="669301EC"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Rae, T. and </w:t>
      </w:r>
      <w:proofErr w:type="spellStart"/>
      <w:r>
        <w:rPr>
          <w:rStyle w:val="normaltextrun"/>
          <w:rFonts w:ascii="Calibri" w:eastAsiaTheme="majorEastAsia" w:hAnsi="Calibri" w:cs="Calibri"/>
          <w:color w:val="000000"/>
        </w:rPr>
        <w:t>MacConville</w:t>
      </w:r>
      <w:proofErr w:type="spellEnd"/>
      <w:r>
        <w:rPr>
          <w:rStyle w:val="normaltextrun"/>
          <w:rFonts w:ascii="Calibri" w:eastAsiaTheme="majorEastAsia" w:hAnsi="Calibri" w:cs="Calibri"/>
          <w:color w:val="000000"/>
        </w:rPr>
        <w:t>, R. (2006) </w:t>
      </w:r>
      <w:r>
        <w:rPr>
          <w:rStyle w:val="normaltextrun"/>
          <w:rFonts w:ascii="Calibri" w:eastAsiaTheme="majorEastAsia" w:hAnsi="Calibri" w:cs="Calibri"/>
          <w:i/>
          <w:iCs/>
          <w:color w:val="000000"/>
        </w:rPr>
        <w:t>Teaching Peer Support for Caring and Co-operation: Talk Time, a Six-Step Method for 9-12 Year Olds</w:t>
      </w:r>
      <w:r>
        <w:rPr>
          <w:rStyle w:val="normaltextrun"/>
          <w:rFonts w:ascii="Calibri" w:eastAsiaTheme="majorEastAsia" w:hAnsi="Calibri" w:cs="Calibri"/>
          <w:color w:val="000000"/>
        </w:rPr>
        <w:t>. Bristol: Paul Chapman.</w:t>
      </w:r>
      <w:r>
        <w:rPr>
          <w:rStyle w:val="eop"/>
          <w:rFonts w:ascii="Calibri" w:eastAsiaTheme="majorEastAsia" w:hAnsi="Calibri" w:cs="Calibri"/>
          <w:color w:val="000000"/>
        </w:rPr>
        <w:t> </w:t>
      </w:r>
    </w:p>
    <w:p w14:paraId="30BDB8B1"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Roffey, S. (2011) </w:t>
      </w:r>
      <w:r>
        <w:rPr>
          <w:rStyle w:val="normaltextrun"/>
          <w:rFonts w:ascii="Calibri" w:eastAsiaTheme="majorEastAsia" w:hAnsi="Calibri" w:cs="Calibri"/>
          <w:i/>
          <w:iCs/>
          <w:color w:val="000000"/>
        </w:rPr>
        <w:t>Positive Relationships: Evidence Based Practice across the World</w:t>
      </w:r>
      <w:r>
        <w:rPr>
          <w:rStyle w:val="normaltextrun"/>
          <w:rFonts w:ascii="Calibri" w:eastAsiaTheme="majorEastAsia" w:hAnsi="Calibri" w:cs="Calibri"/>
          <w:color w:val="000000"/>
        </w:rPr>
        <w:t>. Dordrecht: Springer.</w:t>
      </w:r>
      <w:r>
        <w:rPr>
          <w:rStyle w:val="eop"/>
          <w:rFonts w:ascii="Calibri" w:eastAsiaTheme="majorEastAsia" w:hAnsi="Calibri" w:cs="Calibri"/>
          <w:color w:val="000000"/>
        </w:rPr>
        <w:t> </w:t>
      </w:r>
    </w:p>
    <w:p w14:paraId="79631EBC"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Ruby-Davies, C. (2007) ‘Classroom interactions: Exploring the practice of high- and low-expectation </w:t>
      </w:r>
      <w:proofErr w:type="gramStart"/>
      <w:r>
        <w:rPr>
          <w:rStyle w:val="normaltextrun"/>
          <w:rFonts w:ascii="Calibri" w:eastAsiaTheme="majorEastAsia" w:hAnsi="Calibri" w:cs="Calibri"/>
          <w:color w:val="000000"/>
        </w:rPr>
        <w:t>teachers’</w:t>
      </w:r>
      <w:proofErr w:type="gramEnd"/>
      <w:r>
        <w:rPr>
          <w:rStyle w:val="normaltextrun"/>
          <w:rFonts w:ascii="Calibri" w:eastAsiaTheme="majorEastAsia" w:hAnsi="Calibri" w:cs="Calibri"/>
          <w:color w:val="000000"/>
        </w:rPr>
        <w:t>. </w:t>
      </w:r>
      <w:r>
        <w:rPr>
          <w:rStyle w:val="normaltextrun"/>
          <w:rFonts w:ascii="Calibri" w:eastAsiaTheme="majorEastAsia" w:hAnsi="Calibri" w:cs="Calibri"/>
          <w:i/>
          <w:iCs/>
          <w:color w:val="000000"/>
        </w:rPr>
        <w:t>British Journal of Educational Psychology</w:t>
      </w:r>
      <w:r>
        <w:rPr>
          <w:rStyle w:val="normaltextrun"/>
          <w:rFonts w:ascii="Calibri" w:eastAsiaTheme="majorEastAsia" w:hAnsi="Calibri" w:cs="Calibri"/>
          <w:color w:val="000000"/>
        </w:rPr>
        <w:t>. Vol. 77.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2. pp. 289-306.</w:t>
      </w:r>
      <w:r>
        <w:rPr>
          <w:rStyle w:val="eop"/>
          <w:rFonts w:ascii="Calibri" w:eastAsiaTheme="majorEastAsia" w:hAnsi="Calibri" w:cs="Calibri"/>
          <w:color w:val="000000"/>
        </w:rPr>
        <w:t> </w:t>
      </w:r>
    </w:p>
    <w:p w14:paraId="6A9F1A97"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lastRenderedPageBreak/>
        <w:t>Ryan, R. and Deci, E. (2000) ‘Self-Determination Theory and the Facilitation of Intrinsic Motivation, Social Development and Well-Being'. </w:t>
      </w:r>
      <w:r>
        <w:rPr>
          <w:rStyle w:val="normaltextrun"/>
          <w:rFonts w:ascii="Calibri" w:eastAsiaTheme="majorEastAsia" w:hAnsi="Calibri" w:cs="Calibri"/>
          <w:i/>
          <w:iCs/>
          <w:color w:val="000000"/>
        </w:rPr>
        <w:t>The American Psychologist.</w:t>
      </w:r>
      <w:r>
        <w:rPr>
          <w:rStyle w:val="normaltextrun"/>
          <w:rFonts w:ascii="Calibri" w:eastAsiaTheme="majorEastAsia" w:hAnsi="Calibri" w:cs="Calibri"/>
          <w:color w:val="000000"/>
        </w:rPr>
        <w:t> Vol. 55.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1. pp. 68-78.</w:t>
      </w:r>
      <w:r>
        <w:rPr>
          <w:rStyle w:val="eop"/>
          <w:rFonts w:ascii="Calibri" w:eastAsiaTheme="majorEastAsia" w:hAnsi="Calibri" w:cs="Calibri"/>
          <w:color w:val="000000"/>
        </w:rPr>
        <w:t> </w:t>
      </w:r>
    </w:p>
    <w:p w14:paraId="74CBFC47"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Ryan, R. and Deci, E. (2017) </w:t>
      </w:r>
      <w:r>
        <w:rPr>
          <w:rStyle w:val="normaltextrun"/>
          <w:rFonts w:ascii="Calibri" w:eastAsiaTheme="majorEastAsia" w:hAnsi="Calibri" w:cs="Calibri"/>
          <w:i/>
          <w:iCs/>
          <w:color w:val="000000"/>
        </w:rPr>
        <w:t>Self-Determination Theory: Basic Psychological Needs in Motivation, Development, and Wellness</w:t>
      </w:r>
      <w:r>
        <w:rPr>
          <w:rStyle w:val="normaltextrun"/>
          <w:rFonts w:ascii="Calibri" w:eastAsiaTheme="majorEastAsia" w:hAnsi="Calibri" w:cs="Calibri"/>
          <w:color w:val="000000"/>
        </w:rPr>
        <w:t>. London: The Guildford Press.</w:t>
      </w:r>
      <w:r>
        <w:rPr>
          <w:rStyle w:val="eop"/>
          <w:rFonts w:ascii="Calibri" w:eastAsiaTheme="majorEastAsia" w:hAnsi="Calibri" w:cs="Calibri"/>
          <w:color w:val="000000"/>
        </w:rPr>
        <w:t> </w:t>
      </w:r>
    </w:p>
    <w:p w14:paraId="509A1F6F"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Skipper, Y. and Douglas, K. (2015) ‘The influence of teacher feedback on children’s perceptions of student-teacher </w:t>
      </w:r>
      <w:proofErr w:type="gramStart"/>
      <w:r>
        <w:rPr>
          <w:rStyle w:val="normaltextrun"/>
          <w:rFonts w:ascii="Calibri" w:eastAsiaTheme="majorEastAsia" w:hAnsi="Calibri" w:cs="Calibri"/>
          <w:color w:val="000000"/>
        </w:rPr>
        <w:t>relationships’</w:t>
      </w:r>
      <w:proofErr w:type="gramEnd"/>
      <w:r>
        <w:rPr>
          <w:rStyle w:val="normaltextrun"/>
          <w:rFonts w:ascii="Calibri" w:eastAsiaTheme="majorEastAsia" w:hAnsi="Calibri" w:cs="Calibri"/>
          <w:color w:val="000000"/>
        </w:rPr>
        <w:t>. </w:t>
      </w:r>
      <w:r>
        <w:rPr>
          <w:rStyle w:val="normaltextrun"/>
          <w:rFonts w:ascii="Calibri" w:eastAsiaTheme="majorEastAsia" w:hAnsi="Calibri" w:cs="Calibri"/>
          <w:i/>
          <w:iCs/>
          <w:color w:val="000000"/>
        </w:rPr>
        <w:t>The British Journal of Educational Psychology</w:t>
      </w:r>
      <w:r>
        <w:rPr>
          <w:rStyle w:val="normaltextrun"/>
          <w:rFonts w:ascii="Calibri" w:eastAsiaTheme="majorEastAsia" w:hAnsi="Calibri" w:cs="Calibri"/>
          <w:color w:val="000000"/>
        </w:rPr>
        <w:t>. Vol. 85.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3. pp. 276-288.</w:t>
      </w:r>
      <w:r>
        <w:rPr>
          <w:rStyle w:val="eop"/>
          <w:rFonts w:ascii="Calibri" w:eastAsiaTheme="majorEastAsia" w:hAnsi="Calibri" w:cs="Calibri"/>
          <w:color w:val="000000"/>
        </w:rPr>
        <w:t> </w:t>
      </w:r>
    </w:p>
    <w:p w14:paraId="43B4D80A"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 xml:space="preserve">Spilt, J., </w:t>
      </w:r>
      <w:proofErr w:type="spellStart"/>
      <w:r>
        <w:rPr>
          <w:rStyle w:val="normaltextrun"/>
          <w:rFonts w:ascii="Calibri" w:eastAsiaTheme="majorEastAsia" w:hAnsi="Calibri" w:cs="Calibri"/>
          <w:color w:val="000000"/>
        </w:rPr>
        <w:t>Koomen</w:t>
      </w:r>
      <w:proofErr w:type="spellEnd"/>
      <w:r>
        <w:rPr>
          <w:rStyle w:val="normaltextrun"/>
          <w:rFonts w:ascii="Calibri" w:eastAsiaTheme="majorEastAsia" w:hAnsi="Calibri" w:cs="Calibri"/>
          <w:color w:val="000000"/>
        </w:rPr>
        <w:t>, H. and Thijs, J. (2011) ‘Teacher Wellbeing: The Importance of Teacher-Student Relationships’. </w:t>
      </w:r>
      <w:r>
        <w:rPr>
          <w:rStyle w:val="normaltextrun"/>
          <w:rFonts w:ascii="Calibri" w:eastAsiaTheme="majorEastAsia" w:hAnsi="Calibri" w:cs="Calibri"/>
          <w:i/>
          <w:iCs/>
          <w:color w:val="000000"/>
        </w:rPr>
        <w:t>Educational Psychology Review</w:t>
      </w:r>
      <w:r>
        <w:rPr>
          <w:rStyle w:val="normaltextrun"/>
          <w:rFonts w:ascii="Calibri" w:eastAsiaTheme="majorEastAsia" w:hAnsi="Calibri" w:cs="Calibri"/>
          <w:color w:val="000000"/>
        </w:rPr>
        <w:t>. Vol. 23. </w:t>
      </w:r>
      <w:proofErr w:type="spellStart"/>
      <w:r>
        <w:rPr>
          <w:rStyle w:val="normaltextrun"/>
          <w:rFonts w:ascii="Calibri" w:eastAsiaTheme="majorEastAsia" w:hAnsi="Calibri" w:cs="Calibri"/>
          <w:color w:val="000000"/>
        </w:rPr>
        <w:t>Iss</w:t>
      </w:r>
      <w:proofErr w:type="spellEnd"/>
      <w:r>
        <w:rPr>
          <w:rStyle w:val="normaltextrun"/>
          <w:rFonts w:ascii="Calibri" w:eastAsiaTheme="majorEastAsia" w:hAnsi="Calibri" w:cs="Calibri"/>
          <w:color w:val="000000"/>
        </w:rPr>
        <w:t>. 4. pp. 457-477.</w:t>
      </w:r>
      <w:r>
        <w:rPr>
          <w:rStyle w:val="eop"/>
          <w:rFonts w:ascii="Calibri" w:eastAsiaTheme="majorEastAsia" w:hAnsi="Calibri" w:cs="Calibri"/>
          <w:color w:val="000000"/>
        </w:rPr>
        <w:t> </w:t>
      </w:r>
    </w:p>
    <w:p w14:paraId="0BD0D4FF" w14:textId="77777777" w:rsidR="00C64221" w:rsidRDefault="00C64221" w:rsidP="00C64221">
      <w:pPr>
        <w:pStyle w:val="paragraph"/>
        <w:numPr>
          <w:ilvl w:val="0"/>
          <w:numId w:val="24"/>
        </w:numPr>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color w:val="000000"/>
        </w:rPr>
        <w:t>Welsh Government (2010) </w:t>
      </w:r>
      <w:r>
        <w:rPr>
          <w:rStyle w:val="normaltextrun"/>
          <w:rFonts w:ascii="Calibri" w:eastAsiaTheme="majorEastAsia" w:hAnsi="Calibri" w:cs="Calibri"/>
          <w:i/>
          <w:iCs/>
          <w:color w:val="000000"/>
        </w:rPr>
        <w:t>How to develop thinking and assessment for learning in the classroom</w:t>
      </w:r>
      <w:r>
        <w:rPr>
          <w:rStyle w:val="normaltextrun"/>
          <w:rFonts w:ascii="Calibri" w:eastAsiaTheme="majorEastAsia" w:hAnsi="Calibri" w:cs="Calibri"/>
          <w:color w:val="000000"/>
        </w:rPr>
        <w:t>. [Online] Available at </w:t>
      </w:r>
      <w:hyperlink r:id="rId14" w:tgtFrame="_blank" w:history="1">
        <w:r>
          <w:rPr>
            <w:rStyle w:val="normaltextrun"/>
            <w:rFonts w:ascii="Calibri" w:eastAsiaTheme="majorEastAsia" w:hAnsi="Calibri" w:cs="Calibri"/>
            <w:color w:val="0563C1"/>
            <w:u w:val="single"/>
          </w:rPr>
          <w:t>https://hwb.gov.wales/curriculum-for-wales-2008/assessment/how-to-develop-thinking-and-assessment-for-learning-in-the-classroom</w:t>
        </w:r>
      </w:hyperlink>
      <w:r>
        <w:rPr>
          <w:rStyle w:val="normaltextrun"/>
          <w:rFonts w:ascii="Calibri" w:eastAsiaTheme="majorEastAsia" w:hAnsi="Calibri" w:cs="Calibri"/>
          <w:color w:val="000000"/>
        </w:rPr>
        <w:t>. Accessed 04/03/21.</w:t>
      </w:r>
      <w:r>
        <w:rPr>
          <w:rStyle w:val="eop"/>
          <w:rFonts w:ascii="Calibri" w:eastAsiaTheme="majorEastAsia" w:hAnsi="Calibri" w:cs="Calibri"/>
          <w:color w:val="000000"/>
        </w:rPr>
        <w:t> </w:t>
      </w:r>
    </w:p>
    <w:p w14:paraId="0BE4F2FD" w14:textId="77777777" w:rsidR="00A9204E" w:rsidRDefault="00A9204E" w:rsidP="00811007"/>
    <w:sectPr w:rsidR="00A9204E" w:rsidSect="00446402">
      <w:headerReference w:type="default" r:id="rId15"/>
      <w:footerReference w:type="default" r:id="rId16"/>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A3A79" w14:textId="77777777" w:rsidR="00281445" w:rsidRDefault="00281445" w:rsidP="00446402">
      <w:pPr>
        <w:spacing w:line="240" w:lineRule="auto"/>
      </w:pPr>
      <w:r>
        <w:separator/>
      </w:r>
    </w:p>
  </w:endnote>
  <w:endnote w:type="continuationSeparator" w:id="0">
    <w:p w14:paraId="390B72E1" w14:textId="77777777" w:rsidR="00281445" w:rsidRDefault="00281445" w:rsidP="00446402">
      <w:pPr>
        <w:spacing w:line="240" w:lineRule="auto"/>
      </w:pPr>
      <w:r>
        <w:continuationSeparator/>
      </w:r>
    </w:p>
  </w:endnote>
  <w:endnote w:type="continuationNotice" w:id="1">
    <w:p w14:paraId="30C86248" w14:textId="77777777" w:rsidR="00281445" w:rsidRDefault="002814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6B4524" w:rsidRDefault="006B4524">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6B4524" w:rsidRDefault="006B4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4B47F5" w14:textId="77777777" w:rsidR="00281445" w:rsidRDefault="00281445" w:rsidP="00446402">
      <w:pPr>
        <w:spacing w:line="240" w:lineRule="auto"/>
      </w:pPr>
      <w:r>
        <w:separator/>
      </w:r>
    </w:p>
  </w:footnote>
  <w:footnote w:type="continuationSeparator" w:id="0">
    <w:p w14:paraId="4D1F931D" w14:textId="77777777" w:rsidR="00281445" w:rsidRDefault="00281445" w:rsidP="00446402">
      <w:pPr>
        <w:spacing w:line="240" w:lineRule="auto"/>
      </w:pPr>
      <w:r>
        <w:continuationSeparator/>
      </w:r>
    </w:p>
  </w:footnote>
  <w:footnote w:type="continuationNotice" w:id="1">
    <w:p w14:paraId="0817C98D" w14:textId="77777777" w:rsidR="00281445" w:rsidRDefault="0028144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6B4524" w:rsidRPr="00446402" w:rsidRDefault="006B4524">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7E636ACC"/>
    <w:multiLevelType w:val="hybridMultilevel"/>
    <w:tmpl w:val="A868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6A2D"/>
    <w:rsid w:val="00026ACB"/>
    <w:rsid w:val="00034B6F"/>
    <w:rsid w:val="00062768"/>
    <w:rsid w:val="000B389F"/>
    <w:rsid w:val="000B50CC"/>
    <w:rsid w:val="000D213D"/>
    <w:rsid w:val="000E5D60"/>
    <w:rsid w:val="000F169E"/>
    <w:rsid w:val="000F2DD8"/>
    <w:rsid w:val="00103F5C"/>
    <w:rsid w:val="00124CA6"/>
    <w:rsid w:val="001305F9"/>
    <w:rsid w:val="001411B0"/>
    <w:rsid w:val="0014197B"/>
    <w:rsid w:val="00147A85"/>
    <w:rsid w:val="0016152E"/>
    <w:rsid w:val="00162539"/>
    <w:rsid w:val="00175E76"/>
    <w:rsid w:val="001929E5"/>
    <w:rsid w:val="001939AE"/>
    <w:rsid w:val="001A68DD"/>
    <w:rsid w:val="001B27DA"/>
    <w:rsid w:val="001B54E5"/>
    <w:rsid w:val="001C2B04"/>
    <w:rsid w:val="001C2C9B"/>
    <w:rsid w:val="001C4119"/>
    <w:rsid w:val="001E7B6F"/>
    <w:rsid w:val="001F2A9B"/>
    <w:rsid w:val="001F3049"/>
    <w:rsid w:val="00211693"/>
    <w:rsid w:val="002143EB"/>
    <w:rsid w:val="00217A85"/>
    <w:rsid w:val="00222C78"/>
    <w:rsid w:val="00241E14"/>
    <w:rsid w:val="00242AE5"/>
    <w:rsid w:val="00244FD3"/>
    <w:rsid w:val="002473E3"/>
    <w:rsid w:val="00281445"/>
    <w:rsid w:val="00292706"/>
    <w:rsid w:val="002952B4"/>
    <w:rsid w:val="002A49CE"/>
    <w:rsid w:val="002B3A82"/>
    <w:rsid w:val="002D3811"/>
    <w:rsid w:val="002E626B"/>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B52B5"/>
    <w:rsid w:val="003C2E97"/>
    <w:rsid w:val="003D093A"/>
    <w:rsid w:val="003D369B"/>
    <w:rsid w:val="003D7068"/>
    <w:rsid w:val="003F005A"/>
    <w:rsid w:val="003F1057"/>
    <w:rsid w:val="0042458A"/>
    <w:rsid w:val="00433611"/>
    <w:rsid w:val="00441964"/>
    <w:rsid w:val="004459D0"/>
    <w:rsid w:val="00446402"/>
    <w:rsid w:val="00446B14"/>
    <w:rsid w:val="004645FA"/>
    <w:rsid w:val="0047355E"/>
    <w:rsid w:val="0049106B"/>
    <w:rsid w:val="004B6D47"/>
    <w:rsid w:val="004C0498"/>
    <w:rsid w:val="004D003F"/>
    <w:rsid w:val="004E3F83"/>
    <w:rsid w:val="004E7785"/>
    <w:rsid w:val="0050000B"/>
    <w:rsid w:val="00505886"/>
    <w:rsid w:val="005127D7"/>
    <w:rsid w:val="00514992"/>
    <w:rsid w:val="005171FD"/>
    <w:rsid w:val="00522CAB"/>
    <w:rsid w:val="00532A5F"/>
    <w:rsid w:val="00534848"/>
    <w:rsid w:val="00536613"/>
    <w:rsid w:val="00552BF1"/>
    <w:rsid w:val="00566446"/>
    <w:rsid w:val="0057097E"/>
    <w:rsid w:val="005801FA"/>
    <w:rsid w:val="00581CF3"/>
    <w:rsid w:val="00583339"/>
    <w:rsid w:val="0059686F"/>
    <w:rsid w:val="00597468"/>
    <w:rsid w:val="005A57BE"/>
    <w:rsid w:val="005B0DCC"/>
    <w:rsid w:val="005C36ED"/>
    <w:rsid w:val="005C660F"/>
    <w:rsid w:val="005F614A"/>
    <w:rsid w:val="00601957"/>
    <w:rsid w:val="006270F1"/>
    <w:rsid w:val="00633001"/>
    <w:rsid w:val="00645252"/>
    <w:rsid w:val="00667EB2"/>
    <w:rsid w:val="0068351A"/>
    <w:rsid w:val="00687CD2"/>
    <w:rsid w:val="006B272F"/>
    <w:rsid w:val="006B4524"/>
    <w:rsid w:val="006C2910"/>
    <w:rsid w:val="006D3D74"/>
    <w:rsid w:val="007403AD"/>
    <w:rsid w:val="007615E5"/>
    <w:rsid w:val="00765A1A"/>
    <w:rsid w:val="007A3940"/>
    <w:rsid w:val="007B32B1"/>
    <w:rsid w:val="007C32AA"/>
    <w:rsid w:val="007D263C"/>
    <w:rsid w:val="007F7B78"/>
    <w:rsid w:val="00811007"/>
    <w:rsid w:val="008236C9"/>
    <w:rsid w:val="0083066A"/>
    <w:rsid w:val="0083569A"/>
    <w:rsid w:val="008356C7"/>
    <w:rsid w:val="00840603"/>
    <w:rsid w:val="00846548"/>
    <w:rsid w:val="008632A8"/>
    <w:rsid w:val="00865656"/>
    <w:rsid w:val="00875E6A"/>
    <w:rsid w:val="00884CAA"/>
    <w:rsid w:val="008F713A"/>
    <w:rsid w:val="00901652"/>
    <w:rsid w:val="009449BE"/>
    <w:rsid w:val="00961C6F"/>
    <w:rsid w:val="00972162"/>
    <w:rsid w:val="009903CE"/>
    <w:rsid w:val="009B3825"/>
    <w:rsid w:val="009D2CD3"/>
    <w:rsid w:val="009D323C"/>
    <w:rsid w:val="009D5399"/>
    <w:rsid w:val="009E100E"/>
    <w:rsid w:val="009F1049"/>
    <w:rsid w:val="009F1533"/>
    <w:rsid w:val="00A05A9D"/>
    <w:rsid w:val="00A07E7F"/>
    <w:rsid w:val="00A10EAD"/>
    <w:rsid w:val="00A22C56"/>
    <w:rsid w:val="00A23192"/>
    <w:rsid w:val="00A41C53"/>
    <w:rsid w:val="00A42317"/>
    <w:rsid w:val="00A47FD7"/>
    <w:rsid w:val="00A51F96"/>
    <w:rsid w:val="00A60CD4"/>
    <w:rsid w:val="00A77338"/>
    <w:rsid w:val="00A8699C"/>
    <w:rsid w:val="00A9204E"/>
    <w:rsid w:val="00A95C95"/>
    <w:rsid w:val="00AA225D"/>
    <w:rsid w:val="00AA23CA"/>
    <w:rsid w:val="00AA5D81"/>
    <w:rsid w:val="00AC19FF"/>
    <w:rsid w:val="00B11E45"/>
    <w:rsid w:val="00B357D8"/>
    <w:rsid w:val="00B44623"/>
    <w:rsid w:val="00B668DF"/>
    <w:rsid w:val="00B70105"/>
    <w:rsid w:val="00B76136"/>
    <w:rsid w:val="00B86A10"/>
    <w:rsid w:val="00B9167E"/>
    <w:rsid w:val="00BB487E"/>
    <w:rsid w:val="00BF6EA2"/>
    <w:rsid w:val="00BF7BA6"/>
    <w:rsid w:val="00C14875"/>
    <w:rsid w:val="00C16847"/>
    <w:rsid w:val="00C308E8"/>
    <w:rsid w:val="00C33A95"/>
    <w:rsid w:val="00C40DB5"/>
    <w:rsid w:val="00C42F69"/>
    <w:rsid w:val="00C60096"/>
    <w:rsid w:val="00C6174B"/>
    <w:rsid w:val="00C64221"/>
    <w:rsid w:val="00C66CE6"/>
    <w:rsid w:val="00C81073"/>
    <w:rsid w:val="00C82DA5"/>
    <w:rsid w:val="00C961EE"/>
    <w:rsid w:val="00CA10E6"/>
    <w:rsid w:val="00CA1F39"/>
    <w:rsid w:val="00CC0CA8"/>
    <w:rsid w:val="00CC5969"/>
    <w:rsid w:val="00CD1E5D"/>
    <w:rsid w:val="00CD53DB"/>
    <w:rsid w:val="00CD5D9F"/>
    <w:rsid w:val="00CD6A23"/>
    <w:rsid w:val="00D545AA"/>
    <w:rsid w:val="00D733CC"/>
    <w:rsid w:val="00D73CF4"/>
    <w:rsid w:val="00D748C2"/>
    <w:rsid w:val="00D800F3"/>
    <w:rsid w:val="00D803B2"/>
    <w:rsid w:val="00DC3E26"/>
    <w:rsid w:val="00DC602C"/>
    <w:rsid w:val="00DD2369"/>
    <w:rsid w:val="00DD684F"/>
    <w:rsid w:val="00DD766B"/>
    <w:rsid w:val="00DE11D6"/>
    <w:rsid w:val="00DE5494"/>
    <w:rsid w:val="00E02C5E"/>
    <w:rsid w:val="00E26350"/>
    <w:rsid w:val="00E605A3"/>
    <w:rsid w:val="00E60C19"/>
    <w:rsid w:val="00E6399C"/>
    <w:rsid w:val="00E845BE"/>
    <w:rsid w:val="00E95D4E"/>
    <w:rsid w:val="00EA71CC"/>
    <w:rsid w:val="00EB1832"/>
    <w:rsid w:val="00ED476F"/>
    <w:rsid w:val="00ED772D"/>
    <w:rsid w:val="00EE37F6"/>
    <w:rsid w:val="00EE6244"/>
    <w:rsid w:val="00EE7FF0"/>
    <w:rsid w:val="00EF6391"/>
    <w:rsid w:val="00F105EB"/>
    <w:rsid w:val="00F12AF2"/>
    <w:rsid w:val="00F307A2"/>
    <w:rsid w:val="00F5076F"/>
    <w:rsid w:val="00F51C20"/>
    <w:rsid w:val="00F6678C"/>
    <w:rsid w:val="00F673CE"/>
    <w:rsid w:val="00F72EDA"/>
    <w:rsid w:val="00F73165"/>
    <w:rsid w:val="00F748F5"/>
    <w:rsid w:val="00F778CF"/>
    <w:rsid w:val="00F86747"/>
    <w:rsid w:val="00F9068C"/>
    <w:rsid w:val="00FA2847"/>
    <w:rsid w:val="00FA356C"/>
    <w:rsid w:val="00FB2270"/>
    <w:rsid w:val="00FB3AF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normaltextrun">
    <w:name w:val="normaltextrun"/>
    <w:basedOn w:val="DefaultParagraphFont"/>
    <w:rsid w:val="009F1533"/>
  </w:style>
  <w:style w:type="character" w:customStyle="1" w:styleId="eop">
    <w:name w:val="eop"/>
    <w:basedOn w:val="DefaultParagraphFont"/>
    <w:rsid w:val="007F7B78"/>
  </w:style>
  <w:style w:type="paragraph" w:customStyle="1" w:styleId="paragraph">
    <w:name w:val="paragraph"/>
    <w:basedOn w:val="Normal"/>
    <w:rsid w:val="00C64221"/>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86769">
      <w:bodyDiv w:val="1"/>
      <w:marLeft w:val="0"/>
      <w:marRight w:val="0"/>
      <w:marTop w:val="0"/>
      <w:marBottom w:val="0"/>
      <w:divBdr>
        <w:top w:val="none" w:sz="0" w:space="0" w:color="auto"/>
        <w:left w:val="none" w:sz="0" w:space="0" w:color="auto"/>
        <w:bottom w:val="none" w:sz="0" w:space="0" w:color="auto"/>
        <w:right w:val="none" w:sz="0" w:space="0" w:color="auto"/>
      </w:divBdr>
    </w:div>
    <w:div w:id="193738152">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70695368">
      <w:bodyDiv w:val="1"/>
      <w:marLeft w:val="0"/>
      <w:marRight w:val="0"/>
      <w:marTop w:val="0"/>
      <w:marBottom w:val="0"/>
      <w:divBdr>
        <w:top w:val="none" w:sz="0" w:space="0" w:color="auto"/>
        <w:left w:val="none" w:sz="0" w:space="0" w:color="auto"/>
        <w:bottom w:val="none" w:sz="0" w:space="0" w:color="auto"/>
        <w:right w:val="none" w:sz="0" w:space="0" w:color="auto"/>
      </w:divBdr>
      <w:divsChild>
        <w:div w:id="815730304">
          <w:marLeft w:val="750"/>
          <w:marRight w:val="750"/>
          <w:marTop w:val="0"/>
          <w:marBottom w:val="0"/>
          <w:divBdr>
            <w:top w:val="none" w:sz="0" w:space="0" w:color="auto"/>
            <w:left w:val="none" w:sz="0" w:space="0" w:color="auto"/>
            <w:bottom w:val="none" w:sz="0" w:space="0" w:color="auto"/>
            <w:right w:val="none" w:sz="0" w:space="0" w:color="auto"/>
          </w:divBdr>
          <w:divsChild>
            <w:div w:id="544025714">
              <w:marLeft w:val="0"/>
              <w:marRight w:val="0"/>
              <w:marTop w:val="0"/>
              <w:marBottom w:val="0"/>
              <w:divBdr>
                <w:top w:val="none" w:sz="0" w:space="0" w:color="auto"/>
                <w:left w:val="none" w:sz="0" w:space="0" w:color="auto"/>
                <w:bottom w:val="none" w:sz="0" w:space="0" w:color="auto"/>
                <w:right w:val="none" w:sz="0" w:space="0" w:color="auto"/>
              </w:divBdr>
              <w:divsChild>
                <w:div w:id="1567912352">
                  <w:marLeft w:val="0"/>
                  <w:marRight w:val="0"/>
                  <w:marTop w:val="0"/>
                  <w:marBottom w:val="0"/>
                  <w:divBdr>
                    <w:top w:val="none" w:sz="0" w:space="0" w:color="auto"/>
                    <w:left w:val="none" w:sz="0" w:space="0" w:color="auto"/>
                    <w:bottom w:val="none" w:sz="0" w:space="0" w:color="auto"/>
                    <w:right w:val="none" w:sz="0" w:space="0" w:color="auto"/>
                  </w:divBdr>
                  <w:divsChild>
                    <w:div w:id="94850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516979">
      <w:bodyDiv w:val="1"/>
      <w:marLeft w:val="0"/>
      <w:marRight w:val="0"/>
      <w:marTop w:val="0"/>
      <w:marBottom w:val="0"/>
      <w:divBdr>
        <w:top w:val="none" w:sz="0" w:space="0" w:color="auto"/>
        <w:left w:val="none" w:sz="0" w:space="0" w:color="auto"/>
        <w:bottom w:val="none" w:sz="0" w:space="0" w:color="auto"/>
        <w:right w:val="none" w:sz="0" w:space="0" w:color="auto"/>
      </w:divBdr>
    </w:div>
    <w:div w:id="469789359">
      <w:bodyDiv w:val="1"/>
      <w:marLeft w:val="0"/>
      <w:marRight w:val="0"/>
      <w:marTop w:val="0"/>
      <w:marBottom w:val="0"/>
      <w:divBdr>
        <w:top w:val="none" w:sz="0" w:space="0" w:color="auto"/>
        <w:left w:val="none" w:sz="0" w:space="0" w:color="auto"/>
        <w:bottom w:val="none" w:sz="0" w:space="0" w:color="auto"/>
        <w:right w:val="none" w:sz="0" w:space="0" w:color="auto"/>
      </w:divBdr>
      <w:divsChild>
        <w:div w:id="922645886">
          <w:marLeft w:val="0"/>
          <w:marRight w:val="0"/>
          <w:marTop w:val="0"/>
          <w:marBottom w:val="0"/>
          <w:divBdr>
            <w:top w:val="none" w:sz="0" w:space="0" w:color="auto"/>
            <w:left w:val="none" w:sz="0" w:space="0" w:color="auto"/>
            <w:bottom w:val="none" w:sz="0" w:space="0" w:color="auto"/>
            <w:right w:val="none" w:sz="0" w:space="0" w:color="auto"/>
          </w:divBdr>
        </w:div>
        <w:div w:id="173423602">
          <w:marLeft w:val="0"/>
          <w:marRight w:val="0"/>
          <w:marTop w:val="0"/>
          <w:marBottom w:val="0"/>
          <w:divBdr>
            <w:top w:val="none" w:sz="0" w:space="0" w:color="auto"/>
            <w:left w:val="none" w:sz="0" w:space="0" w:color="auto"/>
            <w:bottom w:val="none" w:sz="0" w:space="0" w:color="auto"/>
            <w:right w:val="none" w:sz="0" w:space="0" w:color="auto"/>
          </w:divBdr>
        </w:div>
        <w:div w:id="1392536299">
          <w:marLeft w:val="0"/>
          <w:marRight w:val="0"/>
          <w:marTop w:val="0"/>
          <w:marBottom w:val="0"/>
          <w:divBdr>
            <w:top w:val="none" w:sz="0" w:space="0" w:color="auto"/>
            <w:left w:val="none" w:sz="0" w:space="0" w:color="auto"/>
            <w:bottom w:val="none" w:sz="0" w:space="0" w:color="auto"/>
            <w:right w:val="none" w:sz="0" w:space="0" w:color="auto"/>
          </w:divBdr>
        </w:div>
        <w:div w:id="1796824758">
          <w:marLeft w:val="0"/>
          <w:marRight w:val="0"/>
          <w:marTop w:val="0"/>
          <w:marBottom w:val="0"/>
          <w:divBdr>
            <w:top w:val="none" w:sz="0" w:space="0" w:color="auto"/>
            <w:left w:val="none" w:sz="0" w:space="0" w:color="auto"/>
            <w:bottom w:val="none" w:sz="0" w:space="0" w:color="auto"/>
            <w:right w:val="none" w:sz="0" w:space="0" w:color="auto"/>
          </w:divBdr>
        </w:div>
        <w:div w:id="52312424">
          <w:marLeft w:val="0"/>
          <w:marRight w:val="0"/>
          <w:marTop w:val="0"/>
          <w:marBottom w:val="0"/>
          <w:divBdr>
            <w:top w:val="none" w:sz="0" w:space="0" w:color="auto"/>
            <w:left w:val="none" w:sz="0" w:space="0" w:color="auto"/>
            <w:bottom w:val="none" w:sz="0" w:space="0" w:color="auto"/>
            <w:right w:val="none" w:sz="0" w:space="0" w:color="auto"/>
          </w:divBdr>
        </w:div>
        <w:div w:id="1766030437">
          <w:marLeft w:val="0"/>
          <w:marRight w:val="0"/>
          <w:marTop w:val="0"/>
          <w:marBottom w:val="0"/>
          <w:divBdr>
            <w:top w:val="none" w:sz="0" w:space="0" w:color="auto"/>
            <w:left w:val="none" w:sz="0" w:space="0" w:color="auto"/>
            <w:bottom w:val="none" w:sz="0" w:space="0" w:color="auto"/>
            <w:right w:val="none" w:sz="0" w:space="0" w:color="auto"/>
          </w:divBdr>
        </w:div>
        <w:div w:id="1738481396">
          <w:marLeft w:val="0"/>
          <w:marRight w:val="0"/>
          <w:marTop w:val="0"/>
          <w:marBottom w:val="0"/>
          <w:divBdr>
            <w:top w:val="none" w:sz="0" w:space="0" w:color="auto"/>
            <w:left w:val="none" w:sz="0" w:space="0" w:color="auto"/>
            <w:bottom w:val="none" w:sz="0" w:space="0" w:color="auto"/>
            <w:right w:val="none" w:sz="0" w:space="0" w:color="auto"/>
          </w:divBdr>
        </w:div>
        <w:div w:id="290063827">
          <w:marLeft w:val="0"/>
          <w:marRight w:val="0"/>
          <w:marTop w:val="0"/>
          <w:marBottom w:val="0"/>
          <w:divBdr>
            <w:top w:val="none" w:sz="0" w:space="0" w:color="auto"/>
            <w:left w:val="none" w:sz="0" w:space="0" w:color="auto"/>
            <w:bottom w:val="none" w:sz="0" w:space="0" w:color="auto"/>
            <w:right w:val="none" w:sz="0" w:space="0" w:color="auto"/>
          </w:divBdr>
        </w:div>
        <w:div w:id="28798572">
          <w:marLeft w:val="0"/>
          <w:marRight w:val="0"/>
          <w:marTop w:val="0"/>
          <w:marBottom w:val="0"/>
          <w:divBdr>
            <w:top w:val="none" w:sz="0" w:space="0" w:color="auto"/>
            <w:left w:val="none" w:sz="0" w:space="0" w:color="auto"/>
            <w:bottom w:val="none" w:sz="0" w:space="0" w:color="auto"/>
            <w:right w:val="none" w:sz="0" w:space="0" w:color="auto"/>
          </w:divBdr>
        </w:div>
        <w:div w:id="1437602517">
          <w:marLeft w:val="0"/>
          <w:marRight w:val="0"/>
          <w:marTop w:val="0"/>
          <w:marBottom w:val="0"/>
          <w:divBdr>
            <w:top w:val="none" w:sz="0" w:space="0" w:color="auto"/>
            <w:left w:val="none" w:sz="0" w:space="0" w:color="auto"/>
            <w:bottom w:val="none" w:sz="0" w:space="0" w:color="auto"/>
            <w:right w:val="none" w:sz="0" w:space="0" w:color="auto"/>
          </w:divBdr>
        </w:div>
        <w:div w:id="360711139">
          <w:marLeft w:val="0"/>
          <w:marRight w:val="0"/>
          <w:marTop w:val="0"/>
          <w:marBottom w:val="0"/>
          <w:divBdr>
            <w:top w:val="none" w:sz="0" w:space="0" w:color="auto"/>
            <w:left w:val="none" w:sz="0" w:space="0" w:color="auto"/>
            <w:bottom w:val="none" w:sz="0" w:space="0" w:color="auto"/>
            <w:right w:val="none" w:sz="0" w:space="0" w:color="auto"/>
          </w:divBdr>
        </w:div>
        <w:div w:id="918517505">
          <w:marLeft w:val="0"/>
          <w:marRight w:val="0"/>
          <w:marTop w:val="0"/>
          <w:marBottom w:val="0"/>
          <w:divBdr>
            <w:top w:val="none" w:sz="0" w:space="0" w:color="auto"/>
            <w:left w:val="none" w:sz="0" w:space="0" w:color="auto"/>
            <w:bottom w:val="none" w:sz="0" w:space="0" w:color="auto"/>
            <w:right w:val="none" w:sz="0" w:space="0" w:color="auto"/>
          </w:divBdr>
        </w:div>
        <w:div w:id="2105878543">
          <w:marLeft w:val="0"/>
          <w:marRight w:val="0"/>
          <w:marTop w:val="0"/>
          <w:marBottom w:val="0"/>
          <w:divBdr>
            <w:top w:val="none" w:sz="0" w:space="0" w:color="auto"/>
            <w:left w:val="none" w:sz="0" w:space="0" w:color="auto"/>
            <w:bottom w:val="none" w:sz="0" w:space="0" w:color="auto"/>
            <w:right w:val="none" w:sz="0" w:space="0" w:color="auto"/>
          </w:divBdr>
        </w:div>
        <w:div w:id="1726905861">
          <w:marLeft w:val="0"/>
          <w:marRight w:val="0"/>
          <w:marTop w:val="0"/>
          <w:marBottom w:val="0"/>
          <w:divBdr>
            <w:top w:val="none" w:sz="0" w:space="0" w:color="auto"/>
            <w:left w:val="none" w:sz="0" w:space="0" w:color="auto"/>
            <w:bottom w:val="none" w:sz="0" w:space="0" w:color="auto"/>
            <w:right w:val="none" w:sz="0" w:space="0" w:color="auto"/>
          </w:divBdr>
        </w:div>
        <w:div w:id="822744790">
          <w:marLeft w:val="0"/>
          <w:marRight w:val="0"/>
          <w:marTop w:val="0"/>
          <w:marBottom w:val="0"/>
          <w:divBdr>
            <w:top w:val="none" w:sz="0" w:space="0" w:color="auto"/>
            <w:left w:val="none" w:sz="0" w:space="0" w:color="auto"/>
            <w:bottom w:val="none" w:sz="0" w:space="0" w:color="auto"/>
            <w:right w:val="none" w:sz="0" w:space="0" w:color="auto"/>
          </w:divBdr>
        </w:div>
        <w:div w:id="474108527">
          <w:marLeft w:val="0"/>
          <w:marRight w:val="0"/>
          <w:marTop w:val="0"/>
          <w:marBottom w:val="0"/>
          <w:divBdr>
            <w:top w:val="none" w:sz="0" w:space="0" w:color="auto"/>
            <w:left w:val="none" w:sz="0" w:space="0" w:color="auto"/>
            <w:bottom w:val="none" w:sz="0" w:space="0" w:color="auto"/>
            <w:right w:val="none" w:sz="0" w:space="0" w:color="auto"/>
          </w:divBdr>
        </w:div>
        <w:div w:id="216089320">
          <w:marLeft w:val="0"/>
          <w:marRight w:val="0"/>
          <w:marTop w:val="0"/>
          <w:marBottom w:val="0"/>
          <w:divBdr>
            <w:top w:val="none" w:sz="0" w:space="0" w:color="auto"/>
            <w:left w:val="none" w:sz="0" w:space="0" w:color="auto"/>
            <w:bottom w:val="none" w:sz="0" w:space="0" w:color="auto"/>
            <w:right w:val="none" w:sz="0" w:space="0" w:color="auto"/>
          </w:divBdr>
        </w:div>
        <w:div w:id="1759525119">
          <w:marLeft w:val="0"/>
          <w:marRight w:val="0"/>
          <w:marTop w:val="0"/>
          <w:marBottom w:val="0"/>
          <w:divBdr>
            <w:top w:val="none" w:sz="0" w:space="0" w:color="auto"/>
            <w:left w:val="none" w:sz="0" w:space="0" w:color="auto"/>
            <w:bottom w:val="none" w:sz="0" w:space="0" w:color="auto"/>
            <w:right w:val="none" w:sz="0" w:space="0" w:color="auto"/>
          </w:divBdr>
        </w:div>
        <w:div w:id="807163944">
          <w:marLeft w:val="0"/>
          <w:marRight w:val="0"/>
          <w:marTop w:val="0"/>
          <w:marBottom w:val="0"/>
          <w:divBdr>
            <w:top w:val="none" w:sz="0" w:space="0" w:color="auto"/>
            <w:left w:val="none" w:sz="0" w:space="0" w:color="auto"/>
            <w:bottom w:val="none" w:sz="0" w:space="0" w:color="auto"/>
            <w:right w:val="none" w:sz="0" w:space="0" w:color="auto"/>
          </w:divBdr>
        </w:div>
        <w:div w:id="288433492">
          <w:marLeft w:val="0"/>
          <w:marRight w:val="0"/>
          <w:marTop w:val="0"/>
          <w:marBottom w:val="0"/>
          <w:divBdr>
            <w:top w:val="none" w:sz="0" w:space="0" w:color="auto"/>
            <w:left w:val="none" w:sz="0" w:space="0" w:color="auto"/>
            <w:bottom w:val="none" w:sz="0" w:space="0" w:color="auto"/>
            <w:right w:val="none" w:sz="0" w:space="0" w:color="auto"/>
          </w:divBdr>
        </w:div>
        <w:div w:id="477578303">
          <w:marLeft w:val="0"/>
          <w:marRight w:val="0"/>
          <w:marTop w:val="0"/>
          <w:marBottom w:val="0"/>
          <w:divBdr>
            <w:top w:val="none" w:sz="0" w:space="0" w:color="auto"/>
            <w:left w:val="none" w:sz="0" w:space="0" w:color="auto"/>
            <w:bottom w:val="none" w:sz="0" w:space="0" w:color="auto"/>
            <w:right w:val="none" w:sz="0" w:space="0" w:color="auto"/>
          </w:divBdr>
        </w:div>
        <w:div w:id="1358697106">
          <w:marLeft w:val="0"/>
          <w:marRight w:val="0"/>
          <w:marTop w:val="0"/>
          <w:marBottom w:val="0"/>
          <w:divBdr>
            <w:top w:val="none" w:sz="0" w:space="0" w:color="auto"/>
            <w:left w:val="none" w:sz="0" w:space="0" w:color="auto"/>
            <w:bottom w:val="none" w:sz="0" w:space="0" w:color="auto"/>
            <w:right w:val="none" w:sz="0" w:space="0" w:color="auto"/>
          </w:divBdr>
        </w:div>
        <w:div w:id="183204935">
          <w:marLeft w:val="0"/>
          <w:marRight w:val="0"/>
          <w:marTop w:val="0"/>
          <w:marBottom w:val="0"/>
          <w:divBdr>
            <w:top w:val="none" w:sz="0" w:space="0" w:color="auto"/>
            <w:left w:val="none" w:sz="0" w:space="0" w:color="auto"/>
            <w:bottom w:val="none" w:sz="0" w:space="0" w:color="auto"/>
            <w:right w:val="none" w:sz="0" w:space="0" w:color="auto"/>
          </w:divBdr>
        </w:div>
        <w:div w:id="1290548018">
          <w:marLeft w:val="0"/>
          <w:marRight w:val="0"/>
          <w:marTop w:val="0"/>
          <w:marBottom w:val="0"/>
          <w:divBdr>
            <w:top w:val="none" w:sz="0" w:space="0" w:color="auto"/>
            <w:left w:val="none" w:sz="0" w:space="0" w:color="auto"/>
            <w:bottom w:val="none" w:sz="0" w:space="0" w:color="auto"/>
            <w:right w:val="none" w:sz="0" w:space="0" w:color="auto"/>
          </w:divBdr>
        </w:div>
      </w:divsChild>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41886318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81830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effective-practice/planning-more-flexible-and-adaptable-creative-curriculum-engage-pupils-interes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uccessful-futures-review-curriculum-and-assessment-arrangem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89/fpsyg.2017.0203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cambridgeinternational.org/support-and-training-for-schools/teaching-cambridge-at-your-school/great-teaching-toolkit/"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2008/assessment/how-to-develop-thinking-and-assessment-for-learning-in-the-classro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EBAF1A77925B4774BB7C5DAEDCEA8EE0"/>
        <w:category>
          <w:name w:val="General"/>
          <w:gallery w:val="placeholder"/>
        </w:category>
        <w:types>
          <w:type w:val="bbPlcHdr"/>
        </w:types>
        <w:behaviors>
          <w:behavior w:val="content"/>
        </w:behaviors>
        <w:guid w:val="{6A30A2A5-3BD4-4A2D-8BB5-E4FF47BDF0CC}"/>
      </w:docPartPr>
      <w:docPartBody>
        <w:p w:rsidR="00885C9F" w:rsidRDefault="00885C9F" w:rsidP="00885C9F">
          <w:pPr>
            <w:pStyle w:val="EBAF1A77925B4774BB7C5DAEDCEA8EE010"/>
          </w:pPr>
          <w:r w:rsidRPr="00204508">
            <w:rPr>
              <w:rStyle w:val="PlaceholderText"/>
            </w:rPr>
            <w:t>Click or tap here to enter text.</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4F50CF" w:rsidRDefault="002452EB" w:rsidP="002452EB">
          <w:pPr>
            <w:pStyle w:val="30ADABC3861F4803A6C2D38BDDFC11FF"/>
          </w:pPr>
          <w:r>
            <w:t>Paste text here</w:t>
          </w:r>
        </w:p>
      </w:docPartBody>
    </w:docPart>
    <w:docPart>
      <w:docPartPr>
        <w:name w:val="8B3336EA41E04D4291E3F1932019CA5A"/>
        <w:category>
          <w:name w:val="General"/>
          <w:gallery w:val="placeholder"/>
        </w:category>
        <w:types>
          <w:type w:val="bbPlcHdr"/>
        </w:types>
        <w:behaviors>
          <w:behavior w:val="content"/>
        </w:behaviors>
        <w:guid w:val="{97040644-DE1D-4C0C-9059-6342FD1F44F5}"/>
      </w:docPartPr>
      <w:docPartBody>
        <w:p w:rsidR="004F50CF" w:rsidRDefault="002452EB" w:rsidP="002452EB">
          <w:pPr>
            <w:pStyle w:val="8B3336EA41E04D4291E3F1932019CA5A"/>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C558E"/>
    <w:rsid w:val="002452EB"/>
    <w:rsid w:val="002E6584"/>
    <w:rsid w:val="004F50CF"/>
    <w:rsid w:val="005C36ED"/>
    <w:rsid w:val="005C4596"/>
    <w:rsid w:val="006F5008"/>
    <w:rsid w:val="00885C9F"/>
    <w:rsid w:val="008C473D"/>
    <w:rsid w:val="008D2B68"/>
    <w:rsid w:val="00B74D74"/>
    <w:rsid w:val="00C34F2F"/>
    <w:rsid w:val="00D50385"/>
    <w:rsid w:val="00DA7432"/>
    <w:rsid w:val="00E20BC0"/>
    <w:rsid w:val="00EA5073"/>
    <w:rsid w:val="00F55801"/>
    <w:rsid w:val="00FE3A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30ADABC3861F4803A6C2D38BDDFC11FF">
    <w:name w:val="30ADABC3861F4803A6C2D38BDDFC11FF"/>
    <w:rsid w:val="002452EB"/>
  </w:style>
  <w:style w:type="paragraph" w:customStyle="1" w:styleId="8B3336EA41E04D4291E3F1932019CA5A">
    <w:name w:val="8B3336EA41E04D4291E3F1932019CA5A"/>
    <w:rsid w:val="002452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{D41A8614-C081-459B-9F26-D0D361B6EF45}tf02786999_win32.dotx</Template>
  <TotalTime>818</TotalTime>
  <Pages>32</Pages>
  <Words>8845</Words>
  <Characters>50423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59150</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Joe Brian Sanderson (1500893)</cp:lastModifiedBy>
  <cp:revision>12</cp:revision>
  <dcterms:created xsi:type="dcterms:W3CDTF">2021-02-22T14:50:00Z</dcterms:created>
  <dcterms:modified xsi:type="dcterms:W3CDTF">2021-03-07T11:17:00Z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