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after="200" w:line="360" w:lineRule="auto"/>
        <w:jc w:val="center"/>
        <w:rPr/>
      </w:pPr>
      <w:r w:rsidDel="00000000" w:rsidR="00000000" w:rsidRPr="00000000">
        <w:rPr>
          <w:rFonts w:ascii="Arial" w:cs="Arial" w:eastAsia="Arial" w:hAnsi="Arial"/>
          <w:b w:val="1"/>
          <w:bCs w:val="1"/>
          <w:sz w:val="28"/>
          <w:szCs w:val="28"/>
          <w:rtl w:val="0"/>
        </w:rPr>
        <w:t xml:space="preserve">University of Wales Trinity Saint David</w:t>
      </w: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after="200" w:line="360" w:lineRule="auto"/>
        <w:jc w:val="center"/>
        <w:rPr/>
      </w:pPr>
      <w:r w:rsidDel="00000000" w:rsidR="00000000" w:rsidRPr="00000000">
        <w:rPr>
          <w:rFonts w:ascii="Arial" w:cs="Arial" w:eastAsia="Arial" w:hAnsi="Arial"/>
          <w:sz w:val="24"/>
          <w:szCs w:val="24"/>
          <w:rtl w:val="0"/>
        </w:rPr>
        <w:t xml:space="preserve">Certificate of Higher Education Skills for the Workplace</w:t>
      </w:r>
      <w:r w:rsidDel="00000000" w:rsidR="00000000" w:rsidRPr="00000000">
        <w:rPr>
          <w:rtl w:val="0"/>
        </w:rPr>
      </w:r>
    </w:p>
    <w:p w:rsidR="00000000" w:rsidDel="00000000" w:rsidP="00000000" w:rsidRDefault="00000000" w:rsidRPr="00000000" w14:paraId="0000000A">
      <w:pPr>
        <w:spacing w:after="200" w:line="360" w:lineRule="auto"/>
        <w:jc w:val="center"/>
        <w:rPr/>
      </w:pPr>
      <w:r w:rsidDel="00000000" w:rsidR="00000000" w:rsidRPr="00000000">
        <w:rPr>
          <w:rFonts w:ascii="Arial" w:cs="Arial" w:eastAsia="Arial" w:hAnsi="Arial"/>
          <w:sz w:val="24"/>
          <w:szCs w:val="24"/>
          <w:rtl w:val="0"/>
        </w:rPr>
        <w:t xml:space="preserve">(Health and Social Care)</w:t>
      </w: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after="200" w:line="360" w:lineRule="auto"/>
        <w:jc w:val="center"/>
        <w:rPr/>
      </w:pPr>
      <w:r w:rsidDel="00000000" w:rsidR="00000000" w:rsidRPr="00000000">
        <w:rPr>
          <w:rFonts w:ascii="Arial" w:cs="Arial" w:eastAsia="Arial" w:hAnsi="Arial"/>
          <w:sz w:val="24"/>
          <w:szCs w:val="24"/>
          <w:rtl w:val="0"/>
        </w:rPr>
        <w:t xml:space="preserve">Module: Introduction to Health and Social Care</w:t>
      </w:r>
      <w:r w:rsidDel="00000000" w:rsidR="00000000" w:rsidRPr="00000000">
        <w:rPr>
          <w:rtl w:val="0"/>
        </w:rPr>
      </w:r>
    </w:p>
    <w:p w:rsidR="00000000" w:rsidDel="00000000" w:rsidP="00000000" w:rsidRDefault="00000000" w:rsidRPr="00000000" w14:paraId="0000000D">
      <w:pPr>
        <w:spacing w:after="200" w:line="360" w:lineRule="auto"/>
        <w:jc w:val="center"/>
        <w:rPr/>
      </w:pPr>
      <w:r w:rsidDel="00000000" w:rsidR="00000000" w:rsidRPr="00000000">
        <w:rPr>
          <w:rFonts w:ascii="Arial" w:cs="Arial" w:eastAsia="Arial" w:hAnsi="Arial"/>
          <w:sz w:val="24"/>
          <w:szCs w:val="24"/>
          <w:rtl w:val="0"/>
        </w:rPr>
        <w:t xml:space="preserve">Module Code: LCHS4003</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after="200" w:line="360" w:lineRule="auto"/>
        <w:jc w:val="center"/>
        <w:rPr/>
      </w:pPr>
      <w:r w:rsidDel="00000000" w:rsidR="00000000" w:rsidRPr="00000000">
        <w:rPr>
          <w:rFonts w:ascii="Arial" w:cs="Arial" w:eastAsia="Arial" w:hAnsi="Arial"/>
          <w:b w:val="1"/>
          <w:bCs w:val="1"/>
          <w:sz w:val="28"/>
          <w:szCs w:val="28"/>
          <w:rtl w:val="0"/>
        </w:rPr>
        <w:t xml:space="preserve">Component 2: Written Assignment</w:t>
      </w: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after="200" w:line="360" w:lineRule="auto"/>
        <w:jc w:val="center"/>
        <w:rPr/>
      </w:pPr>
      <w:r w:rsidDel="00000000" w:rsidR="00000000" w:rsidRPr="00000000">
        <w:rPr>
          <w:rFonts w:ascii="Arial" w:cs="Arial" w:eastAsia="Arial" w:hAnsi="Arial"/>
          <w:b w:val="1"/>
          <w:bCs w:val="1"/>
          <w:sz w:val="24"/>
          <w:szCs w:val="24"/>
          <w:rtl w:val="0"/>
        </w:rPr>
        <w:t xml:space="preserve">Case Study: Mr Ahmed</w:t>
      </w: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after="100" w:line="360" w:lineRule="auto"/>
        <w:jc w:val="center"/>
        <w:rPr/>
      </w:pPr>
      <w:r w:rsidDel="00000000" w:rsidR="00000000" w:rsidRPr="00000000">
        <w:rPr>
          <w:rFonts w:ascii="Arial" w:cs="Arial" w:eastAsia="Arial" w:hAnsi="Arial"/>
          <w:sz w:val="22"/>
          <w:szCs w:val="22"/>
          <w:rtl w:val="0"/>
        </w:rPr>
        <w:t xml:space="preserve">Student Name: </w:t>
      </w:r>
      <w:r w:rsidDel="00000000" w:rsidR="00000000" w:rsidRPr="00000000">
        <w:rPr>
          <w:rtl w:val="0"/>
        </w:rPr>
        <w:t xml:space="preserve">Anne Bamgboye</w:t>
      </w:r>
      <w:r w:rsidDel="00000000" w:rsidR="00000000" w:rsidRPr="00000000">
        <w:rPr>
          <w:rFonts w:ascii="Arial" w:cs="Arial" w:eastAsia="Arial" w:hAnsi="Arial"/>
          <w:sz w:val="22"/>
          <w:szCs w:val="22"/>
          <w:rtl w:val="0"/>
        </w:rPr>
        <w:t xml:space="preserve">]</w:t>
      </w:r>
      <w:r w:rsidDel="00000000" w:rsidR="00000000" w:rsidRPr="00000000">
        <w:rPr>
          <w:rtl w:val="0"/>
        </w:rPr>
      </w:r>
    </w:p>
    <w:p w:rsidR="00000000" w:rsidDel="00000000" w:rsidP="00000000" w:rsidRDefault="00000000" w:rsidRPr="00000000" w14:paraId="00000016">
      <w:pPr>
        <w:spacing w:after="100" w:line="360" w:lineRule="auto"/>
        <w:jc w:val="center"/>
        <w:rPr/>
      </w:pPr>
      <w:r w:rsidDel="00000000" w:rsidR="00000000" w:rsidRPr="00000000">
        <w:rPr>
          <w:rFonts w:ascii="Arial" w:cs="Arial" w:eastAsia="Arial" w:hAnsi="Arial"/>
          <w:sz w:val="22"/>
          <w:szCs w:val="22"/>
          <w:rtl w:val="0"/>
        </w:rPr>
        <w:t xml:space="preserve">Student ID: [</w:t>
      </w:r>
      <w:r w:rsidDel="00000000" w:rsidR="00000000" w:rsidRPr="00000000">
        <w:rPr>
          <w:rtl w:val="0"/>
        </w:rPr>
        <w:t xml:space="preserve">2507681</w:t>
      </w:r>
      <w:r w:rsidDel="00000000" w:rsidR="00000000" w:rsidRPr="00000000">
        <w:rPr>
          <w:rFonts w:ascii="Arial" w:cs="Arial" w:eastAsia="Arial" w:hAnsi="Arial"/>
          <w:sz w:val="22"/>
          <w:szCs w:val="22"/>
          <w:rtl w:val="0"/>
        </w:rPr>
        <w:t xml:space="preserve">]</w:t>
      </w:r>
      <w:r w:rsidDel="00000000" w:rsidR="00000000" w:rsidRPr="00000000">
        <w:rPr>
          <w:rtl w:val="0"/>
        </w:rPr>
      </w:r>
    </w:p>
    <w:p w:rsidR="00000000" w:rsidDel="00000000" w:rsidP="00000000" w:rsidRDefault="00000000" w:rsidRPr="00000000" w14:paraId="00000017">
      <w:pPr>
        <w:spacing w:after="100" w:line="360" w:lineRule="auto"/>
        <w:jc w:val="center"/>
        <w:rPr/>
      </w:pPr>
      <w:r w:rsidDel="00000000" w:rsidR="00000000" w:rsidRPr="00000000">
        <w:rPr>
          <w:rFonts w:ascii="Arial" w:cs="Arial" w:eastAsia="Arial" w:hAnsi="Arial"/>
          <w:sz w:val="22"/>
          <w:szCs w:val="22"/>
          <w:rtl w:val="0"/>
        </w:rPr>
        <w:t xml:space="preserve">Lecturer: [Dr Helen Parsons]</w:t>
      </w:r>
      <w:r w:rsidDel="00000000" w:rsidR="00000000" w:rsidRPr="00000000">
        <w:rPr>
          <w:rtl w:val="0"/>
        </w:rPr>
      </w:r>
    </w:p>
    <w:p w:rsidR="00000000" w:rsidDel="00000000" w:rsidP="00000000" w:rsidRDefault="00000000" w:rsidRPr="00000000" w14:paraId="00000018">
      <w:pPr>
        <w:spacing w:after="100" w:line="360" w:lineRule="auto"/>
        <w:jc w:val="center"/>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9">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Introduction</w:t>
      </w:r>
      <w:r w:rsidDel="00000000" w:rsidR="00000000" w:rsidRPr="00000000">
        <w:rPr>
          <w:rtl w:val="0"/>
        </w:rPr>
      </w:r>
    </w:p>
    <w:p w:rsidR="00000000" w:rsidDel="00000000" w:rsidP="00000000" w:rsidRDefault="00000000" w:rsidRPr="00000000" w14:paraId="0000001A">
      <w:pPr>
        <w:spacing w:line="360" w:lineRule="auto"/>
        <w:jc w:val="left"/>
        <w:rPr/>
      </w:pPr>
      <w:r w:rsidDel="00000000" w:rsidR="00000000" w:rsidRPr="00000000">
        <w:rPr>
          <w:rFonts w:ascii="Arial" w:cs="Arial" w:eastAsia="Arial" w:hAnsi="Arial"/>
          <w:sz w:val="22"/>
          <w:szCs w:val="22"/>
          <w:rtl w:val="0"/>
        </w:rPr>
        <w:t xml:space="preserve">This report examines the case of Mr Ahmed, a 68-year-old Bengali man who has recently been discharged from hospital following treatment for a stroke. Mr Ahmed now lives with his wife in a ground-floor flat and receives domiciliary care three times daily for personal care, medication administration, and meal preparation. His first language is Bengali, and while he understands some English, he struggles with complex conversations; his wife often communicates with the care team on his behalf. A multidisciplinary team including a GP, district nurse, and speech and language therapist supports his ongoing recovery. A recent missed home visit by the care agency resulted in Mr Ahmed not receiving his prescribed medication on time, highlighting the importance of effective systems and professional practice. This report will discuss the significance of effective communication, good administrative skills, and collaborative multi-agency working within the context of Mr Ahmed’s care.</w:t>
      </w:r>
      <w:r w:rsidDel="00000000" w:rsidR="00000000" w:rsidRPr="00000000">
        <w:rPr>
          <w:rtl w:val="0"/>
        </w:rPr>
      </w:r>
    </w:p>
    <w:p w:rsidR="00000000" w:rsidDel="00000000" w:rsidP="00000000" w:rsidRDefault="00000000" w:rsidRPr="00000000" w14:paraId="0000001B">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1. The Importance of Effective Communication in Mr Ahmed’s Care</w:t>
      </w:r>
      <w:r w:rsidDel="00000000" w:rsidR="00000000" w:rsidRPr="00000000">
        <w:rPr>
          <w:rtl w:val="0"/>
        </w:rPr>
      </w:r>
    </w:p>
    <w:p w:rsidR="00000000" w:rsidDel="00000000" w:rsidP="00000000" w:rsidRDefault="00000000" w:rsidRPr="00000000" w14:paraId="0000001C">
      <w:pPr>
        <w:spacing w:line="360" w:lineRule="auto"/>
        <w:jc w:val="left"/>
        <w:rPr/>
      </w:pPr>
      <w:r w:rsidDel="00000000" w:rsidR="00000000" w:rsidRPr="00000000">
        <w:rPr>
          <w:rFonts w:ascii="Arial" w:cs="Arial" w:eastAsia="Arial" w:hAnsi="Arial"/>
          <w:sz w:val="22"/>
          <w:szCs w:val="22"/>
          <w:rtl w:val="0"/>
        </w:rPr>
        <w:t xml:space="preserve">Effective communication is fundamental to delivering person-centred care in health and social care settings. In Mr Ahmed’s case, communication is particularly significant because English is not his first language, and his ability to engage in complex conversations has been further affected by his stroke. The Equality Act 2010 provides a legal framework that is directly relevant here. The Act identifies nine protected characteristics, including race and disability, and requires that service providers do not discriminate against individuals on the basis of these characteristics (Legislation.gov.uk, 2010). Under the Act, health and social care providers have a duty to make reasonable adjustments to ensure that services are accessible to all individuals. For Mr Ahmed, this means that care workers must take active steps to overcome the language barrier, such as using professional interpreters, translated materials, or visual aids, rather than relying solely on his wife to communicate on his behalf.</w:t>
      </w:r>
      <w:r w:rsidDel="00000000" w:rsidR="00000000" w:rsidRPr="00000000">
        <w:rPr>
          <w:rtl w:val="0"/>
        </w:rPr>
      </w:r>
    </w:p>
    <w:p w:rsidR="00000000" w:rsidDel="00000000" w:rsidP="00000000" w:rsidRDefault="00000000" w:rsidRPr="00000000" w14:paraId="0000001D">
      <w:pPr>
        <w:spacing w:line="360" w:lineRule="auto"/>
        <w:jc w:val="left"/>
        <w:rPr/>
      </w:pPr>
      <w:r w:rsidDel="00000000" w:rsidR="00000000" w:rsidRPr="00000000">
        <w:rPr>
          <w:rFonts w:ascii="Arial" w:cs="Arial" w:eastAsia="Arial" w:hAnsi="Arial"/>
          <w:sz w:val="22"/>
          <w:szCs w:val="22"/>
          <w:rtl w:val="0"/>
        </w:rPr>
        <w:t xml:space="preserve">Relying on family members as informal interpreters can be problematic for several reasons. Mrs Ahmed may not accurately convey medical terminology, and Mr Ahmed’s right to confidentiality and autonomy could be compromised if he is unable to express his own views and preferences directly (Bach and Grant, 2015). The Equality Act 2010 reinforces that individuals should be treated with dignity and respect, and that their diverse needs must be acknowledged and addressed in care delivery (VinciWorks, 2023). Practitioners should therefore consider commissioning Language Line or similar professional interpretation services to ensure Mr Ahmed can participate fully in decisions about his own care.</w:t>
      </w:r>
      <w:r w:rsidDel="00000000" w:rsidR="00000000" w:rsidRPr="00000000">
        <w:rPr>
          <w:rtl w:val="0"/>
        </w:rPr>
      </w:r>
    </w:p>
    <w:p w:rsidR="00000000" w:rsidDel="00000000" w:rsidP="00000000" w:rsidRDefault="00000000" w:rsidRPr="00000000" w14:paraId="0000001E">
      <w:pPr>
        <w:spacing w:line="360" w:lineRule="auto"/>
        <w:jc w:val="left"/>
        <w:rPr/>
      </w:pPr>
      <w:r w:rsidDel="00000000" w:rsidR="00000000" w:rsidRPr="00000000">
        <w:rPr>
          <w:rFonts w:ascii="Arial" w:cs="Arial" w:eastAsia="Arial" w:hAnsi="Arial"/>
          <w:sz w:val="22"/>
          <w:szCs w:val="22"/>
          <w:rtl w:val="0"/>
        </w:rPr>
        <w:t xml:space="preserve">One communication model that can be applied to Mr Ahmed’s care is the SOLER model, developed by Gerard Egan (1975). SOLER is an acronym standing for Sit squarely, Open posture, Lean forward, Eye contact, and Relax. This model focuses on non-verbal communication and active listening, both of which are essential when working with individuals who have limited verbal communication abilities (Egan, 2014). When a care worker visits Mr Ahmed, sitting at his level rather than standing over him reduces the power imbalance and creates a more comfortable environment. Maintaining an open posture and leaning slightly forward demonstrates genuine interest and attentiveness. However, practitioners must be culturally sensitive when applying the SOLER model; for example, sustained direct eye contact may be interpreted differently across cultures (Stickley, 2011). In Mr Ahmed’s Bengali cultural context, prolonged eye contact with authority figures may be considered disrespectful. Care workers should therefore adapt their approach, balancing the principles of SOLER with cultural awareness to ensure communication is both effective and respectful. By combining legislative compliance under the Equality Act 2010 with a practical communication framework such as SOLER, practitioners can significantly improve the quality of care provided to Mr Ahmed and ensure his voice is heard in all aspects of his care planning.</w:t>
      </w:r>
      <w:r w:rsidDel="00000000" w:rsidR="00000000" w:rsidRPr="00000000">
        <w:rPr>
          <w:rtl w:val="0"/>
        </w:rPr>
      </w:r>
    </w:p>
    <w:p w:rsidR="00000000" w:rsidDel="00000000" w:rsidP="00000000" w:rsidRDefault="00000000" w:rsidRPr="00000000" w14:paraId="0000001F">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2. The Importance of Good Administrative Skills and Record Keeping</w:t>
      </w:r>
      <w:r w:rsidDel="00000000" w:rsidR="00000000" w:rsidRPr="00000000">
        <w:rPr>
          <w:rtl w:val="0"/>
        </w:rPr>
      </w:r>
    </w:p>
    <w:p w:rsidR="00000000" w:rsidDel="00000000" w:rsidP="00000000" w:rsidRDefault="00000000" w:rsidRPr="00000000" w14:paraId="00000020">
      <w:pPr>
        <w:spacing w:line="360" w:lineRule="auto"/>
        <w:jc w:val="left"/>
        <w:rPr/>
      </w:pPr>
      <w:r w:rsidDel="00000000" w:rsidR="00000000" w:rsidRPr="00000000">
        <w:rPr>
          <w:rFonts w:ascii="Arial" w:cs="Arial" w:eastAsia="Arial" w:hAnsi="Arial"/>
          <w:sz w:val="22"/>
          <w:szCs w:val="22"/>
          <w:rtl w:val="0"/>
        </w:rPr>
        <w:t xml:space="preserve">Good administrative skills are essential within professional health and social care practice, as accurate and timely record keeping underpins safe and effective care delivery. In Mr Ahmed’s case, the recent incident involving a missed home visit, which led to him not receiving his prescribed medication on time, highlights the serious consequences that can result from administrative failures. Accurate records ensure continuity of care, enable effective communication between professionals, and provide a documented account of the care delivered to each service user (Griffith and Tengnah, 2020).</w:t>
      </w:r>
      <w:r w:rsidDel="00000000" w:rsidR="00000000" w:rsidRPr="00000000">
        <w:rPr>
          <w:rtl w:val="0"/>
        </w:rPr>
      </w:r>
    </w:p>
    <w:p w:rsidR="00000000" w:rsidDel="00000000" w:rsidP="00000000" w:rsidRDefault="00000000" w:rsidRPr="00000000" w14:paraId="00000021">
      <w:pPr>
        <w:spacing w:line="360" w:lineRule="auto"/>
        <w:jc w:val="left"/>
        <w:rPr/>
      </w:pPr>
      <w:r w:rsidDel="00000000" w:rsidR="00000000" w:rsidRPr="00000000">
        <w:rPr>
          <w:rFonts w:ascii="Arial" w:cs="Arial" w:eastAsia="Arial" w:hAnsi="Arial"/>
          <w:sz w:val="22"/>
          <w:szCs w:val="22"/>
          <w:rtl w:val="0"/>
        </w:rPr>
        <w:t xml:space="preserve">The Data Protection Act 2018 is the primary legislation governing how personal data is collected, stored, and used in the United Kingdom. It incorporates the principles of the UK General Data Protection Regulation (UK GDPR) and applies directly to health and social care providers who handle large volumes of sensitive personal information, including medical records, care plans, and medication charts (Legislation.gov.uk, 2018). The Act establishes seven key principles that organisations must follow: lawfulness, fairness and transparency; purpose limitation; data minimisation; accuracy; storage limitation; integrity and confidentiality; and accountability. In Mr Ahmed’s case, his care records must be kept accurate and up to date, stored securely, and only accessed by authorised personnel who are directly involved in his care.</w:t>
      </w:r>
      <w:r w:rsidDel="00000000" w:rsidR="00000000" w:rsidRPr="00000000">
        <w:rPr>
          <w:rtl w:val="0"/>
        </w:rPr>
      </w:r>
    </w:p>
    <w:p w:rsidR="00000000" w:rsidDel="00000000" w:rsidP="00000000" w:rsidRDefault="00000000" w:rsidRPr="00000000" w14:paraId="00000022">
      <w:pPr>
        <w:spacing w:line="360" w:lineRule="auto"/>
        <w:jc w:val="left"/>
        <w:rPr/>
      </w:pPr>
      <w:r w:rsidDel="00000000" w:rsidR="00000000" w:rsidRPr="00000000">
        <w:rPr>
          <w:rFonts w:ascii="Arial" w:cs="Arial" w:eastAsia="Arial" w:hAnsi="Arial"/>
          <w:sz w:val="22"/>
          <w:szCs w:val="22"/>
          <w:rtl w:val="0"/>
        </w:rPr>
        <w:t xml:space="preserve">The concept of special category data is particularly relevant in health and social care. Information about Mr Ahmed’s health conditions, medication regime, and rehabilitation needs constitutes special category data under the Data Protection Act 2018, which requires additional safeguards and a specific lawful basis for processing (Information Commissioner’s Office, 2018). Care workers visiting Mr Ahmed must document each visit accurately, recording the care provided, any observations about his health, and whether medication has been administered. This information must be shared appropriately with other members of the multidisciplinary team, such as the district nurse and GP, while maintaining confidentiality and adhering to the principle of data minimisation, meaning only the necessary information should be shared for the purpose of his care.</w:t>
      </w:r>
      <w:r w:rsidDel="00000000" w:rsidR="00000000" w:rsidRPr="00000000">
        <w:rPr>
          <w:rtl w:val="0"/>
        </w:rPr>
      </w:r>
    </w:p>
    <w:p w:rsidR="00000000" w:rsidDel="00000000" w:rsidP="00000000" w:rsidRDefault="00000000" w:rsidRPr="00000000" w14:paraId="00000023">
      <w:pPr>
        <w:spacing w:line="360" w:lineRule="auto"/>
        <w:jc w:val="left"/>
        <w:rPr/>
      </w:pPr>
      <w:r w:rsidDel="00000000" w:rsidR="00000000" w:rsidRPr="00000000">
        <w:rPr>
          <w:rFonts w:ascii="Arial" w:cs="Arial" w:eastAsia="Arial" w:hAnsi="Arial"/>
          <w:sz w:val="22"/>
          <w:szCs w:val="22"/>
          <w:rtl w:val="0"/>
        </w:rPr>
        <w:t xml:space="preserve">Furthermore, the Care Act 2014 and the Health and Social Care Act 2012 both emphasise the importance of transparent and accountable record keeping in protecting the rights of service users. The missed medication incident in Mr Ahmed’s case should be thoroughly documented, reported, and investigated in line with organisational policies and regulatory requirements set by the Care Quality Commission (CQC). Effective record keeping not only protects service users but also protects practitioners by providing evidence of the care delivered and decisions made (Griffith and Tengnah, 2020). Regular staff training on data protection principles and record-keeping procedures is therefore essential to ensure compliance and maintain trust between service users and care providers.</w:t>
      </w:r>
      <w:r w:rsidDel="00000000" w:rsidR="00000000" w:rsidRPr="00000000">
        <w:rPr>
          <w:rtl w:val="0"/>
        </w:rPr>
      </w:r>
    </w:p>
    <w:p w:rsidR="00000000" w:rsidDel="00000000" w:rsidP="00000000" w:rsidRDefault="00000000" w:rsidRPr="00000000" w14:paraId="00000024">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3. The Importance of Collaborative Multi-Agency Working</w:t>
      </w:r>
      <w:r w:rsidDel="00000000" w:rsidR="00000000" w:rsidRPr="00000000">
        <w:rPr>
          <w:rtl w:val="0"/>
        </w:rPr>
      </w:r>
    </w:p>
    <w:p w:rsidR="00000000" w:rsidDel="00000000" w:rsidP="00000000" w:rsidRDefault="00000000" w:rsidRPr="00000000" w14:paraId="00000025">
      <w:pPr>
        <w:spacing w:line="360" w:lineRule="auto"/>
        <w:jc w:val="left"/>
        <w:rPr/>
      </w:pPr>
      <w:r w:rsidDel="00000000" w:rsidR="00000000" w:rsidRPr="00000000">
        <w:rPr>
          <w:rFonts w:ascii="Arial" w:cs="Arial" w:eastAsia="Arial" w:hAnsi="Arial"/>
          <w:sz w:val="22"/>
          <w:szCs w:val="22"/>
          <w:rtl w:val="0"/>
        </w:rPr>
        <w:t xml:space="preserve">Collaborative multi-agency working is vital in ensuring that Mr Ahmed receives holistic, coordinated care that addresses all of his needs. His care involves multiple professionals, including his GP, a district nurse who visits twice weekly to monitor blood pressure and wound care, domiciliary care workers who assist three times daily, and a speech and language therapist who supports his communication and swallowing. Each professional brings a different area of expertise, and effective collaboration ensures that these contributions are coordinated rather than fragmented (Cameron and Lart, 2003).</w:t>
      </w:r>
      <w:r w:rsidDel="00000000" w:rsidR="00000000" w:rsidRPr="00000000">
        <w:rPr>
          <w:rtl w:val="0"/>
        </w:rPr>
      </w:r>
    </w:p>
    <w:p w:rsidR="00000000" w:rsidDel="00000000" w:rsidP="00000000" w:rsidRDefault="00000000" w:rsidRPr="00000000" w14:paraId="00000026">
      <w:pPr>
        <w:spacing w:line="360" w:lineRule="auto"/>
        <w:jc w:val="left"/>
        <w:rPr/>
      </w:pPr>
      <w:r w:rsidDel="00000000" w:rsidR="00000000" w:rsidRPr="00000000">
        <w:rPr>
          <w:rFonts w:ascii="Arial" w:cs="Arial" w:eastAsia="Arial" w:hAnsi="Arial"/>
          <w:sz w:val="22"/>
          <w:szCs w:val="22"/>
          <w:rtl w:val="0"/>
        </w:rPr>
        <w:t xml:space="preserve">The Care Act 2014 provides the legislative basis for partnership working in adult social care, emphasising the need for local authorities and partner agencies to cooperate in promoting individual wellbeing and preventing needs from escalating. In Mr Ahmed’s case, regular multi-agency meetings and shared care planning would enable all professionals to discuss his progress, identify any emerging concerns, and adjust his care plan accordingly. This is particularly important given the recent missed home visit, which could have been identified and addressed more quickly through effective inter-agency communication.</w:t>
      </w:r>
      <w:r w:rsidDel="00000000" w:rsidR="00000000" w:rsidRPr="00000000">
        <w:rPr>
          <w:rtl w:val="0"/>
        </w:rPr>
      </w:r>
    </w:p>
    <w:p w:rsidR="00000000" w:rsidDel="00000000" w:rsidP="00000000" w:rsidRDefault="00000000" w:rsidRPr="00000000" w14:paraId="00000027">
      <w:pPr>
        <w:spacing w:line="360" w:lineRule="auto"/>
        <w:jc w:val="left"/>
        <w:rPr/>
      </w:pPr>
      <w:r w:rsidDel="00000000" w:rsidR="00000000" w:rsidRPr="00000000">
        <w:rPr>
          <w:rFonts w:ascii="Arial" w:cs="Arial" w:eastAsia="Arial" w:hAnsi="Arial"/>
          <w:sz w:val="22"/>
          <w:szCs w:val="22"/>
          <w:rtl w:val="0"/>
        </w:rPr>
        <w:t xml:space="preserve">However, multi-agency working is not without its challenges. Differences in organisational cultures, professional terminologies, and working practices can create barriers to effective collaboration (Glasby and Dickinson, 2014). For example, health professionals and social care workers may use different record-keeping systems, making it difficult to share information seamlessly. Conflicting priorities and limited resources can also hinder partnership working. To overcome these challenges, strategies such as establishing clear communication protocols, holding regular multi-disciplinary team meetings, appointing a lead professional to coordinate Mr Ahmed’s care, and developing shared information-sharing agreements are essential. Joint training opportunities can also help professionals from different agencies develop mutual understanding and respect for each other’s roles, ultimately improving the quality and safety of care for individuals like Mr Ahmed.</w:t>
      </w:r>
      <w:r w:rsidDel="00000000" w:rsidR="00000000" w:rsidRPr="00000000">
        <w:rPr>
          <w:rtl w:val="0"/>
        </w:rPr>
      </w:r>
    </w:p>
    <w:p w:rsidR="00000000" w:rsidDel="00000000" w:rsidP="00000000" w:rsidRDefault="00000000" w:rsidRPr="00000000" w14:paraId="00000028">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Conclusion</w:t>
      </w:r>
      <w:r w:rsidDel="00000000" w:rsidR="00000000" w:rsidRPr="00000000">
        <w:rPr>
          <w:rtl w:val="0"/>
        </w:rPr>
      </w:r>
    </w:p>
    <w:p w:rsidR="00000000" w:rsidDel="00000000" w:rsidP="00000000" w:rsidRDefault="00000000" w:rsidRPr="00000000" w14:paraId="00000029">
      <w:pPr>
        <w:spacing w:line="360" w:lineRule="auto"/>
        <w:jc w:val="left"/>
        <w:rPr/>
      </w:pPr>
      <w:r w:rsidDel="00000000" w:rsidR="00000000" w:rsidRPr="00000000">
        <w:rPr>
          <w:rFonts w:ascii="Arial" w:cs="Arial" w:eastAsia="Arial" w:hAnsi="Arial"/>
          <w:sz w:val="22"/>
          <w:szCs w:val="22"/>
          <w:rtl w:val="0"/>
        </w:rPr>
        <w:t xml:space="preserve">This report has examined three critical aspects of professional practice within the context of Mr Ahmed’s care. Effective communication, underpinned by the Equality Act 2010 and informed by models such as Egan’s SOLER framework, is essential for ensuring that service users with diverse linguistic and cultural needs can participate fully in their own care. Good administrative skills and adherence to the Data Protection Act 2018 are equally important for maintaining accurate records, ensuring continuity of care, and protecting sensitive personal information. Finally, collaborative multi-agency working, supported by the Care Act 2014, enables a coordinated approach to care that draws on the expertise of multiple professionals. The missed medication incident in Mr Ahmed’s case serves as a reminder of the consequences when these systems fail, and underscores the need for ongoing training, robust policies, and a commitment to person-centred, collaborative practice in health and social care.</w:t>
      </w:r>
      <w:r w:rsidDel="00000000" w:rsidR="00000000" w:rsidRPr="00000000">
        <w:rPr>
          <w:rtl w:val="0"/>
        </w:rPr>
      </w:r>
    </w:p>
    <w:p w:rsidR="00000000" w:rsidDel="00000000" w:rsidP="00000000" w:rsidRDefault="00000000" w:rsidRPr="00000000" w14:paraId="0000002A">
      <w:pPr>
        <w:pageBreakBefore w:val="1"/>
        <w:rPr/>
      </w:pPr>
      <w:r w:rsidDel="00000000" w:rsidR="00000000" w:rsidRPr="00000000">
        <w:rPr>
          <w:rtl w:val="0"/>
        </w:rPr>
      </w:r>
    </w:p>
    <w:p w:rsidR="00000000" w:rsidDel="00000000" w:rsidP="00000000" w:rsidRDefault="00000000" w:rsidRPr="00000000" w14:paraId="0000002B">
      <w:pPr>
        <w:pStyle w:val="Heading1"/>
        <w:spacing w:after="120" w:before="240" w:line="360" w:lineRule="auto"/>
        <w:rPr/>
      </w:pPr>
      <w:r w:rsidDel="00000000" w:rsidR="00000000" w:rsidRPr="00000000">
        <w:rPr>
          <w:rFonts w:ascii="Arial" w:cs="Arial" w:eastAsia="Arial" w:hAnsi="Arial"/>
          <w:b w:val="1"/>
          <w:bCs w:val="1"/>
          <w:sz w:val="28"/>
          <w:szCs w:val="28"/>
          <w:rtl w:val="0"/>
        </w:rPr>
        <w:t xml:space="preserve">Reference List</w:t>
      </w:r>
      <w:r w:rsidDel="00000000" w:rsidR="00000000" w:rsidRPr="00000000">
        <w:rPr>
          <w:rtl w:val="0"/>
        </w:rPr>
      </w:r>
    </w:p>
    <w:p w:rsidR="00000000" w:rsidDel="00000000" w:rsidP="00000000" w:rsidRDefault="00000000" w:rsidRPr="00000000" w14:paraId="0000002C">
      <w:pPr>
        <w:spacing w:line="360" w:lineRule="auto"/>
        <w:jc w:val="left"/>
        <w:rPr/>
      </w:pPr>
      <w:r w:rsidDel="00000000" w:rsidR="00000000" w:rsidRPr="00000000">
        <w:rPr>
          <w:rFonts w:ascii="Arial" w:cs="Arial" w:eastAsia="Arial" w:hAnsi="Arial"/>
          <w:sz w:val="22"/>
          <w:szCs w:val="22"/>
          <w:rtl w:val="0"/>
        </w:rPr>
        <w:t xml:space="preserve">Bach, S. and Grant, A. (2015) Communication and Interpersonal Skills in Nursing. 3rd edn. London: Sage Publications.</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jc w:val="left"/>
        <w:rPr/>
      </w:pPr>
      <w:r w:rsidDel="00000000" w:rsidR="00000000" w:rsidRPr="00000000">
        <w:rPr>
          <w:rFonts w:ascii="Arial" w:cs="Arial" w:eastAsia="Arial" w:hAnsi="Arial"/>
          <w:sz w:val="22"/>
          <w:szCs w:val="22"/>
          <w:rtl w:val="0"/>
        </w:rPr>
        <w:t xml:space="preserve">Cameron, A. and Lart, R. (2003) ‘Factors promoting and obstacles hindering joint working: a systematic review of the research evidence’, Journal of Integrated Care, 11(2), pp. 9–17.</w:t>
      </w: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jc w:val="left"/>
        <w:rPr/>
      </w:pPr>
      <w:r w:rsidDel="00000000" w:rsidR="00000000" w:rsidRPr="00000000">
        <w:rPr>
          <w:rFonts w:ascii="Arial" w:cs="Arial" w:eastAsia="Arial" w:hAnsi="Arial"/>
          <w:sz w:val="22"/>
          <w:szCs w:val="22"/>
          <w:rtl w:val="0"/>
        </w:rPr>
        <w:t xml:space="preserve">Egan, G. (2014) The Skilled Helper: A Problem-Management and Opportunity-Development Approach to Helping. 10th edn. Belmont, CA: Brooks/Cole.</w:t>
      </w: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jc w:val="left"/>
        <w:rPr/>
      </w:pPr>
      <w:r w:rsidDel="00000000" w:rsidR="00000000" w:rsidRPr="00000000">
        <w:rPr>
          <w:rFonts w:ascii="Arial" w:cs="Arial" w:eastAsia="Arial" w:hAnsi="Arial"/>
          <w:sz w:val="22"/>
          <w:szCs w:val="22"/>
          <w:rtl w:val="0"/>
        </w:rPr>
        <w:t xml:space="preserve">Glasby, J. and Dickinson, H. (2014) Partnership Working in Health and Social Care: What is Integrated Care and How Can We Deliver It? 2nd edn. Bristol: Policy Press.</w:t>
      </w: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jc w:val="left"/>
        <w:rPr/>
      </w:pPr>
      <w:r w:rsidDel="00000000" w:rsidR="00000000" w:rsidRPr="00000000">
        <w:rPr>
          <w:rFonts w:ascii="Arial" w:cs="Arial" w:eastAsia="Arial" w:hAnsi="Arial"/>
          <w:sz w:val="22"/>
          <w:szCs w:val="22"/>
          <w:rtl w:val="0"/>
        </w:rPr>
        <w:t xml:space="preserve">Griffith, R. and Tengnah, C. (2020) Law and Professional Issues in Nursing. 5th edn. London: Sage Publications.</w:t>
      </w:r>
      <w:r w:rsidDel="00000000" w:rsidR="00000000" w:rsidRPr="00000000">
        <w:rPr>
          <w:rtl w:val="0"/>
        </w:rPr>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jc w:val="left"/>
        <w:rPr/>
      </w:pPr>
      <w:r w:rsidDel="00000000" w:rsidR="00000000" w:rsidRPr="00000000">
        <w:rPr>
          <w:rFonts w:ascii="Arial" w:cs="Arial" w:eastAsia="Arial" w:hAnsi="Arial"/>
          <w:sz w:val="22"/>
          <w:szCs w:val="22"/>
          <w:rtl w:val="0"/>
        </w:rPr>
        <w:t xml:space="preserve">Information Commissioner’s Office (2018) Guide to the General Data Protection Regulation (GDPR). Available at: https://ico.org.uk/for-organisations/guide-to-data-protection/guide-to-the-general-data-protection-regulation-gdpr/ (Accessed: 25 March 2026).</w:t>
      </w: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jc w:val="left"/>
        <w:rPr/>
      </w:pPr>
      <w:r w:rsidDel="00000000" w:rsidR="00000000" w:rsidRPr="00000000">
        <w:rPr>
          <w:rFonts w:ascii="Arial" w:cs="Arial" w:eastAsia="Arial" w:hAnsi="Arial"/>
          <w:sz w:val="22"/>
          <w:szCs w:val="22"/>
          <w:rtl w:val="0"/>
        </w:rPr>
        <w:t xml:space="preserve">Legislation.gov.uk (2010) Equality Act 2010. Available at: https://www.legislation.gov.uk/ukpga/2010/15/contents (Accessed: 25 March 2026).</w:t>
      </w: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jc w:val="left"/>
        <w:rPr/>
      </w:pPr>
      <w:r w:rsidDel="00000000" w:rsidR="00000000" w:rsidRPr="00000000">
        <w:rPr>
          <w:rFonts w:ascii="Arial" w:cs="Arial" w:eastAsia="Arial" w:hAnsi="Arial"/>
          <w:sz w:val="22"/>
          <w:szCs w:val="22"/>
          <w:rtl w:val="0"/>
        </w:rPr>
        <w:t xml:space="preserve">Legislation.gov.uk (2018) Data Protection Act 2018. Available at: https://www.legislation.gov.uk/ukpga/2018/12/contents (Accessed: 25 March 2026).</w:t>
      </w: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jc w:val="left"/>
        <w:rPr/>
      </w:pPr>
      <w:r w:rsidDel="00000000" w:rsidR="00000000" w:rsidRPr="00000000">
        <w:rPr>
          <w:rFonts w:ascii="Arial" w:cs="Arial" w:eastAsia="Arial" w:hAnsi="Arial"/>
          <w:sz w:val="22"/>
          <w:szCs w:val="22"/>
          <w:rtl w:val="0"/>
        </w:rPr>
        <w:t xml:space="preserve">Stickley, T. (2011) ‘From SOLER to SURETY for effective non-verbal communication’, Nurse Education in Practice, 11(6), pp. 395–398.</w:t>
      </w: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jc w:val="left"/>
        <w:rPr/>
      </w:pPr>
      <w:r w:rsidDel="00000000" w:rsidR="00000000" w:rsidRPr="00000000">
        <w:rPr>
          <w:rFonts w:ascii="Arial" w:cs="Arial" w:eastAsia="Arial" w:hAnsi="Arial"/>
          <w:sz w:val="22"/>
          <w:szCs w:val="22"/>
          <w:rtl w:val="0"/>
        </w:rPr>
        <w:t xml:space="preserve">VinciWorks (2023) Equality and Diversity Legislation in Health and Social Care. Available at: https://vinciworks.com/blog/equality-and-diversity-legislation-in-health-and-social-care/ (Accessed: 25 March 2026).</w:t>
      </w: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80" w:line="360" w:lineRule="auto"/>
      <w:ind w:left="0" w:right="0" w:firstLine="0"/>
      <w:jc w:val="left"/>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