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112BD" w14:textId="77777777" w:rsidR="00D65FDA" w:rsidRDefault="00D65FDA" w:rsidP="00D65FDA">
      <w:pPr>
        <w:spacing w:before="120" w:after="120" w:line="360" w:lineRule="auto"/>
        <w:ind w:firstLine="720"/>
        <w:jc w:val="center"/>
        <w:rPr>
          <w:rFonts w:ascii="Arial" w:hAnsi="Arial" w:cs="Arial"/>
          <w:b/>
          <w:sz w:val="28"/>
          <w:szCs w:val="28"/>
        </w:rPr>
      </w:pPr>
    </w:p>
    <w:p w14:paraId="5898BE11" w14:textId="77777777" w:rsidR="00D65FDA" w:rsidRDefault="00D65FDA" w:rsidP="00D65FDA">
      <w:pPr>
        <w:spacing w:before="120" w:after="120" w:line="360" w:lineRule="auto"/>
        <w:ind w:firstLine="720"/>
        <w:jc w:val="center"/>
        <w:rPr>
          <w:rFonts w:ascii="Arial" w:hAnsi="Arial" w:cs="Arial"/>
          <w:b/>
          <w:sz w:val="28"/>
          <w:szCs w:val="28"/>
        </w:rPr>
      </w:pPr>
    </w:p>
    <w:p w14:paraId="76C07C92" w14:textId="77777777" w:rsidR="00D65FDA" w:rsidRDefault="00D65FDA" w:rsidP="00D65FDA">
      <w:pPr>
        <w:spacing w:before="120" w:after="120" w:line="360" w:lineRule="auto"/>
        <w:ind w:firstLine="720"/>
        <w:jc w:val="center"/>
        <w:rPr>
          <w:rFonts w:ascii="Arial" w:hAnsi="Arial" w:cs="Arial"/>
          <w:b/>
          <w:sz w:val="28"/>
          <w:szCs w:val="28"/>
        </w:rPr>
      </w:pPr>
    </w:p>
    <w:p w14:paraId="5177EA8B" w14:textId="77777777" w:rsidR="00D65FDA" w:rsidRDefault="00D65FDA" w:rsidP="00D65FDA">
      <w:pPr>
        <w:spacing w:before="120" w:after="120" w:line="360" w:lineRule="auto"/>
        <w:ind w:firstLine="720"/>
        <w:jc w:val="center"/>
        <w:rPr>
          <w:rFonts w:ascii="Arial" w:hAnsi="Arial" w:cs="Arial"/>
          <w:b/>
          <w:sz w:val="28"/>
          <w:szCs w:val="28"/>
        </w:rPr>
      </w:pPr>
    </w:p>
    <w:p w14:paraId="006DB9EE" w14:textId="77777777" w:rsidR="00D65FDA" w:rsidRDefault="00D65FDA" w:rsidP="00D65FDA">
      <w:pPr>
        <w:spacing w:before="120" w:after="120" w:line="360" w:lineRule="auto"/>
        <w:ind w:firstLine="720"/>
        <w:jc w:val="center"/>
        <w:rPr>
          <w:rFonts w:ascii="Arial" w:hAnsi="Arial" w:cs="Arial"/>
          <w:b/>
          <w:sz w:val="28"/>
          <w:szCs w:val="28"/>
        </w:rPr>
      </w:pPr>
    </w:p>
    <w:p w14:paraId="0C82945D" w14:textId="77777777" w:rsidR="00D65FDA" w:rsidRDefault="00D65FDA" w:rsidP="00D65FDA">
      <w:pPr>
        <w:spacing w:before="120" w:after="120" w:line="360" w:lineRule="auto"/>
        <w:ind w:firstLine="720"/>
        <w:jc w:val="center"/>
        <w:rPr>
          <w:rFonts w:ascii="Arial" w:hAnsi="Arial" w:cs="Arial"/>
          <w:b/>
          <w:sz w:val="28"/>
          <w:szCs w:val="28"/>
        </w:rPr>
      </w:pPr>
    </w:p>
    <w:p w14:paraId="08827068" w14:textId="77777777" w:rsidR="00D65FDA" w:rsidRDefault="00D65FDA" w:rsidP="00D65FDA">
      <w:pPr>
        <w:spacing w:before="120" w:after="120" w:line="360" w:lineRule="auto"/>
        <w:ind w:firstLine="720"/>
        <w:jc w:val="center"/>
        <w:rPr>
          <w:rFonts w:ascii="Arial" w:hAnsi="Arial" w:cs="Arial"/>
          <w:b/>
          <w:sz w:val="28"/>
          <w:szCs w:val="28"/>
        </w:rPr>
      </w:pPr>
    </w:p>
    <w:p w14:paraId="0F1F02BD" w14:textId="77777777" w:rsidR="00D65FDA" w:rsidRPr="000E3764" w:rsidRDefault="00D65FDA" w:rsidP="00D65FDA">
      <w:pPr>
        <w:spacing w:before="120" w:after="120" w:line="360" w:lineRule="auto"/>
        <w:ind w:firstLine="720"/>
        <w:jc w:val="center"/>
        <w:rPr>
          <w:rFonts w:ascii="Arial" w:hAnsi="Arial" w:cs="Arial"/>
          <w:sz w:val="28"/>
          <w:szCs w:val="28"/>
        </w:rPr>
      </w:pPr>
      <w:r w:rsidRPr="000E3764">
        <w:rPr>
          <w:rFonts w:ascii="Arial" w:hAnsi="Arial" w:cs="Arial"/>
          <w:noProof/>
        </w:rPr>
        <w:drawing>
          <wp:anchor distT="0" distB="0" distL="114300" distR="114300" simplePos="0" relativeHeight="251659264" behindDoc="0" locked="0" layoutInCell="1" allowOverlap="1" wp14:anchorId="132C37C4" wp14:editId="22641819">
            <wp:simplePos x="0" y="0"/>
            <wp:positionH relativeFrom="column">
              <wp:posOffset>-338137</wp:posOffset>
            </wp:positionH>
            <wp:positionV relativeFrom="page">
              <wp:posOffset>788670</wp:posOffset>
            </wp:positionV>
            <wp:extent cx="3314700" cy="1381125"/>
            <wp:effectExtent l="0" t="0" r="0" b="9525"/>
            <wp:wrapThrough wrapText="bothSides">
              <wp:wrapPolygon edited="0">
                <wp:start x="0" y="0"/>
                <wp:lineTo x="0" y="21451"/>
                <wp:lineTo x="21476" y="21451"/>
                <wp:lineTo x="21476" y="0"/>
                <wp:lineTo x="0" y="0"/>
              </wp:wrapPolygon>
            </wp:wrapThrough>
            <wp:docPr id="309035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035626" name="Picture 309035626"/>
                    <pic:cNvPicPr/>
                  </pic:nvPicPr>
                  <pic:blipFill>
                    <a:blip r:embed="rId8">
                      <a:extLst>
                        <a:ext uri="{28A0092B-C50C-407E-A947-70E740481C1C}">
                          <a14:useLocalDpi xmlns:a14="http://schemas.microsoft.com/office/drawing/2010/main" val="0"/>
                        </a:ext>
                      </a:extLst>
                    </a:blip>
                    <a:stretch>
                      <a:fillRect/>
                    </a:stretch>
                  </pic:blipFill>
                  <pic:spPr>
                    <a:xfrm>
                      <a:off x="0" y="0"/>
                      <a:ext cx="3314700" cy="1381125"/>
                    </a:xfrm>
                    <a:prstGeom prst="rect">
                      <a:avLst/>
                    </a:prstGeom>
                  </pic:spPr>
                </pic:pic>
              </a:graphicData>
            </a:graphic>
          </wp:anchor>
        </w:drawing>
      </w:r>
      <w:r w:rsidRPr="000E3764">
        <w:rPr>
          <w:rFonts w:ascii="Arial" w:hAnsi="Arial" w:cs="Arial"/>
          <w:sz w:val="28"/>
          <w:szCs w:val="28"/>
        </w:rPr>
        <w:t>BA (Hons) Leadership and Management Skills for the Workplace</w:t>
      </w:r>
    </w:p>
    <w:p w14:paraId="53354EDD" w14:textId="41F999C4" w:rsidR="00D65FDA" w:rsidRDefault="00E520C7" w:rsidP="00D65FDA">
      <w:pPr>
        <w:spacing w:before="120" w:after="120" w:line="360" w:lineRule="auto"/>
        <w:jc w:val="center"/>
        <w:rPr>
          <w:rFonts w:ascii="Arial" w:hAnsi="Arial" w:cs="Arial"/>
          <w:b/>
          <w:bCs/>
          <w:sz w:val="28"/>
          <w:szCs w:val="28"/>
        </w:rPr>
      </w:pPr>
      <w:r w:rsidRPr="00E520C7">
        <w:rPr>
          <w:rFonts w:ascii="Arial" w:hAnsi="Arial" w:cs="Arial"/>
          <w:sz w:val="28"/>
          <w:szCs w:val="28"/>
        </w:rPr>
        <w:t>Developing and Managing Individuals and Teams (LCLM5002_BIRM)</w:t>
      </w:r>
    </w:p>
    <w:p w14:paraId="3F1F4B8A" w14:textId="77777777" w:rsidR="00D65FDA" w:rsidRDefault="00D65FDA" w:rsidP="00D65FDA">
      <w:pPr>
        <w:spacing w:before="120" w:after="120" w:line="360" w:lineRule="auto"/>
        <w:jc w:val="center"/>
        <w:rPr>
          <w:rFonts w:ascii="Arial" w:hAnsi="Arial" w:cs="Arial"/>
          <w:b/>
          <w:bCs/>
          <w:sz w:val="28"/>
          <w:szCs w:val="28"/>
        </w:rPr>
      </w:pPr>
    </w:p>
    <w:p w14:paraId="2EA1C7CC" w14:textId="77777777" w:rsidR="00D65FDA" w:rsidRDefault="00D65FDA" w:rsidP="00D65FDA">
      <w:pPr>
        <w:spacing w:before="120" w:after="120" w:line="360" w:lineRule="auto"/>
        <w:jc w:val="center"/>
        <w:rPr>
          <w:rFonts w:ascii="Arial" w:hAnsi="Arial" w:cs="Arial"/>
          <w:b/>
          <w:bCs/>
          <w:sz w:val="28"/>
          <w:szCs w:val="28"/>
        </w:rPr>
      </w:pPr>
    </w:p>
    <w:p w14:paraId="708D282C" w14:textId="1ED3A500" w:rsidR="00D65FDA" w:rsidRPr="000E3764" w:rsidRDefault="00CA04DC" w:rsidP="00D65FDA">
      <w:pPr>
        <w:spacing w:before="120" w:after="120" w:line="360" w:lineRule="auto"/>
        <w:jc w:val="center"/>
        <w:rPr>
          <w:rFonts w:ascii="Arial" w:hAnsi="Arial" w:cs="Arial"/>
          <w:b/>
          <w:bCs/>
          <w:sz w:val="28"/>
          <w:szCs w:val="28"/>
        </w:rPr>
      </w:pPr>
      <w:r w:rsidRPr="00CA04DC">
        <w:rPr>
          <w:rFonts w:ascii="Arial" w:hAnsi="Arial" w:cs="Arial"/>
          <w:sz w:val="28"/>
          <w:szCs w:val="28"/>
        </w:rPr>
        <w:t xml:space="preserve">Human Resource Challenges and Contemporary Practices at </w:t>
      </w:r>
      <w:proofErr w:type="spellStart"/>
      <w:r w:rsidRPr="00CA04DC">
        <w:rPr>
          <w:rFonts w:ascii="Arial" w:hAnsi="Arial" w:cs="Arial"/>
          <w:sz w:val="28"/>
          <w:szCs w:val="28"/>
        </w:rPr>
        <w:t>Scolmore</w:t>
      </w:r>
      <w:proofErr w:type="spellEnd"/>
      <w:r w:rsidRPr="00CA04DC">
        <w:rPr>
          <w:rFonts w:ascii="Arial" w:hAnsi="Arial" w:cs="Arial"/>
          <w:sz w:val="28"/>
          <w:szCs w:val="28"/>
        </w:rPr>
        <w:t xml:space="preserve"> Group</w:t>
      </w:r>
      <w:r>
        <w:rPr>
          <w:rFonts w:ascii="Arial" w:hAnsi="Arial" w:cs="Arial"/>
          <w:sz w:val="28"/>
          <w:szCs w:val="28"/>
        </w:rPr>
        <w:t xml:space="preserve"> - Report</w:t>
      </w:r>
    </w:p>
    <w:p w14:paraId="724B18B1" w14:textId="77777777" w:rsidR="00D65FDA" w:rsidRPr="00022088" w:rsidRDefault="00D65FDA" w:rsidP="00D65FDA">
      <w:pPr>
        <w:spacing w:before="120" w:after="120" w:line="360" w:lineRule="auto"/>
        <w:jc w:val="center"/>
        <w:rPr>
          <w:rFonts w:ascii="Arial" w:hAnsi="Arial" w:cs="Arial"/>
          <w:b/>
          <w:sz w:val="28"/>
          <w:szCs w:val="28"/>
        </w:rPr>
      </w:pPr>
    </w:p>
    <w:p w14:paraId="45FF301E" w14:textId="77777777" w:rsidR="00D65FDA" w:rsidRDefault="00D65FDA" w:rsidP="00D65FDA">
      <w:pPr>
        <w:spacing w:line="360" w:lineRule="auto"/>
        <w:jc w:val="both"/>
        <w:rPr>
          <w:rFonts w:ascii="Arial" w:hAnsi="Arial" w:cs="Arial"/>
          <w:b/>
          <w:bCs/>
        </w:rPr>
      </w:pPr>
    </w:p>
    <w:p w14:paraId="69E5C570" w14:textId="3CB4CCDC" w:rsidR="00D65FDA" w:rsidRDefault="00D65FDA" w:rsidP="00D65FDA">
      <w:pPr>
        <w:spacing w:line="360" w:lineRule="auto"/>
        <w:ind w:left="720"/>
        <w:jc w:val="right"/>
        <w:rPr>
          <w:rFonts w:ascii="Arial" w:hAnsi="Arial" w:cs="Arial"/>
        </w:rPr>
      </w:pPr>
      <w:r w:rsidRPr="00DF7C3E">
        <w:rPr>
          <w:rFonts w:ascii="Arial" w:hAnsi="Arial" w:cs="Arial"/>
        </w:rPr>
        <w:t>Module Lead</w:t>
      </w:r>
      <w:r>
        <w:rPr>
          <w:rFonts w:ascii="Arial" w:hAnsi="Arial" w:cs="Arial"/>
        </w:rPr>
        <w:t>er:</w:t>
      </w:r>
      <w:r w:rsidRPr="00DF7C3E">
        <w:rPr>
          <w:rFonts w:ascii="Arial" w:hAnsi="Arial" w:cs="Arial"/>
        </w:rPr>
        <w:t xml:space="preserve"> </w:t>
      </w:r>
      <w:r w:rsidR="00B31B7A" w:rsidRPr="00B31B7A">
        <w:rPr>
          <w:rFonts w:ascii="Arial" w:hAnsi="Arial" w:cs="Arial"/>
        </w:rPr>
        <w:t>Dr Mudassar Hasan</w:t>
      </w:r>
    </w:p>
    <w:p w14:paraId="2ED45206" w14:textId="77777777" w:rsidR="00D65FDA" w:rsidRDefault="00D65FDA" w:rsidP="00D65FDA">
      <w:pPr>
        <w:spacing w:line="360" w:lineRule="auto"/>
        <w:ind w:left="720"/>
        <w:jc w:val="right"/>
        <w:rPr>
          <w:rFonts w:ascii="Arial" w:hAnsi="Arial" w:cs="Arial"/>
        </w:rPr>
      </w:pPr>
      <w:r>
        <w:rPr>
          <w:rFonts w:ascii="Arial" w:hAnsi="Arial" w:cs="Arial"/>
        </w:rPr>
        <w:t>Student name: Alina Mihaila</w:t>
      </w:r>
    </w:p>
    <w:p w14:paraId="225B7F15" w14:textId="77777777" w:rsidR="00D65FDA" w:rsidRPr="00DF7C3E" w:rsidRDefault="00D65FDA" w:rsidP="00D65FDA">
      <w:pPr>
        <w:spacing w:line="360" w:lineRule="auto"/>
        <w:ind w:left="720"/>
        <w:jc w:val="right"/>
        <w:rPr>
          <w:rFonts w:ascii="Arial" w:hAnsi="Arial" w:cs="Arial"/>
        </w:rPr>
      </w:pPr>
      <w:r>
        <w:rPr>
          <w:rFonts w:ascii="Arial" w:hAnsi="Arial" w:cs="Arial"/>
        </w:rPr>
        <w:t xml:space="preserve">Student ID: </w:t>
      </w:r>
      <w:r w:rsidRPr="00281CDC">
        <w:rPr>
          <w:rFonts w:ascii="Arial" w:hAnsi="Arial" w:cs="Arial"/>
        </w:rPr>
        <w:t>2410740</w:t>
      </w:r>
    </w:p>
    <w:p w14:paraId="2B27065F" w14:textId="77777777" w:rsidR="00D65FDA" w:rsidRDefault="00D65FDA" w:rsidP="00D65FDA">
      <w:pPr>
        <w:jc w:val="right"/>
        <w:rPr>
          <w:rFonts w:ascii="Arial" w:hAnsi="Arial" w:cs="Arial"/>
          <w:b/>
          <w:bCs/>
        </w:rPr>
      </w:pPr>
      <w:r>
        <w:rPr>
          <w:rFonts w:ascii="Arial" w:hAnsi="Arial" w:cs="Arial"/>
          <w:b/>
          <w:bCs/>
        </w:rPr>
        <w:br w:type="page"/>
      </w:r>
    </w:p>
    <w:sdt>
      <w:sdtPr>
        <w:id w:val="-1570413097"/>
        <w:docPartObj>
          <w:docPartGallery w:val="Table of Contents"/>
          <w:docPartUnique/>
        </w:docPartObj>
      </w:sdtPr>
      <w:sdtEndPr>
        <w:rPr>
          <w:rFonts w:asciiTheme="minorHAnsi" w:eastAsiaTheme="minorHAnsi" w:hAnsiTheme="minorHAnsi" w:cstheme="minorBidi"/>
          <w:bCs/>
          <w:kern w:val="2"/>
          <w:sz w:val="24"/>
          <w:szCs w:val="24"/>
          <w:lang w:eastAsia="en-US"/>
          <w14:ligatures w14:val="standardContextual"/>
        </w:rPr>
      </w:sdtEndPr>
      <w:sdtContent>
        <w:p w14:paraId="41E4B408" w14:textId="30589404" w:rsidR="008F542A" w:rsidRDefault="008F542A" w:rsidP="003E0DE4">
          <w:pPr>
            <w:pStyle w:val="TOCHeading"/>
          </w:pPr>
          <w:r>
            <w:t>Contents</w:t>
          </w:r>
        </w:p>
        <w:p w14:paraId="5C9B736F" w14:textId="14D5931E" w:rsidR="006E5E20" w:rsidRDefault="008F542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076675" w:history="1">
            <w:r w:rsidR="006E5E20" w:rsidRPr="00B93BDB">
              <w:rPr>
                <w:rStyle w:val="Hyperlink"/>
                <w:noProof/>
              </w:rPr>
              <w:t>Executive Summary</w:t>
            </w:r>
            <w:r w:rsidR="006E5E20">
              <w:rPr>
                <w:noProof/>
                <w:webHidden/>
              </w:rPr>
              <w:tab/>
            </w:r>
            <w:r w:rsidR="006E5E20">
              <w:rPr>
                <w:noProof/>
                <w:webHidden/>
              </w:rPr>
              <w:fldChar w:fldCharType="begin"/>
            </w:r>
            <w:r w:rsidR="006E5E20">
              <w:rPr>
                <w:noProof/>
                <w:webHidden/>
              </w:rPr>
              <w:instrText xml:space="preserve"> PAGEREF _Toc225076675 \h </w:instrText>
            </w:r>
            <w:r w:rsidR="006E5E20">
              <w:rPr>
                <w:noProof/>
                <w:webHidden/>
              </w:rPr>
            </w:r>
            <w:r w:rsidR="006E5E20">
              <w:rPr>
                <w:noProof/>
                <w:webHidden/>
              </w:rPr>
              <w:fldChar w:fldCharType="separate"/>
            </w:r>
            <w:r w:rsidR="006E5E20">
              <w:rPr>
                <w:noProof/>
                <w:webHidden/>
              </w:rPr>
              <w:t>3</w:t>
            </w:r>
            <w:r w:rsidR="006E5E20">
              <w:rPr>
                <w:noProof/>
                <w:webHidden/>
              </w:rPr>
              <w:fldChar w:fldCharType="end"/>
            </w:r>
          </w:hyperlink>
        </w:p>
        <w:p w14:paraId="52A841E3" w14:textId="32F55572" w:rsidR="006E5E20" w:rsidRDefault="006E5E20">
          <w:pPr>
            <w:pStyle w:val="TOC1"/>
            <w:tabs>
              <w:tab w:val="right" w:leader="dot" w:pos="9016"/>
            </w:tabs>
            <w:rPr>
              <w:rFonts w:eastAsiaTheme="minorEastAsia"/>
              <w:noProof/>
              <w:lang w:eastAsia="en-GB"/>
            </w:rPr>
          </w:pPr>
          <w:hyperlink w:anchor="_Toc225076676" w:history="1">
            <w:r w:rsidRPr="00B93BDB">
              <w:rPr>
                <w:rStyle w:val="Hyperlink"/>
                <w:noProof/>
              </w:rPr>
              <w:t>Introduction</w:t>
            </w:r>
            <w:r>
              <w:rPr>
                <w:noProof/>
                <w:webHidden/>
              </w:rPr>
              <w:tab/>
            </w:r>
            <w:r>
              <w:rPr>
                <w:noProof/>
                <w:webHidden/>
              </w:rPr>
              <w:fldChar w:fldCharType="begin"/>
            </w:r>
            <w:r>
              <w:rPr>
                <w:noProof/>
                <w:webHidden/>
              </w:rPr>
              <w:instrText xml:space="preserve"> PAGEREF _Toc225076676 \h </w:instrText>
            </w:r>
            <w:r>
              <w:rPr>
                <w:noProof/>
                <w:webHidden/>
              </w:rPr>
            </w:r>
            <w:r>
              <w:rPr>
                <w:noProof/>
                <w:webHidden/>
              </w:rPr>
              <w:fldChar w:fldCharType="separate"/>
            </w:r>
            <w:r>
              <w:rPr>
                <w:noProof/>
                <w:webHidden/>
              </w:rPr>
              <w:t>3</w:t>
            </w:r>
            <w:r>
              <w:rPr>
                <w:noProof/>
                <w:webHidden/>
              </w:rPr>
              <w:fldChar w:fldCharType="end"/>
            </w:r>
          </w:hyperlink>
        </w:p>
        <w:p w14:paraId="1BF49621" w14:textId="731367D1" w:rsidR="006E5E20" w:rsidRDefault="006E5E20">
          <w:pPr>
            <w:pStyle w:val="TOC1"/>
            <w:tabs>
              <w:tab w:val="right" w:leader="dot" w:pos="9016"/>
            </w:tabs>
            <w:rPr>
              <w:rFonts w:eastAsiaTheme="minorEastAsia"/>
              <w:noProof/>
              <w:lang w:eastAsia="en-GB"/>
            </w:rPr>
          </w:pPr>
          <w:hyperlink w:anchor="_Toc225076677" w:history="1">
            <w:r w:rsidRPr="00B93BDB">
              <w:rPr>
                <w:rStyle w:val="Hyperlink"/>
                <w:noProof/>
              </w:rPr>
              <w:t>1. Explanation of Specific Factors</w:t>
            </w:r>
            <w:r>
              <w:rPr>
                <w:noProof/>
                <w:webHidden/>
              </w:rPr>
              <w:tab/>
            </w:r>
            <w:r>
              <w:rPr>
                <w:noProof/>
                <w:webHidden/>
              </w:rPr>
              <w:fldChar w:fldCharType="begin"/>
            </w:r>
            <w:r>
              <w:rPr>
                <w:noProof/>
                <w:webHidden/>
              </w:rPr>
              <w:instrText xml:space="preserve"> PAGEREF _Toc225076677 \h </w:instrText>
            </w:r>
            <w:r>
              <w:rPr>
                <w:noProof/>
                <w:webHidden/>
              </w:rPr>
            </w:r>
            <w:r>
              <w:rPr>
                <w:noProof/>
                <w:webHidden/>
              </w:rPr>
              <w:fldChar w:fldCharType="separate"/>
            </w:r>
            <w:r>
              <w:rPr>
                <w:noProof/>
                <w:webHidden/>
              </w:rPr>
              <w:t>3</w:t>
            </w:r>
            <w:r>
              <w:rPr>
                <w:noProof/>
                <w:webHidden/>
              </w:rPr>
              <w:fldChar w:fldCharType="end"/>
            </w:r>
          </w:hyperlink>
        </w:p>
        <w:p w14:paraId="113042B6" w14:textId="15116791" w:rsidR="006E5E20" w:rsidRDefault="006E5E20">
          <w:pPr>
            <w:pStyle w:val="TOC2"/>
            <w:tabs>
              <w:tab w:val="right" w:leader="dot" w:pos="9016"/>
            </w:tabs>
            <w:rPr>
              <w:rFonts w:eastAsiaTheme="minorEastAsia"/>
              <w:noProof/>
              <w:lang w:eastAsia="en-GB"/>
            </w:rPr>
          </w:pPr>
          <w:hyperlink w:anchor="_Toc225076678" w:history="1">
            <w:r w:rsidRPr="00B93BDB">
              <w:rPr>
                <w:rStyle w:val="Hyperlink"/>
                <w:noProof/>
              </w:rPr>
              <w:t>Meeting Technological Advancement</w:t>
            </w:r>
            <w:r>
              <w:rPr>
                <w:noProof/>
                <w:webHidden/>
              </w:rPr>
              <w:tab/>
            </w:r>
            <w:r>
              <w:rPr>
                <w:noProof/>
                <w:webHidden/>
              </w:rPr>
              <w:fldChar w:fldCharType="begin"/>
            </w:r>
            <w:r>
              <w:rPr>
                <w:noProof/>
                <w:webHidden/>
              </w:rPr>
              <w:instrText xml:space="preserve"> PAGEREF _Toc225076678 \h </w:instrText>
            </w:r>
            <w:r>
              <w:rPr>
                <w:noProof/>
                <w:webHidden/>
              </w:rPr>
            </w:r>
            <w:r>
              <w:rPr>
                <w:noProof/>
                <w:webHidden/>
              </w:rPr>
              <w:fldChar w:fldCharType="separate"/>
            </w:r>
            <w:r>
              <w:rPr>
                <w:noProof/>
                <w:webHidden/>
              </w:rPr>
              <w:t>3</w:t>
            </w:r>
            <w:r>
              <w:rPr>
                <w:noProof/>
                <w:webHidden/>
              </w:rPr>
              <w:fldChar w:fldCharType="end"/>
            </w:r>
          </w:hyperlink>
        </w:p>
        <w:p w14:paraId="037C07FA" w14:textId="4EE2A73F" w:rsidR="006E5E20" w:rsidRDefault="006E5E20">
          <w:pPr>
            <w:pStyle w:val="TOC2"/>
            <w:tabs>
              <w:tab w:val="right" w:leader="dot" w:pos="9016"/>
            </w:tabs>
            <w:rPr>
              <w:rFonts w:eastAsiaTheme="minorEastAsia"/>
              <w:noProof/>
              <w:lang w:eastAsia="en-GB"/>
            </w:rPr>
          </w:pPr>
          <w:hyperlink w:anchor="_Toc225076679" w:history="1">
            <w:r w:rsidRPr="00B93BDB">
              <w:rPr>
                <w:rStyle w:val="Hyperlink"/>
                <w:noProof/>
              </w:rPr>
              <w:t>Talent Acquisition and Retention</w:t>
            </w:r>
            <w:r>
              <w:rPr>
                <w:noProof/>
                <w:webHidden/>
              </w:rPr>
              <w:tab/>
            </w:r>
            <w:r>
              <w:rPr>
                <w:noProof/>
                <w:webHidden/>
              </w:rPr>
              <w:fldChar w:fldCharType="begin"/>
            </w:r>
            <w:r>
              <w:rPr>
                <w:noProof/>
                <w:webHidden/>
              </w:rPr>
              <w:instrText xml:space="preserve"> PAGEREF _Toc225076679 \h </w:instrText>
            </w:r>
            <w:r>
              <w:rPr>
                <w:noProof/>
                <w:webHidden/>
              </w:rPr>
            </w:r>
            <w:r>
              <w:rPr>
                <w:noProof/>
                <w:webHidden/>
              </w:rPr>
              <w:fldChar w:fldCharType="separate"/>
            </w:r>
            <w:r>
              <w:rPr>
                <w:noProof/>
                <w:webHidden/>
              </w:rPr>
              <w:t>4</w:t>
            </w:r>
            <w:r>
              <w:rPr>
                <w:noProof/>
                <w:webHidden/>
              </w:rPr>
              <w:fldChar w:fldCharType="end"/>
            </w:r>
          </w:hyperlink>
        </w:p>
        <w:p w14:paraId="484ABCB7" w14:textId="1F52942F" w:rsidR="006E5E20" w:rsidRDefault="006E5E20">
          <w:pPr>
            <w:pStyle w:val="TOC2"/>
            <w:tabs>
              <w:tab w:val="right" w:leader="dot" w:pos="9016"/>
            </w:tabs>
            <w:rPr>
              <w:rFonts w:eastAsiaTheme="minorEastAsia"/>
              <w:noProof/>
              <w:lang w:eastAsia="en-GB"/>
            </w:rPr>
          </w:pPr>
          <w:hyperlink w:anchor="_Toc225076680" w:history="1">
            <w:r w:rsidRPr="00B93BDB">
              <w:rPr>
                <w:rStyle w:val="Hyperlink"/>
                <w:noProof/>
              </w:rPr>
              <w:t>Diversity, Equity, and Inclusion (DEI)</w:t>
            </w:r>
            <w:r>
              <w:rPr>
                <w:noProof/>
                <w:webHidden/>
              </w:rPr>
              <w:tab/>
            </w:r>
            <w:r>
              <w:rPr>
                <w:noProof/>
                <w:webHidden/>
              </w:rPr>
              <w:fldChar w:fldCharType="begin"/>
            </w:r>
            <w:r>
              <w:rPr>
                <w:noProof/>
                <w:webHidden/>
              </w:rPr>
              <w:instrText xml:space="preserve"> PAGEREF _Toc225076680 \h </w:instrText>
            </w:r>
            <w:r>
              <w:rPr>
                <w:noProof/>
                <w:webHidden/>
              </w:rPr>
            </w:r>
            <w:r>
              <w:rPr>
                <w:noProof/>
                <w:webHidden/>
              </w:rPr>
              <w:fldChar w:fldCharType="separate"/>
            </w:r>
            <w:r>
              <w:rPr>
                <w:noProof/>
                <w:webHidden/>
              </w:rPr>
              <w:t>4</w:t>
            </w:r>
            <w:r>
              <w:rPr>
                <w:noProof/>
                <w:webHidden/>
              </w:rPr>
              <w:fldChar w:fldCharType="end"/>
            </w:r>
          </w:hyperlink>
        </w:p>
        <w:p w14:paraId="7636897A" w14:textId="5E0EA531" w:rsidR="006E5E20" w:rsidRDefault="006E5E20">
          <w:pPr>
            <w:pStyle w:val="TOC1"/>
            <w:tabs>
              <w:tab w:val="right" w:leader="dot" w:pos="9016"/>
            </w:tabs>
            <w:rPr>
              <w:rFonts w:eastAsiaTheme="minorEastAsia"/>
              <w:noProof/>
              <w:lang w:eastAsia="en-GB"/>
            </w:rPr>
          </w:pPr>
          <w:hyperlink w:anchor="_Toc225076681" w:history="1">
            <w:r w:rsidRPr="00B93BDB">
              <w:rPr>
                <w:rStyle w:val="Hyperlink"/>
                <w:noProof/>
              </w:rPr>
              <w:t>2. Evaluation of Contemporary HR Practices</w:t>
            </w:r>
            <w:r>
              <w:rPr>
                <w:noProof/>
                <w:webHidden/>
              </w:rPr>
              <w:tab/>
            </w:r>
            <w:r>
              <w:rPr>
                <w:noProof/>
                <w:webHidden/>
              </w:rPr>
              <w:fldChar w:fldCharType="begin"/>
            </w:r>
            <w:r>
              <w:rPr>
                <w:noProof/>
                <w:webHidden/>
              </w:rPr>
              <w:instrText xml:space="preserve"> PAGEREF _Toc225076681 \h </w:instrText>
            </w:r>
            <w:r>
              <w:rPr>
                <w:noProof/>
                <w:webHidden/>
              </w:rPr>
            </w:r>
            <w:r>
              <w:rPr>
                <w:noProof/>
                <w:webHidden/>
              </w:rPr>
              <w:fldChar w:fldCharType="separate"/>
            </w:r>
            <w:r>
              <w:rPr>
                <w:noProof/>
                <w:webHidden/>
              </w:rPr>
              <w:t>5</w:t>
            </w:r>
            <w:r>
              <w:rPr>
                <w:noProof/>
                <w:webHidden/>
              </w:rPr>
              <w:fldChar w:fldCharType="end"/>
            </w:r>
          </w:hyperlink>
        </w:p>
        <w:p w14:paraId="2544F4B9" w14:textId="35201E9B" w:rsidR="006E5E20" w:rsidRDefault="006E5E20">
          <w:pPr>
            <w:pStyle w:val="TOC2"/>
            <w:tabs>
              <w:tab w:val="right" w:leader="dot" w:pos="9016"/>
            </w:tabs>
            <w:rPr>
              <w:rFonts w:eastAsiaTheme="minorEastAsia"/>
              <w:noProof/>
              <w:lang w:eastAsia="en-GB"/>
            </w:rPr>
          </w:pPr>
          <w:hyperlink w:anchor="_Toc225076682" w:history="1">
            <w:r w:rsidRPr="00B93BDB">
              <w:rPr>
                <w:rStyle w:val="Hyperlink"/>
                <w:noProof/>
              </w:rPr>
              <w:t>Addressing Technological Advancement</w:t>
            </w:r>
            <w:r>
              <w:rPr>
                <w:noProof/>
                <w:webHidden/>
              </w:rPr>
              <w:tab/>
            </w:r>
            <w:r>
              <w:rPr>
                <w:noProof/>
                <w:webHidden/>
              </w:rPr>
              <w:fldChar w:fldCharType="begin"/>
            </w:r>
            <w:r>
              <w:rPr>
                <w:noProof/>
                <w:webHidden/>
              </w:rPr>
              <w:instrText xml:space="preserve"> PAGEREF _Toc225076682 \h </w:instrText>
            </w:r>
            <w:r>
              <w:rPr>
                <w:noProof/>
                <w:webHidden/>
              </w:rPr>
            </w:r>
            <w:r>
              <w:rPr>
                <w:noProof/>
                <w:webHidden/>
              </w:rPr>
              <w:fldChar w:fldCharType="separate"/>
            </w:r>
            <w:r>
              <w:rPr>
                <w:noProof/>
                <w:webHidden/>
              </w:rPr>
              <w:t>5</w:t>
            </w:r>
            <w:r>
              <w:rPr>
                <w:noProof/>
                <w:webHidden/>
              </w:rPr>
              <w:fldChar w:fldCharType="end"/>
            </w:r>
          </w:hyperlink>
        </w:p>
        <w:p w14:paraId="616D2A28" w14:textId="1D5E79B1" w:rsidR="006E5E20" w:rsidRDefault="006E5E20">
          <w:pPr>
            <w:pStyle w:val="TOC2"/>
            <w:tabs>
              <w:tab w:val="right" w:leader="dot" w:pos="9016"/>
            </w:tabs>
            <w:rPr>
              <w:rFonts w:eastAsiaTheme="minorEastAsia"/>
              <w:noProof/>
              <w:lang w:eastAsia="en-GB"/>
            </w:rPr>
          </w:pPr>
          <w:hyperlink w:anchor="_Toc225076683" w:history="1">
            <w:r w:rsidRPr="00B93BDB">
              <w:rPr>
                <w:rStyle w:val="Hyperlink"/>
                <w:noProof/>
              </w:rPr>
              <w:t>Addressing Talent Acquisition and Retention</w:t>
            </w:r>
            <w:r>
              <w:rPr>
                <w:noProof/>
                <w:webHidden/>
              </w:rPr>
              <w:tab/>
            </w:r>
            <w:r>
              <w:rPr>
                <w:noProof/>
                <w:webHidden/>
              </w:rPr>
              <w:fldChar w:fldCharType="begin"/>
            </w:r>
            <w:r>
              <w:rPr>
                <w:noProof/>
                <w:webHidden/>
              </w:rPr>
              <w:instrText xml:space="preserve"> PAGEREF _Toc225076683 \h </w:instrText>
            </w:r>
            <w:r>
              <w:rPr>
                <w:noProof/>
                <w:webHidden/>
              </w:rPr>
            </w:r>
            <w:r>
              <w:rPr>
                <w:noProof/>
                <w:webHidden/>
              </w:rPr>
              <w:fldChar w:fldCharType="separate"/>
            </w:r>
            <w:r>
              <w:rPr>
                <w:noProof/>
                <w:webHidden/>
              </w:rPr>
              <w:t>5</w:t>
            </w:r>
            <w:r>
              <w:rPr>
                <w:noProof/>
                <w:webHidden/>
              </w:rPr>
              <w:fldChar w:fldCharType="end"/>
            </w:r>
          </w:hyperlink>
        </w:p>
        <w:p w14:paraId="33F72F47" w14:textId="60C41591" w:rsidR="006E5E20" w:rsidRDefault="006E5E20">
          <w:pPr>
            <w:pStyle w:val="TOC2"/>
            <w:tabs>
              <w:tab w:val="right" w:leader="dot" w:pos="9016"/>
            </w:tabs>
            <w:rPr>
              <w:rFonts w:eastAsiaTheme="minorEastAsia"/>
              <w:noProof/>
              <w:lang w:eastAsia="en-GB"/>
            </w:rPr>
          </w:pPr>
          <w:hyperlink w:anchor="_Toc225076684" w:history="1">
            <w:r w:rsidRPr="00B93BDB">
              <w:rPr>
                <w:rStyle w:val="Hyperlink"/>
                <w:noProof/>
              </w:rPr>
              <w:t>Addressing DEI</w:t>
            </w:r>
            <w:r>
              <w:rPr>
                <w:noProof/>
                <w:webHidden/>
              </w:rPr>
              <w:tab/>
            </w:r>
            <w:r>
              <w:rPr>
                <w:noProof/>
                <w:webHidden/>
              </w:rPr>
              <w:fldChar w:fldCharType="begin"/>
            </w:r>
            <w:r>
              <w:rPr>
                <w:noProof/>
                <w:webHidden/>
              </w:rPr>
              <w:instrText xml:space="preserve"> PAGEREF _Toc225076684 \h </w:instrText>
            </w:r>
            <w:r>
              <w:rPr>
                <w:noProof/>
                <w:webHidden/>
              </w:rPr>
            </w:r>
            <w:r>
              <w:rPr>
                <w:noProof/>
                <w:webHidden/>
              </w:rPr>
              <w:fldChar w:fldCharType="separate"/>
            </w:r>
            <w:r>
              <w:rPr>
                <w:noProof/>
                <w:webHidden/>
              </w:rPr>
              <w:t>6</w:t>
            </w:r>
            <w:r>
              <w:rPr>
                <w:noProof/>
                <w:webHidden/>
              </w:rPr>
              <w:fldChar w:fldCharType="end"/>
            </w:r>
          </w:hyperlink>
        </w:p>
        <w:p w14:paraId="2CDD7C1A" w14:textId="030C4463" w:rsidR="006E5E20" w:rsidRDefault="006E5E20">
          <w:pPr>
            <w:pStyle w:val="TOC1"/>
            <w:tabs>
              <w:tab w:val="right" w:leader="dot" w:pos="9016"/>
            </w:tabs>
            <w:rPr>
              <w:rFonts w:eastAsiaTheme="minorEastAsia"/>
              <w:noProof/>
              <w:lang w:eastAsia="en-GB"/>
            </w:rPr>
          </w:pPr>
          <w:hyperlink w:anchor="_Toc225076685" w:history="1">
            <w:r w:rsidRPr="00B93BDB">
              <w:rPr>
                <w:rStyle w:val="Hyperlink"/>
                <w:noProof/>
              </w:rPr>
              <w:t>3. Critical Evaluation of Departmental Managers' Role in Urgent Implementation</w:t>
            </w:r>
            <w:r>
              <w:rPr>
                <w:noProof/>
                <w:webHidden/>
              </w:rPr>
              <w:tab/>
            </w:r>
            <w:r>
              <w:rPr>
                <w:noProof/>
                <w:webHidden/>
              </w:rPr>
              <w:fldChar w:fldCharType="begin"/>
            </w:r>
            <w:r>
              <w:rPr>
                <w:noProof/>
                <w:webHidden/>
              </w:rPr>
              <w:instrText xml:space="preserve"> PAGEREF _Toc225076685 \h </w:instrText>
            </w:r>
            <w:r>
              <w:rPr>
                <w:noProof/>
                <w:webHidden/>
              </w:rPr>
            </w:r>
            <w:r>
              <w:rPr>
                <w:noProof/>
                <w:webHidden/>
              </w:rPr>
              <w:fldChar w:fldCharType="separate"/>
            </w:r>
            <w:r>
              <w:rPr>
                <w:noProof/>
                <w:webHidden/>
              </w:rPr>
              <w:t>6</w:t>
            </w:r>
            <w:r>
              <w:rPr>
                <w:noProof/>
                <w:webHidden/>
              </w:rPr>
              <w:fldChar w:fldCharType="end"/>
            </w:r>
          </w:hyperlink>
        </w:p>
        <w:p w14:paraId="47EECBF5" w14:textId="367B4A0F" w:rsidR="006E5E20" w:rsidRDefault="006E5E20">
          <w:pPr>
            <w:pStyle w:val="TOC1"/>
            <w:tabs>
              <w:tab w:val="right" w:leader="dot" w:pos="9016"/>
            </w:tabs>
            <w:rPr>
              <w:rFonts w:eastAsiaTheme="minorEastAsia"/>
              <w:noProof/>
              <w:lang w:eastAsia="en-GB"/>
            </w:rPr>
          </w:pPr>
          <w:hyperlink w:anchor="_Toc225076686" w:history="1">
            <w:r w:rsidRPr="00B93BDB">
              <w:rPr>
                <w:rStyle w:val="Hyperlink"/>
                <w:noProof/>
              </w:rPr>
              <w:t>Conclusion</w:t>
            </w:r>
            <w:r>
              <w:rPr>
                <w:noProof/>
                <w:webHidden/>
              </w:rPr>
              <w:tab/>
            </w:r>
            <w:r>
              <w:rPr>
                <w:noProof/>
                <w:webHidden/>
              </w:rPr>
              <w:fldChar w:fldCharType="begin"/>
            </w:r>
            <w:r>
              <w:rPr>
                <w:noProof/>
                <w:webHidden/>
              </w:rPr>
              <w:instrText xml:space="preserve"> PAGEREF _Toc225076686 \h </w:instrText>
            </w:r>
            <w:r>
              <w:rPr>
                <w:noProof/>
                <w:webHidden/>
              </w:rPr>
            </w:r>
            <w:r>
              <w:rPr>
                <w:noProof/>
                <w:webHidden/>
              </w:rPr>
              <w:fldChar w:fldCharType="separate"/>
            </w:r>
            <w:r>
              <w:rPr>
                <w:noProof/>
                <w:webHidden/>
              </w:rPr>
              <w:t>7</w:t>
            </w:r>
            <w:r>
              <w:rPr>
                <w:noProof/>
                <w:webHidden/>
              </w:rPr>
              <w:fldChar w:fldCharType="end"/>
            </w:r>
          </w:hyperlink>
        </w:p>
        <w:p w14:paraId="2F136007" w14:textId="2C858067" w:rsidR="006E5E20" w:rsidRDefault="006E5E20">
          <w:pPr>
            <w:pStyle w:val="TOC1"/>
            <w:tabs>
              <w:tab w:val="right" w:leader="dot" w:pos="9016"/>
            </w:tabs>
            <w:rPr>
              <w:rFonts w:eastAsiaTheme="minorEastAsia"/>
              <w:noProof/>
              <w:lang w:eastAsia="en-GB"/>
            </w:rPr>
          </w:pPr>
          <w:hyperlink w:anchor="_Toc225076687" w:history="1">
            <w:r w:rsidRPr="00B93BDB">
              <w:rPr>
                <w:rStyle w:val="Hyperlink"/>
                <w:noProof/>
              </w:rPr>
              <w:t>Recommendations</w:t>
            </w:r>
            <w:r>
              <w:rPr>
                <w:noProof/>
                <w:webHidden/>
              </w:rPr>
              <w:tab/>
            </w:r>
            <w:r>
              <w:rPr>
                <w:noProof/>
                <w:webHidden/>
              </w:rPr>
              <w:fldChar w:fldCharType="begin"/>
            </w:r>
            <w:r>
              <w:rPr>
                <w:noProof/>
                <w:webHidden/>
              </w:rPr>
              <w:instrText xml:space="preserve"> PAGEREF _Toc225076687 \h </w:instrText>
            </w:r>
            <w:r>
              <w:rPr>
                <w:noProof/>
                <w:webHidden/>
              </w:rPr>
            </w:r>
            <w:r>
              <w:rPr>
                <w:noProof/>
                <w:webHidden/>
              </w:rPr>
              <w:fldChar w:fldCharType="separate"/>
            </w:r>
            <w:r>
              <w:rPr>
                <w:noProof/>
                <w:webHidden/>
              </w:rPr>
              <w:t>8</w:t>
            </w:r>
            <w:r>
              <w:rPr>
                <w:noProof/>
                <w:webHidden/>
              </w:rPr>
              <w:fldChar w:fldCharType="end"/>
            </w:r>
          </w:hyperlink>
        </w:p>
        <w:p w14:paraId="1557C736" w14:textId="28ECB886" w:rsidR="006E5E20" w:rsidRDefault="006E5E20">
          <w:pPr>
            <w:pStyle w:val="TOC1"/>
            <w:tabs>
              <w:tab w:val="right" w:leader="dot" w:pos="9016"/>
            </w:tabs>
            <w:rPr>
              <w:rFonts w:eastAsiaTheme="minorEastAsia"/>
              <w:noProof/>
              <w:lang w:eastAsia="en-GB"/>
            </w:rPr>
          </w:pPr>
          <w:hyperlink w:anchor="_Toc225076688" w:history="1">
            <w:r w:rsidRPr="00B93BDB">
              <w:rPr>
                <w:rStyle w:val="Hyperlink"/>
                <w:noProof/>
              </w:rPr>
              <w:t>References</w:t>
            </w:r>
            <w:r>
              <w:rPr>
                <w:noProof/>
                <w:webHidden/>
              </w:rPr>
              <w:tab/>
            </w:r>
            <w:r>
              <w:rPr>
                <w:noProof/>
                <w:webHidden/>
              </w:rPr>
              <w:fldChar w:fldCharType="begin"/>
            </w:r>
            <w:r>
              <w:rPr>
                <w:noProof/>
                <w:webHidden/>
              </w:rPr>
              <w:instrText xml:space="preserve"> PAGEREF _Toc225076688 \h </w:instrText>
            </w:r>
            <w:r>
              <w:rPr>
                <w:noProof/>
                <w:webHidden/>
              </w:rPr>
            </w:r>
            <w:r>
              <w:rPr>
                <w:noProof/>
                <w:webHidden/>
              </w:rPr>
              <w:fldChar w:fldCharType="separate"/>
            </w:r>
            <w:r>
              <w:rPr>
                <w:noProof/>
                <w:webHidden/>
              </w:rPr>
              <w:t>9</w:t>
            </w:r>
            <w:r>
              <w:rPr>
                <w:noProof/>
                <w:webHidden/>
              </w:rPr>
              <w:fldChar w:fldCharType="end"/>
            </w:r>
          </w:hyperlink>
        </w:p>
        <w:p w14:paraId="7DDB5F49" w14:textId="63820DD9" w:rsidR="008F542A" w:rsidRDefault="008F542A">
          <w:r>
            <w:rPr>
              <w:b/>
              <w:bCs/>
            </w:rPr>
            <w:fldChar w:fldCharType="end"/>
          </w:r>
        </w:p>
      </w:sdtContent>
    </w:sdt>
    <w:p w14:paraId="5536F26D" w14:textId="77777777" w:rsidR="001A1B0D" w:rsidRDefault="001A1B0D" w:rsidP="000C6A6F">
      <w:pPr>
        <w:spacing w:line="360" w:lineRule="auto"/>
        <w:jc w:val="both"/>
        <w:rPr>
          <w:rFonts w:ascii="Arial" w:hAnsi="Arial" w:cs="Arial"/>
          <w:b/>
          <w:bCs/>
          <w:sz w:val="22"/>
          <w:szCs w:val="22"/>
        </w:rPr>
      </w:pPr>
    </w:p>
    <w:p w14:paraId="50FE29AB" w14:textId="77777777" w:rsidR="001A1B0D" w:rsidRDefault="001A1B0D">
      <w:pPr>
        <w:rPr>
          <w:rFonts w:ascii="Arial" w:hAnsi="Arial" w:cs="Arial"/>
          <w:b/>
          <w:bCs/>
          <w:sz w:val="22"/>
          <w:szCs w:val="22"/>
        </w:rPr>
      </w:pPr>
      <w:r>
        <w:rPr>
          <w:rFonts w:ascii="Arial" w:hAnsi="Arial" w:cs="Arial"/>
          <w:b/>
          <w:bCs/>
          <w:sz w:val="22"/>
          <w:szCs w:val="22"/>
        </w:rPr>
        <w:br w:type="page"/>
      </w:r>
    </w:p>
    <w:p w14:paraId="264E1E98" w14:textId="77777777" w:rsidR="00074F0E" w:rsidRPr="000C6A6F" w:rsidRDefault="00074F0E" w:rsidP="003E0DE4">
      <w:pPr>
        <w:pStyle w:val="Heading1"/>
      </w:pPr>
      <w:bookmarkStart w:id="0" w:name="_Toc225076675"/>
      <w:r w:rsidRPr="000C6A6F">
        <w:lastRenderedPageBreak/>
        <w:t>Executive Summary</w:t>
      </w:r>
      <w:bookmarkEnd w:id="0"/>
    </w:p>
    <w:p w14:paraId="5DC7E9D2" w14:textId="77777777" w:rsidR="001616A2" w:rsidRPr="001616A2" w:rsidRDefault="001616A2" w:rsidP="001616A2">
      <w:pPr>
        <w:spacing w:line="360" w:lineRule="auto"/>
        <w:jc w:val="both"/>
        <w:rPr>
          <w:rFonts w:ascii="Arial" w:hAnsi="Arial" w:cs="Arial"/>
          <w:sz w:val="22"/>
          <w:szCs w:val="22"/>
        </w:rPr>
      </w:pPr>
      <w:r w:rsidRPr="001616A2">
        <w:rPr>
          <w:rFonts w:ascii="Arial" w:hAnsi="Arial" w:cs="Arial"/>
          <w:sz w:val="22"/>
          <w:szCs w:val="22"/>
        </w:rPr>
        <w:t xml:space="preserve">This report looks at the main HR challenges for </w:t>
      </w:r>
      <w:proofErr w:type="spellStart"/>
      <w:r w:rsidRPr="001616A2">
        <w:rPr>
          <w:rFonts w:ascii="Arial" w:hAnsi="Arial" w:cs="Arial"/>
          <w:sz w:val="22"/>
          <w:szCs w:val="22"/>
        </w:rPr>
        <w:t>Scolmore</w:t>
      </w:r>
      <w:proofErr w:type="spellEnd"/>
      <w:r w:rsidRPr="001616A2">
        <w:rPr>
          <w:rFonts w:ascii="Arial" w:hAnsi="Arial" w:cs="Arial"/>
          <w:sz w:val="22"/>
          <w:szCs w:val="22"/>
        </w:rPr>
        <w:t xml:space="preserve"> Group in 2026: keeping up with fast-moving technology, attracting and keeping skilled people, and making real progress on diversity, equity and inclusion (DEI). Drawing on the company’s 2025 CSR data and wider UK manufacturing trends, it explains these issues in context, reviews current HR practices that can help, and examines how departmental managers can push urgent action. </w:t>
      </w:r>
      <w:proofErr w:type="spellStart"/>
      <w:r w:rsidRPr="001616A2">
        <w:rPr>
          <w:rFonts w:ascii="Arial" w:hAnsi="Arial" w:cs="Arial"/>
          <w:sz w:val="22"/>
          <w:szCs w:val="22"/>
        </w:rPr>
        <w:t>Scolmore</w:t>
      </w:r>
      <w:proofErr w:type="spellEnd"/>
      <w:r w:rsidRPr="001616A2">
        <w:rPr>
          <w:rFonts w:ascii="Arial" w:hAnsi="Arial" w:cs="Arial"/>
          <w:sz w:val="22"/>
          <w:szCs w:val="22"/>
        </w:rPr>
        <w:t xml:space="preserve"> already has good foundations in training, internal mobility and engagement, but small gaps in consistency, attrition and senior diversity need attention. Simple, focused recommendations are included to help build a more adaptable, inclusive and resilient workforce.</w:t>
      </w:r>
    </w:p>
    <w:p w14:paraId="60E3CD52" w14:textId="4C531FA1" w:rsidR="00074F0E" w:rsidRPr="000C6A6F" w:rsidRDefault="00074F0E" w:rsidP="003E0DE4">
      <w:pPr>
        <w:pStyle w:val="Heading1"/>
      </w:pPr>
      <w:bookmarkStart w:id="1" w:name="_Toc225076676"/>
      <w:r w:rsidRPr="000C6A6F">
        <w:t>Introduction</w:t>
      </w:r>
      <w:bookmarkEnd w:id="1"/>
    </w:p>
    <w:p w14:paraId="3B53C617" w14:textId="77777777" w:rsidR="00F5075B" w:rsidRPr="00F5075B" w:rsidRDefault="00F5075B" w:rsidP="00B56B41">
      <w:pPr>
        <w:spacing w:after="0" w:line="360" w:lineRule="auto"/>
        <w:jc w:val="both"/>
        <w:rPr>
          <w:rFonts w:ascii="Arial" w:hAnsi="Arial" w:cs="Arial"/>
          <w:sz w:val="22"/>
          <w:szCs w:val="22"/>
        </w:rPr>
      </w:pPr>
      <w:proofErr w:type="spellStart"/>
      <w:r w:rsidRPr="00F5075B">
        <w:rPr>
          <w:rFonts w:ascii="Arial" w:hAnsi="Arial" w:cs="Arial"/>
          <w:sz w:val="22"/>
          <w:szCs w:val="22"/>
        </w:rPr>
        <w:t>Scolmore</w:t>
      </w:r>
      <w:proofErr w:type="spellEnd"/>
      <w:r w:rsidRPr="00F5075B">
        <w:rPr>
          <w:rFonts w:ascii="Arial" w:hAnsi="Arial" w:cs="Arial"/>
          <w:sz w:val="22"/>
          <w:szCs w:val="22"/>
        </w:rPr>
        <w:t xml:space="preserve"> Group, founded in 1989 and based in Tamworth, Staffordshire, is a respected UK manufacturer of electrical accessories, lighting, fire protection and cable management products. With around 391 UK employees as of April 2025 and steady growth, it blends family-owned values with innovation and strong compliance focus (</w:t>
      </w:r>
      <w:proofErr w:type="spellStart"/>
      <w:r w:rsidRPr="00F5075B">
        <w:rPr>
          <w:rFonts w:ascii="Arial" w:hAnsi="Arial" w:cs="Arial"/>
          <w:sz w:val="22"/>
          <w:szCs w:val="22"/>
        </w:rPr>
        <w:t>Scolmore</w:t>
      </w:r>
      <w:proofErr w:type="spellEnd"/>
      <w:r w:rsidRPr="00F5075B">
        <w:rPr>
          <w:rFonts w:ascii="Arial" w:hAnsi="Arial" w:cs="Arial"/>
          <w:sz w:val="22"/>
          <w:szCs w:val="22"/>
        </w:rPr>
        <w:t xml:space="preserve"> Group, 2025).</w:t>
      </w:r>
    </w:p>
    <w:p w14:paraId="17E33DCB" w14:textId="77777777" w:rsidR="00F5075B" w:rsidRPr="00F5075B" w:rsidRDefault="00F5075B" w:rsidP="00B56B41">
      <w:pPr>
        <w:spacing w:after="0" w:line="360" w:lineRule="auto"/>
        <w:jc w:val="both"/>
        <w:rPr>
          <w:rFonts w:ascii="Arial" w:hAnsi="Arial" w:cs="Arial"/>
          <w:sz w:val="22"/>
          <w:szCs w:val="22"/>
        </w:rPr>
      </w:pPr>
      <w:r w:rsidRPr="00F5075B">
        <w:rPr>
          <w:rFonts w:ascii="Arial" w:hAnsi="Arial" w:cs="Arial"/>
          <w:sz w:val="22"/>
          <w:szCs w:val="22"/>
        </w:rPr>
        <w:t xml:space="preserve">Like many in UK manufacturing, </w:t>
      </w:r>
      <w:proofErr w:type="spellStart"/>
      <w:r w:rsidRPr="00F5075B">
        <w:rPr>
          <w:rFonts w:ascii="Arial" w:hAnsi="Arial" w:cs="Arial"/>
          <w:sz w:val="22"/>
          <w:szCs w:val="22"/>
        </w:rPr>
        <w:t>Scolmore</w:t>
      </w:r>
      <w:proofErr w:type="spellEnd"/>
      <w:r w:rsidRPr="00F5075B">
        <w:rPr>
          <w:rFonts w:ascii="Arial" w:hAnsi="Arial" w:cs="Arial"/>
          <w:sz w:val="22"/>
          <w:szCs w:val="22"/>
        </w:rPr>
        <w:t xml:space="preserve"> faces pressures from rapid tech change, ongoing skills shortages and rising expectations around inclusion. These issues put real demands on HR to support both business goals and employee wellbeing. This report explains the key factors—technological advancement, talent acquisition/retention and DEI—evaluates useful HR </w:t>
      </w:r>
      <w:proofErr w:type="gramStart"/>
      <w:r w:rsidRPr="00F5075B">
        <w:rPr>
          <w:rFonts w:ascii="Arial" w:hAnsi="Arial" w:cs="Arial"/>
          <w:sz w:val="22"/>
          <w:szCs w:val="22"/>
        </w:rPr>
        <w:t>practices, and</w:t>
      </w:r>
      <w:proofErr w:type="gramEnd"/>
      <w:r w:rsidRPr="00F5075B">
        <w:rPr>
          <w:rFonts w:ascii="Arial" w:hAnsi="Arial" w:cs="Arial"/>
          <w:sz w:val="22"/>
          <w:szCs w:val="22"/>
        </w:rPr>
        <w:t xml:space="preserve"> looks at how departmental managers can make sure these are put into action quickly and effectively. The aim is to offer practical suggestions that help </w:t>
      </w:r>
      <w:proofErr w:type="spellStart"/>
      <w:r w:rsidRPr="00F5075B">
        <w:rPr>
          <w:rFonts w:ascii="Arial" w:hAnsi="Arial" w:cs="Arial"/>
          <w:sz w:val="22"/>
          <w:szCs w:val="22"/>
        </w:rPr>
        <w:t>Scolmore</w:t>
      </w:r>
      <w:proofErr w:type="spellEnd"/>
      <w:r w:rsidRPr="00F5075B">
        <w:rPr>
          <w:rFonts w:ascii="Arial" w:hAnsi="Arial" w:cs="Arial"/>
          <w:sz w:val="22"/>
          <w:szCs w:val="22"/>
        </w:rPr>
        <w:t xml:space="preserve"> stay competitive while continuing to be a great place to work.</w:t>
      </w:r>
    </w:p>
    <w:p w14:paraId="14CA521C" w14:textId="77777777" w:rsidR="00307DC0" w:rsidRPr="00307DC0" w:rsidRDefault="00307DC0" w:rsidP="003E0DE4">
      <w:pPr>
        <w:pStyle w:val="Heading1"/>
      </w:pPr>
      <w:bookmarkStart w:id="2" w:name="_Toc225076677"/>
      <w:r w:rsidRPr="00307DC0">
        <w:t>1. Explanation of Specific Factors</w:t>
      </w:r>
      <w:bookmarkEnd w:id="2"/>
    </w:p>
    <w:p w14:paraId="30BCC920" w14:textId="77777777" w:rsidR="00307DC0" w:rsidRPr="00307DC0" w:rsidRDefault="00307DC0" w:rsidP="003E0DE4">
      <w:pPr>
        <w:pStyle w:val="Heading2"/>
      </w:pPr>
      <w:bookmarkStart w:id="3" w:name="_Toc225076678"/>
      <w:r w:rsidRPr="00307DC0">
        <w:t>Meeting Technological Advancement</w:t>
      </w:r>
      <w:bookmarkEnd w:id="3"/>
    </w:p>
    <w:p w14:paraId="16831AD3" w14:textId="77777777" w:rsidR="004B72E5" w:rsidRPr="004B72E5" w:rsidRDefault="004B72E5" w:rsidP="00B56B41">
      <w:pPr>
        <w:spacing w:after="0" w:line="360" w:lineRule="auto"/>
        <w:jc w:val="both"/>
        <w:rPr>
          <w:rFonts w:ascii="Arial" w:hAnsi="Arial" w:cs="Arial"/>
          <w:sz w:val="22"/>
          <w:szCs w:val="22"/>
        </w:rPr>
      </w:pPr>
      <w:r w:rsidRPr="004B72E5">
        <w:rPr>
          <w:rFonts w:ascii="Arial" w:hAnsi="Arial" w:cs="Arial"/>
          <w:sz w:val="22"/>
          <w:szCs w:val="22"/>
        </w:rPr>
        <w:t>In 2026, UK manufacturing faces major HR challenges from rapid AI, automation, digitalisation, and smart tools. Skills shortages persist, with 48,000 vacancies industry-wide and nearly three-quarters of manufacturers citing technical skills as the top recruitment barrier (PwC/Make UK, 2026). Businesses prioritise upskilling in leadership/management (66%), higher-level technical skills (58%), digital competencies (37%), and data analytics (29%). Over 50% plan training for new recruits, while 40% focus on reskilling existing staff for redeployment amid automation. Worker concerns are high—52% worry about AI job impacts, with 41% of employers expecting headcount reductions by 2030 due to efficiencies (AIHR, 2026).</w:t>
      </w:r>
    </w:p>
    <w:p w14:paraId="3EA8DD4E" w14:textId="77777777" w:rsidR="004B72E5" w:rsidRPr="004B72E5" w:rsidRDefault="004B72E5" w:rsidP="00B56B41">
      <w:pPr>
        <w:spacing w:after="0" w:line="360" w:lineRule="auto"/>
        <w:jc w:val="both"/>
        <w:rPr>
          <w:rFonts w:ascii="Arial" w:hAnsi="Arial" w:cs="Arial"/>
          <w:sz w:val="22"/>
          <w:szCs w:val="22"/>
        </w:rPr>
      </w:pPr>
      <w:r w:rsidRPr="004B72E5">
        <w:rPr>
          <w:rFonts w:ascii="Arial" w:hAnsi="Arial" w:cs="Arial"/>
          <w:sz w:val="22"/>
          <w:szCs w:val="22"/>
        </w:rPr>
        <w:t xml:space="preserve">At </w:t>
      </w:r>
      <w:proofErr w:type="spellStart"/>
      <w:r w:rsidRPr="004B72E5">
        <w:rPr>
          <w:rFonts w:ascii="Arial" w:hAnsi="Arial" w:cs="Arial"/>
          <w:sz w:val="22"/>
          <w:szCs w:val="22"/>
        </w:rPr>
        <w:t>Scolmore</w:t>
      </w:r>
      <w:proofErr w:type="spellEnd"/>
      <w:r w:rsidRPr="004B72E5">
        <w:rPr>
          <w:rFonts w:ascii="Arial" w:hAnsi="Arial" w:cs="Arial"/>
          <w:sz w:val="22"/>
          <w:szCs w:val="22"/>
        </w:rPr>
        <w:t xml:space="preserve"> Group, adoption of the LMS and </w:t>
      </w:r>
      <w:proofErr w:type="spellStart"/>
      <w:r w:rsidRPr="004B72E5">
        <w:rPr>
          <w:rFonts w:ascii="Arial" w:hAnsi="Arial" w:cs="Arial"/>
          <w:sz w:val="22"/>
          <w:szCs w:val="22"/>
        </w:rPr>
        <w:t>ScolmoreHub</w:t>
      </w:r>
      <w:proofErr w:type="spellEnd"/>
      <w:r w:rsidRPr="004B72E5">
        <w:rPr>
          <w:rFonts w:ascii="Arial" w:hAnsi="Arial" w:cs="Arial"/>
          <w:sz w:val="22"/>
          <w:szCs w:val="22"/>
        </w:rPr>
        <w:t xml:space="preserve"> (launched 2024) supports training and communication. The company delivered 26.6 average training hours per employee in FYE 2025, including CPD and simulations. However, gaps remain—directors averaged just 6.93 </w:t>
      </w:r>
      <w:r w:rsidRPr="004B72E5">
        <w:rPr>
          <w:rFonts w:ascii="Arial" w:hAnsi="Arial" w:cs="Arial"/>
          <w:sz w:val="22"/>
          <w:szCs w:val="22"/>
        </w:rPr>
        <w:lastRenderedPageBreak/>
        <w:t xml:space="preserve">hours versus higher for managers—risking uneven preparation for net-zero goals and Industry 4.0. With a projected 15,000 electrician shortage over five years (and further decline by 2038), </w:t>
      </w:r>
      <w:proofErr w:type="spellStart"/>
      <w:r w:rsidRPr="004B72E5">
        <w:rPr>
          <w:rFonts w:ascii="Arial" w:hAnsi="Arial" w:cs="Arial"/>
          <w:sz w:val="22"/>
          <w:szCs w:val="22"/>
        </w:rPr>
        <w:t>Scolmore</w:t>
      </w:r>
      <w:proofErr w:type="spellEnd"/>
      <w:r w:rsidRPr="004B72E5">
        <w:rPr>
          <w:rFonts w:ascii="Arial" w:hAnsi="Arial" w:cs="Arial"/>
          <w:sz w:val="22"/>
          <w:szCs w:val="22"/>
        </w:rPr>
        <w:t xml:space="preserve"> must accelerate upskilling in smart manufacturing to sustain innovation in lighting, wiring, and fire protection (</w:t>
      </w:r>
      <w:proofErr w:type="spellStart"/>
      <w:r w:rsidRPr="004B72E5">
        <w:rPr>
          <w:rFonts w:ascii="Arial" w:hAnsi="Arial" w:cs="Arial"/>
          <w:sz w:val="22"/>
          <w:szCs w:val="22"/>
        </w:rPr>
        <w:t>Scolmore</w:t>
      </w:r>
      <w:proofErr w:type="spellEnd"/>
      <w:r w:rsidRPr="004B72E5">
        <w:rPr>
          <w:rFonts w:ascii="Arial" w:hAnsi="Arial" w:cs="Arial"/>
          <w:sz w:val="22"/>
          <w:szCs w:val="22"/>
        </w:rPr>
        <w:t xml:space="preserve"> Group, 2025; ECA, 2026). Unaddressed, this could lead to productivity losses and slower tech adoption, as firms increasingly rely on AI, robotics, and data-driven processes to stay competitive.</w:t>
      </w:r>
    </w:p>
    <w:p w14:paraId="6F3ECC34" w14:textId="77777777" w:rsidR="004B72E5" w:rsidRPr="004B72E5" w:rsidRDefault="004B72E5" w:rsidP="003E0DE4">
      <w:pPr>
        <w:pStyle w:val="Heading2"/>
      </w:pPr>
      <w:bookmarkStart w:id="4" w:name="_Toc225076679"/>
      <w:r w:rsidRPr="004B72E5">
        <w:t>Talent Acquisition and Retention</w:t>
      </w:r>
      <w:bookmarkEnd w:id="4"/>
    </w:p>
    <w:p w14:paraId="572CE30C" w14:textId="77777777" w:rsidR="004B72E5" w:rsidRPr="004B72E5" w:rsidRDefault="004B72E5" w:rsidP="00B56B41">
      <w:pPr>
        <w:spacing w:after="0" w:line="360" w:lineRule="auto"/>
        <w:jc w:val="both"/>
        <w:rPr>
          <w:rFonts w:ascii="Arial" w:hAnsi="Arial" w:cs="Arial"/>
          <w:sz w:val="22"/>
          <w:szCs w:val="22"/>
        </w:rPr>
      </w:pPr>
      <w:r w:rsidRPr="004B72E5">
        <w:rPr>
          <w:rFonts w:ascii="Arial" w:hAnsi="Arial" w:cs="Arial"/>
          <w:sz w:val="22"/>
          <w:szCs w:val="22"/>
        </w:rPr>
        <w:t xml:space="preserve">Talent shortages dominate UK manufacturing HR concerns, with over 70% of employers struggling to fill roles and 56,000 vacancies plus a 47,000-person skills gap (ManpowerGroup, 2026; </w:t>
      </w:r>
      <w:proofErr w:type="spellStart"/>
      <w:r w:rsidRPr="004B72E5">
        <w:rPr>
          <w:rFonts w:ascii="Arial" w:hAnsi="Arial" w:cs="Arial"/>
          <w:sz w:val="22"/>
          <w:szCs w:val="22"/>
        </w:rPr>
        <w:t>Ciphr</w:t>
      </w:r>
      <w:proofErr w:type="spellEnd"/>
      <w:r w:rsidRPr="004B72E5">
        <w:rPr>
          <w:rFonts w:ascii="Arial" w:hAnsi="Arial" w:cs="Arial"/>
          <w:sz w:val="22"/>
          <w:szCs w:val="22"/>
        </w:rPr>
        <w:t>, 2026). Multiskilled engineering roles are hardest (68%), worsened by an ageing workforce, immigration limits, and Gen Z demands for flexibility and growth. High-potential attrition is driven by progression limits, work-life balance issues, and competition.</w:t>
      </w:r>
    </w:p>
    <w:p w14:paraId="700F1C72" w14:textId="5B0E0880" w:rsidR="004B72E5" w:rsidRPr="004B72E5" w:rsidRDefault="004B72E5" w:rsidP="00B56B41">
      <w:pPr>
        <w:spacing w:after="0" w:line="360" w:lineRule="auto"/>
        <w:jc w:val="both"/>
        <w:rPr>
          <w:rFonts w:ascii="Arial" w:hAnsi="Arial" w:cs="Arial"/>
          <w:sz w:val="22"/>
          <w:szCs w:val="22"/>
        </w:rPr>
      </w:pPr>
      <w:proofErr w:type="spellStart"/>
      <w:r w:rsidRPr="004B72E5">
        <w:rPr>
          <w:rFonts w:ascii="Arial" w:hAnsi="Arial" w:cs="Arial"/>
          <w:sz w:val="22"/>
          <w:szCs w:val="22"/>
        </w:rPr>
        <w:t>Scolmore</w:t>
      </w:r>
      <w:proofErr w:type="spellEnd"/>
      <w:r w:rsidRPr="004B72E5">
        <w:rPr>
          <w:rFonts w:ascii="Arial" w:hAnsi="Arial" w:cs="Arial"/>
          <w:sz w:val="22"/>
          <w:szCs w:val="22"/>
        </w:rPr>
        <w:t xml:space="preserve"> hired 98 new staff in FYE 2025 (26.75% of headcount, 33% female), but attrition hit 14.46% (above UK average), with career progression (26%), role pressures, and personal factors key reasons. Average service fell to 5.52 years. Strengths include 71% engagement survey response, 77% feeling recognised, health plans (£45,024 claimed), and internal mobility (25 promotions, 12 lateral moves). Yet external pressures—like the electrician shortfall threatening decarbonisation—highlight needs for strong EVPs and retention strategies (</w:t>
      </w:r>
      <w:proofErr w:type="spellStart"/>
      <w:r w:rsidRPr="004B72E5">
        <w:rPr>
          <w:rFonts w:ascii="Arial" w:hAnsi="Arial" w:cs="Arial"/>
          <w:sz w:val="22"/>
          <w:szCs w:val="22"/>
        </w:rPr>
        <w:t>Scolmore</w:t>
      </w:r>
      <w:proofErr w:type="spellEnd"/>
      <w:r w:rsidRPr="004B72E5">
        <w:rPr>
          <w:rFonts w:ascii="Arial" w:hAnsi="Arial" w:cs="Arial"/>
          <w:sz w:val="22"/>
          <w:szCs w:val="22"/>
        </w:rPr>
        <w:t xml:space="preserve"> Group, 2025). Without action, gaps could hinder growth and innovation.</w:t>
      </w:r>
    </w:p>
    <w:p w14:paraId="0EC3407F" w14:textId="77777777" w:rsidR="004B72E5" w:rsidRPr="004B72E5" w:rsidRDefault="004B72E5" w:rsidP="003E0DE4">
      <w:pPr>
        <w:pStyle w:val="Heading2"/>
      </w:pPr>
      <w:bookmarkStart w:id="5" w:name="_Toc225076680"/>
      <w:r w:rsidRPr="004B72E5">
        <w:t>Diversity, Equity, and Inclusion (DEI)</w:t>
      </w:r>
      <w:bookmarkEnd w:id="5"/>
    </w:p>
    <w:p w14:paraId="738DFE02" w14:textId="704FC914" w:rsidR="004B72E5" w:rsidRPr="004B72E5" w:rsidRDefault="004B72E5" w:rsidP="00B56B41">
      <w:pPr>
        <w:spacing w:after="0" w:line="360" w:lineRule="auto"/>
        <w:jc w:val="both"/>
        <w:rPr>
          <w:rFonts w:ascii="Arial" w:hAnsi="Arial" w:cs="Arial"/>
          <w:sz w:val="22"/>
          <w:szCs w:val="22"/>
        </w:rPr>
      </w:pPr>
      <w:r w:rsidRPr="004B72E5">
        <w:rPr>
          <w:rFonts w:ascii="Arial" w:hAnsi="Arial" w:cs="Arial"/>
          <w:sz w:val="22"/>
          <w:szCs w:val="22"/>
        </w:rPr>
        <w:t>DEI progress in UK manufacturing is slow and uneven. Women hold under a third of roles (despite nearly half the workforce), ethnic minorities remain underrepresented, and disabled workers face barriers. Only 25% of employers prioritise DEI, with some scaling back due to backlash, though 57% see it as a strategic recruitment focus (</w:t>
      </w:r>
      <w:proofErr w:type="spellStart"/>
      <w:r w:rsidRPr="004B72E5">
        <w:rPr>
          <w:rFonts w:ascii="Arial" w:hAnsi="Arial" w:cs="Arial"/>
          <w:sz w:val="22"/>
          <w:szCs w:val="22"/>
        </w:rPr>
        <w:t>Freeths</w:t>
      </w:r>
      <w:proofErr w:type="spellEnd"/>
      <w:r w:rsidRPr="004B72E5">
        <w:rPr>
          <w:rFonts w:ascii="Arial" w:hAnsi="Arial" w:cs="Arial"/>
          <w:sz w:val="22"/>
          <w:szCs w:val="22"/>
        </w:rPr>
        <w:t>, 2025).</w:t>
      </w:r>
    </w:p>
    <w:p w14:paraId="29568392" w14:textId="77777777" w:rsidR="004B72E5" w:rsidRPr="004B72E5" w:rsidRDefault="004B72E5" w:rsidP="00B56B41">
      <w:pPr>
        <w:spacing w:after="0" w:line="360" w:lineRule="auto"/>
        <w:jc w:val="both"/>
        <w:rPr>
          <w:rFonts w:ascii="Arial" w:hAnsi="Arial" w:cs="Arial"/>
          <w:sz w:val="22"/>
          <w:szCs w:val="22"/>
        </w:rPr>
      </w:pPr>
      <w:r w:rsidRPr="004B72E5">
        <w:rPr>
          <w:rFonts w:ascii="Arial" w:hAnsi="Arial" w:cs="Arial"/>
          <w:sz w:val="22"/>
          <w:szCs w:val="22"/>
        </w:rPr>
        <w:t xml:space="preserve">At </w:t>
      </w:r>
      <w:proofErr w:type="spellStart"/>
      <w:r w:rsidRPr="004B72E5">
        <w:rPr>
          <w:rFonts w:ascii="Arial" w:hAnsi="Arial" w:cs="Arial"/>
          <w:sz w:val="22"/>
          <w:szCs w:val="22"/>
        </w:rPr>
        <w:t>Scolmore</w:t>
      </w:r>
      <w:proofErr w:type="spellEnd"/>
      <w:r w:rsidRPr="004B72E5">
        <w:rPr>
          <w:rFonts w:ascii="Arial" w:hAnsi="Arial" w:cs="Arial"/>
          <w:sz w:val="22"/>
          <w:szCs w:val="22"/>
        </w:rPr>
        <w:t>, the workforce is 64% male/36% female (female directors 8%), with 77% British nationality and minorities like Romanian (5.57%). Line managers show growing diversity (8 nationalities in 2025). Policies ban discrimination, backed by induction training and unconscious bias workshops for 70+ managers, supporting high pride (84%) and engagement. Yet low female leadership mirrors sector norms (1.7% female electricians), highlighting equity gaps in technical roles. Enhanced tracking and inclusive sourcing could reduce risks to talent attraction and cohesion (</w:t>
      </w:r>
      <w:proofErr w:type="spellStart"/>
      <w:r w:rsidRPr="004B72E5">
        <w:rPr>
          <w:rFonts w:ascii="Arial" w:hAnsi="Arial" w:cs="Arial"/>
          <w:sz w:val="22"/>
          <w:szCs w:val="22"/>
        </w:rPr>
        <w:t>Scolmore</w:t>
      </w:r>
      <w:proofErr w:type="spellEnd"/>
      <w:r w:rsidRPr="004B72E5">
        <w:rPr>
          <w:rFonts w:ascii="Arial" w:hAnsi="Arial" w:cs="Arial"/>
          <w:sz w:val="22"/>
          <w:szCs w:val="22"/>
        </w:rPr>
        <w:t xml:space="preserve"> Group, 2025; </w:t>
      </w:r>
      <w:proofErr w:type="spellStart"/>
      <w:r w:rsidRPr="004B72E5">
        <w:rPr>
          <w:rFonts w:ascii="Arial" w:hAnsi="Arial" w:cs="Arial"/>
          <w:sz w:val="22"/>
          <w:szCs w:val="22"/>
        </w:rPr>
        <w:t>Refonte</w:t>
      </w:r>
      <w:proofErr w:type="spellEnd"/>
      <w:r w:rsidRPr="004B72E5">
        <w:rPr>
          <w:rFonts w:ascii="Arial" w:hAnsi="Arial" w:cs="Arial"/>
          <w:sz w:val="22"/>
          <w:szCs w:val="22"/>
        </w:rPr>
        <w:t xml:space="preserve"> Learning, 2026). Sustained effort is vital to leverage diverse perspectives for innovation.</w:t>
      </w:r>
    </w:p>
    <w:p w14:paraId="1C1C0489" w14:textId="77777777" w:rsidR="009C4239" w:rsidRPr="009C4239" w:rsidRDefault="009C4239" w:rsidP="003E0DE4">
      <w:pPr>
        <w:pStyle w:val="Heading1"/>
      </w:pPr>
      <w:bookmarkStart w:id="6" w:name="_Toc225076681"/>
      <w:r w:rsidRPr="009C4239">
        <w:lastRenderedPageBreak/>
        <w:t>2. Evaluation of Contemporary HR Practices</w:t>
      </w:r>
      <w:bookmarkEnd w:id="6"/>
    </w:p>
    <w:p w14:paraId="79E6BC34" w14:textId="77777777" w:rsidR="009C4239" w:rsidRPr="009C4239" w:rsidRDefault="009C4239" w:rsidP="003E0DE4">
      <w:pPr>
        <w:pStyle w:val="Heading2"/>
      </w:pPr>
      <w:bookmarkStart w:id="7" w:name="_Toc225076682"/>
      <w:r w:rsidRPr="009C4239">
        <w:t>Addressing Technological Advancement</w:t>
      </w:r>
      <w:bookmarkEnd w:id="7"/>
    </w:p>
    <w:p w14:paraId="23CF1F30" w14:textId="77777777" w:rsidR="009C4239" w:rsidRPr="009C4239" w:rsidRDefault="009C4239" w:rsidP="009C4239">
      <w:pPr>
        <w:spacing w:line="360" w:lineRule="auto"/>
        <w:jc w:val="both"/>
        <w:rPr>
          <w:rFonts w:ascii="Arial" w:hAnsi="Arial" w:cs="Arial"/>
          <w:sz w:val="22"/>
          <w:szCs w:val="22"/>
        </w:rPr>
      </w:pPr>
      <w:r w:rsidRPr="009C4239">
        <w:rPr>
          <w:rFonts w:ascii="Arial" w:hAnsi="Arial" w:cs="Arial"/>
          <w:sz w:val="22"/>
          <w:szCs w:val="22"/>
        </w:rPr>
        <w:t xml:space="preserve">Contemporary HR practices in the UK are increasingly turning to AI tools and agile approaches to keep pace with fast-moving technology (AIHR, 2026). Skills-based hiring, which focuses on actual competencies rather than formal qualifications, is proving particularly helpful for the 41% of organisations planning workforce reductions through AI efficiencies (The Access Group, 2026). At </w:t>
      </w:r>
      <w:proofErr w:type="spellStart"/>
      <w:r w:rsidRPr="009C4239">
        <w:rPr>
          <w:rFonts w:ascii="Arial" w:hAnsi="Arial" w:cs="Arial"/>
          <w:sz w:val="22"/>
          <w:szCs w:val="22"/>
        </w:rPr>
        <w:t>Scolmore</w:t>
      </w:r>
      <w:proofErr w:type="spellEnd"/>
      <w:r w:rsidRPr="009C4239">
        <w:rPr>
          <w:rFonts w:ascii="Arial" w:hAnsi="Arial" w:cs="Arial"/>
          <w:sz w:val="22"/>
          <w:szCs w:val="22"/>
        </w:rPr>
        <w:t xml:space="preserve"> Group, the Learning Management System (LMS) plays a central role, delivering an average of 26.6 training hours per employee in FYE 2025 and including practical CPD simulations that build capability in smart tools and compliance (</w:t>
      </w:r>
      <w:proofErr w:type="spellStart"/>
      <w:r w:rsidRPr="009C4239">
        <w:rPr>
          <w:rFonts w:ascii="Arial" w:hAnsi="Arial" w:cs="Arial"/>
          <w:sz w:val="22"/>
          <w:szCs w:val="22"/>
        </w:rPr>
        <w:t>Scolmore</w:t>
      </w:r>
      <w:proofErr w:type="spellEnd"/>
      <w:r w:rsidRPr="009C4239">
        <w:rPr>
          <w:rFonts w:ascii="Arial" w:hAnsi="Arial" w:cs="Arial"/>
          <w:sz w:val="22"/>
          <w:szCs w:val="22"/>
        </w:rPr>
        <w:t xml:space="preserve"> Group, 2025). That said, the uneven distribution of training hours—directors receiving far fewer than managers—points to inconsistent access across levels, which could limit broader readiness for Industry 4.0 demands. Introducing AI-powered analytics, such as predictive turnover modelling or personalised learning pathways, would strengthen this further; already 92% of HR leaders are using AI in some form to support implementation (AIHR, 2026). Leadership workshops and targeted upskilling programmes are helping build organisational resilience, yet they need wider rollout to properly address the 52% of workers who express anxiety about AI’s potential impact on their roles (AIHR, 2026). Overall, these practices are proving effective in supporting adaptation, but they must be underpinned by strong ethical AI governance and transparent communication to prevent resistance and maintain trust (Gartner, 2026).</w:t>
      </w:r>
    </w:p>
    <w:p w14:paraId="5BEC377F" w14:textId="77777777" w:rsidR="009C4239" w:rsidRPr="009C4239" w:rsidRDefault="009C4239" w:rsidP="003E0DE4">
      <w:pPr>
        <w:pStyle w:val="Heading2"/>
      </w:pPr>
      <w:bookmarkStart w:id="8" w:name="_Toc225076683"/>
      <w:r w:rsidRPr="009C4239">
        <w:t>Addressing Talent Acquisition and Retention</w:t>
      </w:r>
      <w:bookmarkEnd w:id="8"/>
    </w:p>
    <w:p w14:paraId="1019F2C8" w14:textId="77777777" w:rsidR="009C4239" w:rsidRPr="009C4239" w:rsidRDefault="009C4239" w:rsidP="009C4239">
      <w:pPr>
        <w:spacing w:line="360" w:lineRule="auto"/>
        <w:jc w:val="both"/>
        <w:rPr>
          <w:rFonts w:ascii="Arial" w:hAnsi="Arial" w:cs="Arial"/>
          <w:sz w:val="22"/>
          <w:szCs w:val="22"/>
        </w:rPr>
      </w:pPr>
      <w:r w:rsidRPr="009C4239">
        <w:rPr>
          <w:rFonts w:ascii="Arial" w:hAnsi="Arial" w:cs="Arial"/>
          <w:sz w:val="22"/>
          <w:szCs w:val="22"/>
        </w:rPr>
        <w:t>Skills-based hiring combined with AI-assisted recruitment has become a cornerstone response to persistent talent shortages, especially as 7 in 10 UK employers continue to struggle with filling vacancies (</w:t>
      </w:r>
      <w:proofErr w:type="spellStart"/>
      <w:r w:rsidRPr="009C4239">
        <w:rPr>
          <w:rFonts w:ascii="Arial" w:hAnsi="Arial" w:cs="Arial"/>
          <w:sz w:val="22"/>
          <w:szCs w:val="22"/>
        </w:rPr>
        <w:t>Ciphr</w:t>
      </w:r>
      <w:proofErr w:type="spellEnd"/>
      <w:r w:rsidRPr="009C4239">
        <w:rPr>
          <w:rFonts w:ascii="Arial" w:hAnsi="Arial" w:cs="Arial"/>
          <w:sz w:val="22"/>
          <w:szCs w:val="22"/>
        </w:rPr>
        <w:t xml:space="preserve">, 2026). Greater pay transparency, reinforced by the Employment Rights Act, is strengthening employer value propositions (EVPs) and helping to curb attrition (The Access Group, 2026). At </w:t>
      </w:r>
      <w:proofErr w:type="spellStart"/>
      <w:r w:rsidRPr="009C4239">
        <w:rPr>
          <w:rFonts w:ascii="Arial" w:hAnsi="Arial" w:cs="Arial"/>
          <w:sz w:val="22"/>
          <w:szCs w:val="22"/>
        </w:rPr>
        <w:t>Scolmore</w:t>
      </w:r>
      <w:proofErr w:type="spellEnd"/>
      <w:r w:rsidRPr="009C4239">
        <w:rPr>
          <w:rFonts w:ascii="Arial" w:hAnsi="Arial" w:cs="Arial"/>
          <w:sz w:val="22"/>
          <w:szCs w:val="22"/>
        </w:rPr>
        <w:t>, internal promotions (25 in FYE 2025) and regular appraisals are actively supporting retention and offering clear career pathways that resonate with Gen Z priorities (</w:t>
      </w:r>
      <w:proofErr w:type="spellStart"/>
      <w:r w:rsidRPr="009C4239">
        <w:rPr>
          <w:rFonts w:ascii="Arial" w:hAnsi="Arial" w:cs="Arial"/>
          <w:sz w:val="22"/>
          <w:szCs w:val="22"/>
        </w:rPr>
        <w:t>Scolmore</w:t>
      </w:r>
      <w:proofErr w:type="spellEnd"/>
      <w:r w:rsidRPr="009C4239">
        <w:rPr>
          <w:rFonts w:ascii="Arial" w:hAnsi="Arial" w:cs="Arial"/>
          <w:sz w:val="22"/>
          <w:szCs w:val="22"/>
        </w:rPr>
        <w:t xml:space="preserve"> Group, 2025). AI-driven analytics are also proving valuable, enabling more accurate prediction of performance and helping to target acquisition in areas where technical talent is scarce (</w:t>
      </w:r>
      <w:proofErr w:type="spellStart"/>
      <w:r w:rsidRPr="009C4239">
        <w:rPr>
          <w:rFonts w:ascii="Arial" w:hAnsi="Arial" w:cs="Arial"/>
          <w:sz w:val="22"/>
          <w:szCs w:val="22"/>
        </w:rPr>
        <w:t>Refonte</w:t>
      </w:r>
      <w:proofErr w:type="spellEnd"/>
      <w:r w:rsidRPr="009C4239">
        <w:rPr>
          <w:rFonts w:ascii="Arial" w:hAnsi="Arial" w:cs="Arial"/>
          <w:sz w:val="22"/>
          <w:szCs w:val="22"/>
        </w:rPr>
        <w:t xml:space="preserve"> Learning, 2026). Flexible working arrangements and wellbeing initiatives—such as the </w:t>
      </w:r>
      <w:proofErr w:type="spellStart"/>
      <w:r w:rsidRPr="009C4239">
        <w:rPr>
          <w:rFonts w:ascii="Arial" w:hAnsi="Arial" w:cs="Arial"/>
          <w:sz w:val="22"/>
          <w:szCs w:val="22"/>
        </w:rPr>
        <w:t>Paycare</w:t>
      </w:r>
      <w:proofErr w:type="spellEnd"/>
      <w:r w:rsidRPr="009C4239">
        <w:rPr>
          <w:rFonts w:ascii="Arial" w:hAnsi="Arial" w:cs="Arial"/>
          <w:sz w:val="22"/>
          <w:szCs w:val="22"/>
        </w:rPr>
        <w:t xml:space="preserve"> health plans—contribute to solid engagement levels, with 81% of employees reporting a manageable workload (</w:t>
      </w:r>
      <w:proofErr w:type="spellStart"/>
      <w:r w:rsidRPr="009C4239">
        <w:rPr>
          <w:rFonts w:ascii="Arial" w:hAnsi="Arial" w:cs="Arial"/>
          <w:sz w:val="22"/>
          <w:szCs w:val="22"/>
        </w:rPr>
        <w:t>Scolmore</w:t>
      </w:r>
      <w:proofErr w:type="spellEnd"/>
      <w:r w:rsidRPr="009C4239">
        <w:rPr>
          <w:rFonts w:ascii="Arial" w:hAnsi="Arial" w:cs="Arial"/>
          <w:sz w:val="22"/>
          <w:szCs w:val="22"/>
        </w:rPr>
        <w:t xml:space="preserve"> Group, 2025). However, higher female attrition rates highlight ongoing gaps that need attention. These practices are generally strong for retention, but they would benefit from more consistent data-driven adjustments to improve acquisition success, particularly in a context of 24% projected growth in technology-related employment (Deloitte, 2025).</w:t>
      </w:r>
    </w:p>
    <w:p w14:paraId="4E83AEDC" w14:textId="77777777" w:rsidR="009C4239" w:rsidRPr="009C4239" w:rsidRDefault="009C4239" w:rsidP="003E0DE4">
      <w:pPr>
        <w:pStyle w:val="Heading2"/>
      </w:pPr>
      <w:bookmarkStart w:id="9" w:name="_Toc225076684"/>
      <w:r w:rsidRPr="009C4239">
        <w:lastRenderedPageBreak/>
        <w:t>Addressing DEI</w:t>
      </w:r>
      <w:bookmarkEnd w:id="9"/>
    </w:p>
    <w:p w14:paraId="2CD7FD59" w14:textId="77777777" w:rsidR="009C4239" w:rsidRPr="009C4239" w:rsidRDefault="009C4239" w:rsidP="009C4239">
      <w:pPr>
        <w:spacing w:line="360" w:lineRule="auto"/>
        <w:jc w:val="both"/>
        <w:rPr>
          <w:rFonts w:ascii="Arial" w:hAnsi="Arial" w:cs="Arial"/>
          <w:sz w:val="22"/>
          <w:szCs w:val="22"/>
        </w:rPr>
      </w:pPr>
      <w:r w:rsidRPr="009C4239">
        <w:rPr>
          <w:rFonts w:ascii="Arial" w:hAnsi="Arial" w:cs="Arial"/>
          <w:sz w:val="22"/>
          <w:szCs w:val="22"/>
        </w:rPr>
        <w:t>Modern DEI practices increasingly rely on AI-enabled bias-free recruitment tools and real-time metrics tracking through dedicated dashboards to monitor hiring, progression, and representation (</w:t>
      </w:r>
      <w:proofErr w:type="spellStart"/>
      <w:r w:rsidRPr="009C4239">
        <w:rPr>
          <w:rFonts w:ascii="Arial" w:hAnsi="Arial" w:cs="Arial"/>
          <w:sz w:val="22"/>
          <w:szCs w:val="22"/>
        </w:rPr>
        <w:t>Zalaris</w:t>
      </w:r>
      <w:proofErr w:type="spellEnd"/>
      <w:r w:rsidRPr="009C4239">
        <w:rPr>
          <w:rFonts w:ascii="Arial" w:hAnsi="Arial" w:cs="Arial"/>
          <w:sz w:val="22"/>
          <w:szCs w:val="22"/>
        </w:rPr>
        <w:t>, 2026). Many UK organisations are embedding DEI objectives directly into performance KPIs, which helps embed inclusion more deeply across teams (</w:t>
      </w:r>
      <w:proofErr w:type="spellStart"/>
      <w:r w:rsidRPr="009C4239">
        <w:rPr>
          <w:rFonts w:ascii="Arial" w:hAnsi="Arial" w:cs="Arial"/>
          <w:sz w:val="22"/>
          <w:szCs w:val="22"/>
        </w:rPr>
        <w:t>Refonte</w:t>
      </w:r>
      <w:proofErr w:type="spellEnd"/>
      <w:r w:rsidRPr="009C4239">
        <w:rPr>
          <w:rFonts w:ascii="Arial" w:hAnsi="Arial" w:cs="Arial"/>
          <w:sz w:val="22"/>
          <w:szCs w:val="22"/>
        </w:rPr>
        <w:t xml:space="preserve"> Learning, 2026). At </w:t>
      </w:r>
      <w:proofErr w:type="spellStart"/>
      <w:r w:rsidRPr="009C4239">
        <w:rPr>
          <w:rFonts w:ascii="Arial" w:hAnsi="Arial" w:cs="Arial"/>
          <w:sz w:val="22"/>
          <w:szCs w:val="22"/>
        </w:rPr>
        <w:t>Scolmore</w:t>
      </w:r>
      <w:proofErr w:type="spellEnd"/>
      <w:r w:rsidRPr="009C4239">
        <w:rPr>
          <w:rFonts w:ascii="Arial" w:hAnsi="Arial" w:cs="Arial"/>
          <w:sz w:val="22"/>
          <w:szCs w:val="22"/>
        </w:rPr>
        <w:t>, unconscious bias training and inclusive sourcing strategies (such as Better Pathways partnerships) have contributed to more balanced new hires (33% female in FYE 2025), yet the low proportion of women in senior roles (8%) reveals persistent limitations (</w:t>
      </w:r>
      <w:proofErr w:type="spellStart"/>
      <w:r w:rsidRPr="009C4239">
        <w:rPr>
          <w:rFonts w:ascii="Arial" w:hAnsi="Arial" w:cs="Arial"/>
          <w:sz w:val="22"/>
          <w:szCs w:val="22"/>
        </w:rPr>
        <w:t>Scolmore</w:t>
      </w:r>
      <w:proofErr w:type="spellEnd"/>
      <w:r w:rsidRPr="009C4239">
        <w:rPr>
          <w:rFonts w:ascii="Arial" w:hAnsi="Arial" w:cs="Arial"/>
          <w:sz w:val="22"/>
          <w:szCs w:val="22"/>
        </w:rPr>
        <w:t xml:space="preserve"> Group, 2025). Employee resource groups and clear equitable policies are helping to counter external backlash by shifting the focus toward measurable, evidence-based progress rather than symbolic gestures (</w:t>
      </w:r>
      <w:proofErr w:type="spellStart"/>
      <w:r w:rsidRPr="009C4239">
        <w:rPr>
          <w:rFonts w:ascii="Arial" w:hAnsi="Arial" w:cs="Arial"/>
          <w:sz w:val="22"/>
          <w:szCs w:val="22"/>
        </w:rPr>
        <w:t>Refonte</w:t>
      </w:r>
      <w:proofErr w:type="spellEnd"/>
      <w:r w:rsidRPr="009C4239">
        <w:rPr>
          <w:rFonts w:ascii="Arial" w:hAnsi="Arial" w:cs="Arial"/>
          <w:sz w:val="22"/>
          <w:szCs w:val="22"/>
        </w:rPr>
        <w:t xml:space="preserve"> Learning, 2026). These approaches are effective at ensuring compliance and building a foundation for change, but in a traditionally male-dominated sector like electrical manufacturing, they require ongoing commitment, regular auditing, and leadership accountability to truly shift culture and unlock the full benefits of diverse perspectives.</w:t>
      </w:r>
    </w:p>
    <w:p w14:paraId="555DA1C2" w14:textId="77777777" w:rsidR="001155C9" w:rsidRPr="001155C9" w:rsidRDefault="001155C9" w:rsidP="003E0DE4">
      <w:pPr>
        <w:pStyle w:val="Heading1"/>
      </w:pPr>
      <w:bookmarkStart w:id="10" w:name="_Toc225076685"/>
      <w:r w:rsidRPr="001155C9">
        <w:t>3. Critical Evaluation of Departmental Managers' Role in Urgent Implementation</w:t>
      </w:r>
      <w:bookmarkEnd w:id="10"/>
    </w:p>
    <w:p w14:paraId="04137FCC" w14:textId="29016BFD" w:rsidR="001155C9" w:rsidRPr="001155C9" w:rsidRDefault="001155C9" w:rsidP="00B56B41">
      <w:pPr>
        <w:spacing w:after="0" w:line="360" w:lineRule="auto"/>
        <w:jc w:val="both"/>
        <w:rPr>
          <w:rFonts w:ascii="Arial" w:hAnsi="Arial" w:cs="Arial"/>
          <w:sz w:val="22"/>
          <w:szCs w:val="22"/>
        </w:rPr>
      </w:pPr>
      <w:r w:rsidRPr="001155C9">
        <w:rPr>
          <w:rFonts w:ascii="Arial" w:hAnsi="Arial" w:cs="Arial"/>
          <w:sz w:val="22"/>
          <w:szCs w:val="22"/>
        </w:rPr>
        <w:t xml:space="preserve">Departmental managers in UK organisations sit right at the heart of turning HR strategy into everyday reality—they are the vital bridge between high-level plans and what </w:t>
      </w:r>
      <w:proofErr w:type="gramStart"/>
      <w:r w:rsidRPr="001155C9">
        <w:rPr>
          <w:rFonts w:ascii="Arial" w:hAnsi="Arial" w:cs="Arial"/>
          <w:sz w:val="22"/>
          <w:szCs w:val="22"/>
        </w:rPr>
        <w:t>actually happens</w:t>
      </w:r>
      <w:proofErr w:type="gramEnd"/>
      <w:r w:rsidRPr="001155C9">
        <w:rPr>
          <w:rFonts w:ascii="Arial" w:hAnsi="Arial" w:cs="Arial"/>
          <w:sz w:val="22"/>
          <w:szCs w:val="22"/>
        </w:rPr>
        <w:t xml:space="preserve"> on the ground (People Management</w:t>
      </w:r>
      <w:r w:rsidR="00004C7A">
        <w:rPr>
          <w:rFonts w:ascii="Arial" w:hAnsi="Arial" w:cs="Arial"/>
          <w:sz w:val="22"/>
          <w:szCs w:val="22"/>
        </w:rPr>
        <w:t xml:space="preserve"> </w:t>
      </w:r>
      <w:r w:rsidR="00877043">
        <w:rPr>
          <w:rFonts w:ascii="Arial" w:hAnsi="Arial" w:cs="Arial"/>
          <w:sz w:val="22"/>
          <w:szCs w:val="22"/>
        </w:rPr>
        <w:t>/</w:t>
      </w:r>
      <w:r w:rsidR="00877043" w:rsidRPr="00877043">
        <w:rPr>
          <w:rFonts w:ascii="Times New Roman" w:eastAsia="Times New Roman" w:hAnsi="Times New Roman" w:cs="Times New Roman"/>
          <w:kern w:val="0"/>
          <w:lang w:eastAsia="en-GB"/>
          <w14:ligatures w14:val="none"/>
        </w:rPr>
        <w:t xml:space="preserve"> </w:t>
      </w:r>
      <w:r w:rsidR="00877043" w:rsidRPr="00877043">
        <w:rPr>
          <w:rFonts w:ascii="Arial" w:hAnsi="Arial" w:cs="Arial"/>
          <w:sz w:val="22"/>
          <w:szCs w:val="22"/>
        </w:rPr>
        <w:t>CIPD</w:t>
      </w:r>
      <w:r w:rsidRPr="001155C9">
        <w:rPr>
          <w:rFonts w:ascii="Arial" w:hAnsi="Arial" w:cs="Arial"/>
          <w:sz w:val="22"/>
          <w:szCs w:val="22"/>
        </w:rPr>
        <w:t>, 2025). Their role becomes especially critical when urgency is needed, as delays in implementation can quickly undermine progress across all three key areas.</w:t>
      </w:r>
    </w:p>
    <w:p w14:paraId="7B1A734C" w14:textId="77777777" w:rsidR="001155C9" w:rsidRPr="001155C9" w:rsidRDefault="001155C9" w:rsidP="00B56B41">
      <w:pPr>
        <w:spacing w:after="0" w:line="360" w:lineRule="auto"/>
        <w:jc w:val="both"/>
        <w:rPr>
          <w:rFonts w:ascii="Arial" w:hAnsi="Arial" w:cs="Arial"/>
          <w:sz w:val="22"/>
          <w:szCs w:val="22"/>
        </w:rPr>
      </w:pPr>
      <w:r w:rsidRPr="001155C9">
        <w:rPr>
          <w:rFonts w:ascii="Arial" w:hAnsi="Arial" w:cs="Arial"/>
          <w:sz w:val="22"/>
          <w:szCs w:val="22"/>
        </w:rPr>
        <w:t xml:space="preserve">For technological advancement, managers </w:t>
      </w:r>
      <w:proofErr w:type="gramStart"/>
      <w:r w:rsidRPr="001155C9">
        <w:rPr>
          <w:rFonts w:ascii="Arial" w:hAnsi="Arial" w:cs="Arial"/>
          <w:sz w:val="22"/>
          <w:szCs w:val="22"/>
        </w:rPr>
        <w:t>have to</w:t>
      </w:r>
      <w:proofErr w:type="gramEnd"/>
      <w:r w:rsidRPr="001155C9">
        <w:rPr>
          <w:rFonts w:ascii="Arial" w:hAnsi="Arial" w:cs="Arial"/>
          <w:sz w:val="22"/>
          <w:szCs w:val="22"/>
        </w:rPr>
        <w:t xml:space="preserve"> actively champion the adoption of AI and digital tools by personally supporting and encouraging training initiatives. At </w:t>
      </w:r>
      <w:proofErr w:type="spellStart"/>
      <w:r w:rsidRPr="001155C9">
        <w:rPr>
          <w:rFonts w:ascii="Arial" w:hAnsi="Arial" w:cs="Arial"/>
          <w:sz w:val="22"/>
          <w:szCs w:val="22"/>
        </w:rPr>
        <w:t>Scolmore</w:t>
      </w:r>
      <w:proofErr w:type="spellEnd"/>
      <w:r w:rsidRPr="001155C9">
        <w:rPr>
          <w:rFonts w:ascii="Arial" w:hAnsi="Arial" w:cs="Arial"/>
          <w:sz w:val="22"/>
          <w:szCs w:val="22"/>
        </w:rPr>
        <w:t>, for example, workshops successfully equipped more than 70 managers with awareness around bias avoidance in tech processes (</w:t>
      </w:r>
      <w:proofErr w:type="spellStart"/>
      <w:r w:rsidRPr="001155C9">
        <w:rPr>
          <w:rFonts w:ascii="Arial" w:hAnsi="Arial" w:cs="Arial"/>
          <w:sz w:val="22"/>
          <w:szCs w:val="22"/>
        </w:rPr>
        <w:t>Scolmore</w:t>
      </w:r>
      <w:proofErr w:type="spellEnd"/>
      <w:r w:rsidRPr="001155C9">
        <w:rPr>
          <w:rFonts w:ascii="Arial" w:hAnsi="Arial" w:cs="Arial"/>
          <w:sz w:val="22"/>
          <w:szCs w:val="22"/>
        </w:rPr>
        <w:t xml:space="preserve"> Group, 2025). Critically though, real urgency demands that managers tie technological proficiency directly to performance through clear KPIs. The uneven training distribution—directors averaging only 6.93 hours compared to much higher figures for other levels—highlights a real risk of delays in readiness (</w:t>
      </w:r>
      <w:proofErr w:type="spellStart"/>
      <w:r w:rsidRPr="001155C9">
        <w:rPr>
          <w:rFonts w:ascii="Arial" w:hAnsi="Arial" w:cs="Arial"/>
          <w:sz w:val="22"/>
          <w:szCs w:val="22"/>
        </w:rPr>
        <w:t>Scolmore</w:t>
      </w:r>
      <w:proofErr w:type="spellEnd"/>
      <w:r w:rsidRPr="001155C9">
        <w:rPr>
          <w:rFonts w:ascii="Arial" w:hAnsi="Arial" w:cs="Arial"/>
          <w:sz w:val="22"/>
          <w:szCs w:val="22"/>
        </w:rPr>
        <w:t xml:space="preserve"> Group, 2025). Managers should be conducting monthly skills-gap audits to speed up targeted upskilling and help reduce the widespread AI-related anxiety felt by 52% of workers (AIHR, 2026; Deloitte, 2025). Close collaboration with HR through agile review cycles can drive faster rollout, but there is a danger that leaning too heavily on the LMS might overlook the hands-on, practical learning needs that are so important in a manufacturing environment.</w:t>
      </w:r>
    </w:p>
    <w:p w14:paraId="40C621AC" w14:textId="77777777" w:rsidR="001155C9" w:rsidRPr="001155C9" w:rsidRDefault="001155C9" w:rsidP="00B56B41">
      <w:pPr>
        <w:spacing w:after="0" w:line="360" w:lineRule="auto"/>
        <w:jc w:val="both"/>
        <w:rPr>
          <w:rFonts w:ascii="Arial" w:hAnsi="Arial" w:cs="Arial"/>
          <w:sz w:val="22"/>
          <w:szCs w:val="22"/>
        </w:rPr>
      </w:pPr>
      <w:r w:rsidRPr="001155C9">
        <w:rPr>
          <w:rFonts w:ascii="Arial" w:hAnsi="Arial" w:cs="Arial"/>
          <w:sz w:val="22"/>
          <w:szCs w:val="22"/>
        </w:rPr>
        <w:t xml:space="preserve">When it comes to talent acquisition and retention, managers play a hands-on role in bringing practices to life—leading appraisals, championing promotions, and setting personal </w:t>
      </w:r>
      <w:r w:rsidRPr="001155C9">
        <w:rPr>
          <w:rFonts w:ascii="Arial" w:hAnsi="Arial" w:cs="Arial"/>
          <w:sz w:val="22"/>
          <w:szCs w:val="22"/>
        </w:rPr>
        <w:lastRenderedPageBreak/>
        <w:t xml:space="preserve">development goals. </w:t>
      </w:r>
      <w:proofErr w:type="spellStart"/>
      <w:r w:rsidRPr="001155C9">
        <w:rPr>
          <w:rFonts w:ascii="Arial" w:hAnsi="Arial" w:cs="Arial"/>
          <w:sz w:val="22"/>
          <w:szCs w:val="22"/>
        </w:rPr>
        <w:t>Scolmore’s</w:t>
      </w:r>
      <w:proofErr w:type="spellEnd"/>
      <w:r w:rsidRPr="001155C9">
        <w:rPr>
          <w:rFonts w:ascii="Arial" w:hAnsi="Arial" w:cs="Arial"/>
          <w:sz w:val="22"/>
          <w:szCs w:val="22"/>
        </w:rPr>
        <w:t xml:space="preserve"> Q1 reviews, for instance, provide a structured way to align individual objectives with retention priorities (</w:t>
      </w:r>
      <w:proofErr w:type="spellStart"/>
      <w:r w:rsidRPr="001155C9">
        <w:rPr>
          <w:rFonts w:ascii="Arial" w:hAnsi="Arial" w:cs="Arial"/>
          <w:sz w:val="22"/>
          <w:szCs w:val="22"/>
        </w:rPr>
        <w:t>Scolmore</w:t>
      </w:r>
      <w:proofErr w:type="spellEnd"/>
      <w:r w:rsidRPr="001155C9">
        <w:rPr>
          <w:rFonts w:ascii="Arial" w:hAnsi="Arial" w:cs="Arial"/>
          <w:sz w:val="22"/>
          <w:szCs w:val="22"/>
        </w:rPr>
        <w:t xml:space="preserve"> Group, 2025). To act with urgency, managers can embed skills-based hiring by running regular scenario-based audits and selection exercises, directly tackling the 70% of UK employers who struggle to fill roles (Ciphr, 2026). On retention, embedding flexible working advocacy and wellbeing conversations into day-to-day team management is essential to counter the 14.46% attrition rate (</w:t>
      </w:r>
      <w:proofErr w:type="spellStart"/>
      <w:r w:rsidRPr="001155C9">
        <w:rPr>
          <w:rFonts w:ascii="Arial" w:hAnsi="Arial" w:cs="Arial"/>
          <w:sz w:val="22"/>
          <w:szCs w:val="22"/>
        </w:rPr>
        <w:t>Scolmore</w:t>
      </w:r>
      <w:proofErr w:type="spellEnd"/>
      <w:r w:rsidRPr="001155C9">
        <w:rPr>
          <w:rFonts w:ascii="Arial" w:hAnsi="Arial" w:cs="Arial"/>
          <w:sz w:val="22"/>
          <w:szCs w:val="22"/>
        </w:rPr>
        <w:t xml:space="preserve"> Group, 2025). Yet inconsistent application across teams can lead to disengagement; managers therefore need to lean on real-time data dashboards to spot issues early and provide personalised feedback that resonates with Gen Z expectations (HR Magazine, 2026). This proactive, visible leadership builds organisational resilience, although resistance from more traditional management structures can sometimes slow momentum.</w:t>
      </w:r>
    </w:p>
    <w:p w14:paraId="0C068F17" w14:textId="77777777" w:rsidR="001155C9" w:rsidRPr="001155C9" w:rsidRDefault="001155C9" w:rsidP="00B56B41">
      <w:pPr>
        <w:spacing w:after="0" w:line="360" w:lineRule="auto"/>
        <w:jc w:val="both"/>
        <w:rPr>
          <w:rFonts w:ascii="Arial" w:hAnsi="Arial" w:cs="Arial"/>
          <w:sz w:val="22"/>
          <w:szCs w:val="22"/>
        </w:rPr>
      </w:pPr>
      <w:r w:rsidRPr="001155C9">
        <w:rPr>
          <w:rFonts w:ascii="Arial" w:hAnsi="Arial" w:cs="Arial"/>
          <w:sz w:val="22"/>
          <w:szCs w:val="22"/>
        </w:rPr>
        <w:t xml:space="preserve">For DEI, managers are the key drivers of urgency by weaving inclusion goals into team KPIs and everyday behaviours, as strongly recommended under evolving legislation such as the </w:t>
      </w:r>
      <w:proofErr w:type="spellStart"/>
      <w:r w:rsidRPr="001155C9">
        <w:rPr>
          <w:rFonts w:ascii="Arial" w:hAnsi="Arial" w:cs="Arial"/>
          <w:sz w:val="22"/>
          <w:szCs w:val="22"/>
        </w:rPr>
        <w:t>Workers</w:t>
      </w:r>
      <w:proofErr w:type="spellEnd"/>
      <w:r w:rsidRPr="001155C9">
        <w:rPr>
          <w:rFonts w:ascii="Arial" w:hAnsi="Arial" w:cs="Arial"/>
          <w:sz w:val="22"/>
          <w:szCs w:val="22"/>
        </w:rPr>
        <w:t xml:space="preserve"> Rights Bill (</w:t>
      </w:r>
      <w:proofErr w:type="spellStart"/>
      <w:r w:rsidRPr="001155C9">
        <w:rPr>
          <w:rFonts w:ascii="Arial" w:hAnsi="Arial" w:cs="Arial"/>
          <w:sz w:val="22"/>
          <w:szCs w:val="22"/>
        </w:rPr>
        <w:t>Zalaris</w:t>
      </w:r>
      <w:proofErr w:type="spellEnd"/>
      <w:r w:rsidRPr="001155C9">
        <w:rPr>
          <w:rFonts w:ascii="Arial" w:hAnsi="Arial" w:cs="Arial"/>
          <w:sz w:val="22"/>
          <w:szCs w:val="22"/>
        </w:rPr>
        <w:t xml:space="preserve">, 2026). At </w:t>
      </w:r>
      <w:proofErr w:type="spellStart"/>
      <w:r w:rsidRPr="001155C9">
        <w:rPr>
          <w:rFonts w:ascii="Arial" w:hAnsi="Arial" w:cs="Arial"/>
          <w:sz w:val="22"/>
          <w:szCs w:val="22"/>
        </w:rPr>
        <w:t>Scolmore</w:t>
      </w:r>
      <w:proofErr w:type="spellEnd"/>
      <w:r w:rsidRPr="001155C9">
        <w:rPr>
          <w:rFonts w:ascii="Arial" w:hAnsi="Arial" w:cs="Arial"/>
          <w:sz w:val="22"/>
          <w:szCs w:val="22"/>
        </w:rPr>
        <w:t>, managers leading unconscious bias training sessions have helped foster greater awareness and inclusion, yet the persistently low female representation in senior roles (8%) serves as a reminder that training alone can feel superficial without follow-through (</w:t>
      </w:r>
      <w:proofErr w:type="spellStart"/>
      <w:r w:rsidRPr="001155C9">
        <w:rPr>
          <w:rFonts w:ascii="Arial" w:hAnsi="Arial" w:cs="Arial"/>
          <w:sz w:val="22"/>
          <w:szCs w:val="22"/>
        </w:rPr>
        <w:t>Scolmore</w:t>
      </w:r>
      <w:proofErr w:type="spellEnd"/>
      <w:r w:rsidRPr="001155C9">
        <w:rPr>
          <w:rFonts w:ascii="Arial" w:hAnsi="Arial" w:cs="Arial"/>
          <w:sz w:val="22"/>
          <w:szCs w:val="22"/>
        </w:rPr>
        <w:t xml:space="preserve"> Group, 2025). Managers can create immediate momentum by urgently auditing team practices through regular pulse surveys (which achieved a 71% response rate at </w:t>
      </w:r>
      <w:proofErr w:type="spellStart"/>
      <w:r w:rsidRPr="001155C9">
        <w:rPr>
          <w:rFonts w:ascii="Arial" w:hAnsi="Arial" w:cs="Arial"/>
          <w:sz w:val="22"/>
          <w:szCs w:val="22"/>
        </w:rPr>
        <w:t>Scolmore</w:t>
      </w:r>
      <w:proofErr w:type="spellEnd"/>
      <w:r w:rsidRPr="001155C9">
        <w:rPr>
          <w:rFonts w:ascii="Arial" w:hAnsi="Arial" w:cs="Arial"/>
          <w:sz w:val="22"/>
          <w:szCs w:val="22"/>
        </w:rPr>
        <w:t>) and using transparent metrics to counter external backlash and demonstrate progress (</w:t>
      </w:r>
      <w:proofErr w:type="spellStart"/>
      <w:r w:rsidRPr="001155C9">
        <w:rPr>
          <w:rFonts w:ascii="Arial" w:hAnsi="Arial" w:cs="Arial"/>
          <w:sz w:val="22"/>
          <w:szCs w:val="22"/>
        </w:rPr>
        <w:t>Refonte</w:t>
      </w:r>
      <w:proofErr w:type="spellEnd"/>
      <w:r w:rsidRPr="001155C9">
        <w:rPr>
          <w:rFonts w:ascii="Arial" w:hAnsi="Arial" w:cs="Arial"/>
          <w:sz w:val="22"/>
          <w:szCs w:val="22"/>
        </w:rPr>
        <w:t xml:space="preserve"> Learning, 2026). Critically, genuine cultural accountability is required—power dynamics and ingrained habits can delay change—but actively supporting employee resource groups and building diverse sourcing partnerships can accelerate equity and unlock fresh ideas in underrepresented areas.</w:t>
      </w:r>
    </w:p>
    <w:p w14:paraId="72AC2365" w14:textId="77777777" w:rsidR="001155C9" w:rsidRPr="001155C9" w:rsidRDefault="001155C9" w:rsidP="001155C9">
      <w:pPr>
        <w:spacing w:line="360" w:lineRule="auto"/>
        <w:jc w:val="both"/>
        <w:rPr>
          <w:rFonts w:ascii="Arial" w:hAnsi="Arial" w:cs="Arial"/>
          <w:sz w:val="22"/>
          <w:szCs w:val="22"/>
        </w:rPr>
      </w:pPr>
      <w:r w:rsidRPr="001155C9">
        <w:rPr>
          <w:rFonts w:ascii="Arial" w:hAnsi="Arial" w:cs="Arial"/>
          <w:sz w:val="22"/>
          <w:szCs w:val="22"/>
        </w:rPr>
        <w:t>Ultimately, departmental managers’ success depends on strong partnership with HR, smart use of data, and a genuine commitment to ongoing development. Bureaucratic obstacles and competing priorities can undermine even the best intentions, but when managers are genuinely empowered and held accountable, urgent implementation delivers real, lasting outcomes across the organisation.</w:t>
      </w:r>
    </w:p>
    <w:p w14:paraId="725116EC" w14:textId="77777777" w:rsidR="00074F0E" w:rsidRPr="000C6A6F" w:rsidRDefault="00074F0E" w:rsidP="003E0DE4">
      <w:pPr>
        <w:pStyle w:val="Heading1"/>
      </w:pPr>
      <w:bookmarkStart w:id="11" w:name="_Toc225076686"/>
      <w:r w:rsidRPr="000C6A6F">
        <w:t>Conclusion</w:t>
      </w:r>
      <w:bookmarkEnd w:id="11"/>
    </w:p>
    <w:p w14:paraId="0D5714F3" w14:textId="77777777" w:rsidR="006D687B" w:rsidRPr="006D687B" w:rsidRDefault="006D687B" w:rsidP="001A5EF4">
      <w:pPr>
        <w:spacing w:after="0" w:line="360" w:lineRule="auto"/>
        <w:jc w:val="both"/>
        <w:rPr>
          <w:rFonts w:ascii="Arial" w:hAnsi="Arial" w:cs="Arial"/>
          <w:sz w:val="22"/>
          <w:szCs w:val="22"/>
        </w:rPr>
      </w:pPr>
      <w:proofErr w:type="spellStart"/>
      <w:r w:rsidRPr="006D687B">
        <w:rPr>
          <w:rFonts w:ascii="Arial" w:hAnsi="Arial" w:cs="Arial"/>
          <w:sz w:val="22"/>
          <w:szCs w:val="22"/>
        </w:rPr>
        <w:t>Scolmore</w:t>
      </w:r>
      <w:proofErr w:type="spellEnd"/>
      <w:r w:rsidRPr="006D687B">
        <w:rPr>
          <w:rFonts w:ascii="Arial" w:hAnsi="Arial" w:cs="Arial"/>
          <w:sz w:val="22"/>
          <w:szCs w:val="22"/>
        </w:rPr>
        <w:t xml:space="preserve"> is tackling real 2026 challenges for UK manufacturers: fast tech change, tight talent markets and building inclusion in a male-dominated sector. It has good foundations—solid training, internal progression, strong engagement and ethical policies—but small gaps in training consistency, attrition and female leadership show there’s still work to do.</w:t>
      </w:r>
    </w:p>
    <w:p w14:paraId="60CB6C51" w14:textId="77777777" w:rsidR="006D687B" w:rsidRPr="006D687B" w:rsidRDefault="006D687B" w:rsidP="001A5EF4">
      <w:pPr>
        <w:spacing w:after="0" w:line="360" w:lineRule="auto"/>
        <w:jc w:val="both"/>
        <w:rPr>
          <w:rFonts w:ascii="Arial" w:hAnsi="Arial" w:cs="Arial"/>
          <w:sz w:val="22"/>
          <w:szCs w:val="22"/>
        </w:rPr>
      </w:pPr>
      <w:r w:rsidRPr="006D687B">
        <w:rPr>
          <w:rFonts w:ascii="Arial" w:hAnsi="Arial" w:cs="Arial"/>
          <w:sz w:val="22"/>
          <w:szCs w:val="22"/>
        </w:rPr>
        <w:t xml:space="preserve">Modern HR practices offer clear paths forward, but success depends on managers turning plans into daily action. With real support and accountability, these can become genuine culture </w:t>
      </w:r>
      <w:r w:rsidRPr="006D687B">
        <w:rPr>
          <w:rFonts w:ascii="Arial" w:hAnsi="Arial" w:cs="Arial"/>
          <w:sz w:val="22"/>
          <w:szCs w:val="22"/>
        </w:rPr>
        <w:lastRenderedPageBreak/>
        <w:t xml:space="preserve">and performance improvements. Done thoughtfully, </w:t>
      </w:r>
      <w:proofErr w:type="spellStart"/>
      <w:r w:rsidRPr="006D687B">
        <w:rPr>
          <w:rFonts w:ascii="Arial" w:hAnsi="Arial" w:cs="Arial"/>
          <w:sz w:val="22"/>
          <w:szCs w:val="22"/>
        </w:rPr>
        <w:t>Scolmore</w:t>
      </w:r>
      <w:proofErr w:type="spellEnd"/>
      <w:r w:rsidRPr="006D687B">
        <w:rPr>
          <w:rFonts w:ascii="Arial" w:hAnsi="Arial" w:cs="Arial"/>
          <w:sz w:val="22"/>
          <w:szCs w:val="22"/>
        </w:rPr>
        <w:t xml:space="preserve"> can stay competitive while remaining a place people feel valued and proud to work.</w:t>
      </w:r>
    </w:p>
    <w:p w14:paraId="6F30592D" w14:textId="77777777" w:rsidR="006D687B" w:rsidRPr="006D687B" w:rsidRDefault="006D687B" w:rsidP="001A5EF4">
      <w:pPr>
        <w:pStyle w:val="Heading1"/>
      </w:pPr>
      <w:bookmarkStart w:id="12" w:name="_Toc225076687"/>
      <w:r w:rsidRPr="006D687B">
        <w:t>Recommendations</w:t>
      </w:r>
      <w:bookmarkEnd w:id="12"/>
    </w:p>
    <w:p w14:paraId="2CDA0743" w14:textId="77777777" w:rsidR="006D687B" w:rsidRPr="006D687B" w:rsidRDefault="006D687B" w:rsidP="005E28B9">
      <w:pPr>
        <w:numPr>
          <w:ilvl w:val="0"/>
          <w:numId w:val="5"/>
        </w:numPr>
        <w:spacing w:after="0" w:line="360" w:lineRule="auto"/>
        <w:jc w:val="both"/>
        <w:rPr>
          <w:rFonts w:ascii="Arial" w:hAnsi="Arial" w:cs="Arial"/>
          <w:sz w:val="22"/>
          <w:szCs w:val="22"/>
        </w:rPr>
      </w:pPr>
      <w:r w:rsidRPr="006D687B">
        <w:rPr>
          <w:rFonts w:ascii="Arial" w:hAnsi="Arial" w:cs="Arial"/>
          <w:b/>
          <w:bCs/>
          <w:sz w:val="22"/>
          <w:szCs w:val="22"/>
        </w:rPr>
        <w:t>Tech readiness</w:t>
      </w:r>
      <w:r w:rsidRPr="006D687B">
        <w:rPr>
          <w:rFonts w:ascii="Arial" w:hAnsi="Arial" w:cs="Arial"/>
          <w:sz w:val="22"/>
          <w:szCs w:val="22"/>
        </w:rPr>
        <w:t xml:space="preserve"> Managers to run monthly skills audits and link tech proficiency to KPIs. Add more hands-on training so all levels are equally ready.</w:t>
      </w:r>
    </w:p>
    <w:p w14:paraId="43556F2E" w14:textId="77777777" w:rsidR="006D687B" w:rsidRPr="006D687B" w:rsidRDefault="006D687B" w:rsidP="005E28B9">
      <w:pPr>
        <w:numPr>
          <w:ilvl w:val="0"/>
          <w:numId w:val="5"/>
        </w:numPr>
        <w:spacing w:after="0" w:line="360" w:lineRule="auto"/>
        <w:jc w:val="both"/>
        <w:rPr>
          <w:rFonts w:ascii="Arial" w:hAnsi="Arial" w:cs="Arial"/>
          <w:sz w:val="22"/>
          <w:szCs w:val="22"/>
        </w:rPr>
      </w:pPr>
      <w:r w:rsidRPr="006D687B">
        <w:rPr>
          <w:rFonts w:ascii="Arial" w:hAnsi="Arial" w:cs="Arial"/>
          <w:b/>
          <w:bCs/>
          <w:sz w:val="22"/>
          <w:szCs w:val="22"/>
        </w:rPr>
        <w:t>Talent retention</w:t>
      </w:r>
      <w:r w:rsidRPr="006D687B">
        <w:rPr>
          <w:rFonts w:ascii="Arial" w:hAnsi="Arial" w:cs="Arial"/>
          <w:sz w:val="22"/>
          <w:szCs w:val="22"/>
        </w:rPr>
        <w:t xml:space="preserve"> Use quick surveys and dashboards to catch disengagement early. Build on promotions and perks with clearer career paths and flexible options that appeal to Gen Z.</w:t>
      </w:r>
    </w:p>
    <w:p w14:paraId="3F970962" w14:textId="77777777" w:rsidR="006D687B" w:rsidRPr="006D687B" w:rsidRDefault="006D687B" w:rsidP="005E28B9">
      <w:pPr>
        <w:numPr>
          <w:ilvl w:val="0"/>
          <w:numId w:val="5"/>
        </w:numPr>
        <w:spacing w:after="0" w:line="360" w:lineRule="auto"/>
        <w:jc w:val="both"/>
        <w:rPr>
          <w:rFonts w:ascii="Arial" w:hAnsi="Arial" w:cs="Arial"/>
          <w:sz w:val="22"/>
          <w:szCs w:val="22"/>
        </w:rPr>
      </w:pPr>
      <w:r w:rsidRPr="006D687B">
        <w:rPr>
          <w:rFonts w:ascii="Arial" w:hAnsi="Arial" w:cs="Arial"/>
          <w:b/>
          <w:bCs/>
          <w:sz w:val="22"/>
          <w:szCs w:val="22"/>
        </w:rPr>
        <w:t>DEI progress</w:t>
      </w:r>
      <w:r w:rsidRPr="006D687B">
        <w:rPr>
          <w:rFonts w:ascii="Arial" w:hAnsi="Arial" w:cs="Arial"/>
          <w:sz w:val="22"/>
          <w:szCs w:val="22"/>
        </w:rPr>
        <w:t xml:space="preserve"> Include measurable DEI goals in team KPIs and reviews. Refresh bias training, expand inclusive sourcing and support employee resource groups.</w:t>
      </w:r>
    </w:p>
    <w:p w14:paraId="204FCDFE" w14:textId="77777777" w:rsidR="006D687B" w:rsidRPr="006D687B" w:rsidRDefault="006D687B" w:rsidP="005E28B9">
      <w:pPr>
        <w:numPr>
          <w:ilvl w:val="0"/>
          <w:numId w:val="5"/>
        </w:numPr>
        <w:spacing w:after="0" w:line="360" w:lineRule="auto"/>
        <w:jc w:val="both"/>
        <w:rPr>
          <w:rFonts w:ascii="Arial" w:hAnsi="Arial" w:cs="Arial"/>
          <w:sz w:val="22"/>
          <w:szCs w:val="22"/>
        </w:rPr>
      </w:pPr>
      <w:r w:rsidRPr="006D687B">
        <w:rPr>
          <w:rFonts w:ascii="Arial" w:hAnsi="Arial" w:cs="Arial"/>
          <w:b/>
          <w:bCs/>
          <w:sz w:val="22"/>
          <w:szCs w:val="22"/>
        </w:rPr>
        <w:t>Empower managers</w:t>
      </w:r>
      <w:r w:rsidRPr="006D687B">
        <w:rPr>
          <w:rFonts w:ascii="Arial" w:hAnsi="Arial" w:cs="Arial"/>
          <w:sz w:val="22"/>
          <w:szCs w:val="22"/>
        </w:rPr>
        <w:t xml:space="preserve"> Provide HR check-ins, simple data tools and clear accountability. Celebrate teams that implement changes quickly to spread the momentum.</w:t>
      </w:r>
    </w:p>
    <w:p w14:paraId="309E5780" w14:textId="77777777" w:rsidR="006D687B" w:rsidRPr="006D687B" w:rsidRDefault="006D687B" w:rsidP="006D687B">
      <w:pPr>
        <w:spacing w:line="360" w:lineRule="auto"/>
        <w:jc w:val="both"/>
        <w:rPr>
          <w:rFonts w:ascii="Arial" w:hAnsi="Arial" w:cs="Arial"/>
          <w:sz w:val="22"/>
          <w:szCs w:val="22"/>
        </w:rPr>
      </w:pPr>
      <w:r w:rsidRPr="006D687B">
        <w:rPr>
          <w:rFonts w:ascii="Arial" w:hAnsi="Arial" w:cs="Arial"/>
          <w:sz w:val="22"/>
          <w:szCs w:val="22"/>
        </w:rPr>
        <w:t>These focused actions, delivered consistently, can turn today’s pressures into long-term strengths.</w:t>
      </w:r>
    </w:p>
    <w:p w14:paraId="7E7B6773" w14:textId="77777777" w:rsidR="006D16F3" w:rsidRDefault="006D16F3" w:rsidP="000C6A6F">
      <w:pPr>
        <w:spacing w:line="360" w:lineRule="auto"/>
        <w:jc w:val="both"/>
        <w:rPr>
          <w:rFonts w:ascii="Arial" w:hAnsi="Arial" w:cs="Arial"/>
          <w:b/>
          <w:bCs/>
          <w:sz w:val="22"/>
          <w:szCs w:val="22"/>
        </w:rPr>
      </w:pPr>
    </w:p>
    <w:p w14:paraId="33942BBB" w14:textId="77777777" w:rsidR="006D16F3" w:rsidRDefault="006D16F3">
      <w:pPr>
        <w:rPr>
          <w:rFonts w:ascii="Arial" w:hAnsi="Arial" w:cs="Arial"/>
          <w:b/>
          <w:bCs/>
          <w:sz w:val="22"/>
          <w:szCs w:val="22"/>
        </w:rPr>
      </w:pPr>
      <w:r>
        <w:rPr>
          <w:rFonts w:ascii="Arial" w:hAnsi="Arial" w:cs="Arial"/>
          <w:b/>
          <w:bCs/>
          <w:sz w:val="22"/>
          <w:szCs w:val="22"/>
        </w:rPr>
        <w:br w:type="page"/>
      </w:r>
    </w:p>
    <w:p w14:paraId="01156554" w14:textId="32A6DF2F" w:rsidR="00074F0E" w:rsidRPr="000C6A6F" w:rsidRDefault="00074F0E" w:rsidP="002139E3">
      <w:pPr>
        <w:pStyle w:val="Heading1"/>
      </w:pPr>
      <w:bookmarkStart w:id="13" w:name="_Toc225076688"/>
      <w:r w:rsidRPr="000C6A6F">
        <w:lastRenderedPageBreak/>
        <w:t>References</w:t>
      </w:r>
      <w:bookmarkEnd w:id="13"/>
    </w:p>
    <w:p w14:paraId="6FCDB28A" w14:textId="1D51BA0A" w:rsidR="009E5DE1" w:rsidRPr="009E5DE1" w:rsidRDefault="009E5DE1" w:rsidP="009E5DE1">
      <w:pPr>
        <w:numPr>
          <w:ilvl w:val="0"/>
          <w:numId w:val="2"/>
        </w:numPr>
        <w:spacing w:line="360" w:lineRule="auto"/>
        <w:rPr>
          <w:rFonts w:ascii="Arial" w:hAnsi="Arial" w:cs="Arial"/>
          <w:sz w:val="22"/>
          <w:szCs w:val="22"/>
        </w:rPr>
      </w:pPr>
      <w:proofErr w:type="spellStart"/>
      <w:r w:rsidRPr="009E5DE1">
        <w:rPr>
          <w:rFonts w:ascii="Arial" w:hAnsi="Arial" w:cs="Arial"/>
          <w:sz w:val="22"/>
          <w:szCs w:val="22"/>
        </w:rPr>
        <w:t>Scolmore</w:t>
      </w:r>
      <w:proofErr w:type="spellEnd"/>
      <w:r w:rsidRPr="009E5DE1">
        <w:rPr>
          <w:rFonts w:ascii="Arial" w:hAnsi="Arial" w:cs="Arial"/>
          <w:sz w:val="22"/>
          <w:szCs w:val="22"/>
        </w:rPr>
        <w:t xml:space="preserve"> Group (2025) </w:t>
      </w:r>
      <w:r w:rsidRPr="009E5DE1">
        <w:rPr>
          <w:rFonts w:ascii="Arial" w:hAnsi="Arial" w:cs="Arial"/>
          <w:i/>
          <w:iCs/>
          <w:sz w:val="22"/>
          <w:szCs w:val="22"/>
        </w:rPr>
        <w:t>Corporate Social Responsibility Report FYE 2025</w:t>
      </w:r>
      <w:r w:rsidRPr="009E5DE1">
        <w:rPr>
          <w:rFonts w:ascii="Arial" w:hAnsi="Arial" w:cs="Arial"/>
          <w:sz w:val="22"/>
          <w:szCs w:val="22"/>
        </w:rPr>
        <w:t xml:space="preserve">. Tamworth: </w:t>
      </w:r>
      <w:proofErr w:type="spellStart"/>
      <w:r w:rsidRPr="009E5DE1">
        <w:rPr>
          <w:rFonts w:ascii="Arial" w:hAnsi="Arial" w:cs="Arial"/>
          <w:sz w:val="22"/>
          <w:szCs w:val="22"/>
        </w:rPr>
        <w:t>Scolmore</w:t>
      </w:r>
      <w:proofErr w:type="spellEnd"/>
      <w:r w:rsidRPr="009E5DE1">
        <w:rPr>
          <w:rFonts w:ascii="Arial" w:hAnsi="Arial" w:cs="Arial"/>
          <w:sz w:val="22"/>
          <w:szCs w:val="22"/>
        </w:rPr>
        <w:t xml:space="preserve"> Group. Available at: </w:t>
      </w:r>
      <w:hyperlink r:id="rId9" w:tgtFrame="_blank" w:history="1">
        <w:r w:rsidRPr="009E5DE1">
          <w:rPr>
            <w:rStyle w:val="Hyperlink"/>
            <w:rFonts w:ascii="Arial" w:hAnsi="Arial" w:cs="Arial"/>
            <w:sz w:val="22"/>
            <w:szCs w:val="22"/>
          </w:rPr>
          <w:t>https://web-assets-bucket.s3.eu-west-2.amazonaws.com/pdf/CSR-report.pdf</w:t>
        </w:r>
      </w:hyperlink>
      <w:r w:rsidRPr="009E5DE1">
        <w:rPr>
          <w:rFonts w:ascii="Arial" w:hAnsi="Arial" w:cs="Arial"/>
          <w:sz w:val="22"/>
          <w:szCs w:val="22"/>
        </w:rPr>
        <w:t xml:space="preserve"> (Accessed: 22 March 2026). </w:t>
      </w:r>
    </w:p>
    <w:p w14:paraId="41474694" w14:textId="4B5C396C" w:rsidR="009E5DE1" w:rsidRPr="009E5DE1" w:rsidRDefault="009E5DE1" w:rsidP="009E5DE1">
      <w:pPr>
        <w:numPr>
          <w:ilvl w:val="0"/>
          <w:numId w:val="2"/>
        </w:numPr>
        <w:spacing w:line="360" w:lineRule="auto"/>
        <w:rPr>
          <w:rFonts w:ascii="Arial" w:hAnsi="Arial" w:cs="Arial"/>
          <w:sz w:val="22"/>
          <w:szCs w:val="22"/>
        </w:rPr>
      </w:pPr>
      <w:r w:rsidRPr="009E5DE1">
        <w:rPr>
          <w:rFonts w:ascii="Arial" w:hAnsi="Arial" w:cs="Arial"/>
          <w:sz w:val="22"/>
          <w:szCs w:val="22"/>
        </w:rPr>
        <w:t xml:space="preserve">PwC/Make UK (2026) </w:t>
      </w:r>
      <w:r w:rsidRPr="009E5DE1">
        <w:rPr>
          <w:rFonts w:ascii="Arial" w:hAnsi="Arial" w:cs="Arial"/>
          <w:i/>
          <w:iCs/>
          <w:sz w:val="22"/>
          <w:szCs w:val="22"/>
        </w:rPr>
        <w:t>Executive Survey 2026: Industrial Strategy and Manufacturing Growth</w:t>
      </w:r>
      <w:r w:rsidRPr="009E5DE1">
        <w:rPr>
          <w:rFonts w:ascii="Arial" w:hAnsi="Arial" w:cs="Arial"/>
          <w:sz w:val="22"/>
          <w:szCs w:val="22"/>
        </w:rPr>
        <w:t xml:space="preserve">. London: PwC / Make UK. Available at: </w:t>
      </w:r>
      <w:hyperlink r:id="rId10" w:tgtFrame="_blank" w:history="1">
        <w:r w:rsidRPr="009E5DE1">
          <w:rPr>
            <w:rStyle w:val="Hyperlink"/>
            <w:rFonts w:ascii="Arial" w:hAnsi="Arial" w:cs="Arial"/>
            <w:sz w:val="22"/>
            <w:szCs w:val="22"/>
          </w:rPr>
          <w:t>https://www.makeuk.org/insights/reports/executive-survey-2026</w:t>
        </w:r>
      </w:hyperlink>
      <w:r w:rsidRPr="009E5DE1">
        <w:rPr>
          <w:rFonts w:ascii="Arial" w:hAnsi="Arial" w:cs="Arial"/>
          <w:sz w:val="22"/>
          <w:szCs w:val="22"/>
        </w:rPr>
        <w:t xml:space="preserve"> (Accessed: 22 March 2026). </w:t>
      </w:r>
    </w:p>
    <w:p w14:paraId="666B6BB6" w14:textId="16B8D79F" w:rsidR="009E5DE1" w:rsidRPr="009E5DE1" w:rsidRDefault="009E5DE1" w:rsidP="009E5DE1">
      <w:pPr>
        <w:numPr>
          <w:ilvl w:val="0"/>
          <w:numId w:val="2"/>
        </w:numPr>
        <w:spacing w:line="360" w:lineRule="auto"/>
        <w:rPr>
          <w:rFonts w:ascii="Arial" w:hAnsi="Arial" w:cs="Arial"/>
          <w:sz w:val="22"/>
          <w:szCs w:val="22"/>
        </w:rPr>
      </w:pPr>
      <w:r w:rsidRPr="009E5DE1">
        <w:rPr>
          <w:rFonts w:ascii="Arial" w:hAnsi="Arial" w:cs="Arial"/>
          <w:sz w:val="22"/>
          <w:szCs w:val="22"/>
        </w:rPr>
        <w:t xml:space="preserve">AIHR (2026) </w:t>
      </w:r>
      <w:r w:rsidRPr="009E5DE1">
        <w:rPr>
          <w:rFonts w:ascii="Arial" w:hAnsi="Arial" w:cs="Arial"/>
          <w:i/>
          <w:iCs/>
          <w:sz w:val="22"/>
          <w:szCs w:val="22"/>
        </w:rPr>
        <w:t>11 HR Trends for 2026: Shaping What’s Next</w:t>
      </w:r>
      <w:r w:rsidRPr="009E5DE1">
        <w:rPr>
          <w:rFonts w:ascii="Arial" w:hAnsi="Arial" w:cs="Arial"/>
          <w:sz w:val="22"/>
          <w:szCs w:val="22"/>
        </w:rPr>
        <w:t xml:space="preserve">. Amsterdam: Academy to Innovate HR. Available at: </w:t>
      </w:r>
      <w:hyperlink r:id="rId11" w:tgtFrame="_blank" w:history="1">
        <w:r w:rsidRPr="009E5DE1">
          <w:rPr>
            <w:rStyle w:val="Hyperlink"/>
            <w:rFonts w:ascii="Arial" w:hAnsi="Arial" w:cs="Arial"/>
            <w:sz w:val="22"/>
            <w:szCs w:val="22"/>
          </w:rPr>
          <w:t>https://www.aihr.com/blog/hr-trends</w:t>
        </w:r>
      </w:hyperlink>
      <w:r w:rsidRPr="009E5DE1">
        <w:rPr>
          <w:rFonts w:ascii="Arial" w:hAnsi="Arial" w:cs="Arial"/>
          <w:sz w:val="22"/>
          <w:szCs w:val="22"/>
        </w:rPr>
        <w:t xml:space="preserve"> (Accessed: 22 March 2026). </w:t>
      </w:r>
    </w:p>
    <w:p w14:paraId="42101E0D" w14:textId="70295E17" w:rsidR="009E5DE1" w:rsidRPr="009E5DE1" w:rsidRDefault="009E5DE1" w:rsidP="009E5DE1">
      <w:pPr>
        <w:numPr>
          <w:ilvl w:val="0"/>
          <w:numId w:val="2"/>
        </w:numPr>
        <w:spacing w:line="360" w:lineRule="auto"/>
        <w:rPr>
          <w:rFonts w:ascii="Arial" w:hAnsi="Arial" w:cs="Arial"/>
          <w:sz w:val="22"/>
          <w:szCs w:val="22"/>
        </w:rPr>
      </w:pPr>
      <w:r w:rsidRPr="009E5DE1">
        <w:rPr>
          <w:rFonts w:ascii="Arial" w:hAnsi="Arial" w:cs="Arial"/>
          <w:sz w:val="22"/>
          <w:szCs w:val="22"/>
        </w:rPr>
        <w:t xml:space="preserve">ECA (2026) </w:t>
      </w:r>
      <w:r w:rsidRPr="009E5DE1">
        <w:rPr>
          <w:rFonts w:ascii="Arial" w:hAnsi="Arial" w:cs="Arial"/>
          <w:i/>
          <w:iCs/>
          <w:sz w:val="22"/>
          <w:szCs w:val="22"/>
        </w:rPr>
        <w:t>Electrical skills gap deepens as apprenticeship starts fall despite surging demand</w:t>
      </w:r>
      <w:r w:rsidRPr="009E5DE1">
        <w:rPr>
          <w:rFonts w:ascii="Arial" w:hAnsi="Arial" w:cs="Arial"/>
          <w:sz w:val="22"/>
          <w:szCs w:val="22"/>
        </w:rPr>
        <w:t xml:space="preserve">. London: Electrical Contractors' Association. Available at: </w:t>
      </w:r>
      <w:hyperlink r:id="rId12" w:tgtFrame="_blank" w:history="1">
        <w:r w:rsidRPr="009E5DE1">
          <w:rPr>
            <w:rStyle w:val="Hyperlink"/>
            <w:rFonts w:ascii="Arial" w:hAnsi="Arial" w:cs="Arial"/>
            <w:sz w:val="22"/>
            <w:szCs w:val="22"/>
          </w:rPr>
          <w:t>https://www.eca.co.uk/news/2026/feb/electrical-skills-gap-deepens-as-apprenticeship-starts-fall-despite-surging-demand</w:t>
        </w:r>
      </w:hyperlink>
      <w:r w:rsidRPr="009E5DE1">
        <w:rPr>
          <w:rFonts w:ascii="Arial" w:hAnsi="Arial" w:cs="Arial"/>
          <w:sz w:val="22"/>
          <w:szCs w:val="22"/>
        </w:rPr>
        <w:t xml:space="preserve"> (Accessed: 22 March 2026). </w:t>
      </w:r>
    </w:p>
    <w:p w14:paraId="7F5DB901" w14:textId="6EB972BC" w:rsidR="009E5DE1" w:rsidRPr="009E5DE1" w:rsidRDefault="009E5DE1" w:rsidP="009E5DE1">
      <w:pPr>
        <w:numPr>
          <w:ilvl w:val="0"/>
          <w:numId w:val="2"/>
        </w:numPr>
        <w:spacing w:line="360" w:lineRule="auto"/>
        <w:rPr>
          <w:rFonts w:ascii="Arial" w:hAnsi="Arial" w:cs="Arial"/>
          <w:sz w:val="22"/>
          <w:szCs w:val="22"/>
        </w:rPr>
      </w:pPr>
      <w:r w:rsidRPr="009E5DE1">
        <w:rPr>
          <w:rFonts w:ascii="Arial" w:hAnsi="Arial" w:cs="Arial"/>
          <w:sz w:val="22"/>
          <w:szCs w:val="22"/>
        </w:rPr>
        <w:t xml:space="preserve">ManpowerGroup (2026) </w:t>
      </w:r>
      <w:r w:rsidRPr="009E5DE1">
        <w:rPr>
          <w:rFonts w:ascii="Arial" w:hAnsi="Arial" w:cs="Arial"/>
          <w:i/>
          <w:iCs/>
          <w:sz w:val="22"/>
          <w:szCs w:val="22"/>
        </w:rPr>
        <w:t>2026 Global Talent Shortage Survey</w:t>
      </w:r>
      <w:r w:rsidRPr="009E5DE1">
        <w:rPr>
          <w:rFonts w:ascii="Arial" w:hAnsi="Arial" w:cs="Arial"/>
          <w:sz w:val="22"/>
          <w:szCs w:val="22"/>
        </w:rPr>
        <w:t xml:space="preserve">. Milwaukee, WI: ManpowerGroup. Available at: </w:t>
      </w:r>
      <w:hyperlink r:id="rId13" w:tgtFrame="_blank" w:history="1">
        <w:r w:rsidRPr="009E5DE1">
          <w:rPr>
            <w:rStyle w:val="Hyperlink"/>
            <w:rFonts w:ascii="Arial" w:hAnsi="Arial" w:cs="Arial"/>
            <w:sz w:val="22"/>
            <w:szCs w:val="22"/>
          </w:rPr>
          <w:t>https://www.manpowergroup.com/en/insights/2026-global-talent-shortage</w:t>
        </w:r>
      </w:hyperlink>
      <w:r w:rsidRPr="009E5DE1">
        <w:rPr>
          <w:rFonts w:ascii="Arial" w:hAnsi="Arial" w:cs="Arial"/>
          <w:sz w:val="22"/>
          <w:szCs w:val="22"/>
        </w:rPr>
        <w:t xml:space="preserve"> (Accessed: 22 March 2026). </w:t>
      </w:r>
    </w:p>
    <w:p w14:paraId="498F44DD" w14:textId="6153CE76" w:rsidR="009E5DE1" w:rsidRPr="009E5DE1" w:rsidRDefault="009E5DE1" w:rsidP="009E5DE1">
      <w:pPr>
        <w:numPr>
          <w:ilvl w:val="0"/>
          <w:numId w:val="2"/>
        </w:numPr>
        <w:spacing w:line="360" w:lineRule="auto"/>
        <w:rPr>
          <w:rFonts w:ascii="Arial" w:hAnsi="Arial" w:cs="Arial"/>
          <w:sz w:val="22"/>
          <w:szCs w:val="22"/>
        </w:rPr>
      </w:pPr>
      <w:proofErr w:type="spellStart"/>
      <w:r w:rsidRPr="009E5DE1">
        <w:rPr>
          <w:rFonts w:ascii="Arial" w:hAnsi="Arial" w:cs="Arial"/>
          <w:sz w:val="22"/>
          <w:szCs w:val="22"/>
        </w:rPr>
        <w:t>Ciphr</w:t>
      </w:r>
      <w:proofErr w:type="spellEnd"/>
      <w:r w:rsidRPr="009E5DE1">
        <w:rPr>
          <w:rFonts w:ascii="Arial" w:hAnsi="Arial" w:cs="Arial"/>
          <w:sz w:val="22"/>
          <w:szCs w:val="22"/>
        </w:rPr>
        <w:t xml:space="preserve"> (2026) </w:t>
      </w:r>
      <w:r w:rsidRPr="009E5DE1">
        <w:rPr>
          <w:rFonts w:ascii="Arial" w:hAnsi="Arial" w:cs="Arial"/>
          <w:i/>
          <w:iCs/>
          <w:sz w:val="22"/>
          <w:szCs w:val="22"/>
        </w:rPr>
        <w:t>Challenges and priorities for employers in 2026</w:t>
      </w:r>
      <w:r w:rsidRPr="009E5DE1">
        <w:rPr>
          <w:rFonts w:ascii="Arial" w:hAnsi="Arial" w:cs="Arial"/>
          <w:sz w:val="22"/>
          <w:szCs w:val="22"/>
        </w:rPr>
        <w:t xml:space="preserve">. Staines-upon-Thames: </w:t>
      </w:r>
      <w:proofErr w:type="spellStart"/>
      <w:r w:rsidRPr="009E5DE1">
        <w:rPr>
          <w:rFonts w:ascii="Arial" w:hAnsi="Arial" w:cs="Arial"/>
          <w:sz w:val="22"/>
          <w:szCs w:val="22"/>
        </w:rPr>
        <w:t>Ciphr</w:t>
      </w:r>
      <w:proofErr w:type="spellEnd"/>
      <w:r w:rsidRPr="009E5DE1">
        <w:rPr>
          <w:rFonts w:ascii="Arial" w:hAnsi="Arial" w:cs="Arial"/>
          <w:sz w:val="22"/>
          <w:szCs w:val="22"/>
        </w:rPr>
        <w:t xml:space="preserve">. Available at: </w:t>
      </w:r>
      <w:hyperlink r:id="rId14" w:tgtFrame="_blank" w:history="1">
        <w:r w:rsidRPr="009E5DE1">
          <w:rPr>
            <w:rStyle w:val="Hyperlink"/>
            <w:rFonts w:ascii="Arial" w:hAnsi="Arial" w:cs="Arial"/>
            <w:sz w:val="22"/>
            <w:szCs w:val="22"/>
          </w:rPr>
          <w:t>https://www.ciphr.com/infographics/challenges-and-priorities-for-employers-in-2026</w:t>
        </w:r>
      </w:hyperlink>
      <w:r w:rsidRPr="009E5DE1">
        <w:rPr>
          <w:rFonts w:ascii="Arial" w:hAnsi="Arial" w:cs="Arial"/>
          <w:sz w:val="22"/>
          <w:szCs w:val="22"/>
        </w:rPr>
        <w:t xml:space="preserve"> (Accessed: 22 March 2026). </w:t>
      </w:r>
    </w:p>
    <w:p w14:paraId="22B35FFF" w14:textId="6DD5DDE6" w:rsidR="009E5DE1" w:rsidRPr="009E5DE1" w:rsidRDefault="009E5DE1" w:rsidP="009E5DE1">
      <w:pPr>
        <w:numPr>
          <w:ilvl w:val="0"/>
          <w:numId w:val="2"/>
        </w:numPr>
        <w:spacing w:line="360" w:lineRule="auto"/>
        <w:rPr>
          <w:rFonts w:ascii="Arial" w:hAnsi="Arial" w:cs="Arial"/>
          <w:sz w:val="22"/>
          <w:szCs w:val="22"/>
        </w:rPr>
      </w:pPr>
      <w:proofErr w:type="spellStart"/>
      <w:r w:rsidRPr="009E5DE1">
        <w:rPr>
          <w:rFonts w:ascii="Arial" w:hAnsi="Arial" w:cs="Arial"/>
          <w:sz w:val="22"/>
          <w:szCs w:val="22"/>
        </w:rPr>
        <w:t>Freeths</w:t>
      </w:r>
      <w:proofErr w:type="spellEnd"/>
      <w:r w:rsidRPr="009E5DE1">
        <w:rPr>
          <w:rFonts w:ascii="Arial" w:hAnsi="Arial" w:cs="Arial"/>
          <w:sz w:val="22"/>
          <w:szCs w:val="22"/>
        </w:rPr>
        <w:t xml:space="preserve"> (2025) </w:t>
      </w:r>
      <w:r w:rsidRPr="009E5DE1">
        <w:rPr>
          <w:rFonts w:ascii="Arial" w:hAnsi="Arial" w:cs="Arial"/>
          <w:i/>
          <w:iCs/>
          <w:sz w:val="22"/>
          <w:szCs w:val="22"/>
        </w:rPr>
        <w:t>Diversity, Equity and Inclusion in UK Manufacturing 2025</w:t>
      </w:r>
      <w:r w:rsidRPr="009E5DE1">
        <w:rPr>
          <w:rFonts w:ascii="Arial" w:hAnsi="Arial" w:cs="Arial"/>
          <w:sz w:val="22"/>
          <w:szCs w:val="22"/>
        </w:rPr>
        <w:t xml:space="preserve"> (from Corporate Conscience Index research). Nottingham: </w:t>
      </w:r>
      <w:proofErr w:type="spellStart"/>
      <w:r w:rsidRPr="009E5DE1">
        <w:rPr>
          <w:rFonts w:ascii="Arial" w:hAnsi="Arial" w:cs="Arial"/>
          <w:sz w:val="22"/>
          <w:szCs w:val="22"/>
        </w:rPr>
        <w:t>Freeths</w:t>
      </w:r>
      <w:proofErr w:type="spellEnd"/>
      <w:r w:rsidRPr="009E5DE1">
        <w:rPr>
          <w:rFonts w:ascii="Arial" w:hAnsi="Arial" w:cs="Arial"/>
          <w:sz w:val="22"/>
          <w:szCs w:val="22"/>
        </w:rPr>
        <w:t xml:space="preserve"> LLP. Available at: </w:t>
      </w:r>
      <w:hyperlink r:id="rId15" w:tgtFrame="_blank" w:history="1">
        <w:r w:rsidRPr="009E5DE1">
          <w:rPr>
            <w:rStyle w:val="Hyperlink"/>
            <w:rFonts w:ascii="Arial" w:hAnsi="Arial" w:cs="Arial"/>
            <w:sz w:val="22"/>
            <w:szCs w:val="22"/>
          </w:rPr>
          <w:t>https://www.freeths.co.uk/the-corporate-conscience-index/</w:t>
        </w:r>
      </w:hyperlink>
      <w:r w:rsidRPr="009E5DE1">
        <w:rPr>
          <w:rFonts w:ascii="Arial" w:hAnsi="Arial" w:cs="Arial"/>
          <w:sz w:val="22"/>
          <w:szCs w:val="22"/>
        </w:rPr>
        <w:t xml:space="preserve"> (Accessed: 22 March 2026). </w:t>
      </w:r>
    </w:p>
    <w:p w14:paraId="1AD70598" w14:textId="0434F091" w:rsidR="009E5DE1" w:rsidRPr="009E5DE1" w:rsidRDefault="009E5DE1" w:rsidP="009E5DE1">
      <w:pPr>
        <w:numPr>
          <w:ilvl w:val="0"/>
          <w:numId w:val="2"/>
        </w:numPr>
        <w:spacing w:line="360" w:lineRule="auto"/>
        <w:rPr>
          <w:rFonts w:ascii="Arial" w:hAnsi="Arial" w:cs="Arial"/>
          <w:sz w:val="22"/>
          <w:szCs w:val="22"/>
        </w:rPr>
      </w:pPr>
      <w:proofErr w:type="spellStart"/>
      <w:r w:rsidRPr="009E5DE1">
        <w:rPr>
          <w:rFonts w:ascii="Arial" w:hAnsi="Arial" w:cs="Arial"/>
          <w:sz w:val="22"/>
          <w:szCs w:val="22"/>
        </w:rPr>
        <w:t>Refonte</w:t>
      </w:r>
      <w:proofErr w:type="spellEnd"/>
      <w:r w:rsidRPr="009E5DE1">
        <w:rPr>
          <w:rFonts w:ascii="Arial" w:hAnsi="Arial" w:cs="Arial"/>
          <w:sz w:val="22"/>
          <w:szCs w:val="22"/>
        </w:rPr>
        <w:t xml:space="preserve"> Learning (2026) </w:t>
      </w:r>
      <w:r w:rsidRPr="009E5DE1">
        <w:rPr>
          <w:rFonts w:ascii="Arial" w:hAnsi="Arial" w:cs="Arial"/>
          <w:i/>
          <w:iCs/>
          <w:sz w:val="22"/>
          <w:szCs w:val="22"/>
        </w:rPr>
        <w:t>Human Resource Management in 2026: Trends, Challenges, and Future-Proof Strategies</w:t>
      </w:r>
      <w:r w:rsidRPr="009E5DE1">
        <w:rPr>
          <w:rFonts w:ascii="Arial" w:hAnsi="Arial" w:cs="Arial"/>
          <w:sz w:val="22"/>
          <w:szCs w:val="22"/>
        </w:rPr>
        <w:t xml:space="preserve">. London: </w:t>
      </w:r>
      <w:proofErr w:type="spellStart"/>
      <w:r w:rsidRPr="009E5DE1">
        <w:rPr>
          <w:rFonts w:ascii="Arial" w:hAnsi="Arial" w:cs="Arial"/>
          <w:sz w:val="22"/>
          <w:szCs w:val="22"/>
        </w:rPr>
        <w:t>Refonte</w:t>
      </w:r>
      <w:proofErr w:type="spellEnd"/>
      <w:r w:rsidRPr="009E5DE1">
        <w:rPr>
          <w:rFonts w:ascii="Arial" w:hAnsi="Arial" w:cs="Arial"/>
          <w:sz w:val="22"/>
          <w:szCs w:val="22"/>
        </w:rPr>
        <w:t xml:space="preserve"> Learning. Available at: </w:t>
      </w:r>
      <w:hyperlink r:id="rId16" w:tgtFrame="_blank" w:history="1">
        <w:r w:rsidRPr="009E5DE1">
          <w:rPr>
            <w:rStyle w:val="Hyperlink"/>
            <w:rFonts w:ascii="Arial" w:hAnsi="Arial" w:cs="Arial"/>
            <w:sz w:val="22"/>
            <w:szCs w:val="22"/>
          </w:rPr>
          <w:t>https://www.refontelearning.com/blog/human-resource-management-in-2026-trends-challenges-and-future-proof-strategies</w:t>
        </w:r>
      </w:hyperlink>
      <w:r w:rsidRPr="009E5DE1">
        <w:rPr>
          <w:rFonts w:ascii="Arial" w:hAnsi="Arial" w:cs="Arial"/>
          <w:sz w:val="22"/>
          <w:szCs w:val="22"/>
        </w:rPr>
        <w:t xml:space="preserve"> (Accessed: 22 March 2026). </w:t>
      </w:r>
    </w:p>
    <w:p w14:paraId="45FE5A9B" w14:textId="3404D3C5" w:rsidR="009E5DE1" w:rsidRPr="009E5DE1" w:rsidRDefault="009E5DE1" w:rsidP="009E5DE1">
      <w:pPr>
        <w:numPr>
          <w:ilvl w:val="0"/>
          <w:numId w:val="2"/>
        </w:numPr>
        <w:spacing w:line="360" w:lineRule="auto"/>
        <w:rPr>
          <w:rFonts w:ascii="Arial" w:hAnsi="Arial" w:cs="Arial"/>
          <w:sz w:val="22"/>
          <w:szCs w:val="22"/>
        </w:rPr>
      </w:pPr>
      <w:r w:rsidRPr="009E5DE1">
        <w:rPr>
          <w:rFonts w:ascii="Arial" w:hAnsi="Arial" w:cs="Arial"/>
          <w:sz w:val="22"/>
          <w:szCs w:val="22"/>
        </w:rPr>
        <w:t xml:space="preserve">The Access Group (2026) </w:t>
      </w:r>
      <w:r w:rsidRPr="009E5DE1">
        <w:rPr>
          <w:rFonts w:ascii="Arial" w:hAnsi="Arial" w:cs="Arial"/>
          <w:i/>
          <w:iCs/>
          <w:sz w:val="22"/>
          <w:szCs w:val="22"/>
        </w:rPr>
        <w:t>HR Trends 2026: Key Priorities and Challenges for Large Businesses</w:t>
      </w:r>
      <w:r w:rsidRPr="009E5DE1">
        <w:rPr>
          <w:rFonts w:ascii="Arial" w:hAnsi="Arial" w:cs="Arial"/>
          <w:sz w:val="22"/>
          <w:szCs w:val="22"/>
        </w:rPr>
        <w:t xml:space="preserve">. Loughborough: The Access Group. Available at: </w:t>
      </w:r>
      <w:hyperlink r:id="rId17" w:tgtFrame="_blank" w:history="1">
        <w:r w:rsidRPr="009E5DE1">
          <w:rPr>
            <w:rStyle w:val="Hyperlink"/>
            <w:rFonts w:ascii="Arial" w:hAnsi="Arial" w:cs="Arial"/>
            <w:sz w:val="22"/>
            <w:szCs w:val="22"/>
          </w:rPr>
          <w:t>https://www.theaccessgroup.com/en-gb/blog/hcm-hr-trends-2026</w:t>
        </w:r>
      </w:hyperlink>
      <w:r w:rsidRPr="009E5DE1">
        <w:rPr>
          <w:rFonts w:ascii="Arial" w:hAnsi="Arial" w:cs="Arial"/>
          <w:sz w:val="22"/>
          <w:szCs w:val="22"/>
        </w:rPr>
        <w:t xml:space="preserve"> (Accessed: 22 March 2026). </w:t>
      </w:r>
    </w:p>
    <w:p w14:paraId="49E6C39A" w14:textId="009F2A5E" w:rsidR="009E5DE1" w:rsidRPr="009E5DE1" w:rsidRDefault="009E5DE1" w:rsidP="009E5DE1">
      <w:pPr>
        <w:numPr>
          <w:ilvl w:val="0"/>
          <w:numId w:val="2"/>
        </w:numPr>
        <w:spacing w:line="360" w:lineRule="auto"/>
        <w:rPr>
          <w:rFonts w:ascii="Arial" w:hAnsi="Arial" w:cs="Arial"/>
          <w:sz w:val="22"/>
          <w:szCs w:val="22"/>
        </w:rPr>
      </w:pPr>
      <w:r w:rsidRPr="009E5DE1">
        <w:rPr>
          <w:rFonts w:ascii="Arial" w:hAnsi="Arial" w:cs="Arial"/>
          <w:sz w:val="22"/>
          <w:szCs w:val="22"/>
        </w:rPr>
        <w:lastRenderedPageBreak/>
        <w:t xml:space="preserve">Deloitte (2025) </w:t>
      </w:r>
      <w:r w:rsidRPr="009E5DE1">
        <w:rPr>
          <w:rFonts w:ascii="Arial" w:hAnsi="Arial" w:cs="Arial"/>
          <w:i/>
          <w:iCs/>
          <w:sz w:val="22"/>
          <w:szCs w:val="22"/>
        </w:rPr>
        <w:t>2026 Manufacturing Industry Outlook</w:t>
      </w:r>
      <w:r w:rsidRPr="009E5DE1">
        <w:rPr>
          <w:rFonts w:ascii="Arial" w:hAnsi="Arial" w:cs="Arial"/>
          <w:sz w:val="22"/>
          <w:szCs w:val="22"/>
        </w:rPr>
        <w:t xml:space="preserve">. New York: Deloitte Insights. Available at: </w:t>
      </w:r>
      <w:hyperlink r:id="rId18" w:tgtFrame="_blank" w:history="1">
        <w:r w:rsidRPr="009E5DE1">
          <w:rPr>
            <w:rStyle w:val="Hyperlink"/>
            <w:rFonts w:ascii="Arial" w:hAnsi="Arial" w:cs="Arial"/>
            <w:sz w:val="22"/>
            <w:szCs w:val="22"/>
          </w:rPr>
          <w:t>https://www.deloitte.com/us/en/insights/industry/manufacturing-industrial-products/manufacturing-industry-outlook.html</w:t>
        </w:r>
      </w:hyperlink>
      <w:r w:rsidRPr="009E5DE1">
        <w:rPr>
          <w:rFonts w:ascii="Arial" w:hAnsi="Arial" w:cs="Arial"/>
          <w:sz w:val="22"/>
          <w:szCs w:val="22"/>
        </w:rPr>
        <w:t xml:space="preserve"> (Accessed: 22 March 2026). </w:t>
      </w:r>
    </w:p>
    <w:p w14:paraId="34EAB5E0" w14:textId="5B2B25D2" w:rsidR="009E5DE1" w:rsidRDefault="009E5DE1" w:rsidP="009E5DE1">
      <w:pPr>
        <w:numPr>
          <w:ilvl w:val="0"/>
          <w:numId w:val="2"/>
        </w:numPr>
        <w:spacing w:line="360" w:lineRule="auto"/>
        <w:rPr>
          <w:rFonts w:ascii="Arial" w:hAnsi="Arial" w:cs="Arial"/>
          <w:sz w:val="22"/>
          <w:szCs w:val="22"/>
        </w:rPr>
      </w:pPr>
      <w:r w:rsidRPr="009E5DE1">
        <w:rPr>
          <w:rFonts w:ascii="Arial" w:hAnsi="Arial" w:cs="Arial"/>
          <w:sz w:val="22"/>
          <w:szCs w:val="22"/>
        </w:rPr>
        <w:t xml:space="preserve">Gartner (2026) </w:t>
      </w:r>
      <w:r w:rsidRPr="009E5DE1">
        <w:rPr>
          <w:rFonts w:ascii="Arial" w:hAnsi="Arial" w:cs="Arial"/>
          <w:i/>
          <w:iCs/>
          <w:sz w:val="22"/>
          <w:szCs w:val="22"/>
        </w:rPr>
        <w:t>Top HR Trends and CHRO Priorities for 2026</w:t>
      </w:r>
      <w:r w:rsidRPr="009E5DE1">
        <w:rPr>
          <w:rFonts w:ascii="Arial" w:hAnsi="Arial" w:cs="Arial"/>
          <w:sz w:val="22"/>
          <w:szCs w:val="22"/>
        </w:rPr>
        <w:t xml:space="preserve">. Stamford, CT: Gartner. Available at: </w:t>
      </w:r>
      <w:hyperlink r:id="rId19" w:tgtFrame="_blank" w:history="1">
        <w:r w:rsidRPr="009E5DE1">
          <w:rPr>
            <w:rStyle w:val="Hyperlink"/>
            <w:rFonts w:ascii="Arial" w:hAnsi="Arial" w:cs="Arial"/>
            <w:sz w:val="22"/>
            <w:szCs w:val="22"/>
          </w:rPr>
          <w:t>https://www.gartner.com/en/human-resources/trends/top-priorities-for-hr-leaders</w:t>
        </w:r>
      </w:hyperlink>
      <w:r w:rsidRPr="009E5DE1">
        <w:rPr>
          <w:rFonts w:ascii="Arial" w:hAnsi="Arial" w:cs="Arial"/>
          <w:sz w:val="22"/>
          <w:szCs w:val="22"/>
        </w:rPr>
        <w:t xml:space="preserve"> (Accessed: 22 March 2026). </w:t>
      </w:r>
    </w:p>
    <w:p w14:paraId="1BFBFAA4" w14:textId="7B3FEDA7" w:rsidR="0095373C" w:rsidRPr="003B5636" w:rsidRDefault="003B5636" w:rsidP="00F30097">
      <w:pPr>
        <w:pStyle w:val="NormalWeb"/>
        <w:numPr>
          <w:ilvl w:val="0"/>
          <w:numId w:val="2"/>
        </w:numPr>
        <w:spacing w:before="0" w:beforeAutospacing="0" w:line="360" w:lineRule="auto"/>
        <w:rPr>
          <w:rFonts w:ascii="Arial" w:hAnsi="Arial" w:cs="Arial"/>
          <w:sz w:val="22"/>
          <w:szCs w:val="22"/>
        </w:rPr>
      </w:pPr>
      <w:r w:rsidRPr="003B5636">
        <w:rPr>
          <w:rFonts w:ascii="Arial" w:hAnsi="Arial" w:cs="Arial"/>
          <w:sz w:val="22"/>
          <w:szCs w:val="22"/>
        </w:rPr>
        <w:t xml:space="preserve">CIPD (2025) </w:t>
      </w:r>
      <w:r w:rsidRPr="00F809BF">
        <w:rPr>
          <w:rFonts w:ascii="Arial" w:hAnsi="Arial" w:cs="Arial"/>
          <w:i/>
          <w:iCs/>
          <w:sz w:val="22"/>
          <w:szCs w:val="22"/>
        </w:rPr>
        <w:t>Line managers' role in supporting the people profession</w:t>
      </w:r>
      <w:r w:rsidRPr="003B5636">
        <w:rPr>
          <w:rFonts w:ascii="Arial" w:hAnsi="Arial" w:cs="Arial"/>
          <w:sz w:val="22"/>
          <w:szCs w:val="22"/>
        </w:rPr>
        <w:t xml:space="preserve">. London: Chartered Institute of Personnel and Development. Available at: </w:t>
      </w:r>
      <w:hyperlink r:id="rId20" w:history="1">
        <w:r w:rsidR="00F809BF" w:rsidRPr="00BD7C9D">
          <w:rPr>
            <w:rStyle w:val="Hyperlink"/>
            <w:rFonts w:ascii="Arial" w:hAnsi="Arial" w:cs="Arial"/>
            <w:sz w:val="22"/>
            <w:szCs w:val="22"/>
          </w:rPr>
          <w:t>https://www.cipd.org/en/knowledge/factsheets/line-managers-factsheet/</w:t>
        </w:r>
      </w:hyperlink>
      <w:r w:rsidR="00F809BF">
        <w:rPr>
          <w:rFonts w:ascii="Arial" w:hAnsi="Arial" w:cs="Arial"/>
          <w:sz w:val="22"/>
          <w:szCs w:val="22"/>
        </w:rPr>
        <w:t xml:space="preserve"> </w:t>
      </w:r>
      <w:r w:rsidRPr="003B5636">
        <w:rPr>
          <w:rFonts w:ascii="Arial" w:hAnsi="Arial" w:cs="Arial"/>
          <w:sz w:val="22"/>
          <w:szCs w:val="22"/>
        </w:rPr>
        <w:t>(Accessed: 22 March 2026).</w:t>
      </w:r>
    </w:p>
    <w:p w14:paraId="3BAC2373" w14:textId="7873560B" w:rsidR="009E5DE1" w:rsidRPr="009E5DE1" w:rsidRDefault="009E5DE1" w:rsidP="009E5DE1">
      <w:pPr>
        <w:numPr>
          <w:ilvl w:val="0"/>
          <w:numId w:val="2"/>
        </w:numPr>
        <w:spacing w:line="360" w:lineRule="auto"/>
        <w:rPr>
          <w:rFonts w:ascii="Arial" w:hAnsi="Arial" w:cs="Arial"/>
          <w:sz w:val="22"/>
          <w:szCs w:val="22"/>
        </w:rPr>
      </w:pPr>
      <w:r w:rsidRPr="009E5DE1">
        <w:rPr>
          <w:rFonts w:ascii="Arial" w:hAnsi="Arial" w:cs="Arial"/>
          <w:sz w:val="22"/>
          <w:szCs w:val="22"/>
        </w:rPr>
        <w:t xml:space="preserve">HR Magazine (2026) </w:t>
      </w:r>
      <w:r w:rsidRPr="009E5DE1">
        <w:rPr>
          <w:rFonts w:ascii="Arial" w:hAnsi="Arial" w:cs="Arial"/>
          <w:i/>
          <w:iCs/>
          <w:sz w:val="22"/>
          <w:szCs w:val="22"/>
        </w:rPr>
        <w:t>HR predictions for 2026: retention, recruitment and leading Gen Z</w:t>
      </w:r>
      <w:r w:rsidRPr="009E5DE1">
        <w:rPr>
          <w:rFonts w:ascii="Arial" w:hAnsi="Arial" w:cs="Arial"/>
          <w:sz w:val="22"/>
          <w:szCs w:val="22"/>
        </w:rPr>
        <w:t xml:space="preserve">. London: HR Magazine. Available at: </w:t>
      </w:r>
      <w:hyperlink r:id="rId21" w:tgtFrame="_blank" w:history="1">
        <w:r w:rsidRPr="009E5DE1">
          <w:rPr>
            <w:rStyle w:val="Hyperlink"/>
            <w:rFonts w:ascii="Arial" w:hAnsi="Arial" w:cs="Arial"/>
            <w:sz w:val="22"/>
            <w:szCs w:val="22"/>
          </w:rPr>
          <w:t>https://www.hrmagazine.co.uk/content/news/hr-predictions-for-2026-retention-recruitment-and-leading-gen-z</w:t>
        </w:r>
      </w:hyperlink>
      <w:r w:rsidRPr="009E5DE1">
        <w:rPr>
          <w:rFonts w:ascii="Arial" w:hAnsi="Arial" w:cs="Arial"/>
          <w:sz w:val="22"/>
          <w:szCs w:val="22"/>
        </w:rPr>
        <w:t xml:space="preserve"> (Accessed: 22 March 2026). </w:t>
      </w:r>
    </w:p>
    <w:p w14:paraId="1BE5166A" w14:textId="6AA3FEAD" w:rsidR="0017471A" w:rsidRPr="000C6A6F" w:rsidRDefault="009E5DE1" w:rsidP="009E5DE1">
      <w:pPr>
        <w:numPr>
          <w:ilvl w:val="0"/>
          <w:numId w:val="2"/>
        </w:numPr>
        <w:spacing w:line="360" w:lineRule="auto"/>
        <w:rPr>
          <w:rFonts w:ascii="Arial" w:hAnsi="Arial" w:cs="Arial"/>
          <w:sz w:val="22"/>
          <w:szCs w:val="22"/>
        </w:rPr>
      </w:pPr>
      <w:proofErr w:type="spellStart"/>
      <w:r w:rsidRPr="009E5DE1">
        <w:rPr>
          <w:rFonts w:ascii="Arial" w:hAnsi="Arial" w:cs="Arial"/>
          <w:sz w:val="22"/>
          <w:szCs w:val="22"/>
        </w:rPr>
        <w:t>Zalaris</w:t>
      </w:r>
      <w:proofErr w:type="spellEnd"/>
      <w:r w:rsidRPr="009E5DE1">
        <w:rPr>
          <w:rFonts w:ascii="Arial" w:hAnsi="Arial" w:cs="Arial"/>
          <w:sz w:val="22"/>
          <w:szCs w:val="22"/>
        </w:rPr>
        <w:t xml:space="preserve"> (2026) </w:t>
      </w:r>
      <w:r w:rsidRPr="009E5DE1">
        <w:rPr>
          <w:rFonts w:ascii="Arial" w:hAnsi="Arial" w:cs="Arial"/>
          <w:i/>
          <w:iCs/>
          <w:sz w:val="22"/>
          <w:szCs w:val="22"/>
        </w:rPr>
        <w:t>Recruiting Trends 2026: AI-Driven Innovation in Talent Acquisition</w:t>
      </w:r>
      <w:r w:rsidRPr="009E5DE1">
        <w:rPr>
          <w:rFonts w:ascii="Arial" w:hAnsi="Arial" w:cs="Arial"/>
          <w:sz w:val="22"/>
          <w:szCs w:val="22"/>
        </w:rPr>
        <w:t xml:space="preserve">. Oslo: </w:t>
      </w:r>
      <w:proofErr w:type="spellStart"/>
      <w:r w:rsidRPr="009E5DE1">
        <w:rPr>
          <w:rFonts w:ascii="Arial" w:hAnsi="Arial" w:cs="Arial"/>
          <w:sz w:val="22"/>
          <w:szCs w:val="22"/>
        </w:rPr>
        <w:t>Zalaris</w:t>
      </w:r>
      <w:proofErr w:type="spellEnd"/>
      <w:r w:rsidRPr="009E5DE1">
        <w:rPr>
          <w:rFonts w:ascii="Arial" w:hAnsi="Arial" w:cs="Arial"/>
          <w:sz w:val="22"/>
          <w:szCs w:val="22"/>
        </w:rPr>
        <w:t xml:space="preserve"> ASA. Available at: </w:t>
      </w:r>
      <w:hyperlink r:id="rId22" w:tgtFrame="_blank" w:history="1">
        <w:r w:rsidRPr="009E5DE1">
          <w:rPr>
            <w:rStyle w:val="Hyperlink"/>
            <w:rFonts w:ascii="Arial" w:hAnsi="Arial" w:cs="Arial"/>
            <w:sz w:val="22"/>
            <w:szCs w:val="22"/>
          </w:rPr>
          <w:t>https://zalaris.com/managed-services/resources/blog/the-future-of-recruiting-key-trends-shaping-talent-acquisition-in-2026</w:t>
        </w:r>
      </w:hyperlink>
      <w:r w:rsidRPr="009E5DE1">
        <w:rPr>
          <w:rFonts w:ascii="Arial" w:hAnsi="Arial" w:cs="Arial"/>
          <w:sz w:val="22"/>
          <w:szCs w:val="22"/>
        </w:rPr>
        <w:t xml:space="preserve"> (Accessed: 22 March 2026).</w:t>
      </w:r>
    </w:p>
    <w:sectPr w:rsidR="0017471A" w:rsidRPr="000C6A6F">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E574C" w14:textId="77777777" w:rsidR="00CE3749" w:rsidRDefault="00CE3749" w:rsidP="000C4176">
      <w:pPr>
        <w:spacing w:after="0" w:line="240" w:lineRule="auto"/>
      </w:pPr>
      <w:r>
        <w:separator/>
      </w:r>
    </w:p>
  </w:endnote>
  <w:endnote w:type="continuationSeparator" w:id="0">
    <w:p w14:paraId="6D0E6534" w14:textId="77777777" w:rsidR="00CE3749" w:rsidRDefault="00CE3749" w:rsidP="000C41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8222170"/>
      <w:docPartObj>
        <w:docPartGallery w:val="Page Numbers (Bottom of Page)"/>
        <w:docPartUnique/>
      </w:docPartObj>
    </w:sdtPr>
    <w:sdtContent>
      <w:p w14:paraId="5BCBB494" w14:textId="34C0D076" w:rsidR="000C4176" w:rsidRDefault="000C4176">
        <w:pPr>
          <w:pStyle w:val="Footer"/>
          <w:jc w:val="right"/>
        </w:pPr>
        <w:r>
          <w:fldChar w:fldCharType="begin"/>
        </w:r>
        <w:r>
          <w:instrText>PAGE   \* MERGEFORMAT</w:instrText>
        </w:r>
        <w:r>
          <w:fldChar w:fldCharType="separate"/>
        </w:r>
        <w:r>
          <w:t>2</w:t>
        </w:r>
        <w:r>
          <w:fldChar w:fldCharType="end"/>
        </w:r>
      </w:p>
    </w:sdtContent>
  </w:sdt>
  <w:p w14:paraId="547A0972" w14:textId="77777777" w:rsidR="000C4176" w:rsidRDefault="000C41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30F72" w14:textId="77777777" w:rsidR="00CE3749" w:rsidRDefault="00CE3749" w:rsidP="000C4176">
      <w:pPr>
        <w:spacing w:after="0" w:line="240" w:lineRule="auto"/>
      </w:pPr>
      <w:r>
        <w:separator/>
      </w:r>
    </w:p>
  </w:footnote>
  <w:footnote w:type="continuationSeparator" w:id="0">
    <w:p w14:paraId="4D9376F0" w14:textId="77777777" w:rsidR="00CE3749" w:rsidRDefault="00CE3749" w:rsidP="000C41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B1FFD"/>
    <w:multiLevelType w:val="multilevel"/>
    <w:tmpl w:val="BC4E7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C203D2"/>
    <w:multiLevelType w:val="multilevel"/>
    <w:tmpl w:val="849E2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4435885"/>
    <w:multiLevelType w:val="multilevel"/>
    <w:tmpl w:val="566A8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4102B9"/>
    <w:multiLevelType w:val="multilevel"/>
    <w:tmpl w:val="4BD69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7E2DCB"/>
    <w:multiLevelType w:val="multilevel"/>
    <w:tmpl w:val="19BE0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78120558">
    <w:abstractNumId w:val="2"/>
  </w:num>
  <w:num w:numId="2" w16cid:durableId="1925459062">
    <w:abstractNumId w:val="0"/>
  </w:num>
  <w:num w:numId="3" w16cid:durableId="2052800075">
    <w:abstractNumId w:val="4"/>
  </w:num>
  <w:num w:numId="4" w16cid:durableId="615408097">
    <w:abstractNumId w:val="1"/>
  </w:num>
  <w:num w:numId="5" w16cid:durableId="18358026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F0E"/>
    <w:rsid w:val="00004C7A"/>
    <w:rsid w:val="00074F0E"/>
    <w:rsid w:val="000C4176"/>
    <w:rsid w:val="000C6A6F"/>
    <w:rsid w:val="000E6779"/>
    <w:rsid w:val="001155C9"/>
    <w:rsid w:val="00142D5B"/>
    <w:rsid w:val="001616A2"/>
    <w:rsid w:val="0017471A"/>
    <w:rsid w:val="001A1B0D"/>
    <w:rsid w:val="001A5EF4"/>
    <w:rsid w:val="002139E3"/>
    <w:rsid w:val="002152AC"/>
    <w:rsid w:val="00235CDE"/>
    <w:rsid w:val="002B087D"/>
    <w:rsid w:val="0030082E"/>
    <w:rsid w:val="00307DC0"/>
    <w:rsid w:val="003B5636"/>
    <w:rsid w:val="003D4313"/>
    <w:rsid w:val="003D654E"/>
    <w:rsid w:val="003E0DE4"/>
    <w:rsid w:val="0040231A"/>
    <w:rsid w:val="00404B6C"/>
    <w:rsid w:val="00452F29"/>
    <w:rsid w:val="004B72E5"/>
    <w:rsid w:val="005461D1"/>
    <w:rsid w:val="005A0CCA"/>
    <w:rsid w:val="005A4D32"/>
    <w:rsid w:val="005E28B9"/>
    <w:rsid w:val="00677A77"/>
    <w:rsid w:val="006D16F3"/>
    <w:rsid w:val="006D687B"/>
    <w:rsid w:val="006E5E20"/>
    <w:rsid w:val="00700B6A"/>
    <w:rsid w:val="00795FCE"/>
    <w:rsid w:val="00877043"/>
    <w:rsid w:val="008F542A"/>
    <w:rsid w:val="009447A8"/>
    <w:rsid w:val="0095373C"/>
    <w:rsid w:val="009C4239"/>
    <w:rsid w:val="009E0A16"/>
    <w:rsid w:val="009E5DE1"/>
    <w:rsid w:val="00AD1FFB"/>
    <w:rsid w:val="00AE254F"/>
    <w:rsid w:val="00B30588"/>
    <w:rsid w:val="00B31B7A"/>
    <w:rsid w:val="00B56B41"/>
    <w:rsid w:val="00BD16AF"/>
    <w:rsid w:val="00BF4AFB"/>
    <w:rsid w:val="00CA04DC"/>
    <w:rsid w:val="00CC4BEC"/>
    <w:rsid w:val="00CE3749"/>
    <w:rsid w:val="00D0244C"/>
    <w:rsid w:val="00D15DD0"/>
    <w:rsid w:val="00D65FDA"/>
    <w:rsid w:val="00E520C7"/>
    <w:rsid w:val="00E9506A"/>
    <w:rsid w:val="00EF70F4"/>
    <w:rsid w:val="00F30097"/>
    <w:rsid w:val="00F5075B"/>
    <w:rsid w:val="00F730BC"/>
    <w:rsid w:val="00F809BF"/>
    <w:rsid w:val="00F949C7"/>
    <w:rsid w:val="00FB4A99"/>
    <w:rsid w:val="00FD778B"/>
    <w:rsid w:val="00FF68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52336"/>
  <w15:chartTrackingRefBased/>
  <w15:docId w15:val="{3320467E-CAE0-44AE-B660-363801352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E0DE4"/>
    <w:pPr>
      <w:keepNext/>
      <w:keepLines/>
      <w:spacing w:before="360" w:after="80"/>
      <w:outlineLvl w:val="0"/>
    </w:pPr>
    <w:rPr>
      <w:rFonts w:ascii="Arial" w:eastAsiaTheme="majorEastAsia" w:hAnsi="Arial" w:cstheme="majorBidi"/>
      <w:b/>
      <w:szCs w:val="40"/>
    </w:rPr>
  </w:style>
  <w:style w:type="paragraph" w:styleId="Heading2">
    <w:name w:val="heading 2"/>
    <w:basedOn w:val="Normal"/>
    <w:next w:val="Normal"/>
    <w:link w:val="Heading2Char"/>
    <w:autoRedefine/>
    <w:uiPriority w:val="9"/>
    <w:unhideWhenUsed/>
    <w:qFormat/>
    <w:rsid w:val="003E0DE4"/>
    <w:pPr>
      <w:keepNext/>
      <w:keepLines/>
      <w:spacing w:before="160" w:after="80"/>
      <w:outlineLvl w:val="1"/>
    </w:pPr>
    <w:rPr>
      <w:rFonts w:ascii="Arial" w:eastAsiaTheme="majorEastAsia" w:hAnsi="Arial" w:cstheme="majorBidi"/>
      <w:i/>
      <w:sz w:val="22"/>
      <w:szCs w:val="32"/>
    </w:rPr>
  </w:style>
  <w:style w:type="paragraph" w:styleId="Heading3">
    <w:name w:val="heading 3"/>
    <w:basedOn w:val="Normal"/>
    <w:next w:val="Normal"/>
    <w:link w:val="Heading3Char"/>
    <w:uiPriority w:val="9"/>
    <w:semiHidden/>
    <w:unhideWhenUsed/>
    <w:qFormat/>
    <w:rsid w:val="00074F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4F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4F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4F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4F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4F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4F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0DE4"/>
    <w:rPr>
      <w:rFonts w:ascii="Arial" w:eastAsiaTheme="majorEastAsia" w:hAnsi="Arial" w:cstheme="majorBidi"/>
      <w:b/>
      <w:szCs w:val="40"/>
    </w:rPr>
  </w:style>
  <w:style w:type="character" w:customStyle="1" w:styleId="Heading2Char">
    <w:name w:val="Heading 2 Char"/>
    <w:basedOn w:val="DefaultParagraphFont"/>
    <w:link w:val="Heading2"/>
    <w:uiPriority w:val="9"/>
    <w:rsid w:val="003E0DE4"/>
    <w:rPr>
      <w:rFonts w:ascii="Arial" w:eastAsiaTheme="majorEastAsia" w:hAnsi="Arial" w:cstheme="majorBidi"/>
      <w:i/>
      <w:sz w:val="22"/>
      <w:szCs w:val="32"/>
    </w:rPr>
  </w:style>
  <w:style w:type="character" w:customStyle="1" w:styleId="Heading3Char">
    <w:name w:val="Heading 3 Char"/>
    <w:basedOn w:val="DefaultParagraphFont"/>
    <w:link w:val="Heading3"/>
    <w:uiPriority w:val="9"/>
    <w:semiHidden/>
    <w:rsid w:val="00074F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4F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4F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4F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4F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4F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4F0E"/>
    <w:rPr>
      <w:rFonts w:eastAsiaTheme="majorEastAsia" w:cstheme="majorBidi"/>
      <w:color w:val="272727" w:themeColor="text1" w:themeTint="D8"/>
    </w:rPr>
  </w:style>
  <w:style w:type="paragraph" w:styleId="Title">
    <w:name w:val="Title"/>
    <w:basedOn w:val="Normal"/>
    <w:next w:val="Normal"/>
    <w:link w:val="TitleChar"/>
    <w:uiPriority w:val="10"/>
    <w:qFormat/>
    <w:rsid w:val="00074F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4F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4F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4F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4F0E"/>
    <w:pPr>
      <w:spacing w:before="160"/>
      <w:jc w:val="center"/>
    </w:pPr>
    <w:rPr>
      <w:i/>
      <w:iCs/>
      <w:color w:val="404040" w:themeColor="text1" w:themeTint="BF"/>
    </w:rPr>
  </w:style>
  <w:style w:type="character" w:customStyle="1" w:styleId="QuoteChar">
    <w:name w:val="Quote Char"/>
    <w:basedOn w:val="DefaultParagraphFont"/>
    <w:link w:val="Quote"/>
    <w:uiPriority w:val="29"/>
    <w:rsid w:val="00074F0E"/>
    <w:rPr>
      <w:i/>
      <w:iCs/>
      <w:color w:val="404040" w:themeColor="text1" w:themeTint="BF"/>
    </w:rPr>
  </w:style>
  <w:style w:type="paragraph" w:styleId="ListParagraph">
    <w:name w:val="List Paragraph"/>
    <w:basedOn w:val="Normal"/>
    <w:uiPriority w:val="34"/>
    <w:qFormat/>
    <w:rsid w:val="00074F0E"/>
    <w:pPr>
      <w:ind w:left="720"/>
      <w:contextualSpacing/>
    </w:pPr>
  </w:style>
  <w:style w:type="character" w:styleId="IntenseEmphasis">
    <w:name w:val="Intense Emphasis"/>
    <w:basedOn w:val="DefaultParagraphFont"/>
    <w:uiPriority w:val="21"/>
    <w:qFormat/>
    <w:rsid w:val="00074F0E"/>
    <w:rPr>
      <w:i/>
      <w:iCs/>
      <w:color w:val="0F4761" w:themeColor="accent1" w:themeShade="BF"/>
    </w:rPr>
  </w:style>
  <w:style w:type="paragraph" w:styleId="IntenseQuote">
    <w:name w:val="Intense Quote"/>
    <w:basedOn w:val="Normal"/>
    <w:next w:val="Normal"/>
    <w:link w:val="IntenseQuoteChar"/>
    <w:uiPriority w:val="30"/>
    <w:qFormat/>
    <w:rsid w:val="00074F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4F0E"/>
    <w:rPr>
      <w:i/>
      <w:iCs/>
      <w:color w:val="0F4761" w:themeColor="accent1" w:themeShade="BF"/>
    </w:rPr>
  </w:style>
  <w:style w:type="character" w:styleId="IntenseReference">
    <w:name w:val="Intense Reference"/>
    <w:basedOn w:val="DefaultParagraphFont"/>
    <w:uiPriority w:val="32"/>
    <w:qFormat/>
    <w:rsid w:val="00074F0E"/>
    <w:rPr>
      <w:b/>
      <w:bCs/>
      <w:smallCaps/>
      <w:color w:val="0F4761" w:themeColor="accent1" w:themeShade="BF"/>
      <w:spacing w:val="5"/>
    </w:rPr>
  </w:style>
  <w:style w:type="character" w:styleId="Hyperlink">
    <w:name w:val="Hyperlink"/>
    <w:basedOn w:val="DefaultParagraphFont"/>
    <w:uiPriority w:val="99"/>
    <w:unhideWhenUsed/>
    <w:rsid w:val="00074F0E"/>
    <w:rPr>
      <w:color w:val="467886" w:themeColor="hyperlink"/>
      <w:u w:val="single"/>
    </w:rPr>
  </w:style>
  <w:style w:type="character" w:styleId="UnresolvedMention">
    <w:name w:val="Unresolved Mention"/>
    <w:basedOn w:val="DefaultParagraphFont"/>
    <w:uiPriority w:val="99"/>
    <w:semiHidden/>
    <w:unhideWhenUsed/>
    <w:rsid w:val="00074F0E"/>
    <w:rPr>
      <w:color w:val="605E5C"/>
      <w:shd w:val="clear" w:color="auto" w:fill="E1DFDD"/>
    </w:rPr>
  </w:style>
  <w:style w:type="paragraph" w:styleId="Header">
    <w:name w:val="header"/>
    <w:basedOn w:val="Normal"/>
    <w:link w:val="HeaderChar"/>
    <w:uiPriority w:val="99"/>
    <w:unhideWhenUsed/>
    <w:rsid w:val="000C41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4176"/>
  </w:style>
  <w:style w:type="paragraph" w:styleId="Footer">
    <w:name w:val="footer"/>
    <w:basedOn w:val="Normal"/>
    <w:link w:val="FooterChar"/>
    <w:uiPriority w:val="99"/>
    <w:unhideWhenUsed/>
    <w:rsid w:val="000C41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4176"/>
  </w:style>
  <w:style w:type="paragraph" w:styleId="TOCHeading">
    <w:name w:val="TOC Heading"/>
    <w:basedOn w:val="Heading1"/>
    <w:next w:val="Normal"/>
    <w:uiPriority w:val="39"/>
    <w:unhideWhenUsed/>
    <w:qFormat/>
    <w:rsid w:val="008F542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2139E3"/>
    <w:pPr>
      <w:spacing w:after="100"/>
    </w:pPr>
  </w:style>
  <w:style w:type="paragraph" w:styleId="TOC2">
    <w:name w:val="toc 2"/>
    <w:basedOn w:val="Normal"/>
    <w:next w:val="Normal"/>
    <w:autoRedefine/>
    <w:uiPriority w:val="39"/>
    <w:unhideWhenUsed/>
    <w:rsid w:val="002139E3"/>
    <w:pPr>
      <w:spacing w:after="100"/>
      <w:ind w:left="240"/>
    </w:pPr>
  </w:style>
  <w:style w:type="paragraph" w:styleId="NormalWeb">
    <w:name w:val="Normal (Web)"/>
    <w:basedOn w:val="Normal"/>
    <w:uiPriority w:val="99"/>
    <w:unhideWhenUsed/>
    <w:rsid w:val="003B563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9447A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npowergroup.com/en/insights/2026-global-talent-shortage" TargetMode="External"/><Relationship Id="rId18" Type="http://schemas.openxmlformats.org/officeDocument/2006/relationships/hyperlink" Target="https://www.deloitte.com/us/en/insights/industry/manufacturing-industrial-products/manufacturing-industry-outlook.html" TargetMode="External"/><Relationship Id="rId3" Type="http://schemas.openxmlformats.org/officeDocument/2006/relationships/styles" Target="styles.xml"/><Relationship Id="rId21" Type="http://schemas.openxmlformats.org/officeDocument/2006/relationships/hyperlink" Target="https://www.hrmagazine.co.uk/content/news/hr-predictions-for-2026-retention-recruitment-and-leading-gen-z" TargetMode="External"/><Relationship Id="rId7" Type="http://schemas.openxmlformats.org/officeDocument/2006/relationships/endnotes" Target="endnotes.xml"/><Relationship Id="rId12" Type="http://schemas.openxmlformats.org/officeDocument/2006/relationships/hyperlink" Target="https://www.eca.co.uk/news/2026/feb/electrical-skills-gap-deepens-as-apprenticeship-starts-fall-despite-surging-demand" TargetMode="External"/><Relationship Id="rId17" Type="http://schemas.openxmlformats.org/officeDocument/2006/relationships/hyperlink" Target="https://www.theaccessgroup.com/en-gb/blog/hcm-hr-trends-2026"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refontelearning.com/blog/human-resource-management-in-2026-trends-challenges-and-future-proof-strategies" TargetMode="External"/><Relationship Id="rId20" Type="http://schemas.openxmlformats.org/officeDocument/2006/relationships/hyperlink" Target="https://www.cipd.org/en/knowledge/factsheets/line-managers-factshe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ihr.com/blog/hr-trend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reeths.co.uk/the-corporate-conscience-index/" TargetMode="External"/><Relationship Id="rId23" Type="http://schemas.openxmlformats.org/officeDocument/2006/relationships/footer" Target="footer1.xml"/><Relationship Id="rId10" Type="http://schemas.openxmlformats.org/officeDocument/2006/relationships/hyperlink" Target="https://www.makeuk.org/insights/reports/executive-survey-2026" TargetMode="External"/><Relationship Id="rId19" Type="http://schemas.openxmlformats.org/officeDocument/2006/relationships/hyperlink" Target="https://www.gartner.com/en/human-resources/trends/top-priorities-for-hr-leaders" TargetMode="External"/><Relationship Id="rId4" Type="http://schemas.openxmlformats.org/officeDocument/2006/relationships/settings" Target="settings.xml"/><Relationship Id="rId9" Type="http://schemas.openxmlformats.org/officeDocument/2006/relationships/hyperlink" Target="https://web-assets-bucket.s3.eu-west-2.amazonaws.com/pdf/CSR-report.pdf" TargetMode="External"/><Relationship Id="rId14" Type="http://schemas.openxmlformats.org/officeDocument/2006/relationships/hyperlink" Target="https://www.ciphr.com/infographics/challenges-and-priorities-for-employers-in-2026" TargetMode="External"/><Relationship Id="rId22" Type="http://schemas.openxmlformats.org/officeDocument/2006/relationships/hyperlink" Target="https://zalaris.com/managed-services/resources/blog/the-future-of-recruiting-key-trends-shaping-talent-acquisition-in-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300F8-AB1F-4228-B2BD-6E9F25682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3245</Words>
  <Characters>18497</Characters>
  <Application>Microsoft Office Word</Application>
  <DocSecurity>0</DocSecurity>
  <Lines>154</Lines>
  <Paragraphs>43</Paragraphs>
  <ScaleCrop>false</ScaleCrop>
  <Company/>
  <LinksUpToDate>false</LinksUpToDate>
  <CharactersWithSpaces>21699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Mihaila</dc:creator>
  <cp:keywords/>
  <dc:description/>
  <cp:lastModifiedBy>Alina Mihaila</cp:lastModifiedBy>
  <cp:revision>4</cp:revision>
  <dcterms:created xsi:type="dcterms:W3CDTF">2026-03-22T13:18:00Z</dcterms:created>
  <dcterms:modified xsi:type="dcterms:W3CDTF">2026-03-22T13:20:00Z</dcterms:modified>
</cp:coreProperties>
</file>