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10097" w14:textId="77777777" w:rsidR="002E1E98" w:rsidRDefault="00EB65A3">
      <w:pPr>
        <w:pStyle w:val="Normal1"/>
        <w:widowControl w:val="0"/>
        <w:spacing w:line="240" w:lineRule="auto"/>
        <w:jc w:val="center"/>
        <w:rPr>
          <w:b/>
          <w:sz w:val="44"/>
          <w:szCs w:val="44"/>
        </w:rPr>
      </w:pPr>
      <w:r>
        <w:rPr>
          <w:noProof/>
          <w:sz w:val="44"/>
          <w:szCs w:val="44"/>
          <w:lang w:eastAsia="en-GB"/>
        </w:rPr>
        <w:drawing>
          <wp:inline distT="19050" distB="19050" distL="19050" distR="19050" wp14:anchorId="74A2D566" wp14:editId="25E19C79">
            <wp:extent cx="1735455" cy="5937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1735455" cy="593725"/>
                    </a:xfrm>
                    <a:prstGeom prst="rect">
                      <a:avLst/>
                    </a:prstGeom>
                  </pic:spPr>
                </pic:pic>
              </a:graphicData>
            </a:graphic>
          </wp:inline>
        </w:drawing>
      </w:r>
    </w:p>
    <w:p w14:paraId="20B048DF" w14:textId="77777777" w:rsidR="002E1E98" w:rsidRDefault="002E1E98">
      <w:pPr>
        <w:pStyle w:val="Normal1"/>
        <w:spacing w:line="360" w:lineRule="auto"/>
        <w:jc w:val="center"/>
        <w:rPr>
          <w:b/>
          <w:sz w:val="44"/>
          <w:szCs w:val="44"/>
        </w:rPr>
      </w:pPr>
    </w:p>
    <w:p w14:paraId="25E84657" w14:textId="77777777" w:rsidR="002E1E98" w:rsidRDefault="002E1E98">
      <w:pPr>
        <w:pStyle w:val="Normal1"/>
        <w:spacing w:line="360" w:lineRule="auto"/>
        <w:jc w:val="center"/>
        <w:rPr>
          <w:b/>
          <w:sz w:val="44"/>
          <w:szCs w:val="44"/>
        </w:rPr>
      </w:pPr>
    </w:p>
    <w:p w14:paraId="5ADF3B57" w14:textId="77777777" w:rsidR="002E1E98" w:rsidRDefault="002E1E98">
      <w:pPr>
        <w:pStyle w:val="Normal1"/>
        <w:spacing w:line="360" w:lineRule="auto"/>
        <w:jc w:val="center"/>
        <w:rPr>
          <w:b/>
          <w:sz w:val="44"/>
          <w:szCs w:val="44"/>
        </w:rPr>
      </w:pPr>
    </w:p>
    <w:p w14:paraId="40F45A3D" w14:textId="77777777" w:rsidR="002E1E98" w:rsidRPr="005815A9" w:rsidRDefault="002E1E98">
      <w:pPr>
        <w:pStyle w:val="Normal1"/>
        <w:spacing w:line="360" w:lineRule="auto"/>
        <w:jc w:val="center"/>
        <w:rPr>
          <w:b/>
          <w:sz w:val="40"/>
          <w:szCs w:val="40"/>
        </w:rPr>
      </w:pPr>
    </w:p>
    <w:p w14:paraId="7936A3A2" w14:textId="29907A01" w:rsidR="002E1E98" w:rsidRPr="005815A9" w:rsidRDefault="006C12F1">
      <w:pPr>
        <w:pStyle w:val="Normal1"/>
        <w:spacing w:line="360" w:lineRule="auto"/>
        <w:jc w:val="center"/>
        <w:rPr>
          <w:b/>
          <w:sz w:val="40"/>
          <w:szCs w:val="40"/>
        </w:rPr>
      </w:pPr>
      <w:proofErr w:type="spellStart"/>
      <w:r w:rsidRPr="005815A9">
        <w:rPr>
          <w:b/>
          <w:sz w:val="40"/>
          <w:szCs w:val="40"/>
        </w:rPr>
        <w:t>Ruzina</w:t>
      </w:r>
      <w:proofErr w:type="spellEnd"/>
      <w:r w:rsidRPr="005815A9">
        <w:rPr>
          <w:b/>
          <w:sz w:val="40"/>
          <w:szCs w:val="40"/>
        </w:rPr>
        <w:t xml:space="preserve"> Begum</w:t>
      </w:r>
    </w:p>
    <w:p w14:paraId="2E976ED7" w14:textId="76BE1250" w:rsidR="006C12F1" w:rsidRPr="005815A9" w:rsidRDefault="006C12F1">
      <w:pPr>
        <w:pStyle w:val="Normal1"/>
        <w:spacing w:line="360" w:lineRule="auto"/>
        <w:jc w:val="center"/>
        <w:rPr>
          <w:b/>
          <w:sz w:val="40"/>
          <w:szCs w:val="40"/>
        </w:rPr>
      </w:pPr>
      <w:r w:rsidRPr="005815A9">
        <w:rPr>
          <w:b/>
          <w:sz w:val="40"/>
          <w:szCs w:val="40"/>
        </w:rPr>
        <w:t>2024464</w:t>
      </w:r>
    </w:p>
    <w:p w14:paraId="40307703" w14:textId="77777777" w:rsidR="002E1E98" w:rsidRPr="005815A9" w:rsidRDefault="00EB65A3">
      <w:pPr>
        <w:pStyle w:val="Normal1"/>
        <w:spacing w:line="360" w:lineRule="auto"/>
        <w:jc w:val="center"/>
        <w:rPr>
          <w:b/>
          <w:sz w:val="40"/>
          <w:szCs w:val="40"/>
        </w:rPr>
      </w:pPr>
      <w:r w:rsidRPr="005815A9">
        <w:rPr>
          <w:b/>
          <w:sz w:val="40"/>
          <w:szCs w:val="40"/>
        </w:rPr>
        <w:t>BMSW6103</w:t>
      </w:r>
    </w:p>
    <w:p w14:paraId="1E527CFE" w14:textId="6482D398" w:rsidR="002E1E98" w:rsidRPr="005815A9" w:rsidRDefault="006C12F1">
      <w:pPr>
        <w:pStyle w:val="Normal1"/>
        <w:spacing w:line="360" w:lineRule="auto"/>
        <w:jc w:val="center"/>
        <w:rPr>
          <w:b/>
          <w:sz w:val="40"/>
          <w:szCs w:val="40"/>
        </w:rPr>
      </w:pPr>
      <w:r w:rsidRPr="005815A9">
        <w:rPr>
          <w:b/>
          <w:sz w:val="40"/>
          <w:szCs w:val="40"/>
        </w:rPr>
        <w:t xml:space="preserve">Leading and implementing workplace </w:t>
      </w:r>
      <w:proofErr w:type="gramStart"/>
      <w:r w:rsidRPr="005815A9">
        <w:rPr>
          <w:b/>
          <w:sz w:val="40"/>
          <w:szCs w:val="40"/>
        </w:rPr>
        <w:t>change</w:t>
      </w:r>
      <w:proofErr w:type="gramEnd"/>
    </w:p>
    <w:p w14:paraId="5D91DA03" w14:textId="77777777" w:rsidR="002E1E98" w:rsidRDefault="002E1E98">
      <w:pPr>
        <w:pStyle w:val="Normal1"/>
        <w:spacing w:line="360" w:lineRule="auto"/>
        <w:jc w:val="both"/>
        <w:rPr>
          <w:b/>
        </w:rPr>
      </w:pPr>
    </w:p>
    <w:p w14:paraId="3F6598B4" w14:textId="77777777" w:rsidR="002E1E98" w:rsidRDefault="00EB65A3">
      <w:pPr>
        <w:pStyle w:val="Normal1"/>
        <w:rPr>
          <w:b/>
          <w:sz w:val="28"/>
          <w:szCs w:val="28"/>
        </w:rPr>
      </w:pPr>
      <w:r>
        <w:br w:type="page"/>
      </w:r>
    </w:p>
    <w:p w14:paraId="37A015A5" w14:textId="77777777" w:rsidR="002E1E98" w:rsidRDefault="002E1E98">
      <w:pPr>
        <w:pStyle w:val="Normal1"/>
        <w:spacing w:line="360" w:lineRule="auto"/>
        <w:jc w:val="center"/>
        <w:rPr>
          <w:b/>
          <w:sz w:val="28"/>
          <w:szCs w:val="28"/>
        </w:rPr>
      </w:pPr>
    </w:p>
    <w:p w14:paraId="136B3622" w14:textId="77777777" w:rsidR="002E1E98" w:rsidRDefault="00EB65A3">
      <w:pPr>
        <w:pStyle w:val="Normal1"/>
        <w:spacing w:line="360" w:lineRule="auto"/>
        <w:jc w:val="center"/>
        <w:rPr>
          <w:b/>
          <w:sz w:val="28"/>
          <w:szCs w:val="28"/>
        </w:rPr>
      </w:pPr>
      <w:r>
        <w:rPr>
          <w:b/>
          <w:sz w:val="28"/>
          <w:szCs w:val="28"/>
        </w:rPr>
        <w:t>Executive Summary</w:t>
      </w:r>
    </w:p>
    <w:p w14:paraId="13086C01" w14:textId="77777777" w:rsidR="002E1E98" w:rsidRDefault="002E1E98">
      <w:pPr>
        <w:pStyle w:val="Normal1"/>
        <w:spacing w:line="360" w:lineRule="auto"/>
        <w:jc w:val="center"/>
        <w:rPr>
          <w:b/>
          <w:sz w:val="28"/>
          <w:szCs w:val="28"/>
        </w:rPr>
      </w:pPr>
    </w:p>
    <w:p w14:paraId="452417F0" w14:textId="77777777" w:rsidR="002E1E98" w:rsidRDefault="00EB65A3">
      <w:pPr>
        <w:pStyle w:val="Normal1"/>
        <w:spacing w:line="360" w:lineRule="auto"/>
        <w:jc w:val="both"/>
      </w:pPr>
      <w:r>
        <w:t xml:space="preserve">The discussions delved into an extensive examination of change management models that are suitable for </w:t>
      </w:r>
      <w:proofErr w:type="spellStart"/>
      <w:r>
        <w:t>Revolut</w:t>
      </w:r>
      <w:proofErr w:type="spellEnd"/>
      <w:r>
        <w:t xml:space="preserve">, their leadership styles during change initiatives, and their significant impact on organisational culture. Significantly, </w:t>
      </w:r>
      <w:proofErr w:type="spellStart"/>
      <w:r>
        <w:t>Revolut's</w:t>
      </w:r>
      <w:proofErr w:type="spellEnd"/>
      <w:r>
        <w:t xml:space="preserve"> agility, creativity, innovation, and consumer-centric tactics emerged as crucial factors in steering strategic change. The envisioned change management plan outlines a forward-thinking strategy that encompasses staff training, an effective evaluation framework, and transparent communication. This holistic approach is designed to evaluate the organisation's distinctive culture, which facilitates the seamless implementation of advanced AI technologies to position the company as a successful company.</w:t>
      </w:r>
    </w:p>
    <w:p w14:paraId="14B72729" w14:textId="671CAB4E" w:rsidR="002E1E98" w:rsidRDefault="00EB65A3">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color w:val="000000"/>
        </w:rPr>
        <w:t xml:space="preserve">The company </w:t>
      </w:r>
      <w:proofErr w:type="spellStart"/>
      <w:r>
        <w:rPr>
          <w:color w:val="000000"/>
        </w:rPr>
        <w:t>Revolut</w:t>
      </w:r>
      <w:proofErr w:type="spellEnd"/>
      <w:r>
        <w:rPr>
          <w:color w:val="000000"/>
        </w:rPr>
        <w:t xml:space="preserve"> is one of the leading companies that offers various kinds of financial services to customers. Fintech is the leading branch of banking that helps customers to do their financial activities more easily on the go. However, various kinds of challenges are crucial to know as they impact the profitability of the companies that are prevailing in the market. The company </w:t>
      </w:r>
      <w:proofErr w:type="spellStart"/>
      <w:r>
        <w:rPr>
          <w:color w:val="000000"/>
        </w:rPr>
        <w:t>Revolut</w:t>
      </w:r>
      <w:proofErr w:type="spellEnd"/>
      <w:r>
        <w:rPr>
          <w:color w:val="000000"/>
        </w:rPr>
        <w:t xml:space="preserve"> believes in making the future better by making the plan for the better future by adopting spectacular saving and investment techniques mainly for the customers so that business can grow easily in the market</w:t>
      </w:r>
      <w:r w:rsidR="005E72F4">
        <w:rPr>
          <w:color w:val="000000"/>
        </w:rPr>
        <w:t>.</w:t>
      </w:r>
    </w:p>
    <w:p w14:paraId="5166029F" w14:textId="77777777" w:rsidR="002E1E98" w:rsidRDefault="002E1E98">
      <w:pPr>
        <w:pStyle w:val="Normal1"/>
        <w:spacing w:line="360" w:lineRule="auto"/>
        <w:jc w:val="both"/>
      </w:pPr>
    </w:p>
    <w:p w14:paraId="517F667A" w14:textId="77777777" w:rsidR="002E1E98" w:rsidRDefault="00EB65A3">
      <w:pPr>
        <w:pStyle w:val="Normal1"/>
        <w:spacing w:line="360" w:lineRule="auto"/>
        <w:jc w:val="both"/>
      </w:pPr>
      <w:r>
        <w:t xml:space="preserve">. </w:t>
      </w:r>
    </w:p>
    <w:p w14:paraId="1F8B328F" w14:textId="77777777" w:rsidR="002E1E98" w:rsidRDefault="002E1E98">
      <w:pPr>
        <w:pStyle w:val="Normal1"/>
        <w:spacing w:line="360" w:lineRule="auto"/>
        <w:jc w:val="both"/>
      </w:pPr>
    </w:p>
    <w:p w14:paraId="3A1F626E" w14:textId="77777777" w:rsidR="002E1E98" w:rsidRDefault="00EB65A3">
      <w:pPr>
        <w:pStyle w:val="Normal1"/>
        <w:rPr>
          <w:b/>
          <w:sz w:val="28"/>
          <w:szCs w:val="28"/>
        </w:rPr>
      </w:pPr>
      <w:r>
        <w:br w:type="page"/>
      </w:r>
    </w:p>
    <w:p w14:paraId="610FDE91" w14:textId="77777777" w:rsidR="002E1E98" w:rsidRDefault="00EB65A3">
      <w:pPr>
        <w:pStyle w:val="Normal1"/>
        <w:keepNext/>
        <w:keepLines/>
        <w:pBdr>
          <w:top w:val="nil"/>
          <w:left w:val="nil"/>
          <w:bottom w:val="nil"/>
          <w:right w:val="nil"/>
          <w:between w:val="nil"/>
        </w:pBdr>
        <w:spacing w:before="240" w:line="360" w:lineRule="auto"/>
        <w:jc w:val="center"/>
        <w:rPr>
          <w:b/>
          <w:color w:val="000000"/>
        </w:rPr>
      </w:pPr>
      <w:r>
        <w:rPr>
          <w:b/>
          <w:color w:val="000000"/>
          <w:sz w:val="28"/>
          <w:szCs w:val="28"/>
        </w:rPr>
        <w:lastRenderedPageBreak/>
        <w:t>Table of Contents</w:t>
      </w:r>
    </w:p>
    <w:sdt>
      <w:sdtPr>
        <w:id w:val="1391394516"/>
        <w:docPartObj>
          <w:docPartGallery w:val="Table of Contents"/>
          <w:docPartUnique/>
        </w:docPartObj>
      </w:sdtPr>
      <w:sdtEndPr/>
      <w:sdtContent>
        <w:p w14:paraId="38DA3AE4" w14:textId="77777777" w:rsidR="002E1E98" w:rsidRDefault="00DF11AC">
          <w:pPr>
            <w:pStyle w:val="Normal1"/>
            <w:pBdr>
              <w:top w:val="nil"/>
              <w:left w:val="nil"/>
              <w:bottom w:val="nil"/>
              <w:right w:val="nil"/>
              <w:between w:val="nil"/>
            </w:pBdr>
            <w:tabs>
              <w:tab w:val="right" w:leader="dot" w:pos="9350"/>
            </w:tabs>
            <w:spacing w:after="100" w:line="360" w:lineRule="auto"/>
            <w:rPr>
              <w:rFonts w:ascii="Cambria" w:eastAsia="Cambria" w:hAnsi="Cambria" w:cs="Cambria"/>
              <w:color w:val="000000"/>
            </w:rPr>
          </w:pPr>
          <w:r>
            <w:fldChar w:fldCharType="begin"/>
          </w:r>
          <w:r w:rsidR="00FD0240">
            <w:instrText xml:space="preserve"> TOC \h \u \z \t "Heading 1,1,Heading 2,2,Heading 3,3,"</w:instrText>
          </w:r>
          <w:r>
            <w:fldChar w:fldCharType="separate"/>
          </w:r>
          <w:hyperlink w:anchor="_heading=h.gjdgxs">
            <w:r w:rsidR="00FD0240">
              <w:rPr>
                <w:color w:val="000000"/>
              </w:rPr>
              <w:t>Introduction</w:t>
            </w:r>
            <w:r w:rsidR="00FD0240">
              <w:rPr>
                <w:color w:val="000000"/>
              </w:rPr>
              <w:tab/>
              <w:t>4</w:t>
            </w:r>
          </w:hyperlink>
        </w:p>
        <w:p w14:paraId="27120AFB" w14:textId="77777777" w:rsidR="002E1E98" w:rsidRDefault="00EC0F64">
          <w:pPr>
            <w:pStyle w:val="Normal1"/>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30j0zll">
            <w:r w:rsidR="00FD0240">
              <w:rPr>
                <w:color w:val="000000"/>
              </w:rPr>
              <w:t>Discussions</w:t>
            </w:r>
            <w:r w:rsidR="00FD0240">
              <w:rPr>
                <w:color w:val="000000"/>
              </w:rPr>
              <w:tab/>
              <w:t>4</w:t>
            </w:r>
          </w:hyperlink>
        </w:p>
        <w:p w14:paraId="7A3C03F7" w14:textId="77777777" w:rsidR="002E1E98" w:rsidRDefault="00EC0F64">
          <w:pPr>
            <w:pStyle w:val="Normal1"/>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1fob9te">
            <w:r w:rsidR="00FD0240">
              <w:rPr>
                <w:color w:val="000000"/>
              </w:rPr>
              <w:t>A brief review of the current state of Revolut</w:t>
            </w:r>
            <w:r w:rsidR="00FD0240">
              <w:rPr>
                <w:color w:val="000000"/>
              </w:rPr>
              <w:tab/>
              <w:t>4</w:t>
            </w:r>
          </w:hyperlink>
        </w:p>
        <w:p w14:paraId="6B711131" w14:textId="77777777" w:rsidR="002E1E98" w:rsidRDefault="00EC0F64">
          <w:pPr>
            <w:pStyle w:val="Normal1"/>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3znysh7">
            <w:r w:rsidR="00FD0240">
              <w:rPr>
                <w:color w:val="000000"/>
              </w:rPr>
              <w:t>Employment relationship with Revolut</w:t>
            </w:r>
            <w:r w:rsidR="00FD0240">
              <w:rPr>
                <w:color w:val="000000"/>
              </w:rPr>
              <w:tab/>
              <w:t>5</w:t>
            </w:r>
          </w:hyperlink>
        </w:p>
        <w:p w14:paraId="6BAD6562" w14:textId="77777777" w:rsidR="002E1E98" w:rsidRDefault="00EC0F64">
          <w:pPr>
            <w:pStyle w:val="Normal1"/>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2et92p0">
            <w:r w:rsidR="00FD0240">
              <w:rPr>
                <w:color w:val="000000"/>
              </w:rPr>
              <w:t>Outline of the current change initiative of Revolut</w:t>
            </w:r>
            <w:r w:rsidR="00FD0240">
              <w:rPr>
                <w:color w:val="000000"/>
              </w:rPr>
              <w:tab/>
              <w:t>6</w:t>
            </w:r>
          </w:hyperlink>
        </w:p>
        <w:p w14:paraId="76173FAF" w14:textId="77777777" w:rsidR="002E1E98" w:rsidRDefault="00EC0F64">
          <w:pPr>
            <w:pStyle w:val="Normal1"/>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tyjcwt">
            <w:r w:rsidR="00FD0240">
              <w:rPr>
                <w:color w:val="000000"/>
              </w:rPr>
              <w:t>Impacts of External Environmental Factors on Revolut</w:t>
            </w:r>
            <w:r w:rsidR="00FD0240">
              <w:rPr>
                <w:color w:val="000000"/>
              </w:rPr>
              <w:tab/>
              <w:t>6</w:t>
            </w:r>
          </w:hyperlink>
        </w:p>
        <w:p w14:paraId="74F309BE" w14:textId="77777777" w:rsidR="002E1E98" w:rsidRDefault="00EC0F64">
          <w:pPr>
            <w:pStyle w:val="Normal1"/>
            <w:pBdr>
              <w:top w:val="nil"/>
              <w:left w:val="nil"/>
              <w:bottom w:val="nil"/>
              <w:right w:val="nil"/>
              <w:between w:val="nil"/>
            </w:pBdr>
            <w:tabs>
              <w:tab w:val="right" w:leader="dot" w:pos="9350"/>
            </w:tabs>
            <w:spacing w:after="100" w:line="360" w:lineRule="auto"/>
            <w:ind w:left="440"/>
            <w:rPr>
              <w:color w:val="000000"/>
            </w:rPr>
          </w:pPr>
          <w:hyperlink w:anchor="_heading=h.3dy6vkm">
            <w:r w:rsidR="00FD0240">
              <w:rPr>
                <w:color w:val="000000"/>
              </w:rPr>
              <w:t>The impact of the COVID-19 pandemic on the management system of Revolut</w:t>
            </w:r>
            <w:r w:rsidR="00FD0240">
              <w:rPr>
                <w:color w:val="000000"/>
              </w:rPr>
              <w:tab/>
              <w:t>7</w:t>
            </w:r>
          </w:hyperlink>
        </w:p>
        <w:p w14:paraId="2AC9B0E4" w14:textId="77777777" w:rsidR="002E1E98" w:rsidRDefault="00EC0F64">
          <w:pPr>
            <w:pStyle w:val="Normal1"/>
            <w:pBdr>
              <w:top w:val="nil"/>
              <w:left w:val="nil"/>
              <w:bottom w:val="nil"/>
              <w:right w:val="nil"/>
              <w:between w:val="nil"/>
            </w:pBdr>
            <w:tabs>
              <w:tab w:val="right" w:leader="dot" w:pos="9350"/>
            </w:tabs>
            <w:spacing w:after="100" w:line="360" w:lineRule="auto"/>
            <w:ind w:left="440"/>
            <w:rPr>
              <w:color w:val="000000"/>
            </w:rPr>
          </w:pPr>
          <w:hyperlink w:anchor="_heading=h.1t3h5sf">
            <w:r w:rsidR="00FD0240">
              <w:rPr>
                <w:color w:val="000000"/>
              </w:rPr>
              <w:t>The digital disruptions while making the changes in the management</w:t>
            </w:r>
            <w:r w:rsidR="00FD0240">
              <w:rPr>
                <w:color w:val="000000"/>
              </w:rPr>
              <w:tab/>
              <w:t>7</w:t>
            </w:r>
          </w:hyperlink>
        </w:p>
        <w:p w14:paraId="1693DFD7" w14:textId="77777777" w:rsidR="002E1E98" w:rsidRDefault="00EC0F64">
          <w:pPr>
            <w:pStyle w:val="Normal1"/>
            <w:pBdr>
              <w:top w:val="nil"/>
              <w:left w:val="nil"/>
              <w:bottom w:val="nil"/>
              <w:right w:val="nil"/>
              <w:between w:val="nil"/>
            </w:pBdr>
            <w:tabs>
              <w:tab w:val="right" w:leader="dot" w:pos="9350"/>
            </w:tabs>
            <w:spacing w:after="100" w:line="360" w:lineRule="auto"/>
            <w:ind w:left="440"/>
            <w:rPr>
              <w:color w:val="000000"/>
            </w:rPr>
          </w:pPr>
          <w:hyperlink w:anchor="_heading=h.4d34og8">
            <w:r w:rsidR="00FD0240">
              <w:rPr>
                <w:color w:val="000000"/>
              </w:rPr>
              <w:t>The impact of economic challenges on Revolut</w:t>
            </w:r>
            <w:r w:rsidR="00FD0240">
              <w:rPr>
                <w:color w:val="000000"/>
              </w:rPr>
              <w:tab/>
              <w:t>8</w:t>
            </w:r>
          </w:hyperlink>
        </w:p>
        <w:p w14:paraId="41FEF9BF" w14:textId="77777777" w:rsidR="002E1E98" w:rsidRDefault="00EC0F64">
          <w:pPr>
            <w:pStyle w:val="Normal1"/>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2s8eyo1">
            <w:r w:rsidR="00FD0240">
              <w:rPr>
                <w:color w:val="000000"/>
              </w:rPr>
              <w:t>Management issues concerning the strategic changes of Revolut</w:t>
            </w:r>
            <w:r w:rsidR="00FD0240">
              <w:rPr>
                <w:color w:val="000000"/>
              </w:rPr>
              <w:tab/>
              <w:t>8</w:t>
            </w:r>
          </w:hyperlink>
        </w:p>
        <w:p w14:paraId="6DBFE887" w14:textId="77777777" w:rsidR="002E1E98" w:rsidRDefault="00EC0F64">
          <w:pPr>
            <w:pStyle w:val="Normal1"/>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17dp8vu">
            <w:r w:rsidR="00FD0240">
              <w:rPr>
                <w:color w:val="000000"/>
              </w:rPr>
              <w:t>Significance of Leadership styles for changing the management model</w:t>
            </w:r>
            <w:r w:rsidR="00FD0240">
              <w:rPr>
                <w:color w:val="000000"/>
              </w:rPr>
              <w:tab/>
              <w:t>10</w:t>
            </w:r>
          </w:hyperlink>
        </w:p>
        <w:p w14:paraId="76488291" w14:textId="77777777" w:rsidR="002E1E98" w:rsidRDefault="00EC0F64">
          <w:pPr>
            <w:pStyle w:val="Normal1"/>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3rdcrjn">
            <w:r w:rsidR="00FD0240">
              <w:rPr>
                <w:color w:val="000000"/>
              </w:rPr>
              <w:t>Recommendations for determining the change management</w:t>
            </w:r>
            <w:r w:rsidR="00FD0240">
              <w:rPr>
                <w:color w:val="000000"/>
              </w:rPr>
              <w:tab/>
              <w:t>12</w:t>
            </w:r>
          </w:hyperlink>
        </w:p>
        <w:p w14:paraId="56C5FADF" w14:textId="77777777" w:rsidR="002E1E98" w:rsidRDefault="00EC0F64">
          <w:pPr>
            <w:pStyle w:val="Normal1"/>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26in1rg">
            <w:r w:rsidR="00FD0240">
              <w:rPr>
                <w:color w:val="000000"/>
              </w:rPr>
              <w:t>Impact of organisational culture on the change management programme</w:t>
            </w:r>
            <w:r w:rsidR="00FD0240">
              <w:rPr>
                <w:color w:val="000000"/>
              </w:rPr>
              <w:tab/>
              <w:t>13</w:t>
            </w:r>
          </w:hyperlink>
        </w:p>
        <w:p w14:paraId="04362325" w14:textId="77777777" w:rsidR="002E1E98" w:rsidRDefault="00EC0F64">
          <w:pPr>
            <w:pStyle w:val="Normal1"/>
            <w:pBdr>
              <w:top w:val="nil"/>
              <w:left w:val="nil"/>
              <w:bottom w:val="nil"/>
              <w:right w:val="nil"/>
              <w:between w:val="nil"/>
            </w:pBdr>
            <w:tabs>
              <w:tab w:val="right" w:leader="dot" w:pos="9350"/>
            </w:tabs>
            <w:spacing w:after="100" w:line="360" w:lineRule="auto"/>
            <w:ind w:left="220"/>
            <w:rPr>
              <w:rFonts w:ascii="Cambria" w:eastAsia="Cambria" w:hAnsi="Cambria" w:cs="Cambria"/>
              <w:color w:val="000000"/>
            </w:rPr>
          </w:pPr>
          <w:hyperlink w:anchor="_heading=h.lnxbz9">
            <w:r w:rsidR="00FD0240">
              <w:rPr>
                <w:color w:val="000000"/>
              </w:rPr>
              <w:t>Development of a suitable change management plan for the future</w:t>
            </w:r>
            <w:r w:rsidR="00FD0240">
              <w:rPr>
                <w:color w:val="000000"/>
              </w:rPr>
              <w:tab/>
              <w:t>14</w:t>
            </w:r>
          </w:hyperlink>
        </w:p>
        <w:p w14:paraId="2BEEE5A9" w14:textId="77777777" w:rsidR="002E1E98" w:rsidRDefault="00EC0F64">
          <w:pPr>
            <w:pStyle w:val="Normal1"/>
            <w:pBdr>
              <w:top w:val="nil"/>
              <w:left w:val="nil"/>
              <w:bottom w:val="nil"/>
              <w:right w:val="nil"/>
              <w:between w:val="nil"/>
            </w:pBdr>
            <w:tabs>
              <w:tab w:val="right" w:leader="dot" w:pos="9350"/>
            </w:tabs>
            <w:spacing w:after="100" w:line="360" w:lineRule="auto"/>
            <w:ind w:left="440"/>
            <w:rPr>
              <w:color w:val="000000"/>
            </w:rPr>
          </w:pPr>
          <w:hyperlink w:anchor="_heading=h.35nkun2">
            <w:r w:rsidR="00FD0240">
              <w:rPr>
                <w:color w:val="000000"/>
              </w:rPr>
              <w:t>Proposed changes</w:t>
            </w:r>
            <w:r w:rsidR="00FD0240">
              <w:rPr>
                <w:color w:val="000000"/>
              </w:rPr>
              <w:tab/>
              <w:t>14</w:t>
            </w:r>
          </w:hyperlink>
        </w:p>
        <w:p w14:paraId="06ED461C" w14:textId="77777777" w:rsidR="002E1E98" w:rsidRDefault="00EC0F64">
          <w:pPr>
            <w:pStyle w:val="Normal1"/>
            <w:pBdr>
              <w:top w:val="nil"/>
              <w:left w:val="nil"/>
              <w:bottom w:val="nil"/>
              <w:right w:val="nil"/>
              <w:between w:val="nil"/>
            </w:pBdr>
            <w:tabs>
              <w:tab w:val="right" w:leader="dot" w:pos="9350"/>
            </w:tabs>
            <w:spacing w:after="100" w:line="360" w:lineRule="auto"/>
            <w:ind w:left="440"/>
            <w:rPr>
              <w:color w:val="000000"/>
            </w:rPr>
          </w:pPr>
          <w:hyperlink w:anchor="_heading=h.1ksv4uv">
            <w:r w:rsidR="00FD0240">
              <w:rPr>
                <w:color w:val="000000"/>
              </w:rPr>
              <w:t>Staff training and development plan</w:t>
            </w:r>
            <w:r w:rsidR="00FD0240">
              <w:rPr>
                <w:color w:val="000000"/>
              </w:rPr>
              <w:tab/>
              <w:t>15</w:t>
            </w:r>
          </w:hyperlink>
        </w:p>
        <w:p w14:paraId="57A75F1C" w14:textId="77777777" w:rsidR="002E1E98" w:rsidRDefault="00EC0F64">
          <w:pPr>
            <w:pStyle w:val="Normal1"/>
            <w:pBdr>
              <w:top w:val="nil"/>
              <w:left w:val="nil"/>
              <w:bottom w:val="nil"/>
              <w:right w:val="nil"/>
              <w:between w:val="nil"/>
            </w:pBdr>
            <w:tabs>
              <w:tab w:val="right" w:leader="dot" w:pos="9350"/>
            </w:tabs>
            <w:spacing w:after="100" w:line="360" w:lineRule="auto"/>
            <w:ind w:left="440"/>
            <w:rPr>
              <w:color w:val="000000"/>
            </w:rPr>
          </w:pPr>
          <w:hyperlink w:anchor="_heading=h.44sinio">
            <w:r w:rsidR="00FD0240">
              <w:rPr>
                <w:color w:val="000000"/>
              </w:rPr>
              <w:t>Communication plan</w:t>
            </w:r>
            <w:r w:rsidR="00FD0240">
              <w:rPr>
                <w:color w:val="000000"/>
              </w:rPr>
              <w:tab/>
              <w:t>16</w:t>
            </w:r>
          </w:hyperlink>
        </w:p>
        <w:p w14:paraId="4AF8A530" w14:textId="77777777" w:rsidR="002E1E98" w:rsidRDefault="00EC0F64">
          <w:pPr>
            <w:pStyle w:val="Normal1"/>
            <w:pBdr>
              <w:top w:val="nil"/>
              <w:left w:val="nil"/>
              <w:bottom w:val="nil"/>
              <w:right w:val="nil"/>
              <w:between w:val="nil"/>
            </w:pBdr>
            <w:tabs>
              <w:tab w:val="right" w:leader="dot" w:pos="9350"/>
            </w:tabs>
            <w:spacing w:after="100" w:line="360" w:lineRule="auto"/>
            <w:ind w:left="440"/>
            <w:rPr>
              <w:color w:val="000000"/>
            </w:rPr>
          </w:pPr>
          <w:hyperlink w:anchor="_heading=h.2jxsxqh">
            <w:r w:rsidR="00FD0240">
              <w:rPr>
                <w:color w:val="000000"/>
              </w:rPr>
              <w:t>Evaluation plan</w:t>
            </w:r>
            <w:r w:rsidR="00FD0240">
              <w:rPr>
                <w:color w:val="000000"/>
              </w:rPr>
              <w:tab/>
              <w:t>16</w:t>
            </w:r>
          </w:hyperlink>
        </w:p>
        <w:p w14:paraId="3FE6117B" w14:textId="77777777" w:rsidR="002E1E98" w:rsidRDefault="00EC0F64">
          <w:pPr>
            <w:pStyle w:val="Normal1"/>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z337ya">
            <w:r w:rsidR="00FD0240">
              <w:rPr>
                <w:color w:val="000000"/>
              </w:rPr>
              <w:t>Conclusion</w:t>
            </w:r>
            <w:r w:rsidR="00FD0240">
              <w:rPr>
                <w:color w:val="000000"/>
              </w:rPr>
              <w:tab/>
              <w:t>17</w:t>
            </w:r>
          </w:hyperlink>
        </w:p>
        <w:p w14:paraId="78397CDD" w14:textId="77777777" w:rsidR="002E1E98" w:rsidRDefault="00EC0F64">
          <w:pPr>
            <w:pStyle w:val="Normal1"/>
            <w:pBdr>
              <w:top w:val="nil"/>
              <w:left w:val="nil"/>
              <w:bottom w:val="nil"/>
              <w:right w:val="nil"/>
              <w:between w:val="nil"/>
            </w:pBdr>
            <w:tabs>
              <w:tab w:val="right" w:leader="dot" w:pos="9350"/>
            </w:tabs>
            <w:spacing w:after="100" w:line="360" w:lineRule="auto"/>
            <w:rPr>
              <w:rFonts w:ascii="Cambria" w:eastAsia="Cambria" w:hAnsi="Cambria" w:cs="Cambria"/>
              <w:color w:val="000000"/>
            </w:rPr>
          </w:pPr>
          <w:hyperlink w:anchor="_heading=h.3j2qqm3">
            <w:r w:rsidR="00FD0240">
              <w:rPr>
                <w:color w:val="000000"/>
              </w:rPr>
              <w:t>Reference</w:t>
            </w:r>
            <w:r w:rsidR="00FD0240">
              <w:rPr>
                <w:color w:val="000000"/>
              </w:rPr>
              <w:tab/>
              <w:t>18</w:t>
            </w:r>
          </w:hyperlink>
        </w:p>
        <w:p w14:paraId="50781AAD" w14:textId="77777777" w:rsidR="002E1E98" w:rsidRDefault="00DF11AC">
          <w:pPr>
            <w:pStyle w:val="Normal1"/>
            <w:spacing w:line="360" w:lineRule="auto"/>
            <w:jc w:val="center"/>
          </w:pPr>
          <w:r>
            <w:fldChar w:fldCharType="end"/>
          </w:r>
        </w:p>
      </w:sdtContent>
    </w:sdt>
    <w:p w14:paraId="2AA44A5F" w14:textId="77777777" w:rsidR="002E1E98" w:rsidRDefault="00EB65A3">
      <w:pPr>
        <w:pStyle w:val="Normal1"/>
        <w:jc w:val="center"/>
        <w:rPr>
          <w:b/>
        </w:rPr>
      </w:pPr>
      <w:r>
        <w:br w:type="page"/>
      </w:r>
    </w:p>
    <w:p w14:paraId="7BC5EB16" w14:textId="77777777" w:rsidR="002E1E98" w:rsidRDefault="00EB65A3">
      <w:pPr>
        <w:pStyle w:val="Heading1"/>
      </w:pPr>
      <w:bookmarkStart w:id="0" w:name="_heading=h.gjdgxs" w:colFirst="0" w:colLast="0"/>
      <w:bookmarkEnd w:id="0"/>
      <w:r>
        <w:lastRenderedPageBreak/>
        <w:t>Introduction</w:t>
      </w:r>
    </w:p>
    <w:p w14:paraId="72D89D41" w14:textId="12E263F5" w:rsidR="002E1E98" w:rsidRDefault="00EB65A3">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color w:val="0E101A"/>
        </w:rPr>
        <w:t xml:space="preserve">The company </w:t>
      </w:r>
      <w:proofErr w:type="spellStart"/>
      <w:r>
        <w:rPr>
          <w:color w:val="0E101A"/>
        </w:rPr>
        <w:t>Revolut</w:t>
      </w:r>
      <w:proofErr w:type="spellEnd"/>
      <w:r>
        <w:rPr>
          <w:color w:val="0E101A"/>
        </w:rPr>
        <w:t xml:space="preserve"> is a global </w:t>
      </w:r>
      <w:proofErr w:type="spellStart"/>
      <w:r>
        <w:rPr>
          <w:color w:val="0E101A"/>
        </w:rPr>
        <w:t>neobank</w:t>
      </w:r>
      <w:proofErr w:type="spellEnd"/>
      <w:r>
        <w:rPr>
          <w:color w:val="0E101A"/>
        </w:rPr>
        <w:t xml:space="preserve"> and fintech company that mainly offers various kinds of financial banking services. It is headquartered in London and was founded in 2015. The main offers of the company are to sell financial services to customers that are mainly currency exchange, debit cards, virtual cards, Apple Pay, interest vaults, as well as stock trading experiences to the ultimate customers. As stated by </w:t>
      </w:r>
      <w:proofErr w:type="spellStart"/>
      <w:r>
        <w:rPr>
          <w:color w:val="0E101A"/>
        </w:rPr>
        <w:t>Revolut</w:t>
      </w:r>
      <w:proofErr w:type="spellEnd"/>
      <w:r>
        <w:rPr>
          <w:color w:val="0E101A"/>
        </w:rPr>
        <w:t xml:space="preserve"> (2023), the company believes in spending to plan for a better future with savings and investments, as it helps in getting more from the money at the very end. The company has raised $800m to build its first global financial super app that can help millions of people at the same time. They believe in making booking holidays easy directly from the Revolt application. Lastly, launching on-demand pay will help better manage customers' expenses. </w:t>
      </w:r>
    </w:p>
    <w:p w14:paraId="7B15C6F6" w14:textId="77777777" w:rsidR="002E1E98" w:rsidRDefault="00EB65A3">
      <w:pPr>
        <w:pStyle w:val="Heading1"/>
      </w:pPr>
      <w:bookmarkStart w:id="1" w:name="_heading=h.30j0zll" w:colFirst="0" w:colLast="0"/>
      <w:bookmarkEnd w:id="1"/>
      <w:r>
        <w:t>Discussions</w:t>
      </w:r>
    </w:p>
    <w:p w14:paraId="0D7ED16B" w14:textId="77777777" w:rsidR="002E1E98" w:rsidRDefault="00EB65A3">
      <w:pPr>
        <w:pStyle w:val="Heading2"/>
      </w:pPr>
      <w:bookmarkStart w:id="2" w:name="_heading=h.1fob9te" w:colFirst="0" w:colLast="0"/>
      <w:bookmarkEnd w:id="2"/>
      <w:r>
        <w:t xml:space="preserve">A brief review of the current state of </w:t>
      </w:r>
      <w:proofErr w:type="spellStart"/>
      <w:r>
        <w:t>Revolut</w:t>
      </w:r>
      <w:proofErr w:type="spellEnd"/>
    </w:p>
    <w:p w14:paraId="5534A7B3" w14:textId="04194FDD" w:rsidR="002E1E98" w:rsidRDefault="00EB65A3">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color w:val="0E101A"/>
        </w:rPr>
        <w:t xml:space="preserve">The company </w:t>
      </w:r>
      <w:proofErr w:type="spellStart"/>
      <w:r>
        <w:rPr>
          <w:color w:val="0E101A"/>
        </w:rPr>
        <w:t>Revolut's</w:t>
      </w:r>
      <w:proofErr w:type="spellEnd"/>
      <w:r>
        <w:rPr>
          <w:color w:val="0E101A"/>
        </w:rPr>
        <w:t xml:space="preserve"> mission is to simplify all things, including money, in the activities, as money matters are always complicated. It includes sending money abroad, balancing the family's budget, or scaling the business on the wholes. They believe in building platforms that are seamless as well as borderless, which helps make financial services better. According to Gabor and Brooks (2020), there is a fintech-philanthropic development (FPD) complex in the fintech companies that mainly receive findings to further their strategic goals. Their main goal is to provide all the money things to the people, including spending, saving, investing goals, and then managing and more, making money matters simpler and easier for the customers. Company in the current year reported that the UK's Prudential Regulation Authority that was poised to reject the actual </w:t>
      </w:r>
      <w:proofErr w:type="spellStart"/>
      <w:r>
        <w:rPr>
          <w:color w:val="0E101A"/>
        </w:rPr>
        <w:t>Revolut</w:t>
      </w:r>
      <w:proofErr w:type="spellEnd"/>
      <w:r>
        <w:rPr>
          <w:color w:val="0E101A"/>
        </w:rPr>
        <w:t xml:space="preserve"> application mainly for the banking license in the UK. The company in the year 2023 has over 35 million customers in more than 27 countries. As per a report by Financial Times (2023), in recent times, </w:t>
      </w:r>
      <w:proofErr w:type="spellStart"/>
      <w:r>
        <w:rPr>
          <w:color w:val="0E101A"/>
        </w:rPr>
        <w:t>Revolut's</w:t>
      </w:r>
      <w:proofErr w:type="spellEnd"/>
      <w:r>
        <w:rPr>
          <w:color w:val="0E101A"/>
        </w:rPr>
        <w:t xml:space="preserve"> payment system in the US country has helped various criminals steal more than $ 20 of its funds, and this happened for several months last year before the company. The incident was disclosed publicly, which is likely to cause further pressure on the highly valued Fintech. The company has launched its branches in the USA and Japan, as well as banking services in Lithuania and Poland. The Bank of Lithuania granted them a banking license as they launched the </w:t>
      </w:r>
      <w:proofErr w:type="spellStart"/>
      <w:r>
        <w:rPr>
          <w:color w:val="0E101A"/>
        </w:rPr>
        <w:t>Revolut</w:t>
      </w:r>
      <w:proofErr w:type="spellEnd"/>
      <w:r>
        <w:rPr>
          <w:color w:val="0E101A"/>
        </w:rPr>
        <w:t xml:space="preserve"> metal. </w:t>
      </w:r>
    </w:p>
    <w:p w14:paraId="60124FD9" w14:textId="77777777" w:rsidR="002E1E98" w:rsidRDefault="00EB65A3">
      <w:pPr>
        <w:pStyle w:val="Heading2"/>
        <w:rPr>
          <w:highlight w:val="magenta"/>
        </w:rPr>
      </w:pPr>
      <w:bookmarkStart w:id="3" w:name="_heading=h.3znysh7" w:colFirst="0" w:colLast="0"/>
      <w:bookmarkEnd w:id="3"/>
      <w:r>
        <w:lastRenderedPageBreak/>
        <w:t xml:space="preserve">Employment relationship with </w:t>
      </w:r>
      <w:proofErr w:type="spellStart"/>
      <w:r>
        <w:t>Revolut</w:t>
      </w:r>
      <w:proofErr w:type="spellEnd"/>
    </w:p>
    <w:p w14:paraId="398E1F29" w14:textId="77777777" w:rsidR="002E1E98" w:rsidRDefault="00EB65A3">
      <w:pPr>
        <w:pStyle w:val="Normal1"/>
        <w:spacing w:line="360" w:lineRule="auto"/>
        <w:jc w:val="both"/>
        <w:rPr>
          <w:rFonts w:ascii="Times New Roman" w:eastAsia="Times New Roman" w:hAnsi="Times New Roman" w:cs="Times New Roman"/>
          <w:sz w:val="24"/>
          <w:szCs w:val="24"/>
        </w:rPr>
      </w:pPr>
      <w:r>
        <w:rPr>
          <w:color w:val="000000"/>
        </w:rPr>
        <w:t xml:space="preserve">The employment relationships between the employee and </w:t>
      </w:r>
      <w:proofErr w:type="spellStart"/>
      <w:r>
        <w:rPr>
          <w:color w:val="000000"/>
        </w:rPr>
        <w:t>Revolut</w:t>
      </w:r>
      <w:proofErr w:type="spellEnd"/>
      <w:r>
        <w:rPr>
          <w:color w:val="000000"/>
        </w:rPr>
        <w:t xml:space="preserve"> basically include various terms and conditions that help in defining the actual rights and responsibilities of both the employer and the employees. Some common and important points that might be included in an excellent relationship are important with </w:t>
      </w:r>
      <w:proofErr w:type="spellStart"/>
      <w:r>
        <w:rPr>
          <w:color w:val="000000"/>
        </w:rPr>
        <w:t>Revolut</w:t>
      </w:r>
      <w:proofErr w:type="spellEnd"/>
      <w:r>
        <w:rPr>
          <w:color w:val="000000"/>
        </w:rPr>
        <w:t>.</w:t>
      </w:r>
    </w:p>
    <w:p w14:paraId="1C4E2DE1" w14:textId="77777777" w:rsidR="002E1E98" w:rsidRDefault="00EB65A3">
      <w:pPr>
        <w:pStyle w:val="Normal1"/>
        <w:spacing w:line="360" w:lineRule="auto"/>
        <w:jc w:val="both"/>
        <w:rPr>
          <w:rFonts w:ascii="Times New Roman" w:eastAsia="Times New Roman" w:hAnsi="Times New Roman" w:cs="Times New Roman"/>
          <w:sz w:val="24"/>
          <w:szCs w:val="24"/>
        </w:rPr>
      </w:pPr>
      <w:r>
        <w:rPr>
          <w:b/>
          <w:i/>
          <w:color w:val="0E101A"/>
        </w:rPr>
        <w:t xml:space="preserve">Job Title and Description: </w:t>
      </w:r>
      <w:r>
        <w:rPr>
          <w:color w:val="0E101A"/>
        </w:rPr>
        <w:t xml:space="preserve">It is equally crucial to tell the employee the actual job title and the description to build a better relationship with the employees and the company. A job title </w:t>
      </w:r>
      <w:proofErr w:type="gramStart"/>
      <w:r>
        <w:rPr>
          <w:color w:val="0E101A"/>
        </w:rPr>
        <w:t>is considered to be</w:t>
      </w:r>
      <w:proofErr w:type="gramEnd"/>
      <w:r>
        <w:rPr>
          <w:color w:val="0E101A"/>
        </w:rPr>
        <w:t xml:space="preserve"> the name or designation which is given to a job or a position, and it may describe the occupation and position. </w:t>
      </w:r>
    </w:p>
    <w:p w14:paraId="7E42DD3D" w14:textId="77777777" w:rsidR="002E1E98" w:rsidRDefault="00EB65A3">
      <w:pPr>
        <w:pStyle w:val="Normal1"/>
        <w:spacing w:line="360" w:lineRule="auto"/>
        <w:jc w:val="both"/>
        <w:rPr>
          <w:rFonts w:ascii="Times New Roman" w:eastAsia="Times New Roman" w:hAnsi="Times New Roman" w:cs="Times New Roman"/>
          <w:sz w:val="24"/>
          <w:szCs w:val="24"/>
        </w:rPr>
      </w:pPr>
      <w:r>
        <w:rPr>
          <w:b/>
          <w:i/>
          <w:color w:val="0E101A"/>
        </w:rPr>
        <w:t>Employment status:</w:t>
      </w:r>
      <w:r>
        <w:rPr>
          <w:color w:val="0E101A"/>
        </w:rPr>
        <w:t xml:space="preserve"> It includes the employment status and shows the relationships between an employee and the organisation or company working for it. According to </w:t>
      </w:r>
      <w:proofErr w:type="spellStart"/>
      <w:r>
        <w:rPr>
          <w:color w:val="0E101A"/>
        </w:rPr>
        <w:t>Oducado</w:t>
      </w:r>
      <w:proofErr w:type="spellEnd"/>
      <w:r>
        <w:rPr>
          <w:color w:val="0E101A"/>
        </w:rPr>
        <w:t xml:space="preserve"> (2020), employment status is crucial for building strong skills and development for the individual. </w:t>
      </w:r>
    </w:p>
    <w:p w14:paraId="662E5875" w14:textId="77777777" w:rsidR="002E1E98" w:rsidRDefault="00EB65A3">
      <w:pPr>
        <w:pStyle w:val="Normal1"/>
        <w:spacing w:line="360" w:lineRule="auto"/>
        <w:jc w:val="both"/>
        <w:rPr>
          <w:rFonts w:ascii="Times New Roman" w:eastAsia="Times New Roman" w:hAnsi="Times New Roman" w:cs="Times New Roman"/>
          <w:sz w:val="24"/>
          <w:szCs w:val="24"/>
        </w:rPr>
      </w:pPr>
      <w:r>
        <w:rPr>
          <w:b/>
          <w:i/>
          <w:color w:val="0E101A"/>
        </w:rPr>
        <w:t xml:space="preserve">Salary and Compensation: </w:t>
      </w:r>
      <w:r>
        <w:rPr>
          <w:color w:val="0E101A"/>
        </w:rPr>
        <w:t xml:space="preserve">Outline and then agree upon the actual in-hand salary, bonuses, various kinds of benefits, and any other forms of compensation. The salary helps boost the morale of the employee and builds the relationship with </w:t>
      </w:r>
      <w:proofErr w:type="spellStart"/>
      <w:r>
        <w:rPr>
          <w:color w:val="0E101A"/>
        </w:rPr>
        <w:t>RevolutAs</w:t>
      </w:r>
      <w:proofErr w:type="spellEnd"/>
      <w:r>
        <w:rPr>
          <w:color w:val="0E101A"/>
        </w:rPr>
        <w:t xml:space="preserve"> as it helps motivate them to do the work on time. Salary and compensation help motivate the employees and improve the organisation's effectiveness overall.</w:t>
      </w:r>
    </w:p>
    <w:p w14:paraId="1B045E8B" w14:textId="77777777" w:rsidR="002E1E98" w:rsidRDefault="00EB65A3">
      <w:pPr>
        <w:pStyle w:val="Normal1"/>
        <w:spacing w:line="360" w:lineRule="auto"/>
        <w:jc w:val="both"/>
        <w:rPr>
          <w:rFonts w:ascii="Times New Roman" w:eastAsia="Times New Roman" w:hAnsi="Times New Roman" w:cs="Times New Roman"/>
          <w:sz w:val="24"/>
          <w:szCs w:val="24"/>
        </w:rPr>
      </w:pPr>
      <w:r>
        <w:rPr>
          <w:b/>
          <w:i/>
          <w:color w:val="0E101A"/>
        </w:rPr>
        <w:t>Work Schedule:</w:t>
      </w:r>
      <w:r>
        <w:rPr>
          <w:color w:val="0E101A"/>
        </w:rPr>
        <w:t xml:space="preserve"> Details about the actual standard working hours that also include the expectations for overtime or flexible scheduling as well. Work scheduling plays a crucial element in the working of the company’s development. </w:t>
      </w:r>
    </w:p>
    <w:p w14:paraId="11ABAC67" w14:textId="77777777" w:rsidR="002E1E98" w:rsidRDefault="00EB65A3">
      <w:pPr>
        <w:pStyle w:val="Normal1"/>
        <w:spacing w:line="360" w:lineRule="auto"/>
        <w:jc w:val="both"/>
        <w:rPr>
          <w:rFonts w:ascii="Times New Roman" w:eastAsia="Times New Roman" w:hAnsi="Times New Roman" w:cs="Times New Roman"/>
          <w:sz w:val="24"/>
          <w:szCs w:val="24"/>
        </w:rPr>
      </w:pPr>
      <w:r>
        <w:rPr>
          <w:b/>
          <w:i/>
          <w:color w:val="0E101A"/>
        </w:rPr>
        <w:t>Probation period:</w:t>
      </w:r>
      <w:r>
        <w:rPr>
          <w:color w:val="0E101A"/>
        </w:rPr>
        <w:t xml:space="preserve"> It </w:t>
      </w:r>
      <w:proofErr w:type="gramStart"/>
      <w:r>
        <w:rPr>
          <w:color w:val="0E101A"/>
        </w:rPr>
        <w:t>is considered to be</w:t>
      </w:r>
      <w:proofErr w:type="gramEnd"/>
      <w:r>
        <w:rPr>
          <w:color w:val="0E101A"/>
        </w:rPr>
        <w:t xml:space="preserve"> the trial person for newly recruited workers who are going to work in the </w:t>
      </w:r>
      <w:proofErr w:type="spellStart"/>
      <w:r>
        <w:rPr>
          <w:color w:val="0E101A"/>
        </w:rPr>
        <w:t>Revolut</w:t>
      </w:r>
      <w:proofErr w:type="spellEnd"/>
      <w:r>
        <w:rPr>
          <w:color w:val="0E101A"/>
        </w:rPr>
        <w:t xml:space="preserve"> company. It commonly lasts for three to a year. It is usually a fixed period at the beginning of the employment relationship. </w:t>
      </w:r>
    </w:p>
    <w:p w14:paraId="02019DD9" w14:textId="77777777" w:rsidR="002E1E98" w:rsidRDefault="00EB65A3">
      <w:pPr>
        <w:pStyle w:val="Normal1"/>
        <w:spacing w:line="360" w:lineRule="auto"/>
        <w:jc w:val="both"/>
        <w:rPr>
          <w:rFonts w:ascii="Times New Roman" w:eastAsia="Times New Roman" w:hAnsi="Times New Roman" w:cs="Times New Roman"/>
          <w:sz w:val="24"/>
          <w:szCs w:val="24"/>
        </w:rPr>
      </w:pPr>
      <w:r>
        <w:rPr>
          <w:b/>
          <w:i/>
          <w:color w:val="0E101A"/>
        </w:rPr>
        <w:t xml:space="preserve">Benefits: </w:t>
      </w:r>
      <w:r>
        <w:rPr>
          <w:color w:val="0E101A"/>
        </w:rPr>
        <w:t xml:space="preserve">Benefits to the employees help in building better performance over time (Kadir </w:t>
      </w:r>
      <w:r>
        <w:rPr>
          <w:i/>
          <w:color w:val="0E101A"/>
        </w:rPr>
        <w:t>et al</w:t>
      </w:r>
      <w:r>
        <w:rPr>
          <w:color w:val="0E101A"/>
        </w:rPr>
        <w:t xml:space="preserve">., 2019). It helps in enumerating the benefits that are being provided, such as health insurance, retirement plans, vacation days, and other perks. </w:t>
      </w:r>
    </w:p>
    <w:p w14:paraId="13114AAD" w14:textId="77777777" w:rsidR="002E1E98" w:rsidRDefault="002E1E98">
      <w:pPr>
        <w:pStyle w:val="Normal1"/>
        <w:spacing w:line="360" w:lineRule="auto"/>
        <w:jc w:val="both"/>
      </w:pPr>
    </w:p>
    <w:p w14:paraId="196A9536" w14:textId="77777777" w:rsidR="002E1E98" w:rsidRDefault="00EB65A3">
      <w:pPr>
        <w:pStyle w:val="Heading2"/>
      </w:pPr>
      <w:bookmarkStart w:id="4" w:name="_heading=h.2et92p0" w:colFirst="0" w:colLast="0"/>
      <w:bookmarkEnd w:id="4"/>
      <w:r>
        <w:t xml:space="preserve">Outline of the current change initiative of </w:t>
      </w:r>
      <w:proofErr w:type="spellStart"/>
      <w:r>
        <w:t>Revolut</w:t>
      </w:r>
      <w:proofErr w:type="spellEnd"/>
    </w:p>
    <w:p w14:paraId="28EAF23D" w14:textId="41D8C5DC" w:rsidR="002E1E98" w:rsidRDefault="00EB65A3">
      <w:pPr>
        <w:pStyle w:val="Normal1"/>
        <w:spacing w:line="360" w:lineRule="auto"/>
        <w:jc w:val="both"/>
        <w:rPr>
          <w:rFonts w:ascii="Times New Roman" w:eastAsia="Times New Roman" w:hAnsi="Times New Roman" w:cs="Times New Roman"/>
          <w:sz w:val="24"/>
          <w:szCs w:val="24"/>
        </w:rPr>
      </w:pPr>
      <w:r>
        <w:rPr>
          <w:color w:val="0E101A"/>
        </w:rPr>
        <w:t xml:space="preserve">As per a report by </w:t>
      </w:r>
      <w:proofErr w:type="spellStart"/>
      <w:r>
        <w:rPr>
          <w:color w:val="0E101A"/>
        </w:rPr>
        <w:t>Revolut</w:t>
      </w:r>
      <w:proofErr w:type="spellEnd"/>
      <w:r>
        <w:rPr>
          <w:color w:val="0E101A"/>
        </w:rPr>
        <w:t xml:space="preserve"> (2021) 2021, the company </w:t>
      </w:r>
      <w:proofErr w:type="spellStart"/>
      <w:r>
        <w:rPr>
          <w:color w:val="0E101A"/>
        </w:rPr>
        <w:t>Revolut</w:t>
      </w:r>
      <w:proofErr w:type="spellEnd"/>
      <w:r>
        <w:rPr>
          <w:color w:val="0E101A"/>
        </w:rPr>
        <w:t xml:space="preserve"> made considerable progress in meeting its overall goals within a period. Also, in terms of profitability, the company has gained a lot in the year. The company has adopted change management in their company for better growth and profitability. They are changing the way people use with the various kinds of </w:t>
      </w:r>
      <w:r>
        <w:rPr>
          <w:color w:val="0E101A"/>
        </w:rPr>
        <w:lastRenderedPageBreak/>
        <w:t xml:space="preserve">technology, and then they shape their future financial experiences. </w:t>
      </w:r>
      <w:proofErr w:type="spellStart"/>
      <w:r>
        <w:rPr>
          <w:color w:val="0E101A"/>
        </w:rPr>
        <w:t>Revolut</w:t>
      </w:r>
      <w:proofErr w:type="spellEnd"/>
      <w:r>
        <w:rPr>
          <w:color w:val="0E101A"/>
        </w:rPr>
        <w:t xml:space="preserve"> is following the environmental and societal needs of the world, which will help them to stand out as different and valuable among all the same companies that are prevailing in the market. As stated by </w:t>
      </w:r>
      <w:proofErr w:type="spellStart"/>
      <w:r>
        <w:rPr>
          <w:color w:val="0E101A"/>
        </w:rPr>
        <w:t>Revolut</w:t>
      </w:r>
      <w:proofErr w:type="spellEnd"/>
      <w:r>
        <w:rPr>
          <w:color w:val="0E101A"/>
        </w:rPr>
        <w:t xml:space="preserve"> (2023),</w:t>
      </w:r>
      <w:r w:rsidR="00C07A3C">
        <w:rPr>
          <w:color w:val="0E101A"/>
        </w:rPr>
        <w:t xml:space="preserve"> </w:t>
      </w:r>
      <w:r>
        <w:rPr>
          <w:color w:val="0E101A"/>
        </w:rPr>
        <w:t xml:space="preserve">building the change as the </w:t>
      </w:r>
      <w:proofErr w:type="gramStart"/>
      <w:r>
        <w:rPr>
          <w:color w:val="0E101A"/>
        </w:rPr>
        <w:t>reality</w:t>
      </w:r>
      <w:proofErr w:type="gramEnd"/>
      <w:r>
        <w:rPr>
          <w:color w:val="0E101A"/>
        </w:rPr>
        <w:t xml:space="preserve"> and holding their responsibilities to the wellbeing of the communities as well as the recovery of the planet on the whole. The current company's mission is to make all the things Monterey terms easier, more useful, and more rewarding for everyone and every day. According to </w:t>
      </w:r>
      <w:proofErr w:type="spellStart"/>
      <w:r>
        <w:rPr>
          <w:color w:val="0E101A"/>
        </w:rPr>
        <w:t>Revolut</w:t>
      </w:r>
      <w:proofErr w:type="spellEnd"/>
      <w:r>
        <w:rPr>
          <w:color w:val="0E101A"/>
        </w:rPr>
        <w:t xml:space="preserve"> (2023), the company believes in giving equal opportunities to employers, and they also aim to recruit, </w:t>
      </w:r>
      <w:proofErr w:type="gramStart"/>
      <w:r>
        <w:rPr>
          <w:color w:val="0E101A"/>
        </w:rPr>
        <w:t>train</w:t>
      </w:r>
      <w:proofErr w:type="gramEnd"/>
      <w:r>
        <w:rPr>
          <w:color w:val="0E101A"/>
        </w:rPr>
        <w:t xml:space="preserve"> and promote employees based on individual skills. </w:t>
      </w:r>
    </w:p>
    <w:p w14:paraId="585BDBC9" w14:textId="77777777" w:rsidR="002E1E98" w:rsidRDefault="00EB65A3">
      <w:pPr>
        <w:pStyle w:val="Heading2"/>
      </w:pPr>
      <w:bookmarkStart w:id="5" w:name="_heading=h.tyjcwt" w:colFirst="0" w:colLast="0"/>
      <w:bookmarkEnd w:id="5"/>
      <w:r>
        <w:t xml:space="preserve">Impacts of External Environmental Factors on </w:t>
      </w:r>
      <w:proofErr w:type="spellStart"/>
      <w:r>
        <w:t>Revolut</w:t>
      </w:r>
      <w:proofErr w:type="spellEnd"/>
    </w:p>
    <w:p w14:paraId="570B8EC0" w14:textId="78D7EA64" w:rsidR="002E1E98" w:rsidRDefault="00EB65A3">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color w:val="000000"/>
        </w:rPr>
        <w:t xml:space="preserve">The external factors are the ones that affect the global economy. It is because the actual products and services that the fintech firms are offering are optional. There is a global recession occurs, then the demand for the products and </w:t>
      </w:r>
      <w:r w:rsidR="009D6161">
        <w:rPr>
          <w:color w:val="000000"/>
        </w:rPr>
        <w:t xml:space="preserve">or </w:t>
      </w:r>
      <w:r>
        <w:rPr>
          <w:color w:val="000000"/>
        </w:rPr>
        <w:t xml:space="preserve">services of fintech companies will fall at the very end. According to </w:t>
      </w:r>
      <w:proofErr w:type="spellStart"/>
      <w:r>
        <w:rPr>
          <w:color w:val="000000"/>
        </w:rPr>
        <w:t>Pauliukevičienė</w:t>
      </w:r>
      <w:proofErr w:type="spellEnd"/>
      <w:r>
        <w:rPr>
          <w:color w:val="000000"/>
        </w:rPr>
        <w:t xml:space="preserve"> and </w:t>
      </w:r>
      <w:proofErr w:type="spellStart"/>
      <w:r>
        <w:rPr>
          <w:color w:val="000000"/>
        </w:rPr>
        <w:t>Stankevičienė</w:t>
      </w:r>
      <w:proofErr w:type="spellEnd"/>
      <w:r>
        <w:rPr>
          <w:color w:val="000000"/>
        </w:rPr>
        <w:t xml:space="preserve"> (2021), the fintech </w:t>
      </w:r>
      <w:proofErr w:type="gramStart"/>
      <w:r>
        <w:rPr>
          <w:color w:val="000000"/>
        </w:rPr>
        <w:t>companies</w:t>
      </w:r>
      <w:proofErr w:type="gramEnd"/>
      <w:r>
        <w:rPr>
          <w:color w:val="000000"/>
        </w:rPr>
        <w:t xml:space="preserve"> trends to improve the external environmental factors that improve the better conditions for the development of the Fintech sector. There are various external factors like the COVID-19 pandemic; there are various kinds of digital disruptions and economic uncertainties that have shown a drastic impact on the </w:t>
      </w:r>
      <w:proofErr w:type="spellStart"/>
      <w:r>
        <w:rPr>
          <w:color w:val="000000"/>
        </w:rPr>
        <w:t>Revolut</w:t>
      </w:r>
      <w:proofErr w:type="spellEnd"/>
      <w:r>
        <w:rPr>
          <w:color w:val="000000"/>
        </w:rPr>
        <w:t xml:space="preserve"> company </w:t>
      </w:r>
      <w:proofErr w:type="gramStart"/>
      <w:r>
        <w:rPr>
          <w:color w:val="000000"/>
        </w:rPr>
        <w:t>on the whole</w:t>
      </w:r>
      <w:proofErr w:type="gramEnd"/>
      <w:r>
        <w:rPr>
          <w:color w:val="000000"/>
        </w:rPr>
        <w:t xml:space="preserve">: </w:t>
      </w:r>
    </w:p>
    <w:p w14:paraId="717048B1" w14:textId="77777777" w:rsidR="002E1E98" w:rsidRDefault="00EB65A3">
      <w:pPr>
        <w:pStyle w:val="Heading3"/>
      </w:pPr>
      <w:bookmarkStart w:id="6" w:name="_heading=h.3dy6vkm" w:colFirst="0" w:colLast="0"/>
      <w:bookmarkEnd w:id="6"/>
      <w:r>
        <w:t xml:space="preserve">The impact of the COVID-19 pandemic on the management system of </w:t>
      </w:r>
      <w:proofErr w:type="spellStart"/>
      <w:r>
        <w:t>Revolut</w:t>
      </w:r>
      <w:proofErr w:type="spellEnd"/>
    </w:p>
    <w:p w14:paraId="7BA1B28C" w14:textId="7A355C4F" w:rsidR="002E1E98" w:rsidRDefault="00EB65A3">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color w:val="0E101A"/>
        </w:rPr>
        <w:t xml:space="preserve">There is an increased demand for digital making due to the </w:t>
      </w:r>
      <w:proofErr w:type="gramStart"/>
      <w:r>
        <w:rPr>
          <w:color w:val="0E101A"/>
        </w:rPr>
        <w:t>pandemic,</w:t>
      </w:r>
      <w:r w:rsidR="00CB2CBF">
        <w:rPr>
          <w:color w:val="0E101A"/>
        </w:rPr>
        <w:t>.</w:t>
      </w:r>
      <w:proofErr w:type="gramEnd"/>
      <w:r>
        <w:rPr>
          <w:color w:val="0E101A"/>
        </w:rPr>
        <w:t xml:space="preserve"> Also, at the time of the pandemic, people were avoiding the physical branches, which has led to an increase in user activity on fintech platforms like </w:t>
      </w:r>
      <w:proofErr w:type="spellStart"/>
      <w:r>
        <w:rPr>
          <w:color w:val="0E101A"/>
        </w:rPr>
        <w:t>Revolut</w:t>
      </w:r>
      <w:proofErr w:type="spellEnd"/>
      <w:r>
        <w:rPr>
          <w:color w:val="0E101A"/>
        </w:rPr>
        <w:t xml:space="preserve">. It was also seen that there was a shift in consumer behaviour at the time of the lockdowns and the various kinds of restrictions that the government levied. There were changes in the spending patterns, impacting </w:t>
      </w:r>
      <w:proofErr w:type="spellStart"/>
      <w:r>
        <w:rPr>
          <w:color w:val="0E101A"/>
        </w:rPr>
        <w:t>Revolut's</w:t>
      </w:r>
      <w:proofErr w:type="spellEnd"/>
      <w:r>
        <w:rPr>
          <w:color w:val="0E101A"/>
        </w:rPr>
        <w:t xml:space="preserve"> services </w:t>
      </w:r>
      <w:proofErr w:type="gramStart"/>
      <w:r>
        <w:rPr>
          <w:color w:val="0E101A"/>
        </w:rPr>
        <w:t>on the whole</w:t>
      </w:r>
      <w:proofErr w:type="gramEnd"/>
      <w:r>
        <w:rPr>
          <w:color w:val="0E101A"/>
        </w:rPr>
        <w:t xml:space="preserve"> that are related to travel and other sectors. According to Fu and Mishra (2020), the pandemic has caused direct and indirect effects on human behaviour and economic activities. The economic challenges at the time of the pandemic have affected the users' financial situations mainly; there is widespread adoption of remote work that also influenced financial habits, like the need for digital payment solutions and tools that help in facilitating the various kinds of international transactions. The pandemic has led to the adoption of digital payment solutions that help in leading to a booing Fintech overall landscape in the UK. However, the fintech </w:t>
      </w:r>
      <w:r>
        <w:rPr>
          <w:color w:val="0E101A"/>
        </w:rPr>
        <w:lastRenderedPageBreak/>
        <w:t>companies have also faced delayed payments because of the various moratoriums. The pandemic, including Fintech and other markets around the world, were mainly forced to shut their operations or start re-</w:t>
      </w:r>
      <w:proofErr w:type="spellStart"/>
      <w:r>
        <w:rPr>
          <w:color w:val="0E101A"/>
        </w:rPr>
        <w:t>strategising</w:t>
      </w:r>
      <w:proofErr w:type="spellEnd"/>
      <w:r>
        <w:rPr>
          <w:color w:val="0E101A"/>
        </w:rPr>
        <w:t>. The crisis was further activated because of the global lockdowns and extended quarantine periods. During the pandemic, it was easy to carry out financial transactions without border crossing, as it has created spatial movement at the borders and created the conditions for the clients to work remotely (</w:t>
      </w:r>
      <w:proofErr w:type="spellStart"/>
      <w:r>
        <w:rPr>
          <w:color w:val="0E101A"/>
        </w:rPr>
        <w:t>Baltgailis</w:t>
      </w:r>
      <w:proofErr w:type="spellEnd"/>
      <w:r>
        <w:rPr>
          <w:color w:val="0E101A"/>
        </w:rPr>
        <w:t xml:space="preserve"> and </w:t>
      </w:r>
      <w:proofErr w:type="spellStart"/>
      <w:r>
        <w:rPr>
          <w:color w:val="0E101A"/>
        </w:rPr>
        <w:t>Simakhova</w:t>
      </w:r>
      <w:proofErr w:type="spellEnd"/>
      <w:r>
        <w:rPr>
          <w:color w:val="0E101A"/>
        </w:rPr>
        <w:t>, 2022)</w:t>
      </w:r>
    </w:p>
    <w:p w14:paraId="054B95A1" w14:textId="77777777" w:rsidR="002E1E98" w:rsidRDefault="00EB65A3">
      <w:pPr>
        <w:pStyle w:val="Heading3"/>
      </w:pPr>
      <w:bookmarkStart w:id="7" w:name="_heading=h.1t3h5sf" w:colFirst="0" w:colLast="0"/>
      <w:bookmarkEnd w:id="7"/>
      <w:r>
        <w:t xml:space="preserve">The digital disruptions while making the changes in the </w:t>
      </w:r>
      <w:proofErr w:type="gramStart"/>
      <w:r>
        <w:t>management</w:t>
      </w:r>
      <w:proofErr w:type="gramEnd"/>
    </w:p>
    <w:p w14:paraId="3FB80333" w14:textId="38CD4853" w:rsidR="002E1E98" w:rsidRDefault="00EB65A3">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color w:val="0E101A"/>
        </w:rPr>
        <w:t>The financial sector has seen many innovations in recent years</w:t>
      </w:r>
      <w:r w:rsidR="00060C8D">
        <w:rPr>
          <w:color w:val="0E101A"/>
        </w:rPr>
        <w:t xml:space="preserve">. </w:t>
      </w:r>
      <w:r>
        <w:rPr>
          <w:color w:val="0E101A"/>
        </w:rPr>
        <w:t xml:space="preserve">Banks have adopted various kinds of business models so that they can easily deal with low-interest rates, as well as low credit growth, also increasing competition in retail as well as on the Fintech and platform-based competitors as all these can harm the profitability of banks. The digital disruptions and their causes are crucial to ensure the decision-making, as they are made to counteract them. Digital disruptions occur in various stages where there are initial benefits that are being obtained for digitalisation, but this changes the nature of the pre-existing service or products. According to Gomber </w:t>
      </w:r>
      <w:r>
        <w:rPr>
          <w:i/>
          <w:color w:val="0E101A"/>
        </w:rPr>
        <w:t>et al.</w:t>
      </w:r>
      <w:r>
        <w:rPr>
          <w:color w:val="0E101A"/>
        </w:rPr>
        <w:t xml:space="preserve"> (2018), the payment sector is undergoing various challenges as digital disruptions occur via the entry of non-bank digital competitors; there is modernisation in payment structures around the world. Integration of blockchain technology for secure and transparent transactions as there is a rise of cryptocurrencies as alternative investment options for consumers. Adoption of the open banking APIs helps enable third-party developers to get the financial data and then create innovative solutions as well as take out effective solutions and then improve efficiencies. However, there are digital disruptions in fintech companies like </w:t>
      </w:r>
      <w:proofErr w:type="spellStart"/>
      <w:r>
        <w:rPr>
          <w:color w:val="0E101A"/>
        </w:rPr>
        <w:t>Revolut</w:t>
      </w:r>
      <w:proofErr w:type="spellEnd"/>
      <w:r>
        <w:rPr>
          <w:color w:val="0E101A"/>
        </w:rPr>
        <w:t xml:space="preserve">, which is why the company has adopted the use of AI, which is powered by chatbots and virtual assistants for better customer support, offering instant assistance and improving customer service efficiency. The latest tech-enabled financial services are </w:t>
      </w:r>
      <w:r w:rsidR="0030381F">
        <w:rPr>
          <w:color w:val="0E101A"/>
        </w:rPr>
        <w:t>helped</w:t>
      </w:r>
      <w:r>
        <w:rPr>
          <w:color w:val="0E101A"/>
        </w:rPr>
        <w:t xml:space="preserve"> by blockchain technology (El-Masri </w:t>
      </w:r>
      <w:r>
        <w:rPr>
          <w:i/>
          <w:color w:val="0E101A"/>
        </w:rPr>
        <w:t xml:space="preserve">et al., </w:t>
      </w:r>
      <w:r>
        <w:rPr>
          <w:color w:val="0E101A"/>
        </w:rPr>
        <w:t>2019)</w:t>
      </w:r>
    </w:p>
    <w:p w14:paraId="115FA0D5" w14:textId="77777777" w:rsidR="002E1E98" w:rsidRDefault="00EB65A3">
      <w:pPr>
        <w:pStyle w:val="Heading3"/>
      </w:pPr>
      <w:bookmarkStart w:id="8" w:name="_heading=h.4d34og8" w:colFirst="0" w:colLast="0"/>
      <w:bookmarkEnd w:id="8"/>
      <w:r>
        <w:t xml:space="preserve">The impact of economic challenges on </w:t>
      </w:r>
      <w:proofErr w:type="spellStart"/>
      <w:r>
        <w:t>Revolut</w:t>
      </w:r>
      <w:proofErr w:type="spellEnd"/>
    </w:p>
    <w:p w14:paraId="1CA9D509" w14:textId="19914C97" w:rsidR="002E1E98" w:rsidRDefault="00EB65A3">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color w:val="0E101A"/>
        </w:rPr>
        <w:t xml:space="preserve">Economic challenges have a significant and crucial impact on fintech companies like </w:t>
      </w:r>
      <w:proofErr w:type="spellStart"/>
      <w:r>
        <w:rPr>
          <w:color w:val="0E101A"/>
        </w:rPr>
        <w:t>Revolut</w:t>
      </w:r>
      <w:proofErr w:type="spellEnd"/>
      <w:r>
        <w:rPr>
          <w:color w:val="0E101A"/>
        </w:rPr>
        <w:t xml:space="preserve">, as they influence the various aspects of their operations and the overall growth of the company. There are funding constraints, including economic downturns, that may lead to a reduction in the availability of capital as investors become more risk averse at the very end, as it shows the greater impacts on the fintech companies' ability so they can secure funding for expansion and innovation. According to </w:t>
      </w:r>
      <w:proofErr w:type="spellStart"/>
      <w:r>
        <w:rPr>
          <w:color w:val="0E101A"/>
        </w:rPr>
        <w:t>Baporikar</w:t>
      </w:r>
      <w:proofErr w:type="spellEnd"/>
      <w:r>
        <w:rPr>
          <w:color w:val="0E101A"/>
        </w:rPr>
        <w:t xml:space="preserve"> (2021), the banking sector</w:t>
      </w:r>
      <w:r w:rsidR="006D081B">
        <w:rPr>
          <w:color w:val="0E101A"/>
        </w:rPr>
        <w:t xml:space="preserve"> in</w:t>
      </w:r>
      <w:r>
        <w:rPr>
          <w:color w:val="0E101A"/>
        </w:rPr>
        <w:t xml:space="preserve"> the last few years provided </w:t>
      </w:r>
      <w:proofErr w:type="gramStart"/>
      <w:r>
        <w:rPr>
          <w:color w:val="0E101A"/>
        </w:rPr>
        <w:t>a</w:t>
      </w:r>
      <w:proofErr w:type="gramEnd"/>
      <w:r>
        <w:rPr>
          <w:color w:val="0E101A"/>
        </w:rPr>
        <w:t xml:space="preserve"> </w:t>
      </w:r>
      <w:r>
        <w:rPr>
          <w:color w:val="0E101A"/>
        </w:rPr>
        <w:lastRenderedPageBreak/>
        <w:t xml:space="preserve">overview of new opportunities that are mainly offered by Fintech to the banking sector. However, various economic challenges are faced by fintech companies adopting the new technologies. There are challenges for the company </w:t>
      </w:r>
      <w:proofErr w:type="spellStart"/>
      <w:r>
        <w:rPr>
          <w:color w:val="0E101A"/>
        </w:rPr>
        <w:t>Revolut</w:t>
      </w:r>
      <w:proofErr w:type="spellEnd"/>
      <w:r>
        <w:rPr>
          <w:color w:val="0E101A"/>
        </w:rPr>
        <w:t>, like the regulatory challenges that anticipate the banking license in the UK. The severe and sudden economic downturn has led to a major decline in overall consumer spending. It has also increased the uncertainties for the fintech business, which is making it difficult for fintech companies to predict the various plans for future growth and ventures. There are some economies where fintech companies are growing drastically and moving toward the mainstream of financial services (Frost, 2020).</w:t>
      </w:r>
    </w:p>
    <w:p w14:paraId="3A5E82F3" w14:textId="77777777" w:rsidR="002E1E98" w:rsidRDefault="002E1E98">
      <w:pPr>
        <w:pStyle w:val="Normal1"/>
      </w:pPr>
    </w:p>
    <w:p w14:paraId="56D28575" w14:textId="77777777" w:rsidR="002E1E98" w:rsidRDefault="00EB65A3">
      <w:pPr>
        <w:pStyle w:val="Heading2"/>
        <w:rPr>
          <w:highlight w:val="cyan"/>
        </w:rPr>
      </w:pPr>
      <w:bookmarkStart w:id="9" w:name="_heading=h.2s8eyo1" w:colFirst="0" w:colLast="0"/>
      <w:bookmarkEnd w:id="9"/>
      <w:r>
        <w:t xml:space="preserve">Management issues concerning the strategic changes of </w:t>
      </w:r>
      <w:proofErr w:type="spellStart"/>
      <w:proofErr w:type="gramStart"/>
      <w:r>
        <w:t>Revolut</w:t>
      </w:r>
      <w:proofErr w:type="spellEnd"/>
      <w:proofErr w:type="gramEnd"/>
    </w:p>
    <w:p w14:paraId="6556C9E5" w14:textId="77777777" w:rsidR="002E1E98" w:rsidRDefault="00EB65A3">
      <w:pPr>
        <w:pStyle w:val="Normal1"/>
        <w:spacing w:line="360" w:lineRule="auto"/>
        <w:jc w:val="both"/>
      </w:pPr>
      <w:r>
        <w:t xml:space="preserve">Managing change is a significant aspect for organisations, particularly in the dynamic environment of the financial and technological sector where </w:t>
      </w:r>
      <w:proofErr w:type="spellStart"/>
      <w:r>
        <w:t>Revolut</w:t>
      </w:r>
      <w:proofErr w:type="spellEnd"/>
      <w:r>
        <w:t xml:space="preserve"> operates. Different change management models provide frameworks for implementing strategic change effectively and tailoring them to identify specific issues that will be valuable for further success in the competitive industry. </w:t>
      </w:r>
    </w:p>
    <w:p w14:paraId="4D8C41B7" w14:textId="77777777" w:rsidR="002E1E98" w:rsidRDefault="00EB65A3">
      <w:pPr>
        <w:pStyle w:val="Normal1"/>
        <w:numPr>
          <w:ilvl w:val="0"/>
          <w:numId w:val="1"/>
        </w:numPr>
        <w:spacing w:line="360" w:lineRule="auto"/>
        <w:jc w:val="both"/>
      </w:pPr>
      <w:r>
        <w:rPr>
          <w:b/>
          <w:i/>
        </w:rPr>
        <w:t xml:space="preserve">Kotter’s 8-step Model </w:t>
      </w:r>
      <w:r>
        <w:t>is one of the most valuable frameworks that create urgency and progress by building a coalition and forming a vision (</w:t>
      </w:r>
      <w:r>
        <w:rPr>
          <w:color w:val="222222"/>
          <w:highlight w:val="white"/>
        </w:rPr>
        <w:t>Laig and Abocejo, 2021)</w:t>
      </w:r>
      <w:r>
        <w:t xml:space="preserve">. Given </w:t>
      </w:r>
      <w:proofErr w:type="spellStart"/>
      <w:r>
        <w:t>Revolut</w:t>
      </w:r>
      <w:proofErr w:type="spellEnd"/>
      <w:r>
        <w:t xml:space="preserve"> ‘s fast-paced industry, incorporating a rapid response mechanism within this model can align valuable organisational needs with quick adaptation and agility to market change. </w:t>
      </w:r>
    </w:p>
    <w:p w14:paraId="18C1D60F" w14:textId="77777777" w:rsidR="002E1E98" w:rsidRDefault="00EB65A3">
      <w:pPr>
        <w:pStyle w:val="Normal1"/>
        <w:numPr>
          <w:ilvl w:val="0"/>
          <w:numId w:val="1"/>
        </w:numPr>
        <w:spacing w:line="360" w:lineRule="auto"/>
        <w:jc w:val="both"/>
      </w:pPr>
      <w:r>
        <w:rPr>
          <w:b/>
          <w:i/>
        </w:rPr>
        <w:t xml:space="preserve">Lewin's Change Management Model, </w:t>
      </w:r>
      <w:r>
        <w:t>with its unfreezing, refreezing, and changing stages, emphasises individuals for positive change (</w:t>
      </w:r>
      <w:r>
        <w:rPr>
          <w:color w:val="222222"/>
          <w:highlight w:val="white"/>
        </w:rPr>
        <w:t xml:space="preserve">Harrison </w:t>
      </w:r>
      <w:r>
        <w:rPr>
          <w:i/>
          <w:color w:val="222222"/>
          <w:highlight w:val="white"/>
        </w:rPr>
        <w:t xml:space="preserve">et al. </w:t>
      </w:r>
      <w:r>
        <w:rPr>
          <w:color w:val="222222"/>
          <w:highlight w:val="white"/>
        </w:rPr>
        <w:t>2021)</w:t>
      </w:r>
      <w:r>
        <w:t xml:space="preserve">. For </w:t>
      </w:r>
      <w:proofErr w:type="spellStart"/>
      <w:r>
        <w:t>Revolut's</w:t>
      </w:r>
      <w:proofErr w:type="spellEnd"/>
      <w:r>
        <w:t xml:space="preserve"> creative and innovative environment, the incorporation of continuous learning processes and development components is important to ensure employees are equipped to handle business market trends and technologies efficiently. </w:t>
      </w:r>
    </w:p>
    <w:p w14:paraId="5F3DC95A" w14:textId="77777777" w:rsidR="002E1E98" w:rsidRDefault="00EB65A3">
      <w:pPr>
        <w:pStyle w:val="Normal1"/>
        <w:numPr>
          <w:ilvl w:val="0"/>
          <w:numId w:val="1"/>
        </w:numPr>
        <w:spacing w:line="360" w:lineRule="auto"/>
        <w:jc w:val="both"/>
      </w:pPr>
      <w:r>
        <w:rPr>
          <w:b/>
          <w:i/>
        </w:rPr>
        <w:t xml:space="preserve">The </w:t>
      </w:r>
      <w:proofErr w:type="spellStart"/>
      <w:r>
        <w:rPr>
          <w:b/>
          <w:i/>
        </w:rPr>
        <w:t>Prosci</w:t>
      </w:r>
      <w:proofErr w:type="spellEnd"/>
      <w:r>
        <w:rPr>
          <w:b/>
          <w:i/>
        </w:rPr>
        <w:t xml:space="preserve"> ADKAR Model </w:t>
      </w:r>
      <w:r>
        <w:t xml:space="preserve">mainly focuses on organisational awareness, desire, ability, knowledge, and reinforcement that is vital for individual change. In the context of </w:t>
      </w:r>
      <w:proofErr w:type="spellStart"/>
      <w:r>
        <w:t>Revolut</w:t>
      </w:r>
      <w:proofErr w:type="spellEnd"/>
      <w:r>
        <w:t xml:space="preserve">, where technological advancements drive strategical changes, emphasis on the 'ability' and 'knowledge' components becomes important. Implementation of targeted training programs can improve employees' capabilities to adapt to technological changes seamlessly. These change management models can address issues related to strategic change in </w:t>
      </w:r>
      <w:proofErr w:type="spellStart"/>
      <w:r>
        <w:t>Revolut</w:t>
      </w:r>
      <w:proofErr w:type="spellEnd"/>
      <w:r>
        <w:t>, which involves considering the fintech industry's unique challenges (</w:t>
      </w:r>
      <w:proofErr w:type="spellStart"/>
      <w:r>
        <w:rPr>
          <w:color w:val="222222"/>
          <w:highlight w:val="white"/>
        </w:rPr>
        <w:t>Paramitha</w:t>
      </w:r>
      <w:proofErr w:type="spellEnd"/>
      <w:r>
        <w:rPr>
          <w:color w:val="222222"/>
          <w:highlight w:val="white"/>
        </w:rPr>
        <w:t xml:space="preserve">, </w:t>
      </w:r>
      <w:proofErr w:type="spellStart"/>
      <w:r>
        <w:rPr>
          <w:color w:val="222222"/>
          <w:highlight w:val="white"/>
        </w:rPr>
        <w:t>Tobing</w:t>
      </w:r>
      <w:proofErr w:type="spellEnd"/>
      <w:r>
        <w:rPr>
          <w:color w:val="222222"/>
          <w:highlight w:val="white"/>
        </w:rPr>
        <w:t>, and Suroso, 2020)</w:t>
      </w:r>
      <w:r>
        <w:t xml:space="preserve">. </w:t>
      </w:r>
    </w:p>
    <w:p w14:paraId="60625B9C" w14:textId="77777777" w:rsidR="002E1E98" w:rsidRDefault="00EB65A3">
      <w:pPr>
        <w:pStyle w:val="Normal1"/>
        <w:numPr>
          <w:ilvl w:val="0"/>
          <w:numId w:val="1"/>
        </w:numPr>
        <w:spacing w:line="360" w:lineRule="auto"/>
        <w:jc w:val="both"/>
      </w:pPr>
      <w:r>
        <w:rPr>
          <w:b/>
          <w:i/>
        </w:rPr>
        <w:lastRenderedPageBreak/>
        <w:t xml:space="preserve">Management issues: </w:t>
      </w:r>
      <w:r>
        <w:t xml:space="preserve">Regulatory compliance is a significant concern, and any strategic change needs to be aligned with compliance and regulations. Incorporations of legal and compliance experts within the change management team can ensure a favourable transition without risking </w:t>
      </w:r>
      <w:proofErr w:type="spellStart"/>
      <w:r>
        <w:t>Revolut's</w:t>
      </w:r>
      <w:proofErr w:type="spellEnd"/>
      <w:r>
        <w:t xml:space="preserve"> compliance standing. As per </w:t>
      </w:r>
      <w:r>
        <w:rPr>
          <w:color w:val="222222"/>
          <w:highlight w:val="white"/>
        </w:rPr>
        <w:t>Cameron and Green (2019), p</w:t>
      </w:r>
      <w:r>
        <w:t xml:space="preserve">roactive identification of these concerns promotes a culture that embraces continuous learning and provides transparent communication about the benefits of strategic change. These approaches help </w:t>
      </w:r>
      <w:proofErr w:type="spellStart"/>
      <w:r>
        <w:t>Revolut</w:t>
      </w:r>
      <w:proofErr w:type="spellEnd"/>
      <w:r>
        <w:t xml:space="preserve"> to overcome resistance in their business operation. </w:t>
      </w:r>
    </w:p>
    <w:p w14:paraId="38614850" w14:textId="77777777" w:rsidR="002E1E98" w:rsidRDefault="00EB65A3">
      <w:pPr>
        <w:pStyle w:val="Normal1"/>
        <w:numPr>
          <w:ilvl w:val="0"/>
          <w:numId w:val="1"/>
        </w:numPr>
        <w:spacing w:line="360" w:lineRule="auto"/>
        <w:jc w:val="both"/>
      </w:pPr>
      <w:r>
        <w:rPr>
          <w:b/>
          <w:i/>
        </w:rPr>
        <w:t xml:space="preserve">Nudge Theory: </w:t>
      </w:r>
      <w:r>
        <w:t xml:space="preserve">Considering the global nature of the company, cultural differences, business operations and diverse perspectives within the workforce are </w:t>
      </w:r>
      <w:proofErr w:type="gramStart"/>
      <w:r>
        <w:t>taken into account</w:t>
      </w:r>
      <w:proofErr w:type="gramEnd"/>
      <w:r>
        <w:t xml:space="preserve"> through the </w:t>
      </w:r>
      <w:r>
        <w:rPr>
          <w:b/>
          <w:i/>
        </w:rPr>
        <w:t xml:space="preserve">Nudge Theory </w:t>
      </w:r>
      <w:r>
        <w:t>(</w:t>
      </w:r>
      <w:r>
        <w:rPr>
          <w:color w:val="222222"/>
          <w:highlight w:val="white"/>
        </w:rPr>
        <w:t>Cai, 2020)</w:t>
      </w:r>
      <w:r>
        <w:rPr>
          <w:b/>
          <w:i/>
        </w:rPr>
        <w:t xml:space="preserve">. </w:t>
      </w:r>
      <w:r>
        <w:t xml:space="preserve">Implementing change management strategies through change management models can embrace innovation and collaboration within internal organisations. </w:t>
      </w:r>
      <w:proofErr w:type="spellStart"/>
      <w:r>
        <w:t>Revolut</w:t>
      </w:r>
      <w:proofErr w:type="spellEnd"/>
      <w:r>
        <w:t xml:space="preserve"> can benefit from a hybrid approach, combining agility, individual focus, and structured individual change viewpoint. Identifying issues related to regulatory compliance, technological adaptation, customer experience, and organisational culture ensures a comprehensive understanding of the organisation. </w:t>
      </w:r>
    </w:p>
    <w:p w14:paraId="71465338" w14:textId="77777777" w:rsidR="00EC0F64" w:rsidRDefault="00EC0F64" w:rsidP="00EC0F64">
      <w:pPr>
        <w:pStyle w:val="Normal1"/>
        <w:spacing w:line="360" w:lineRule="auto"/>
        <w:ind w:left="720"/>
        <w:jc w:val="both"/>
      </w:pPr>
    </w:p>
    <w:p w14:paraId="071FFA56" w14:textId="77777777" w:rsidR="002E1E98" w:rsidRDefault="00EB65A3">
      <w:pPr>
        <w:pStyle w:val="Normal1"/>
        <w:spacing w:line="360" w:lineRule="auto"/>
        <w:jc w:val="both"/>
      </w:pPr>
      <w:r>
        <w:t xml:space="preserve">The strategic discussions highlight the importance of customising change management for dynamic fintech settings, particularly in </w:t>
      </w:r>
      <w:proofErr w:type="spellStart"/>
      <w:r>
        <w:t>Revolut</w:t>
      </w:r>
      <w:proofErr w:type="spellEnd"/>
      <w:r>
        <w:t xml:space="preserve">. The recommendations involve integrating elements from the change management models. Identifying concerns like employee appreciation, customer satisfaction, and regulatory changes ensures a holistic strategy. Diversity and learning culture enhance collaboration that outlined a target to optimise </w:t>
      </w:r>
      <w:proofErr w:type="spellStart"/>
      <w:r>
        <w:t>Revolut’s</w:t>
      </w:r>
      <w:proofErr w:type="spellEnd"/>
      <w:r>
        <w:t xml:space="preserve"> adaptability in the financial technology industry. </w:t>
      </w:r>
    </w:p>
    <w:p w14:paraId="70D35D7A" w14:textId="77777777" w:rsidR="002E1E98" w:rsidRDefault="00EB65A3">
      <w:pPr>
        <w:pStyle w:val="Normal1"/>
        <w:spacing w:line="360" w:lineRule="auto"/>
        <w:jc w:val="center"/>
      </w:pPr>
      <w:r>
        <w:rPr>
          <w:noProof/>
          <w:lang w:eastAsia="en-GB"/>
        </w:rPr>
        <w:lastRenderedPageBreak/>
        <w:drawing>
          <wp:inline distT="114300" distB="114300" distL="114300" distR="114300" wp14:anchorId="5B3C8F85" wp14:editId="3D5AB8AF">
            <wp:extent cx="4329113" cy="3246834"/>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4329113" cy="3246834"/>
                    </a:xfrm>
                    <a:prstGeom prst="rect">
                      <a:avLst/>
                    </a:prstGeom>
                    <a:ln w="25400">
                      <a:solidFill>
                        <a:srgbClr val="000000"/>
                      </a:solidFill>
                      <a:prstDash val="solid"/>
                    </a:ln>
                  </pic:spPr>
                </pic:pic>
              </a:graphicData>
            </a:graphic>
          </wp:inline>
        </w:drawing>
      </w:r>
    </w:p>
    <w:p w14:paraId="77B5FFE9" w14:textId="77777777" w:rsidR="002E1E98" w:rsidRDefault="00EB65A3">
      <w:pPr>
        <w:pStyle w:val="Normal1"/>
        <w:spacing w:line="360" w:lineRule="auto"/>
        <w:jc w:val="center"/>
      </w:pPr>
      <w:r>
        <w:rPr>
          <w:b/>
        </w:rPr>
        <w:t xml:space="preserve">Figure: </w:t>
      </w:r>
      <w:r>
        <w:t xml:space="preserve">Kotter's change model </w:t>
      </w:r>
    </w:p>
    <w:p w14:paraId="1C2791BF" w14:textId="77777777" w:rsidR="002E1E98" w:rsidRDefault="00EB65A3">
      <w:pPr>
        <w:pStyle w:val="Normal1"/>
        <w:spacing w:line="360" w:lineRule="auto"/>
        <w:jc w:val="center"/>
      </w:pPr>
      <w:r>
        <w:rPr>
          <w:b/>
        </w:rPr>
        <w:t xml:space="preserve">Source: </w:t>
      </w:r>
      <w:r>
        <w:t>(</w:t>
      </w:r>
      <w:proofErr w:type="spellStart"/>
      <w:r>
        <w:t>Ossiannilsson</w:t>
      </w:r>
      <w:proofErr w:type="spellEnd"/>
      <w:r>
        <w:t>, 2018)</w:t>
      </w:r>
    </w:p>
    <w:p w14:paraId="350F08DB" w14:textId="77777777" w:rsidR="002E1E98" w:rsidRDefault="00EB65A3">
      <w:pPr>
        <w:pStyle w:val="Heading2"/>
        <w:rPr>
          <w:highlight w:val="cyan"/>
        </w:rPr>
      </w:pPr>
      <w:bookmarkStart w:id="10" w:name="_heading=h.17dp8vu" w:colFirst="0" w:colLast="0"/>
      <w:bookmarkEnd w:id="10"/>
      <w:r>
        <w:t>Significance of Leadership styles for changing the management model</w:t>
      </w:r>
    </w:p>
    <w:p w14:paraId="1CD38371" w14:textId="77777777" w:rsidR="002E1E98" w:rsidRDefault="00EB65A3">
      <w:pPr>
        <w:pStyle w:val="Normal1"/>
        <w:spacing w:line="360" w:lineRule="auto"/>
        <w:jc w:val="both"/>
      </w:pPr>
      <w:r>
        <w:t xml:space="preserve">In steering changes at </w:t>
      </w:r>
      <w:proofErr w:type="spellStart"/>
      <w:r>
        <w:t>Revolut</w:t>
      </w:r>
      <w:proofErr w:type="spellEnd"/>
      <w:r>
        <w:t xml:space="preserve">, the fintech powerhouse, the process was orchestrated through a strategic interplay of different leadership styles that combine employee involvement, adaptability, and foresight. The leadership styles employed a significant role in navigating the company through the intricacies of transformation for growth. </w:t>
      </w:r>
    </w:p>
    <w:p w14:paraId="79663D45" w14:textId="77777777" w:rsidR="002E1E98" w:rsidRDefault="00EB65A3">
      <w:pPr>
        <w:pStyle w:val="Normal1"/>
        <w:spacing w:line="360" w:lineRule="auto"/>
        <w:jc w:val="both"/>
      </w:pPr>
      <w:r>
        <w:rPr>
          <w:b/>
          <w:i/>
        </w:rPr>
        <w:t>Transformational Leadership Style:</w:t>
      </w:r>
      <w:r>
        <w:t xml:space="preserve"> At the forefront of the change management model, the transformational leadership style can emphasise motivation and inspiration. Leaders at </w:t>
      </w:r>
      <w:proofErr w:type="spellStart"/>
      <w:r>
        <w:t>Revolut</w:t>
      </w:r>
      <w:proofErr w:type="spellEnd"/>
      <w:r>
        <w:t xml:space="preserve"> articulate a compelling vision for the company. They highlight the imperativeness of remaining at the cutting edge of technological advancement in the financial industry. As per </w:t>
      </w:r>
      <w:proofErr w:type="spellStart"/>
      <w:r>
        <w:rPr>
          <w:color w:val="222222"/>
          <w:highlight w:val="white"/>
        </w:rPr>
        <w:t>Asbari</w:t>
      </w:r>
      <w:proofErr w:type="spellEnd"/>
      <w:r>
        <w:rPr>
          <w:color w:val="222222"/>
          <w:highlight w:val="white"/>
        </w:rPr>
        <w:t xml:space="preserve">, Santoso, and </w:t>
      </w:r>
      <w:proofErr w:type="spellStart"/>
      <w:r>
        <w:rPr>
          <w:color w:val="222222"/>
          <w:highlight w:val="white"/>
        </w:rPr>
        <w:t>Prasetya</w:t>
      </w:r>
      <w:proofErr w:type="spellEnd"/>
      <w:r>
        <w:rPr>
          <w:color w:val="222222"/>
          <w:highlight w:val="white"/>
        </w:rPr>
        <w:t xml:space="preserve"> (2020), b</w:t>
      </w:r>
      <w:r>
        <w:t xml:space="preserve">y framing change as an avenue for development and advancement, this leadership style can encourage employees and other staff to employ transformation positively. </w:t>
      </w:r>
    </w:p>
    <w:p w14:paraId="62497B3F" w14:textId="77777777" w:rsidR="002E1E98" w:rsidRDefault="00EB65A3">
      <w:pPr>
        <w:pStyle w:val="Normal1"/>
        <w:spacing w:line="360" w:lineRule="auto"/>
        <w:jc w:val="both"/>
      </w:pPr>
      <w:r>
        <w:rPr>
          <w:b/>
          <w:i/>
        </w:rPr>
        <w:t xml:space="preserve">Participative Leadership Style: </w:t>
      </w:r>
      <w:r>
        <w:t xml:space="preserve">Complementing a participative leadership style allows leaders to identify the expertise of employees across different levels. </w:t>
      </w:r>
      <w:proofErr w:type="spellStart"/>
      <w:r>
        <w:rPr>
          <w:color w:val="222222"/>
          <w:highlight w:val="white"/>
        </w:rPr>
        <w:t>Khassawneh</w:t>
      </w:r>
      <w:proofErr w:type="spellEnd"/>
      <w:r>
        <w:rPr>
          <w:color w:val="222222"/>
          <w:highlight w:val="white"/>
        </w:rPr>
        <w:t xml:space="preserve"> and </w:t>
      </w:r>
      <w:proofErr w:type="spellStart"/>
      <w:r>
        <w:rPr>
          <w:color w:val="222222"/>
          <w:highlight w:val="white"/>
        </w:rPr>
        <w:t>Elrehail</w:t>
      </w:r>
      <w:proofErr w:type="spellEnd"/>
      <w:r>
        <w:rPr>
          <w:color w:val="222222"/>
          <w:highlight w:val="white"/>
        </w:rPr>
        <w:t xml:space="preserve"> (2022) mentioned that </w:t>
      </w:r>
      <w:r>
        <w:t xml:space="preserve">Transparent communication and collaboration were actively encouraged with employees who have a significant role in decision-making. This participatory approach </w:t>
      </w:r>
      <w:r>
        <w:lastRenderedPageBreak/>
        <w:t xml:space="preserve">enhanced the decision-making process and instilled a sense of ownership and commitment among the </w:t>
      </w:r>
      <w:proofErr w:type="gramStart"/>
      <w:r>
        <w:t>workforce</w:t>
      </w:r>
      <w:proofErr w:type="gramEnd"/>
      <w:r>
        <w:t xml:space="preserve">. </w:t>
      </w:r>
    </w:p>
    <w:p w14:paraId="380A1167" w14:textId="77777777" w:rsidR="002E1E98" w:rsidRDefault="00EB65A3">
      <w:pPr>
        <w:pStyle w:val="Normal1"/>
        <w:spacing w:line="360" w:lineRule="auto"/>
        <w:jc w:val="both"/>
      </w:pPr>
      <w:r>
        <w:rPr>
          <w:b/>
          <w:i/>
        </w:rPr>
        <w:t xml:space="preserve">Situational Leadership Style: </w:t>
      </w:r>
      <w:r>
        <w:t xml:space="preserve">Considering the rapid pace of change in the fintech industry, a situational leadership style was evident. In this process, leaders showcase adaptability by assessing evolving circumstances that adjust strategies crucially to ensure organisational agility in response to external factors. </w:t>
      </w:r>
    </w:p>
    <w:p w14:paraId="754A7D5F" w14:textId="77777777" w:rsidR="002E1E98" w:rsidRDefault="00EB65A3">
      <w:pPr>
        <w:pStyle w:val="Normal1"/>
        <w:spacing w:line="360" w:lineRule="auto"/>
        <w:jc w:val="both"/>
      </w:pPr>
      <w:r>
        <w:rPr>
          <w:b/>
          <w:i/>
        </w:rPr>
        <w:t xml:space="preserve">Servant Leadership Style: </w:t>
      </w:r>
      <w:r>
        <w:t>This style highlights leaders' commitment to supporting employees during the transition (</w:t>
      </w:r>
      <w:proofErr w:type="spellStart"/>
      <w:r>
        <w:rPr>
          <w:color w:val="222222"/>
          <w:highlight w:val="white"/>
        </w:rPr>
        <w:t>Alafeshat</w:t>
      </w:r>
      <w:proofErr w:type="spellEnd"/>
      <w:r>
        <w:rPr>
          <w:color w:val="222222"/>
          <w:highlight w:val="white"/>
        </w:rPr>
        <w:t xml:space="preserve"> and Tanova, 2019)</w:t>
      </w:r>
      <w:r>
        <w:t xml:space="preserve">. Understanding that adapting to new procedures and technology can cause certain challenges, leaders should prioritize establishing a supportive environment, offering the necessary funds, as well as offering training. By using a servant leadership style, </w:t>
      </w:r>
      <w:proofErr w:type="spellStart"/>
      <w:r>
        <w:t>Revolut</w:t>
      </w:r>
      <w:proofErr w:type="spellEnd"/>
      <w:r>
        <w:t xml:space="preserve"> can create a culture of cooperation and support among team members to navigate the difficulties of transformation.</w:t>
      </w:r>
    </w:p>
    <w:p w14:paraId="45B8A75D" w14:textId="77777777" w:rsidR="002E1E98" w:rsidRDefault="00EB65A3">
      <w:pPr>
        <w:pStyle w:val="Normal1"/>
        <w:spacing w:line="360" w:lineRule="auto"/>
        <w:jc w:val="both"/>
      </w:pPr>
      <w:r>
        <w:t xml:space="preserve">Effective communication emerged as a cornerstone of the change management process. Leaders at the organisation can adopt a transparent and consistent communication style that provides regular updates on the progress of the change initiatives, articulate the rationale behind strategic changes, and identify challenges. </w:t>
      </w:r>
    </w:p>
    <w:p w14:paraId="57F96C62" w14:textId="77777777" w:rsidR="002E1E98" w:rsidRDefault="002E1E98">
      <w:pPr>
        <w:pStyle w:val="Normal1"/>
        <w:spacing w:line="360" w:lineRule="auto"/>
        <w:jc w:val="both"/>
      </w:pPr>
    </w:p>
    <w:p w14:paraId="16BFBE07" w14:textId="77777777" w:rsidR="002E1E98" w:rsidRDefault="00EB65A3">
      <w:pPr>
        <w:pStyle w:val="Normal1"/>
        <w:spacing w:line="360" w:lineRule="auto"/>
        <w:jc w:val="center"/>
      </w:pPr>
      <w:r>
        <w:rPr>
          <w:noProof/>
          <w:lang w:eastAsia="en-GB"/>
        </w:rPr>
        <w:lastRenderedPageBreak/>
        <w:drawing>
          <wp:inline distT="114300" distB="114300" distL="114300" distR="114300" wp14:anchorId="5C6BE378" wp14:editId="320260E4">
            <wp:extent cx="4348163" cy="409575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4348163" cy="4095750"/>
                    </a:xfrm>
                    <a:prstGeom prst="rect">
                      <a:avLst/>
                    </a:prstGeom>
                    <a:ln w="25400">
                      <a:solidFill>
                        <a:srgbClr val="000000"/>
                      </a:solidFill>
                      <a:prstDash val="solid"/>
                    </a:ln>
                  </pic:spPr>
                </pic:pic>
              </a:graphicData>
            </a:graphic>
          </wp:inline>
        </w:drawing>
      </w:r>
    </w:p>
    <w:p w14:paraId="54E9BE86" w14:textId="77777777" w:rsidR="002E1E98" w:rsidRDefault="00EB65A3">
      <w:pPr>
        <w:pStyle w:val="Normal1"/>
        <w:spacing w:line="360" w:lineRule="auto"/>
        <w:jc w:val="center"/>
      </w:pPr>
      <w:r>
        <w:rPr>
          <w:b/>
        </w:rPr>
        <w:t xml:space="preserve">Figure: </w:t>
      </w:r>
      <w:r>
        <w:t>Transformational leadership</w:t>
      </w:r>
    </w:p>
    <w:p w14:paraId="263F0C6C" w14:textId="77777777" w:rsidR="002E1E98" w:rsidRDefault="00EB65A3">
      <w:pPr>
        <w:pStyle w:val="Normal1"/>
        <w:spacing w:line="360" w:lineRule="auto"/>
        <w:jc w:val="center"/>
      </w:pPr>
      <w:r>
        <w:rPr>
          <w:b/>
        </w:rPr>
        <w:t xml:space="preserve">Source: </w:t>
      </w:r>
      <w:r>
        <w:t xml:space="preserve">(Daugherty </w:t>
      </w:r>
      <w:r>
        <w:rPr>
          <w:i/>
        </w:rPr>
        <w:t xml:space="preserve">et al. </w:t>
      </w:r>
      <w:r>
        <w:t>2021)</w:t>
      </w:r>
    </w:p>
    <w:p w14:paraId="5BCC5ABB" w14:textId="77777777" w:rsidR="002E1E98" w:rsidRDefault="002E1E98">
      <w:pPr>
        <w:pStyle w:val="Normal1"/>
        <w:spacing w:line="360" w:lineRule="auto"/>
        <w:jc w:val="both"/>
        <w:rPr>
          <w:b/>
          <w:sz w:val="26"/>
          <w:szCs w:val="26"/>
        </w:rPr>
      </w:pPr>
    </w:p>
    <w:p w14:paraId="49C1AD6C" w14:textId="77777777" w:rsidR="002E1E98" w:rsidRDefault="00EB65A3">
      <w:pPr>
        <w:pStyle w:val="Heading2"/>
        <w:rPr>
          <w:highlight w:val="green"/>
        </w:rPr>
      </w:pPr>
      <w:bookmarkStart w:id="11" w:name="_heading=h.3rdcrjn" w:colFirst="0" w:colLast="0"/>
      <w:bookmarkEnd w:id="11"/>
      <w:r>
        <w:t xml:space="preserve">Recommendations for determining the change </w:t>
      </w:r>
      <w:proofErr w:type="gramStart"/>
      <w:r>
        <w:t>management</w:t>
      </w:r>
      <w:proofErr w:type="gramEnd"/>
    </w:p>
    <w:p w14:paraId="2626DAE2" w14:textId="77777777" w:rsidR="002E1E98" w:rsidRDefault="00EB65A3">
      <w:pPr>
        <w:pStyle w:val="Normal1"/>
        <w:spacing w:before="240" w:after="240" w:line="360" w:lineRule="auto"/>
        <w:jc w:val="both"/>
      </w:pPr>
      <w:r>
        <w:t xml:space="preserve">In initiating </w:t>
      </w:r>
      <w:proofErr w:type="spellStart"/>
      <w:r>
        <w:t>Revolut's</w:t>
      </w:r>
      <w:proofErr w:type="spellEnd"/>
      <w:r>
        <w:t xml:space="preserve"> change management approach by performing thorough stakeholder analysis, it is suggested to determine the important people or groups in the company that the change would impact, such as the staff, the management, and the </w:t>
      </w:r>
      <w:proofErr w:type="gramStart"/>
      <w:r>
        <w:t>clients  (</w:t>
      </w:r>
      <w:proofErr w:type="gramEnd"/>
      <w:r>
        <w:t xml:space="preserve">Pedrini and Ferri, 2019). It is essential to comprehend their viewpoints, worries and expectations to develop a change strategy that takes a variety of interests into account. It will enable the development of more inclusive and cooperative approaches to change by assisting in the customisation of communication tactics, training educational programs, and support systems to meet </w:t>
      </w:r>
      <w:proofErr w:type="gramStart"/>
      <w:r>
        <w:t>particular requirements</w:t>
      </w:r>
      <w:proofErr w:type="gramEnd"/>
      <w:r>
        <w:t xml:space="preserve">. There is also a requirement to adopt an agile change management style at </w:t>
      </w:r>
      <w:proofErr w:type="spellStart"/>
      <w:r>
        <w:t>Revolut</w:t>
      </w:r>
      <w:proofErr w:type="spellEnd"/>
      <w:r>
        <w:t xml:space="preserve"> (Munteanu and Dragos, 2021). The usage of agile techniques helps improve adaptability and flexibility in the sector of financial technology, which is a dynamic and </w:t>
      </w:r>
      <w:r>
        <w:lastRenderedPageBreak/>
        <w:t xml:space="preserve">continuously changing atmosphere. Divide the changes into more controllable, smaller phases so that the alterations and input may be made continuously. It is recommended to conduct frequent review sessions for evaluation evolution and adapt tactics as necessary. </w:t>
      </w:r>
      <w:proofErr w:type="spellStart"/>
      <w:r>
        <w:t>Revolut's</w:t>
      </w:r>
      <w:proofErr w:type="spellEnd"/>
      <w:r>
        <w:t xml:space="preserve"> culture of innovation is in line with this adaptive approach, which helps the company adapt quickly to changes while reducing disturbance and escalating involvement from stakeholders.</w:t>
      </w:r>
    </w:p>
    <w:p w14:paraId="3BA7D0FD" w14:textId="77777777" w:rsidR="002E1E98" w:rsidRDefault="00EB65A3">
      <w:pPr>
        <w:pStyle w:val="Heading2"/>
        <w:rPr>
          <w:highlight w:val="cyan"/>
        </w:rPr>
      </w:pPr>
      <w:bookmarkStart w:id="12" w:name="_heading=h.26in1rg" w:colFirst="0" w:colLast="0"/>
      <w:bookmarkEnd w:id="12"/>
      <w:r>
        <w:t xml:space="preserve">Impact of organisational culture on the change management programme of </w:t>
      </w:r>
      <w:proofErr w:type="spellStart"/>
      <w:r>
        <w:t>Revolut</w:t>
      </w:r>
      <w:proofErr w:type="spellEnd"/>
    </w:p>
    <w:p w14:paraId="30095F4A" w14:textId="77777777" w:rsidR="002E1E98" w:rsidRDefault="00EB65A3">
      <w:pPr>
        <w:pStyle w:val="Normal1"/>
        <w:spacing w:line="360" w:lineRule="auto"/>
        <w:jc w:val="both"/>
      </w:pPr>
      <w:r>
        <w:t xml:space="preserve">The influence of organisational culture on the change management program at </w:t>
      </w:r>
      <w:proofErr w:type="spellStart"/>
      <w:r>
        <w:t>Revolut</w:t>
      </w:r>
      <w:proofErr w:type="spellEnd"/>
      <w:r>
        <w:t xml:space="preserve"> is important and shapes how staff embrace and contribute to strategic transformations within the industry. </w:t>
      </w:r>
      <w:proofErr w:type="spellStart"/>
      <w:r>
        <w:t>Revolut</w:t>
      </w:r>
      <w:proofErr w:type="spellEnd"/>
      <w:r>
        <w:t xml:space="preserve"> is a fintech organisation known for its creative and innovative approach that creates a different organisational culture to evaluate the impact of the change management approach.</w:t>
      </w:r>
    </w:p>
    <w:p w14:paraId="72996A81" w14:textId="77777777" w:rsidR="002E1E98" w:rsidRDefault="00EB65A3">
      <w:pPr>
        <w:pStyle w:val="Normal1"/>
        <w:spacing w:line="360" w:lineRule="auto"/>
        <w:jc w:val="both"/>
      </w:pPr>
      <w:r>
        <w:rPr>
          <w:b/>
          <w:i/>
        </w:rPr>
        <w:t xml:space="preserve">Innovative and Risk-Taking Culture: </w:t>
      </w:r>
      <w:r>
        <w:t xml:space="preserve">Creativity and an openness to take risks are essential to the organization's culture. Positive views on innovation, creativity, and advancements in technology are more likely to originate from employees. Transitions are presented as both a chance for advancement and as disruptions. According to </w:t>
      </w:r>
      <w:r>
        <w:rPr>
          <w:color w:val="222222"/>
          <w:highlight w:val="white"/>
        </w:rPr>
        <w:t>Giaccone and Magnusson (2022), t</w:t>
      </w:r>
      <w:r>
        <w:t>his initiative leverages the culture of risk-taking. This initiative promotes a culture where employees feel encouraged to experiment with new ideas that benefit the smooth integration of change.</w:t>
      </w:r>
    </w:p>
    <w:p w14:paraId="0297C1CA" w14:textId="77777777" w:rsidR="002E1E98" w:rsidRDefault="00EB65A3">
      <w:pPr>
        <w:pStyle w:val="Normal1"/>
        <w:spacing w:line="360" w:lineRule="auto"/>
        <w:jc w:val="both"/>
      </w:pPr>
      <w:r>
        <w:rPr>
          <w:b/>
          <w:i/>
        </w:rPr>
        <w:t xml:space="preserve">Collaboration and Transparent Communication: </w:t>
      </w:r>
      <w:proofErr w:type="spellStart"/>
      <w:r>
        <w:t>Revolut's</w:t>
      </w:r>
      <w:proofErr w:type="spellEnd"/>
      <w:r>
        <w:t xml:space="preserve"> workplace environment places an intense emphasis on open communication and teamwork, both of which are essential elements of change management. Every level of the organization will get information regarding changes in strategy through transparent communication. The environment of collaboration promotes an understanding of responsibility and ownership among employees, which motivates them to be engaged in the company's change cycle. Open channels of communication additionally promote feedback sharing, enabling the approach to deal with changes and change management issues. (</w:t>
      </w:r>
      <w:proofErr w:type="spellStart"/>
      <w:r>
        <w:rPr>
          <w:color w:val="222222"/>
          <w:highlight w:val="white"/>
        </w:rPr>
        <w:t>Verčič</w:t>
      </w:r>
      <w:proofErr w:type="spellEnd"/>
      <w:r>
        <w:rPr>
          <w:color w:val="222222"/>
          <w:highlight w:val="white"/>
        </w:rPr>
        <w:t>, 2021)</w:t>
      </w:r>
      <w:r>
        <w:t xml:space="preserve">. </w:t>
      </w:r>
    </w:p>
    <w:p w14:paraId="12F21DA7" w14:textId="77777777" w:rsidR="002E1E98" w:rsidRDefault="00EB65A3">
      <w:pPr>
        <w:pStyle w:val="Normal1"/>
        <w:spacing w:line="360" w:lineRule="auto"/>
        <w:jc w:val="both"/>
      </w:pPr>
      <w:r>
        <w:rPr>
          <w:b/>
          <w:i/>
        </w:rPr>
        <w:t xml:space="preserve">Adaptable and Agile Culture: </w:t>
      </w:r>
      <w:proofErr w:type="spellStart"/>
      <w:r>
        <w:t>Revolut's</w:t>
      </w:r>
      <w:proofErr w:type="spellEnd"/>
      <w:r>
        <w:t xml:space="preserve"> culture is renowned for its adaptability and agility, reflecting the competitive nature of the industry. This cultural component is important to the change management program, which enables the organisation to respond swiftly to business market shifts and technological advancements. Agility allows business leaders to make strategic adjustments to fulfil the change management preferences that nurture industry demands.</w:t>
      </w:r>
    </w:p>
    <w:p w14:paraId="6D685D25" w14:textId="77777777" w:rsidR="002E1E98" w:rsidRDefault="00EB65A3">
      <w:pPr>
        <w:pStyle w:val="Normal1"/>
        <w:spacing w:line="360" w:lineRule="auto"/>
        <w:jc w:val="both"/>
      </w:pPr>
      <w:r>
        <w:rPr>
          <w:b/>
          <w:i/>
        </w:rPr>
        <w:lastRenderedPageBreak/>
        <w:t xml:space="preserve">Employee-Centric Culture: </w:t>
      </w:r>
      <w:proofErr w:type="spellStart"/>
      <w:r>
        <w:t>Revolut’s</w:t>
      </w:r>
      <w:proofErr w:type="spellEnd"/>
      <w:r>
        <w:t xml:space="preserve"> culture places a vital emphasis on valuing employees to meet the change management program initiatives. As per </w:t>
      </w:r>
      <w:r>
        <w:rPr>
          <w:color w:val="222222"/>
          <w:highlight w:val="white"/>
        </w:rPr>
        <w:t>Bonsu (2020), organisational l</w:t>
      </w:r>
      <w:r>
        <w:t>eaders may prioritize the development and well-being of the staff to ensure employees are equipped with valuable resources and support. These employee-centric initiatives promote positivity toward success that contributes to higher employee engagement levels and a more resilient workforce.</w:t>
      </w:r>
    </w:p>
    <w:p w14:paraId="57CA3E3D" w14:textId="77777777" w:rsidR="002E1E98" w:rsidRDefault="00EB65A3">
      <w:pPr>
        <w:pStyle w:val="Normal1"/>
        <w:spacing w:line="360" w:lineRule="auto"/>
        <w:jc w:val="both"/>
      </w:pPr>
      <w:r>
        <w:rPr>
          <w:b/>
          <w:i/>
        </w:rPr>
        <w:t xml:space="preserve">Diversity and Inclusivity: </w:t>
      </w:r>
      <w:proofErr w:type="spellStart"/>
      <w:r>
        <w:t>Revolut</w:t>
      </w:r>
      <w:proofErr w:type="spellEnd"/>
      <w:r>
        <w:t xml:space="preserve"> culture values diversity and inclusivity that positively impact change management by bringing diverse perspectives into discussions. The inclusion of employees with varied backgrounds enhances change management strategies. Moreover, a culture that values diversity promotes a sense of belonging and minimises resistance to change. These approaches enhance collaboration during the overall change process.</w:t>
      </w:r>
    </w:p>
    <w:p w14:paraId="04C29649" w14:textId="77777777" w:rsidR="002E1E98" w:rsidRDefault="00EB65A3">
      <w:pPr>
        <w:pStyle w:val="Normal1"/>
        <w:spacing w:line="360" w:lineRule="auto"/>
        <w:jc w:val="both"/>
      </w:pPr>
      <w:r>
        <w:rPr>
          <w:b/>
          <w:i/>
        </w:rPr>
        <w:t xml:space="preserve">Customer-centricity: </w:t>
      </w:r>
      <w:r>
        <w:t>The customer-centric culture at the company prioritises customer experiences and satisfaction levels that influence strategic changes (</w:t>
      </w:r>
      <w:r>
        <w:rPr>
          <w:color w:val="222222"/>
          <w:highlight w:val="white"/>
        </w:rPr>
        <w:t>Swartbooi, 2021)</w:t>
      </w:r>
      <w:r>
        <w:t>. The company ensures that any changes align with improving customer satisfaction and identification of their changing demands. This cultural focus ensures that changing initiatives facilitate internal business operations and contribute to maintaining a competitive edge in the market.</w:t>
      </w:r>
    </w:p>
    <w:p w14:paraId="380C261E" w14:textId="77777777" w:rsidR="002E1E98" w:rsidRDefault="00EB65A3">
      <w:pPr>
        <w:pStyle w:val="Normal1"/>
        <w:spacing w:line="360" w:lineRule="auto"/>
        <w:jc w:val="both"/>
      </w:pPr>
      <w:r>
        <w:t xml:space="preserve">Organisational culture encompasses innovation, adaptability, collaboration, </w:t>
      </w:r>
      <w:proofErr w:type="gramStart"/>
      <w:r>
        <w:t>diversity,  and</w:t>
      </w:r>
      <w:proofErr w:type="gramEnd"/>
      <w:r>
        <w:t xml:space="preserve"> consumer centricity to shape the change management program. These cultural strengths allow the company to navigate the complexities of the fintech industry to successfully implement strategic change. </w:t>
      </w:r>
    </w:p>
    <w:p w14:paraId="451F1E32" w14:textId="77777777" w:rsidR="002E1E98" w:rsidRDefault="00EB65A3">
      <w:pPr>
        <w:pStyle w:val="Heading2"/>
        <w:rPr>
          <w:highlight w:val="cyan"/>
        </w:rPr>
      </w:pPr>
      <w:bookmarkStart w:id="13" w:name="_heading=h.lnxbz9" w:colFirst="0" w:colLast="0"/>
      <w:bookmarkEnd w:id="13"/>
      <w:r>
        <w:t xml:space="preserve">Development of a suitable change management </w:t>
      </w:r>
      <w:proofErr w:type="gramStart"/>
      <w:r>
        <w:t>plan for the future</w:t>
      </w:r>
      <w:proofErr w:type="gramEnd"/>
    </w:p>
    <w:p w14:paraId="55D64113" w14:textId="77777777" w:rsidR="002E1E98" w:rsidRDefault="00EB65A3">
      <w:pPr>
        <w:pStyle w:val="Heading3"/>
      </w:pPr>
      <w:bookmarkStart w:id="14" w:name="_heading=h.35nkun2" w:colFirst="0" w:colLast="0"/>
      <w:bookmarkEnd w:id="14"/>
      <w:r>
        <w:t>Proposed changes</w:t>
      </w:r>
    </w:p>
    <w:p w14:paraId="178B58BC" w14:textId="77777777" w:rsidR="002E1E98" w:rsidRDefault="00EB65A3">
      <w:pPr>
        <w:pStyle w:val="Normal1"/>
        <w:spacing w:line="360" w:lineRule="auto"/>
        <w:jc w:val="both"/>
      </w:pPr>
      <w:proofErr w:type="spellStart"/>
      <w:r>
        <w:t>Revolut</w:t>
      </w:r>
      <w:proofErr w:type="spellEnd"/>
      <w:r>
        <w:t xml:space="preserve"> envisions a transformative change in its business operational landscape through the strategic adaptation of advanced AI capabilities. The key focus is on revolutionising the delivery of financial services by implementing sophisticated AI algorithms (</w:t>
      </w:r>
      <w:r>
        <w:rPr>
          <w:color w:val="222222"/>
          <w:highlight w:val="white"/>
        </w:rPr>
        <w:t>Ashta and Herrmann, 2021)</w:t>
      </w:r>
      <w:r>
        <w:t xml:space="preserve">. Its approaches encompass the deployment of AI for improved customer insights, heightened fraud detection mechanisms, and robust risk management systems. The core motivation behind these changes is to elevate the overall efficiency of internal processes that significantly offer consumers more personalised, customised, and efficient financial services. </w:t>
      </w:r>
      <w:proofErr w:type="spellStart"/>
      <w:r>
        <w:rPr>
          <w:color w:val="222222"/>
          <w:highlight w:val="white"/>
        </w:rPr>
        <w:t>Jakšič</w:t>
      </w:r>
      <w:proofErr w:type="spellEnd"/>
      <w:r>
        <w:rPr>
          <w:color w:val="222222"/>
          <w:highlight w:val="white"/>
        </w:rPr>
        <w:t xml:space="preserve"> and </w:t>
      </w:r>
      <w:proofErr w:type="spellStart"/>
      <w:r>
        <w:rPr>
          <w:color w:val="222222"/>
          <w:highlight w:val="white"/>
        </w:rPr>
        <w:t>Marinč</w:t>
      </w:r>
      <w:proofErr w:type="spellEnd"/>
      <w:r>
        <w:rPr>
          <w:color w:val="222222"/>
          <w:highlight w:val="white"/>
        </w:rPr>
        <w:t xml:space="preserve"> (2019) stated that, u</w:t>
      </w:r>
      <w:r>
        <w:t xml:space="preserve">nlike a conventional technological upgrade, these changes could represent a comprehensive approach to leverage AI's ability to reshape </w:t>
      </w:r>
      <w:proofErr w:type="spellStart"/>
      <w:r>
        <w:t>Revolut's</w:t>
      </w:r>
      <w:proofErr w:type="spellEnd"/>
      <w:r>
        <w:t xml:space="preserve"> engagement with consumers. The inherent movement beyond traditional service models and embracement of AI's </w:t>
      </w:r>
      <w:r>
        <w:lastRenderedPageBreak/>
        <w:t xml:space="preserve">catalysts an anticipating nature. This approach helps to fulfil the diverse financial needs of the company's user base. By undertaking these strategic changes, the company aims to stay competitive in the dynamic fintech landscape and set new industry benchmarks to deliver creative, innovative, and technologically advanced financial solutions. These changes align with the organisation's commitment to continuous innovation and ensure the company remains a trailblazer in the changing realm of Fintech. </w:t>
      </w:r>
    </w:p>
    <w:p w14:paraId="57D7EE2D" w14:textId="77777777" w:rsidR="002E1E98" w:rsidRDefault="002E1E98">
      <w:pPr>
        <w:pStyle w:val="Normal1"/>
        <w:spacing w:line="360" w:lineRule="auto"/>
        <w:jc w:val="both"/>
      </w:pPr>
    </w:p>
    <w:p w14:paraId="11D911F0" w14:textId="77777777" w:rsidR="002E1E98" w:rsidRDefault="00EB65A3">
      <w:pPr>
        <w:pStyle w:val="Heading3"/>
      </w:pPr>
      <w:bookmarkStart w:id="15" w:name="_heading=h.1ksv4uv" w:colFirst="0" w:colLast="0"/>
      <w:bookmarkEnd w:id="15"/>
      <w:r>
        <w:t>Staff training and development plan</w:t>
      </w:r>
    </w:p>
    <w:p w14:paraId="4F91D2A4" w14:textId="77777777" w:rsidR="002E1E98" w:rsidRDefault="00EB65A3">
      <w:pPr>
        <w:pStyle w:val="Normal1"/>
        <w:spacing w:line="360" w:lineRule="auto"/>
        <w:jc w:val="both"/>
      </w:pPr>
      <w:proofErr w:type="spellStart"/>
      <w:r>
        <w:t>Revolut’s</w:t>
      </w:r>
      <w:proofErr w:type="spellEnd"/>
      <w:r>
        <w:t xml:space="preserve"> commitment to the successful integration of AI technologies involves a strategic staff training and development plan that aims to empower employees with the requisite skills to navigate the evolving landscape. Initiating a thorough analysis in collaboration with a departmental leader with specific skill gaps related to AI will serve as the foundation of organisational goals (</w:t>
      </w:r>
      <w:r>
        <w:rPr>
          <w:color w:val="222222"/>
          <w:highlight w:val="white"/>
        </w:rPr>
        <w:t>Doherty and Stephens, 2023)</w:t>
      </w:r>
      <w:r>
        <w:t>. This analysis tailors the training program to identify the organisation's unique preferences. Design bespoke training initiatives, online courses, and hands-on sessions, and incorporate workshops to utilise development initiatives. Partnership with external experts and training providers to ensure the delivery of cutting-edge content that aligns with the latest AI developments. Promote collaboration with different departments to create a holistic understanding of AI integration. This process will encourage employees from diverse functions to engage in collaborative projects and facilitate knowledge sharing and organisational perspectives. Cultivate continuous cultural learning by providing digital learning platforms (</w:t>
      </w:r>
      <w:r>
        <w:rPr>
          <w:color w:val="222222"/>
          <w:highlight w:val="white"/>
        </w:rPr>
        <w:t>Wanyama and Reuben, 2022)</w:t>
      </w:r>
      <w:r>
        <w:t>. This platform will serve as a centralised hub for resources, self-paced courses, and webinars to enable employees to stay updated about advancements in technology. Implementation of a systematic feedback mechanism to collect valuable insights into organisational effectiveness and training programs. Regularly looking for input from employees to recognise areas for improvement ensures that training remains relevant and impactful for growth.</w:t>
      </w:r>
    </w:p>
    <w:p w14:paraId="284ACF19" w14:textId="77777777" w:rsidR="002E1E98" w:rsidRDefault="002E1E98">
      <w:pPr>
        <w:pStyle w:val="Normal1"/>
        <w:spacing w:line="360" w:lineRule="auto"/>
        <w:jc w:val="both"/>
      </w:pPr>
    </w:p>
    <w:p w14:paraId="58F7ACAD" w14:textId="77777777" w:rsidR="002E1E98" w:rsidRDefault="00EB65A3">
      <w:pPr>
        <w:pStyle w:val="Heading3"/>
      </w:pPr>
      <w:bookmarkStart w:id="16" w:name="_heading=h.44sinio" w:colFirst="0" w:colLast="0"/>
      <w:bookmarkEnd w:id="16"/>
      <w:r>
        <w:t>Communication plan</w:t>
      </w:r>
    </w:p>
    <w:p w14:paraId="30A84456" w14:textId="77777777" w:rsidR="002E1E98" w:rsidRDefault="00EB65A3">
      <w:pPr>
        <w:pStyle w:val="Normal1"/>
        <w:spacing w:line="360" w:lineRule="auto"/>
        <w:jc w:val="both"/>
        <w:rPr>
          <w:b/>
        </w:rPr>
      </w:pPr>
      <w:r>
        <w:t xml:space="preserve">Effective communication can propose change at </w:t>
      </w:r>
      <w:proofErr w:type="spellStart"/>
      <w:r>
        <w:t>Revolut</w:t>
      </w:r>
      <w:proofErr w:type="spellEnd"/>
      <w:r>
        <w:t xml:space="preserve">, centred around the integration of advanced AI capabilities that are significant for success. As per </w:t>
      </w:r>
      <w:r>
        <w:rPr>
          <w:color w:val="222222"/>
          <w:highlight w:val="white"/>
        </w:rPr>
        <w:t>Moccia, García, and Tomic, 2021), t</w:t>
      </w:r>
      <w:r>
        <w:t xml:space="preserve">he communication plan is designed to ensure engagement, clarity, and alignment across all organisational levels. Begin by addressing key stakeholders, consumers and external </w:t>
      </w:r>
      <w:r>
        <w:lastRenderedPageBreak/>
        <w:t>partners, and employees at different levels to tailor communication strategy. This approach identifies the unique concerns and interests of each stakeholder. Implementation of a diverse set of communication channels will help to reach a large audience (</w:t>
      </w:r>
      <w:r>
        <w:rPr>
          <w:color w:val="222222"/>
          <w:sz w:val="24"/>
          <w:szCs w:val="24"/>
          <w:highlight w:val="white"/>
        </w:rPr>
        <w:t>Nguyen, 2019)</w:t>
      </w:r>
      <w:r>
        <w:t xml:space="preserve">. Utilise internal newsletters, digital meetings, town hall meetings, and target emails for widespread information dissemination. Leadership alignment also ensures that leaders convey a unified message about the significant changes, expected benefits, and the organisation's unwavering support for employees during the transition. Leadership alignment is important to instil commitment and confidence among the </w:t>
      </w:r>
      <w:proofErr w:type="gramStart"/>
      <w:r>
        <w:t>workforce</w:t>
      </w:r>
      <w:proofErr w:type="gramEnd"/>
      <w:r>
        <w:t xml:space="preserve">. The establishment of two-way communication theory provides opportunities for staff to share feedback, voice concerns, and ask questions. Promoting open communication will create a sense of inclusivity and enable issue resolution. Address and empower change champions within the organisation. These individuals will serve as valuable elements for the change to inspire their peers and provide additional support. </w:t>
      </w:r>
    </w:p>
    <w:p w14:paraId="425268C4" w14:textId="77777777" w:rsidR="002E1E98" w:rsidRDefault="00EB65A3">
      <w:pPr>
        <w:pStyle w:val="Heading3"/>
      </w:pPr>
      <w:bookmarkStart w:id="17" w:name="_heading=h.2jxsxqh" w:colFirst="0" w:colLast="0"/>
      <w:bookmarkEnd w:id="17"/>
      <w:r>
        <w:t>Evaluation plan</w:t>
      </w:r>
    </w:p>
    <w:p w14:paraId="6E89F2A7" w14:textId="77777777" w:rsidR="002E1E98" w:rsidRDefault="00EB65A3">
      <w:pPr>
        <w:pStyle w:val="Normal1"/>
        <w:spacing w:line="360" w:lineRule="auto"/>
        <w:jc w:val="both"/>
      </w:pPr>
      <w:r>
        <w:t xml:space="preserve">The evaluation plan designed for </w:t>
      </w:r>
      <w:proofErr w:type="spellStart"/>
      <w:r>
        <w:t>Revolut</w:t>
      </w:r>
      <w:proofErr w:type="spellEnd"/>
      <w:r>
        <w:t xml:space="preserve"> AI integration looks at a thorough understanding of the change management effectiveness and the tangible outcomes resulting from the proposed changes. The development of specific and measurable KPIs in the organisation can align with the AI integration goals (</w:t>
      </w:r>
      <w:proofErr w:type="spellStart"/>
      <w:r>
        <w:rPr>
          <w:color w:val="222222"/>
          <w:highlight w:val="white"/>
        </w:rPr>
        <w:t>Cernisevs</w:t>
      </w:r>
      <w:proofErr w:type="spellEnd"/>
      <w:r>
        <w:rPr>
          <w:color w:val="222222"/>
          <w:highlight w:val="white"/>
        </w:rPr>
        <w:t xml:space="preserve">, Popova, and </w:t>
      </w:r>
      <w:proofErr w:type="spellStart"/>
      <w:r>
        <w:rPr>
          <w:color w:val="222222"/>
          <w:highlight w:val="white"/>
        </w:rPr>
        <w:t>Cernisevs</w:t>
      </w:r>
      <w:proofErr w:type="spellEnd"/>
      <w:r>
        <w:rPr>
          <w:color w:val="222222"/>
          <w:highlight w:val="white"/>
        </w:rPr>
        <w:t>, 2023)</w:t>
      </w:r>
      <w:r>
        <w:t xml:space="preserve">. These metrics will quantify improvements in operational efficiency, changes in customer value and proficiency improvements in AI-related skills among the </w:t>
      </w:r>
      <w:proofErr w:type="gramStart"/>
      <w:r>
        <w:t>workforce</w:t>
      </w:r>
      <w:proofErr w:type="gramEnd"/>
      <w:r>
        <w:t>. Continuous tracking and analysis of these KPIs will provide a quantifiable measure of the overall success of the change initiatives. Implementation of regular surveys and feedback sessions can capture the qualitative aspect of the organisational change process. Use targeted questions to assess employees' perceptions that help to understand changes and satisfaction levels with the training program. This qualitative data will offer valuable information into the human dimension of change that identifies areas for improvement. Conduct a thorough post-implementation review to understand the actual impact of AI integration on enhancing organisational performance (</w:t>
      </w:r>
      <w:r>
        <w:rPr>
          <w:color w:val="222222"/>
          <w:highlight w:val="white"/>
        </w:rPr>
        <w:t xml:space="preserve">Oh </w:t>
      </w:r>
      <w:r>
        <w:rPr>
          <w:i/>
          <w:color w:val="222222"/>
          <w:highlight w:val="white"/>
        </w:rPr>
        <w:t xml:space="preserve">et al., </w:t>
      </w:r>
      <w:r>
        <w:rPr>
          <w:color w:val="222222"/>
          <w:highlight w:val="white"/>
        </w:rPr>
        <w:t>2023)</w:t>
      </w:r>
      <w:r>
        <w:t xml:space="preserve">. Comparing achievements with the initial objectives and goals involves a detailed analysis of operational, financial, and customer-centric aspects influenced by the change. This review will provide a comprehensive understanding of transformative success. This systematic process for continuous improvement is based on insights that are derived from evaluations. Implementation of corrective actions and adjustments can identify challenges during the assessment phase. </w:t>
      </w:r>
      <w:r>
        <w:lastRenderedPageBreak/>
        <w:t xml:space="preserve">This interactive approach also ensures the change management strategy remains responsive towards continuous improvements. </w:t>
      </w:r>
    </w:p>
    <w:p w14:paraId="3D2EED80" w14:textId="77777777" w:rsidR="002E1E98" w:rsidRDefault="00EB65A3">
      <w:pPr>
        <w:pStyle w:val="Heading1"/>
        <w:rPr>
          <w:highlight w:val="magenta"/>
        </w:rPr>
      </w:pPr>
      <w:bookmarkStart w:id="18" w:name="_heading=h.z337ya" w:colFirst="0" w:colLast="0"/>
      <w:bookmarkEnd w:id="18"/>
      <w:r>
        <w:t>Conclusion</w:t>
      </w:r>
    </w:p>
    <w:p w14:paraId="4C5A12A7" w14:textId="77777777" w:rsidR="002E1E98" w:rsidRDefault="00EB65A3">
      <w:pPr>
        <w:pStyle w:val="Normal1"/>
        <w:spacing w:line="360" w:lineRule="auto"/>
        <w:jc w:val="both"/>
        <w:rPr>
          <w:rFonts w:ascii="Times New Roman" w:eastAsia="Times New Roman" w:hAnsi="Times New Roman" w:cs="Times New Roman"/>
          <w:sz w:val="24"/>
          <w:szCs w:val="24"/>
        </w:rPr>
      </w:pPr>
      <w:r>
        <w:rPr>
          <w:color w:val="000000"/>
        </w:rPr>
        <w:t xml:space="preserve">In the final analysis, various factors are crucial for running a fintech company like </w:t>
      </w:r>
      <w:proofErr w:type="spellStart"/>
      <w:r>
        <w:rPr>
          <w:color w:val="000000"/>
        </w:rPr>
        <w:t>Revolut</w:t>
      </w:r>
      <w:proofErr w:type="spellEnd"/>
      <w:r>
        <w:rPr>
          <w:color w:val="000000"/>
        </w:rPr>
        <w:t xml:space="preserve"> in the market. Shortly, the growing trend is adopting the fintech companies and their financial services because they are handier and tech-savvy for the customers that do the transactions daily. The company's main mission at </w:t>
      </w:r>
      <w:proofErr w:type="spellStart"/>
      <w:r>
        <w:rPr>
          <w:color w:val="000000"/>
        </w:rPr>
        <w:t>Revolut</w:t>
      </w:r>
      <w:proofErr w:type="spellEnd"/>
      <w:r>
        <w:rPr>
          <w:color w:val="000000"/>
        </w:rPr>
        <w:t xml:space="preserve"> is to simplify all the activities that are related to money, as, according to them, money matters the most. In today's time, the company </w:t>
      </w:r>
      <w:proofErr w:type="spellStart"/>
      <w:r>
        <w:rPr>
          <w:color w:val="000000"/>
        </w:rPr>
        <w:t>Revolut's</w:t>
      </w:r>
      <w:proofErr w:type="spellEnd"/>
      <w:r>
        <w:rPr>
          <w:color w:val="000000"/>
        </w:rPr>
        <w:t xml:space="preserve"> </w:t>
      </w:r>
      <w:proofErr w:type="gramStart"/>
      <w:r>
        <w:rPr>
          <w:color w:val="000000"/>
        </w:rPr>
        <w:t>main focus</w:t>
      </w:r>
      <w:proofErr w:type="gramEnd"/>
      <w:r>
        <w:rPr>
          <w:color w:val="000000"/>
        </w:rPr>
        <w:t xml:space="preserve"> is to remove all the frictions that are standing in the way of the money goals and then become more resilient for the customers. The company is acting at the forefront and adopting the change management model basically for adopting the transformational leadership style that helps in initiating motivation as well as inspiration. The main work of the leaders of </w:t>
      </w:r>
      <w:proofErr w:type="spellStart"/>
      <w:r>
        <w:rPr>
          <w:color w:val="000000"/>
        </w:rPr>
        <w:t>Revolut</w:t>
      </w:r>
      <w:proofErr w:type="spellEnd"/>
      <w:r>
        <w:rPr>
          <w:color w:val="000000"/>
        </w:rPr>
        <w:t xml:space="preserve"> also articulates and follows the compelling vision for the company. However, Fintech has faced challenges, like the pandemic, various disruptions in digitalisation, and changes in the economy.</w:t>
      </w:r>
    </w:p>
    <w:p w14:paraId="368A71A0" w14:textId="77777777" w:rsidR="002E1E98" w:rsidRDefault="002E1E98">
      <w:pPr>
        <w:pStyle w:val="Normal1"/>
        <w:spacing w:line="240" w:lineRule="auto"/>
        <w:rPr>
          <w:rFonts w:ascii="Times New Roman" w:eastAsia="Times New Roman" w:hAnsi="Times New Roman" w:cs="Times New Roman"/>
          <w:sz w:val="24"/>
          <w:szCs w:val="24"/>
        </w:rPr>
      </w:pPr>
    </w:p>
    <w:p w14:paraId="7835E29C" w14:textId="77777777" w:rsidR="002E1E98" w:rsidRDefault="00EB65A3">
      <w:pPr>
        <w:pStyle w:val="Normal1"/>
        <w:spacing w:line="240" w:lineRule="auto"/>
        <w:jc w:val="both"/>
        <w:rPr>
          <w:rFonts w:ascii="Times New Roman" w:eastAsia="Times New Roman" w:hAnsi="Times New Roman" w:cs="Times New Roman"/>
          <w:sz w:val="24"/>
          <w:szCs w:val="24"/>
        </w:rPr>
      </w:pPr>
      <w:r>
        <w:rPr>
          <w:color w:val="000000"/>
        </w:rPr>
        <w:t>.</w:t>
      </w:r>
    </w:p>
    <w:p w14:paraId="4643728F" w14:textId="77777777" w:rsidR="002E1E98" w:rsidRDefault="002E1E98">
      <w:pPr>
        <w:pStyle w:val="Normal1"/>
        <w:spacing w:line="360" w:lineRule="auto"/>
        <w:jc w:val="both"/>
      </w:pPr>
    </w:p>
    <w:p w14:paraId="248EA367" w14:textId="77777777" w:rsidR="002E1E98" w:rsidRDefault="00EB65A3">
      <w:pPr>
        <w:pStyle w:val="Normal1"/>
        <w:spacing w:line="360" w:lineRule="auto"/>
        <w:jc w:val="both"/>
      </w:pPr>
      <w:r>
        <w:t xml:space="preserve">. </w:t>
      </w:r>
    </w:p>
    <w:p w14:paraId="0F1F7CE3" w14:textId="77777777" w:rsidR="002E1E98" w:rsidRDefault="002E1E98">
      <w:pPr>
        <w:pStyle w:val="Normal1"/>
        <w:spacing w:line="360" w:lineRule="auto"/>
        <w:jc w:val="both"/>
      </w:pPr>
    </w:p>
    <w:p w14:paraId="4606DB78" w14:textId="77777777" w:rsidR="002E1E98" w:rsidRDefault="00EB65A3">
      <w:pPr>
        <w:pStyle w:val="Normal1"/>
        <w:rPr>
          <w:b/>
          <w:sz w:val="28"/>
          <w:szCs w:val="28"/>
        </w:rPr>
      </w:pPr>
      <w:r>
        <w:br w:type="page"/>
      </w:r>
    </w:p>
    <w:p w14:paraId="101E5D9E" w14:textId="77777777" w:rsidR="002E1E98" w:rsidRDefault="00EB65A3">
      <w:pPr>
        <w:pStyle w:val="Heading1"/>
      </w:pPr>
      <w:bookmarkStart w:id="19" w:name="_heading=h.3j2qqm3" w:colFirst="0" w:colLast="0"/>
      <w:bookmarkEnd w:id="19"/>
      <w:r>
        <w:lastRenderedPageBreak/>
        <w:t>Reference</w:t>
      </w:r>
    </w:p>
    <w:p w14:paraId="77FA33C3" w14:textId="77777777" w:rsidR="002E1E98" w:rsidRDefault="00EB65A3">
      <w:pPr>
        <w:pStyle w:val="Normal1"/>
        <w:spacing w:line="360" w:lineRule="auto"/>
        <w:jc w:val="both"/>
      </w:pPr>
      <w:proofErr w:type="spellStart"/>
      <w:r>
        <w:rPr>
          <w:color w:val="222222"/>
          <w:highlight w:val="white"/>
        </w:rPr>
        <w:t>Alafeshat</w:t>
      </w:r>
      <w:proofErr w:type="spellEnd"/>
      <w:r>
        <w:rPr>
          <w:color w:val="222222"/>
          <w:highlight w:val="white"/>
        </w:rPr>
        <w:t xml:space="preserve">, R. and Tanova, C., (2019). Servant leadership style and high-performance work system practices: Pathway to a sustainable Jordanian airline industry. </w:t>
      </w:r>
      <w:r>
        <w:rPr>
          <w:i/>
          <w:color w:val="222222"/>
          <w:highlight w:val="white"/>
        </w:rPr>
        <w:t>Sustainability</w:t>
      </w:r>
      <w:r>
        <w:rPr>
          <w:color w:val="222222"/>
          <w:highlight w:val="white"/>
        </w:rPr>
        <w:t xml:space="preserve">, </w:t>
      </w:r>
      <w:r>
        <w:rPr>
          <w:i/>
          <w:color w:val="222222"/>
          <w:highlight w:val="white"/>
        </w:rPr>
        <w:t>11</w:t>
      </w:r>
      <w:r>
        <w:rPr>
          <w:color w:val="222222"/>
          <w:highlight w:val="white"/>
        </w:rPr>
        <w:t xml:space="preserve">(22), p.6191. Available at: </w:t>
      </w:r>
      <w:hyperlink r:id="rId11">
        <w:r>
          <w:rPr>
            <w:color w:val="1155CC"/>
            <w:u w:val="single"/>
          </w:rPr>
          <w:t>https://doi.org/10.3390/su11226191</w:t>
        </w:r>
      </w:hyperlink>
      <w:r>
        <w:t xml:space="preserve"> (Accessed: 07 December 2023)</w:t>
      </w:r>
    </w:p>
    <w:p w14:paraId="54A0B6FA" w14:textId="77777777" w:rsidR="002E1E98" w:rsidRDefault="00EB65A3">
      <w:pPr>
        <w:pStyle w:val="Normal1"/>
        <w:spacing w:line="360" w:lineRule="auto"/>
        <w:jc w:val="both"/>
      </w:pPr>
      <w:proofErr w:type="spellStart"/>
      <w:r>
        <w:rPr>
          <w:color w:val="222222"/>
          <w:highlight w:val="white"/>
        </w:rPr>
        <w:t>Asbari</w:t>
      </w:r>
      <w:proofErr w:type="spellEnd"/>
      <w:r>
        <w:rPr>
          <w:color w:val="222222"/>
          <w:highlight w:val="white"/>
        </w:rPr>
        <w:t xml:space="preserve">, M., Santoso, P.B. and </w:t>
      </w:r>
      <w:proofErr w:type="spellStart"/>
      <w:r>
        <w:rPr>
          <w:color w:val="222222"/>
          <w:highlight w:val="white"/>
        </w:rPr>
        <w:t>Prasetya</w:t>
      </w:r>
      <w:proofErr w:type="spellEnd"/>
      <w:r>
        <w:rPr>
          <w:color w:val="222222"/>
          <w:highlight w:val="white"/>
        </w:rPr>
        <w:t xml:space="preserve">, A.B., (2020). Political and antidemocratic transformational leadership critics: is it still relevant? (A literature study). </w:t>
      </w:r>
      <w:r>
        <w:rPr>
          <w:i/>
          <w:color w:val="222222"/>
          <w:highlight w:val="white"/>
        </w:rPr>
        <w:t>International Journal of Social, Policy and Law</w:t>
      </w:r>
      <w:r>
        <w:rPr>
          <w:color w:val="222222"/>
          <w:highlight w:val="white"/>
        </w:rPr>
        <w:t xml:space="preserve">, </w:t>
      </w:r>
      <w:r>
        <w:rPr>
          <w:i/>
          <w:color w:val="222222"/>
          <w:highlight w:val="white"/>
        </w:rPr>
        <w:t>1</w:t>
      </w:r>
      <w:r>
        <w:rPr>
          <w:color w:val="222222"/>
          <w:highlight w:val="white"/>
        </w:rPr>
        <w:t xml:space="preserve">(1), pp.12-16. Available at: </w:t>
      </w:r>
      <w:hyperlink r:id="rId12">
        <w:r>
          <w:rPr>
            <w:color w:val="1155CC"/>
            <w:u w:val="single"/>
          </w:rPr>
          <w:t>https://doi.org/10.8888/ijospl.v1i1.10</w:t>
        </w:r>
      </w:hyperlink>
      <w:r>
        <w:t xml:space="preserve"> (Accessed: 07 December 2023)</w:t>
      </w:r>
    </w:p>
    <w:p w14:paraId="34986778" w14:textId="77777777" w:rsidR="002E1E98" w:rsidRDefault="00EB65A3">
      <w:pPr>
        <w:pStyle w:val="Normal1"/>
        <w:spacing w:line="360" w:lineRule="auto"/>
        <w:jc w:val="both"/>
      </w:pPr>
      <w:r>
        <w:rPr>
          <w:color w:val="222222"/>
          <w:highlight w:val="white"/>
        </w:rPr>
        <w:t xml:space="preserve">Ashta, A., &amp; Herrmann, H. (2021). Artificial intelligence and Fintech: An overview of opportunities and risks for banking, investments, and microfinance. </w:t>
      </w:r>
      <w:r>
        <w:rPr>
          <w:i/>
          <w:color w:val="222222"/>
          <w:highlight w:val="white"/>
        </w:rPr>
        <w:t>Strategic Change</w:t>
      </w:r>
      <w:r>
        <w:rPr>
          <w:color w:val="222222"/>
          <w:highlight w:val="white"/>
        </w:rPr>
        <w:t xml:space="preserve">, </w:t>
      </w:r>
      <w:r>
        <w:rPr>
          <w:i/>
          <w:color w:val="222222"/>
          <w:highlight w:val="white"/>
        </w:rPr>
        <w:t>30</w:t>
      </w:r>
      <w:r>
        <w:rPr>
          <w:color w:val="222222"/>
          <w:highlight w:val="white"/>
        </w:rPr>
        <w:t xml:space="preserve">(3), 211-222. Available at: </w:t>
      </w:r>
      <w:hyperlink r:id="rId13">
        <w:r>
          <w:rPr>
            <w:color w:val="1155CC"/>
            <w:u w:val="single"/>
          </w:rPr>
          <w:t>https://doi.org/10.1002/jsc.2404</w:t>
        </w:r>
      </w:hyperlink>
      <w:r>
        <w:t xml:space="preserve"> (Accessed: 07 December 2023)</w:t>
      </w:r>
    </w:p>
    <w:p w14:paraId="55C6277B" w14:textId="77777777" w:rsidR="002E1E98" w:rsidRDefault="00EB65A3">
      <w:pPr>
        <w:pStyle w:val="Normal1"/>
        <w:spacing w:line="360" w:lineRule="auto"/>
        <w:jc w:val="both"/>
      </w:pPr>
      <w:proofErr w:type="spellStart"/>
      <w:r>
        <w:rPr>
          <w:color w:val="222222"/>
          <w:highlight w:val="white"/>
        </w:rPr>
        <w:t>Baltgailis</w:t>
      </w:r>
      <w:proofErr w:type="spellEnd"/>
      <w:r>
        <w:rPr>
          <w:color w:val="222222"/>
          <w:highlight w:val="white"/>
        </w:rPr>
        <w:t xml:space="preserve">, J. and </w:t>
      </w:r>
      <w:proofErr w:type="spellStart"/>
      <w:r>
        <w:rPr>
          <w:color w:val="222222"/>
          <w:highlight w:val="white"/>
        </w:rPr>
        <w:t>Simakhova</w:t>
      </w:r>
      <w:proofErr w:type="spellEnd"/>
      <w:r>
        <w:rPr>
          <w:color w:val="222222"/>
          <w:highlight w:val="white"/>
        </w:rPr>
        <w:t xml:space="preserve">, A., (2022). The technological innovations of fintech companies to ensure the stability of the financial system in pandemic times. </w:t>
      </w:r>
      <w:r>
        <w:rPr>
          <w:i/>
          <w:color w:val="222222"/>
          <w:highlight w:val="white"/>
        </w:rPr>
        <w:t xml:space="preserve">Marketing </w:t>
      </w:r>
      <w:proofErr w:type="spellStart"/>
      <w:r>
        <w:rPr>
          <w:i/>
          <w:color w:val="222222"/>
          <w:highlight w:val="white"/>
        </w:rPr>
        <w:t>imenedžmentinnovacij</w:t>
      </w:r>
      <w:proofErr w:type="spellEnd"/>
      <w:r>
        <w:rPr>
          <w:color w:val="222222"/>
          <w:highlight w:val="white"/>
        </w:rPr>
        <w:t xml:space="preserve">, (2), pp.55-65.Available at: </w:t>
      </w:r>
      <w:hyperlink r:id="rId14">
        <w:r>
          <w:rPr>
            <w:color w:val="1155CC"/>
            <w:highlight w:val="white"/>
            <w:u w:val="single"/>
          </w:rPr>
          <w:t>https://www.zbw.eu/econis-archiv/bitstream/11159/8938/1/1810622948_0.pdf</w:t>
        </w:r>
      </w:hyperlink>
      <w:r>
        <w:rPr>
          <w:color w:val="222222"/>
          <w:highlight w:val="white"/>
        </w:rPr>
        <w:t xml:space="preserve"> (Accessed: 07 December 2023). </w:t>
      </w:r>
    </w:p>
    <w:p w14:paraId="2DE57F10" w14:textId="77777777" w:rsidR="002E1E98" w:rsidRDefault="00EB65A3">
      <w:pPr>
        <w:pStyle w:val="Normal1"/>
        <w:spacing w:line="360" w:lineRule="auto"/>
        <w:jc w:val="both"/>
      </w:pPr>
      <w:proofErr w:type="spellStart"/>
      <w:r>
        <w:rPr>
          <w:color w:val="222222"/>
          <w:highlight w:val="white"/>
        </w:rPr>
        <w:t>Baporikar</w:t>
      </w:r>
      <w:proofErr w:type="spellEnd"/>
      <w:r>
        <w:rPr>
          <w:color w:val="222222"/>
          <w:highlight w:val="white"/>
        </w:rPr>
        <w:t xml:space="preserve">, N., (2021). Fintech challenges and outlook in India. In </w:t>
      </w:r>
      <w:r>
        <w:rPr>
          <w:i/>
          <w:color w:val="222222"/>
          <w:highlight w:val="white"/>
        </w:rPr>
        <w:t>Innovative strategies for implementing FinTech in banking</w:t>
      </w:r>
      <w:r>
        <w:rPr>
          <w:color w:val="222222"/>
          <w:highlight w:val="white"/>
        </w:rPr>
        <w:t xml:space="preserve"> (pp. 136-153). IGI </w:t>
      </w:r>
      <w:proofErr w:type="spellStart"/>
      <w:r>
        <w:rPr>
          <w:color w:val="222222"/>
          <w:highlight w:val="white"/>
        </w:rPr>
        <w:t>Global.Available</w:t>
      </w:r>
      <w:proofErr w:type="spellEnd"/>
      <w:r>
        <w:rPr>
          <w:color w:val="222222"/>
          <w:highlight w:val="white"/>
        </w:rPr>
        <w:t xml:space="preserve"> at:</w:t>
      </w:r>
      <w:hyperlink r:id="rId15" w:anchor="page=159">
        <w:r>
          <w:rPr>
            <w:color w:val="1155CC"/>
            <w:highlight w:val="white"/>
            <w:u w:val="single"/>
          </w:rPr>
          <w:t>https://www.researchgate.net/profile/Gagan-Kukreja/publication/348118829_The_Impact_of_FinTech_on_Financial_Services_in_India_Past_Present_and_Future_Trends/links/5ff297bc45851553a0198f7e/The-Impact-of-FinTech-on-Financial-Services-in-India-Past-Present-and-Future-Trends.pdf#page=159</w:t>
        </w:r>
      </w:hyperlink>
      <w:r>
        <w:rPr>
          <w:color w:val="222222"/>
          <w:highlight w:val="white"/>
        </w:rPr>
        <w:t>  (Accessed: 07 December 2023). </w:t>
      </w:r>
    </w:p>
    <w:p w14:paraId="5848596F" w14:textId="77777777" w:rsidR="002E1E98" w:rsidRDefault="00EB65A3">
      <w:pPr>
        <w:pStyle w:val="Normal1"/>
        <w:spacing w:line="360" w:lineRule="auto"/>
        <w:jc w:val="both"/>
      </w:pPr>
      <w:r>
        <w:rPr>
          <w:color w:val="222222"/>
          <w:highlight w:val="white"/>
        </w:rPr>
        <w:t xml:space="preserve">Bonsu, S. (2020). Creating an employee-centric culture in organisations. </w:t>
      </w:r>
      <w:r>
        <w:rPr>
          <w:i/>
          <w:color w:val="222222"/>
          <w:highlight w:val="white"/>
        </w:rPr>
        <w:t>International Journal of Business Management and Economic Review</w:t>
      </w:r>
      <w:r>
        <w:rPr>
          <w:color w:val="222222"/>
          <w:highlight w:val="white"/>
        </w:rPr>
        <w:t xml:space="preserve">, </w:t>
      </w:r>
      <w:r>
        <w:rPr>
          <w:i/>
          <w:color w:val="222222"/>
          <w:highlight w:val="white"/>
        </w:rPr>
        <w:t>3</w:t>
      </w:r>
      <w:r>
        <w:rPr>
          <w:color w:val="222222"/>
          <w:highlight w:val="white"/>
        </w:rPr>
        <w:t xml:space="preserve">(1), 276-284. Available at: </w:t>
      </w:r>
      <w:hyperlink r:id="rId16">
        <w:r>
          <w:rPr>
            <w:color w:val="1155CC"/>
            <w:u w:val="single"/>
          </w:rPr>
          <w:t>http://doi.org/10.35409/IJBMER.2020.3157</w:t>
        </w:r>
      </w:hyperlink>
      <w:r>
        <w:t xml:space="preserve"> (Accessed: 07 December 2023)</w:t>
      </w:r>
    </w:p>
    <w:p w14:paraId="6A9BE23F" w14:textId="77777777" w:rsidR="002E1E98" w:rsidRDefault="00EB65A3">
      <w:pPr>
        <w:pStyle w:val="Normal1"/>
        <w:spacing w:line="360" w:lineRule="auto"/>
        <w:jc w:val="both"/>
      </w:pPr>
      <w:r>
        <w:rPr>
          <w:color w:val="222222"/>
          <w:highlight w:val="white"/>
        </w:rPr>
        <w:t xml:space="preserve">Cai, C.W., 2020. Nudging the financial market? A review of the nudge theory. </w:t>
      </w:r>
      <w:r>
        <w:rPr>
          <w:i/>
          <w:color w:val="222222"/>
          <w:highlight w:val="white"/>
        </w:rPr>
        <w:t>Accounting &amp; Finance</w:t>
      </w:r>
      <w:r>
        <w:rPr>
          <w:color w:val="222222"/>
          <w:highlight w:val="white"/>
        </w:rPr>
        <w:t xml:space="preserve">, </w:t>
      </w:r>
      <w:r>
        <w:rPr>
          <w:i/>
          <w:color w:val="222222"/>
          <w:highlight w:val="white"/>
        </w:rPr>
        <w:t>60</w:t>
      </w:r>
      <w:r>
        <w:rPr>
          <w:color w:val="222222"/>
          <w:highlight w:val="white"/>
        </w:rPr>
        <w:t xml:space="preserve">(4), pp.3341-3365. Available at: </w:t>
      </w:r>
      <w:hyperlink r:id="rId17">
        <w:r>
          <w:rPr>
            <w:color w:val="1155CC"/>
            <w:u w:val="single"/>
          </w:rPr>
          <w:t>https://doi.org/10.1111/acfi.12471</w:t>
        </w:r>
      </w:hyperlink>
      <w:r>
        <w:t xml:space="preserve"> (Accessed: 07 December 2023)</w:t>
      </w:r>
    </w:p>
    <w:p w14:paraId="79436C71" w14:textId="77777777" w:rsidR="002E1E98" w:rsidRDefault="00EB65A3">
      <w:pPr>
        <w:pStyle w:val="Normal1"/>
        <w:spacing w:line="360" w:lineRule="auto"/>
        <w:jc w:val="both"/>
      </w:pPr>
      <w:r>
        <w:rPr>
          <w:color w:val="222222"/>
          <w:highlight w:val="white"/>
        </w:rPr>
        <w:t xml:space="preserve">Cameron, E. and Green, M., (2019). </w:t>
      </w:r>
      <w:r>
        <w:rPr>
          <w:i/>
          <w:color w:val="222222"/>
          <w:highlight w:val="white"/>
        </w:rPr>
        <w:t xml:space="preserve">Making sense of change management: A complete guide to the models, </w:t>
      </w:r>
      <w:proofErr w:type="gramStart"/>
      <w:r>
        <w:rPr>
          <w:i/>
          <w:color w:val="222222"/>
          <w:highlight w:val="white"/>
        </w:rPr>
        <w:t>tools</w:t>
      </w:r>
      <w:proofErr w:type="gramEnd"/>
      <w:r>
        <w:rPr>
          <w:i/>
          <w:color w:val="222222"/>
          <w:highlight w:val="white"/>
        </w:rPr>
        <w:t xml:space="preserve"> and techniques of organisational change</w:t>
      </w:r>
      <w:r>
        <w:rPr>
          <w:color w:val="222222"/>
          <w:highlight w:val="white"/>
        </w:rPr>
        <w:t>. Kogan Page Publishers. Available at:</w:t>
      </w:r>
      <w:hyperlink r:id="rId18">
        <w:r>
          <w:rPr>
            <w:color w:val="0000FF"/>
            <w:u w:val="single"/>
          </w:rPr>
          <w:t>https://www.booksfree.org/wp-content/uploads/2022/03/Making-Sense-Of-Change Management.pdf</w:t>
        </w:r>
      </w:hyperlink>
      <w:r>
        <w:t xml:space="preserve"> (Accessed: 07 December 2023)</w:t>
      </w:r>
    </w:p>
    <w:p w14:paraId="2AA417EC" w14:textId="77777777" w:rsidR="002E1E98" w:rsidRDefault="00EB65A3">
      <w:pPr>
        <w:pStyle w:val="Normal1"/>
        <w:spacing w:line="360" w:lineRule="auto"/>
        <w:jc w:val="both"/>
      </w:pPr>
      <w:proofErr w:type="spellStart"/>
      <w:r>
        <w:rPr>
          <w:color w:val="222222"/>
          <w:highlight w:val="white"/>
        </w:rPr>
        <w:lastRenderedPageBreak/>
        <w:t>Cernisevs</w:t>
      </w:r>
      <w:proofErr w:type="spellEnd"/>
      <w:r>
        <w:rPr>
          <w:color w:val="222222"/>
          <w:highlight w:val="white"/>
        </w:rPr>
        <w:t xml:space="preserve">, O., Popova, Y., &amp; </w:t>
      </w:r>
      <w:proofErr w:type="spellStart"/>
      <w:r>
        <w:rPr>
          <w:color w:val="222222"/>
          <w:highlight w:val="white"/>
        </w:rPr>
        <w:t>Cernisevs</w:t>
      </w:r>
      <w:proofErr w:type="spellEnd"/>
      <w:r>
        <w:rPr>
          <w:color w:val="222222"/>
          <w:highlight w:val="white"/>
        </w:rPr>
        <w:t xml:space="preserve">, D. (2023, June). Risk-Based Approach for Selecting Company Key Performance Indicators in an Example of Financial Services. In </w:t>
      </w:r>
      <w:r>
        <w:rPr>
          <w:i/>
          <w:color w:val="222222"/>
          <w:highlight w:val="white"/>
        </w:rPr>
        <w:t>Informatics</w:t>
      </w:r>
      <w:r>
        <w:rPr>
          <w:color w:val="222222"/>
          <w:highlight w:val="white"/>
        </w:rPr>
        <w:t xml:space="preserve"> (Vol. 10, No. 2, p. 54). Available at: </w:t>
      </w:r>
      <w:hyperlink r:id="rId19">
        <w:r>
          <w:rPr>
            <w:color w:val="1155CC"/>
            <w:u w:val="single"/>
          </w:rPr>
          <w:t>https://doi.org/10.3390/informatics10020054</w:t>
        </w:r>
      </w:hyperlink>
      <w:r>
        <w:t xml:space="preserve"> (Accessed: 07 December 2023)</w:t>
      </w:r>
    </w:p>
    <w:p w14:paraId="74368FB9" w14:textId="77777777" w:rsidR="002E1E98" w:rsidRDefault="00EB65A3">
      <w:pPr>
        <w:pStyle w:val="Normal1"/>
        <w:spacing w:line="360" w:lineRule="auto"/>
        <w:jc w:val="both"/>
      </w:pPr>
      <w:r>
        <w:t>Daugherty, Robert &amp;</w:t>
      </w:r>
      <w:proofErr w:type="spellStart"/>
      <w:r>
        <w:t>Zelihic</w:t>
      </w:r>
      <w:proofErr w:type="spellEnd"/>
      <w:r>
        <w:t xml:space="preserve">, Maja &amp; Deresa, Chera &amp; </w:t>
      </w:r>
      <w:proofErr w:type="spellStart"/>
      <w:r>
        <w:t>Nga'mbi</w:t>
      </w:r>
      <w:proofErr w:type="spellEnd"/>
      <w:r>
        <w:t xml:space="preserve">, </w:t>
      </w:r>
      <w:proofErr w:type="spellStart"/>
      <w:r>
        <w:t>Hellicy</w:t>
      </w:r>
      <w:proofErr w:type="spellEnd"/>
      <w:r>
        <w:t xml:space="preserve"> &amp; </w:t>
      </w:r>
      <w:proofErr w:type="spellStart"/>
      <w:r>
        <w:t>Ssekamatte</w:t>
      </w:r>
      <w:proofErr w:type="spellEnd"/>
      <w:r>
        <w:t>, David. (2021). Empowering global leaders through workplace sustainability: A case of Zambian leaders. The Journal for Transdisciplinary Research in Southern Africa. 17. 10.4102/</w:t>
      </w:r>
      <w:proofErr w:type="gramStart"/>
      <w:r>
        <w:t>td.v</w:t>
      </w:r>
      <w:proofErr w:type="gramEnd"/>
      <w:r>
        <w:t xml:space="preserve">17i1.897.  Available at: </w:t>
      </w:r>
      <w:hyperlink r:id="rId20">
        <w:r>
          <w:rPr>
            <w:color w:val="1155CC"/>
            <w:u w:val="single"/>
          </w:rPr>
          <w:t>https://www.researchgate.net/publication/348696503_Empowering_global_leaders_through_workplace_sustainability_A_case_of_Zambian_leaders/download?_tp=eyJjb250ZXh0Ijp7ImZpcnN0UGFnZSI6Il9kaXJlY3QiLCJwYWdlIjoiX2RpcmVjdCJ9fQ</w:t>
        </w:r>
      </w:hyperlink>
      <w:r>
        <w:t xml:space="preserve"> (Accessed: 07 December 2023)</w:t>
      </w:r>
    </w:p>
    <w:p w14:paraId="6C34A7FC" w14:textId="77777777" w:rsidR="002E1E98" w:rsidRDefault="00EB65A3">
      <w:pPr>
        <w:pStyle w:val="Normal1"/>
        <w:spacing w:line="360" w:lineRule="auto"/>
        <w:jc w:val="both"/>
      </w:pPr>
      <w:r>
        <w:rPr>
          <w:color w:val="222222"/>
          <w:highlight w:val="white"/>
        </w:rPr>
        <w:t xml:space="preserve">Doherty, O., &amp; Stephens, S. (2023). Hard and soft skill needs: higher education and the Fintech sector. </w:t>
      </w:r>
      <w:r>
        <w:rPr>
          <w:i/>
          <w:color w:val="222222"/>
          <w:highlight w:val="white"/>
        </w:rPr>
        <w:t>Journal of Education and Work</w:t>
      </w:r>
      <w:r>
        <w:rPr>
          <w:color w:val="222222"/>
          <w:highlight w:val="white"/>
        </w:rPr>
        <w:t xml:space="preserve">, </w:t>
      </w:r>
      <w:r>
        <w:rPr>
          <w:i/>
          <w:color w:val="222222"/>
          <w:highlight w:val="white"/>
        </w:rPr>
        <w:t>36</w:t>
      </w:r>
      <w:r>
        <w:rPr>
          <w:color w:val="222222"/>
          <w:highlight w:val="white"/>
        </w:rPr>
        <w:t xml:space="preserve">(3), 186-201. Available at: </w:t>
      </w:r>
      <w:hyperlink r:id="rId21">
        <w:r>
          <w:rPr>
            <w:color w:val="1155CC"/>
            <w:u w:val="single"/>
          </w:rPr>
          <w:t>https://doi.org/10.1080/13639080.2023.2174954</w:t>
        </w:r>
      </w:hyperlink>
      <w:r>
        <w:t xml:space="preserve"> (Accessed: 07 December 2023)</w:t>
      </w:r>
    </w:p>
    <w:p w14:paraId="3B1D7172" w14:textId="77777777" w:rsidR="002E1E98" w:rsidRDefault="00EB65A3">
      <w:pPr>
        <w:pStyle w:val="Normal1"/>
        <w:spacing w:line="360" w:lineRule="auto"/>
        <w:jc w:val="both"/>
      </w:pPr>
      <w:r>
        <w:rPr>
          <w:color w:val="222222"/>
          <w:highlight w:val="white"/>
        </w:rPr>
        <w:t>El-Masri, M., Al-Yafi, K. and Samir Sherif, K., (2019). The digital transformation of FinTech: Disruptions and value paths. Available at:</w:t>
      </w:r>
      <w:hyperlink r:id="rId22">
        <w:r>
          <w:rPr>
            <w:color w:val="1155CC"/>
            <w:highlight w:val="white"/>
            <w:u w:val="single"/>
          </w:rPr>
          <w:t>https://web.archive.org/web/20220913022030id_/https://aisel.aisnet.org/cgi/viewcontent.cgi?article=1052&amp;context=pacis2019</w:t>
        </w:r>
      </w:hyperlink>
      <w:r>
        <w:rPr>
          <w:color w:val="222222"/>
          <w:highlight w:val="white"/>
        </w:rPr>
        <w:t xml:space="preserve"> (Accessed: 07 December 2023). </w:t>
      </w:r>
    </w:p>
    <w:p w14:paraId="739608D7" w14:textId="77777777" w:rsidR="002E1E98" w:rsidRDefault="00EB65A3">
      <w:pPr>
        <w:pStyle w:val="Normal1"/>
        <w:spacing w:before="240" w:after="240" w:line="360" w:lineRule="auto"/>
        <w:jc w:val="both"/>
      </w:pPr>
      <w:r>
        <w:rPr>
          <w:color w:val="222222"/>
          <w:highlight w:val="white"/>
        </w:rPr>
        <w:t xml:space="preserve">Financial Times (2023). </w:t>
      </w:r>
      <w:proofErr w:type="spellStart"/>
      <w:r>
        <w:rPr>
          <w:i/>
          <w:color w:val="222222"/>
          <w:highlight w:val="white"/>
        </w:rPr>
        <w:t>Revolut’s</w:t>
      </w:r>
      <w:proofErr w:type="spellEnd"/>
      <w:r>
        <w:rPr>
          <w:i/>
          <w:color w:val="222222"/>
          <w:highlight w:val="white"/>
        </w:rPr>
        <w:t xml:space="preserve"> US payment flaws allowed thieves to steal $20mn</w:t>
      </w:r>
      <w:r>
        <w:rPr>
          <w:color w:val="222222"/>
          <w:highlight w:val="white"/>
        </w:rPr>
        <w:t xml:space="preserve">. Available at: </w:t>
      </w:r>
      <w:hyperlink r:id="rId23">
        <w:r>
          <w:rPr>
            <w:color w:val="1155CC"/>
            <w:highlight w:val="white"/>
            <w:u w:val="single"/>
          </w:rPr>
          <w:t>https://www.ft.com/content/0025347f-6e0c-4dbd-9762-e4eec0431050</w:t>
        </w:r>
      </w:hyperlink>
      <w:r>
        <w:rPr>
          <w:color w:val="222222"/>
          <w:highlight w:val="white"/>
        </w:rPr>
        <w:t>  (Accessed: 07 December 2023). </w:t>
      </w:r>
    </w:p>
    <w:p w14:paraId="5DDE058F" w14:textId="77777777" w:rsidR="002E1E98" w:rsidRDefault="00EB65A3">
      <w:pPr>
        <w:pStyle w:val="Normal1"/>
        <w:spacing w:line="360" w:lineRule="auto"/>
        <w:jc w:val="both"/>
      </w:pPr>
      <w:r>
        <w:rPr>
          <w:color w:val="222222"/>
          <w:highlight w:val="white"/>
        </w:rPr>
        <w:t xml:space="preserve">Frost, J., (2020). The economic forces driving fintech adoption across countries. </w:t>
      </w:r>
      <w:r>
        <w:rPr>
          <w:i/>
          <w:color w:val="222222"/>
          <w:highlight w:val="white"/>
        </w:rPr>
        <w:t xml:space="preserve">The technological revolution in financial services: how banks, </w:t>
      </w:r>
      <w:proofErr w:type="spellStart"/>
      <w:r>
        <w:rPr>
          <w:i/>
          <w:color w:val="222222"/>
          <w:highlight w:val="white"/>
        </w:rPr>
        <w:t>fintechs</w:t>
      </w:r>
      <w:proofErr w:type="spellEnd"/>
      <w:r>
        <w:rPr>
          <w:i/>
          <w:color w:val="222222"/>
          <w:highlight w:val="white"/>
        </w:rPr>
        <w:t>, and customers win together</w:t>
      </w:r>
      <w:r>
        <w:rPr>
          <w:color w:val="222222"/>
          <w:highlight w:val="white"/>
        </w:rPr>
        <w:t xml:space="preserve">, </w:t>
      </w:r>
      <w:r>
        <w:rPr>
          <w:i/>
          <w:color w:val="222222"/>
          <w:highlight w:val="white"/>
        </w:rPr>
        <w:t>838</w:t>
      </w:r>
      <w:r>
        <w:rPr>
          <w:color w:val="222222"/>
          <w:highlight w:val="white"/>
        </w:rPr>
        <w:t xml:space="preserve">, pp.70-89. Available at: </w:t>
      </w:r>
      <w:hyperlink r:id="rId24">
        <w:r>
          <w:rPr>
            <w:color w:val="1155CC"/>
            <w:highlight w:val="white"/>
            <w:u w:val="single"/>
          </w:rPr>
          <w:t>https://www.bis.org/publ/work838.pdf</w:t>
        </w:r>
      </w:hyperlink>
      <w:r>
        <w:rPr>
          <w:color w:val="222222"/>
          <w:highlight w:val="white"/>
        </w:rPr>
        <w:t xml:space="preserve"> (Accessed: 07 December 2023). </w:t>
      </w:r>
    </w:p>
    <w:p w14:paraId="298816B1" w14:textId="77777777" w:rsidR="002E1E98" w:rsidRDefault="00EB65A3">
      <w:pPr>
        <w:pStyle w:val="Normal1"/>
        <w:spacing w:line="360" w:lineRule="auto"/>
        <w:jc w:val="both"/>
      </w:pPr>
      <w:r>
        <w:rPr>
          <w:color w:val="222222"/>
          <w:highlight w:val="white"/>
        </w:rPr>
        <w:t xml:space="preserve">Fu, J. and Mishra, M. (2020). The global impact of COVID-19 on FinTech adoption. </w:t>
      </w:r>
      <w:r>
        <w:rPr>
          <w:i/>
          <w:color w:val="222222"/>
          <w:highlight w:val="white"/>
        </w:rPr>
        <w:t>Swiss Finance Institute Research Paper</w:t>
      </w:r>
      <w:r>
        <w:rPr>
          <w:color w:val="222222"/>
          <w:highlight w:val="white"/>
        </w:rPr>
        <w:t xml:space="preserve">, (20-38). Available at: </w:t>
      </w:r>
      <w:hyperlink r:id="rId25">
        <w:r>
          <w:rPr>
            <w:color w:val="1155CC"/>
            <w:highlight w:val="white"/>
            <w:u w:val="single"/>
          </w:rPr>
          <w:t>https://www.zora.uzh.ch/id/eprint/187776/1/SSRN-id3588453.pdf</w:t>
        </w:r>
      </w:hyperlink>
      <w:r>
        <w:rPr>
          <w:color w:val="222222"/>
          <w:highlight w:val="white"/>
        </w:rPr>
        <w:t xml:space="preserve"> (Accessed: 07 December 2023). </w:t>
      </w:r>
    </w:p>
    <w:p w14:paraId="64DB52AD" w14:textId="77777777" w:rsidR="002E1E98" w:rsidRDefault="00EB65A3">
      <w:pPr>
        <w:pStyle w:val="Normal1"/>
        <w:spacing w:line="360" w:lineRule="auto"/>
        <w:jc w:val="both"/>
      </w:pPr>
      <w:r>
        <w:rPr>
          <w:color w:val="222222"/>
          <w:highlight w:val="white"/>
        </w:rPr>
        <w:t xml:space="preserve">Gabor, D. and Brooks, S. (2020). The digital revolution in financial inclusion: international development in the fintech era. In </w:t>
      </w:r>
      <w:r>
        <w:rPr>
          <w:i/>
          <w:color w:val="222222"/>
          <w:highlight w:val="white"/>
        </w:rPr>
        <w:t xml:space="preserve">Material Cultures of </w:t>
      </w:r>
      <w:proofErr w:type="spellStart"/>
      <w:r>
        <w:rPr>
          <w:i/>
          <w:color w:val="222222"/>
          <w:highlight w:val="white"/>
        </w:rPr>
        <w:t>Financialisation</w:t>
      </w:r>
      <w:proofErr w:type="spellEnd"/>
      <w:r>
        <w:rPr>
          <w:color w:val="222222"/>
          <w:highlight w:val="white"/>
        </w:rPr>
        <w:t xml:space="preserve"> (pp. 69-82). Routledge. Available at: </w:t>
      </w:r>
      <w:hyperlink r:id="rId26">
        <w:r>
          <w:rPr>
            <w:color w:val="1155CC"/>
            <w:highlight w:val="white"/>
            <w:u w:val="single"/>
          </w:rPr>
          <w:t>https://eprints.whiterose.ac.uk/108610/3/DG_SBnpe28Nov2016.pdf</w:t>
        </w:r>
      </w:hyperlink>
      <w:r>
        <w:t xml:space="preserve"> </w:t>
      </w:r>
      <w:r>
        <w:rPr>
          <w:color w:val="000000"/>
        </w:rPr>
        <w:t>(Accessed: 07 December 2023). </w:t>
      </w:r>
    </w:p>
    <w:p w14:paraId="4CFF9089" w14:textId="77777777" w:rsidR="002E1E98" w:rsidRDefault="00EB65A3">
      <w:pPr>
        <w:pStyle w:val="Normal1"/>
        <w:spacing w:line="360" w:lineRule="auto"/>
        <w:jc w:val="both"/>
      </w:pPr>
      <w:r>
        <w:rPr>
          <w:color w:val="222222"/>
          <w:highlight w:val="white"/>
        </w:rPr>
        <w:lastRenderedPageBreak/>
        <w:t xml:space="preserve">Giaccone, S. C., &amp; Magnusson, M. (2022). Unveiling the role of risk‐taking in innovation: antecedents and effects. </w:t>
      </w:r>
      <w:r>
        <w:rPr>
          <w:i/>
          <w:color w:val="222222"/>
          <w:highlight w:val="white"/>
        </w:rPr>
        <w:t>R&amp;D Management</w:t>
      </w:r>
      <w:r>
        <w:rPr>
          <w:color w:val="222222"/>
          <w:highlight w:val="white"/>
        </w:rPr>
        <w:t xml:space="preserve">, </w:t>
      </w:r>
      <w:r>
        <w:rPr>
          <w:i/>
          <w:color w:val="222222"/>
          <w:highlight w:val="white"/>
        </w:rPr>
        <w:t>52</w:t>
      </w:r>
      <w:r>
        <w:rPr>
          <w:color w:val="222222"/>
          <w:highlight w:val="white"/>
        </w:rPr>
        <w:t xml:space="preserve">(1), 93-107. Available at: </w:t>
      </w:r>
      <w:hyperlink r:id="rId27">
        <w:r>
          <w:rPr>
            <w:color w:val="1155CC"/>
            <w:u w:val="single"/>
          </w:rPr>
          <w:t>https://doi.org/10.1111/radm.12477</w:t>
        </w:r>
      </w:hyperlink>
      <w:r>
        <w:t xml:space="preserve"> (Accessed: 07 December 2023)</w:t>
      </w:r>
    </w:p>
    <w:p w14:paraId="0358C1DF" w14:textId="77777777" w:rsidR="002E1E98" w:rsidRDefault="00EB65A3">
      <w:pPr>
        <w:pStyle w:val="Normal1"/>
        <w:spacing w:line="360" w:lineRule="auto"/>
        <w:jc w:val="both"/>
      </w:pPr>
      <w:r>
        <w:rPr>
          <w:color w:val="222222"/>
          <w:highlight w:val="white"/>
        </w:rPr>
        <w:t xml:space="preserve">Gomber, P., Kauffman, R.J., Parker, </w:t>
      </w:r>
      <w:proofErr w:type="gramStart"/>
      <w:r>
        <w:rPr>
          <w:color w:val="222222"/>
          <w:highlight w:val="white"/>
        </w:rPr>
        <w:t>C.</w:t>
      </w:r>
      <w:proofErr w:type="gramEnd"/>
      <w:r>
        <w:rPr>
          <w:color w:val="222222"/>
          <w:highlight w:val="white"/>
        </w:rPr>
        <w:t xml:space="preserve"> and Weber, B.W., (2018). On the fintech revolution: Interpreting the forces of innovation, disruption, and transformation in financial services. </w:t>
      </w:r>
      <w:r>
        <w:rPr>
          <w:i/>
          <w:color w:val="222222"/>
          <w:highlight w:val="white"/>
        </w:rPr>
        <w:t>Journal of Management Information Systems</w:t>
      </w:r>
      <w:r>
        <w:rPr>
          <w:color w:val="222222"/>
          <w:highlight w:val="white"/>
        </w:rPr>
        <w:t xml:space="preserve">, </w:t>
      </w:r>
      <w:r>
        <w:rPr>
          <w:i/>
          <w:color w:val="222222"/>
          <w:highlight w:val="white"/>
        </w:rPr>
        <w:t>35</w:t>
      </w:r>
      <w:r>
        <w:rPr>
          <w:color w:val="222222"/>
          <w:highlight w:val="white"/>
        </w:rPr>
        <w:t>(1), pp.220-265.Available at:</w:t>
      </w:r>
      <w:hyperlink r:id="rId28">
        <w:r>
          <w:rPr>
            <w:color w:val="1155CC"/>
            <w:highlight w:val="white"/>
            <w:u w:val="single"/>
          </w:rPr>
          <w:t>https://ink.library.smu.edu.sg/cgi/viewcontent.cgi?article=5277&amp;context=sis_research</w:t>
        </w:r>
      </w:hyperlink>
      <w:r>
        <w:rPr>
          <w:color w:val="222222"/>
          <w:highlight w:val="white"/>
        </w:rPr>
        <w:t xml:space="preserve"> (Accessed: 07 December 2023). </w:t>
      </w:r>
    </w:p>
    <w:p w14:paraId="7F124347" w14:textId="77777777" w:rsidR="002E1E98" w:rsidRDefault="00EB65A3">
      <w:pPr>
        <w:pStyle w:val="Normal1"/>
        <w:spacing w:line="360" w:lineRule="auto"/>
        <w:jc w:val="both"/>
      </w:pPr>
      <w:r>
        <w:rPr>
          <w:color w:val="222222"/>
          <w:highlight w:val="white"/>
        </w:rPr>
        <w:t xml:space="preserve">Harrison, R., Fischer, S., </w:t>
      </w:r>
      <w:proofErr w:type="spellStart"/>
      <w:r>
        <w:rPr>
          <w:color w:val="222222"/>
          <w:highlight w:val="white"/>
        </w:rPr>
        <w:t>Walpola</w:t>
      </w:r>
      <w:proofErr w:type="spellEnd"/>
      <w:r>
        <w:rPr>
          <w:color w:val="222222"/>
          <w:highlight w:val="white"/>
        </w:rPr>
        <w:t xml:space="preserve">, R.L., Chauhan, A., Babalola, T., Mears, S. and Le-Dao, H., (2021). Where do models for change management, improvement and implementation meet? A systematic review of the applications of change management models in healthcare. </w:t>
      </w:r>
      <w:r>
        <w:rPr>
          <w:i/>
          <w:color w:val="222222"/>
          <w:highlight w:val="white"/>
        </w:rPr>
        <w:t>Journal of healthcare leadership</w:t>
      </w:r>
      <w:r>
        <w:rPr>
          <w:color w:val="222222"/>
          <w:highlight w:val="white"/>
        </w:rPr>
        <w:t xml:space="preserve">, pp.85-108. Available at: </w:t>
      </w:r>
      <w:hyperlink r:id="rId29">
        <w:r>
          <w:rPr>
            <w:color w:val="1155CC"/>
            <w:u w:val="single"/>
          </w:rPr>
          <w:t>https://doi.org/10.2147/JHL.S289176</w:t>
        </w:r>
      </w:hyperlink>
      <w:r>
        <w:t xml:space="preserve"> (Accessed: 07 December 2023)</w:t>
      </w:r>
    </w:p>
    <w:p w14:paraId="7AABEEA1" w14:textId="77777777" w:rsidR="002E1E98" w:rsidRDefault="00EB65A3">
      <w:pPr>
        <w:pStyle w:val="Normal1"/>
        <w:spacing w:line="360" w:lineRule="auto"/>
        <w:jc w:val="both"/>
      </w:pPr>
      <w:proofErr w:type="spellStart"/>
      <w:r>
        <w:rPr>
          <w:color w:val="222222"/>
          <w:highlight w:val="white"/>
        </w:rPr>
        <w:t>Jakšič</w:t>
      </w:r>
      <w:proofErr w:type="spellEnd"/>
      <w:r>
        <w:rPr>
          <w:color w:val="222222"/>
          <w:highlight w:val="white"/>
        </w:rPr>
        <w:t xml:space="preserve">, M., &amp; </w:t>
      </w:r>
      <w:proofErr w:type="spellStart"/>
      <w:r>
        <w:rPr>
          <w:color w:val="222222"/>
          <w:highlight w:val="white"/>
        </w:rPr>
        <w:t>Marinč</w:t>
      </w:r>
      <w:proofErr w:type="spellEnd"/>
      <w:r>
        <w:rPr>
          <w:color w:val="222222"/>
          <w:highlight w:val="white"/>
        </w:rPr>
        <w:t xml:space="preserve">, M. (2019). Relationship banking and information technology: The role of artificial intelligence and FinTech. </w:t>
      </w:r>
      <w:r>
        <w:rPr>
          <w:i/>
          <w:color w:val="222222"/>
          <w:highlight w:val="white"/>
        </w:rPr>
        <w:t>Risk Management</w:t>
      </w:r>
      <w:r>
        <w:rPr>
          <w:color w:val="222222"/>
          <w:highlight w:val="white"/>
        </w:rPr>
        <w:t xml:space="preserve">, </w:t>
      </w:r>
      <w:r>
        <w:rPr>
          <w:i/>
          <w:color w:val="222222"/>
          <w:highlight w:val="white"/>
        </w:rPr>
        <w:t>21</w:t>
      </w:r>
      <w:r>
        <w:rPr>
          <w:color w:val="222222"/>
          <w:highlight w:val="white"/>
        </w:rPr>
        <w:t xml:space="preserve">, 1-18. Available at: </w:t>
      </w:r>
      <w:hyperlink r:id="rId30">
        <w:r>
          <w:rPr>
            <w:color w:val="1155CC"/>
            <w:u w:val="single"/>
          </w:rPr>
          <w:t>https://doi.org/10.1057/s41283-018-0039-y</w:t>
        </w:r>
      </w:hyperlink>
      <w:r>
        <w:t xml:space="preserve"> (Accessed: 07 December 2023)</w:t>
      </w:r>
    </w:p>
    <w:p w14:paraId="30EE8FCC" w14:textId="77777777" w:rsidR="002E1E98" w:rsidRDefault="00EB65A3">
      <w:pPr>
        <w:pStyle w:val="Normal1"/>
        <w:spacing w:line="360" w:lineRule="auto"/>
        <w:jc w:val="both"/>
      </w:pPr>
      <w:r>
        <w:rPr>
          <w:color w:val="222222"/>
          <w:highlight w:val="white"/>
        </w:rPr>
        <w:t xml:space="preserve">Kadir, A., </w:t>
      </w:r>
      <w:proofErr w:type="spellStart"/>
      <w:r>
        <w:rPr>
          <w:color w:val="222222"/>
          <w:highlight w:val="white"/>
        </w:rPr>
        <w:t>AlHosani</w:t>
      </w:r>
      <w:proofErr w:type="spellEnd"/>
      <w:r>
        <w:rPr>
          <w:color w:val="222222"/>
          <w:highlight w:val="white"/>
        </w:rPr>
        <w:t xml:space="preserve">, A.H., Ismail, F. and Sehan, N., (2019), September. The effect of compensation and benefits towards employee performance. In </w:t>
      </w:r>
      <w:r>
        <w:rPr>
          <w:i/>
          <w:color w:val="222222"/>
          <w:highlight w:val="white"/>
        </w:rPr>
        <w:t>Proceedings of the 1st Asian Conference on Humanities, Industry, and Technology for Society, ACHITS 2019, 30-31 July 2019, Surabaya, Indonesia</w:t>
      </w:r>
      <w:r>
        <w:rPr>
          <w:color w:val="222222"/>
          <w:highlight w:val="white"/>
        </w:rPr>
        <w:t xml:space="preserve">. Available at: </w:t>
      </w:r>
      <w:hyperlink r:id="rId31">
        <w:r>
          <w:rPr>
            <w:color w:val="1155CC"/>
            <w:highlight w:val="white"/>
            <w:u w:val="single"/>
          </w:rPr>
          <w:t>https://eudl.eu/pdf/10.4108/eai.30-7-2019.2287551</w:t>
        </w:r>
      </w:hyperlink>
      <w:r>
        <w:rPr>
          <w:color w:val="222222"/>
          <w:highlight w:val="white"/>
        </w:rPr>
        <w:t xml:space="preserve"> (Accessed: 07 December 2023).</w:t>
      </w:r>
    </w:p>
    <w:p w14:paraId="4B0F61F2" w14:textId="77777777" w:rsidR="002E1E98" w:rsidRDefault="00EB65A3">
      <w:pPr>
        <w:pStyle w:val="Normal1"/>
        <w:spacing w:line="360" w:lineRule="auto"/>
        <w:jc w:val="both"/>
      </w:pPr>
      <w:proofErr w:type="spellStart"/>
      <w:r>
        <w:rPr>
          <w:color w:val="222222"/>
          <w:highlight w:val="white"/>
        </w:rPr>
        <w:t>Khassawneh</w:t>
      </w:r>
      <w:proofErr w:type="spellEnd"/>
      <w:r>
        <w:rPr>
          <w:color w:val="222222"/>
          <w:highlight w:val="white"/>
        </w:rPr>
        <w:t xml:space="preserve">, O. and </w:t>
      </w:r>
      <w:proofErr w:type="spellStart"/>
      <w:r>
        <w:rPr>
          <w:color w:val="222222"/>
          <w:highlight w:val="white"/>
        </w:rPr>
        <w:t>Elrehail</w:t>
      </w:r>
      <w:proofErr w:type="spellEnd"/>
      <w:r>
        <w:rPr>
          <w:color w:val="222222"/>
          <w:highlight w:val="white"/>
        </w:rPr>
        <w:t xml:space="preserve">, H., (2022). The effect of participative leadership style on employees’ performance: The contingent role of institutional theory. </w:t>
      </w:r>
      <w:r>
        <w:rPr>
          <w:i/>
          <w:color w:val="222222"/>
          <w:highlight w:val="white"/>
        </w:rPr>
        <w:t>Administrative Sciences</w:t>
      </w:r>
      <w:r>
        <w:rPr>
          <w:color w:val="222222"/>
          <w:highlight w:val="white"/>
        </w:rPr>
        <w:t xml:space="preserve">, </w:t>
      </w:r>
      <w:r>
        <w:rPr>
          <w:i/>
          <w:color w:val="222222"/>
          <w:highlight w:val="white"/>
        </w:rPr>
        <w:t>12</w:t>
      </w:r>
      <w:r>
        <w:rPr>
          <w:color w:val="222222"/>
          <w:highlight w:val="white"/>
        </w:rPr>
        <w:t xml:space="preserve">(4), p.195. Available at: </w:t>
      </w:r>
      <w:hyperlink r:id="rId32">
        <w:r>
          <w:rPr>
            <w:color w:val="1155CC"/>
            <w:u w:val="single"/>
          </w:rPr>
          <w:t>https://doi.org/10.3390/admsci12040195</w:t>
        </w:r>
      </w:hyperlink>
      <w:r>
        <w:t xml:space="preserve"> (Accessed: 07 December 2023)</w:t>
      </w:r>
    </w:p>
    <w:p w14:paraId="282D5CC7" w14:textId="77777777" w:rsidR="002E1E98" w:rsidRDefault="00EB65A3">
      <w:pPr>
        <w:pStyle w:val="Normal1"/>
        <w:spacing w:line="360" w:lineRule="auto"/>
        <w:jc w:val="both"/>
      </w:pPr>
      <w:r>
        <w:rPr>
          <w:color w:val="222222"/>
          <w:highlight w:val="white"/>
        </w:rPr>
        <w:t xml:space="preserve">Laig, R.B.D. and Abocejo, F.T., (2021). Change management process in a mining company: Kotter’s 8-Step change model. </w:t>
      </w:r>
      <w:r>
        <w:rPr>
          <w:i/>
          <w:color w:val="222222"/>
          <w:highlight w:val="white"/>
        </w:rPr>
        <w:t>Journal of Management, Economics, and Industrial Organization</w:t>
      </w:r>
      <w:r>
        <w:rPr>
          <w:color w:val="222222"/>
          <w:highlight w:val="white"/>
        </w:rPr>
        <w:t xml:space="preserve">, </w:t>
      </w:r>
      <w:r>
        <w:rPr>
          <w:i/>
          <w:color w:val="222222"/>
          <w:highlight w:val="white"/>
        </w:rPr>
        <w:t>5</w:t>
      </w:r>
      <w:r>
        <w:rPr>
          <w:color w:val="222222"/>
          <w:highlight w:val="white"/>
        </w:rPr>
        <w:t xml:space="preserve">(3), pp.31-50. Available at: </w:t>
      </w:r>
      <w:hyperlink r:id="rId33">
        <w:r>
          <w:rPr>
            <w:color w:val="1155CC"/>
            <w:u w:val="single"/>
          </w:rPr>
          <w:t>https://jomeino.com/sites/default/files/paper_attachment/Change%20Management%20Project%20in%20a%20Mining%20Company.pdf</w:t>
        </w:r>
      </w:hyperlink>
      <w:r>
        <w:t xml:space="preserve"> (Accessed: 07 December 2023)</w:t>
      </w:r>
    </w:p>
    <w:p w14:paraId="6F4D0C4A" w14:textId="77777777" w:rsidR="002E1E98" w:rsidRDefault="00EB65A3">
      <w:pPr>
        <w:pStyle w:val="Normal1"/>
        <w:spacing w:line="360" w:lineRule="auto"/>
        <w:jc w:val="both"/>
      </w:pPr>
      <w:r>
        <w:rPr>
          <w:color w:val="222222"/>
          <w:highlight w:val="white"/>
        </w:rPr>
        <w:t xml:space="preserve">Moccia, S., García, M. R., &amp; Tomic, I. (2021). Fintech strategy: e-reputation. </w:t>
      </w:r>
      <w:r>
        <w:rPr>
          <w:i/>
          <w:color w:val="222222"/>
          <w:highlight w:val="white"/>
        </w:rPr>
        <w:t>International Journal of Intellectual Property Management</w:t>
      </w:r>
      <w:r>
        <w:rPr>
          <w:color w:val="222222"/>
          <w:highlight w:val="white"/>
        </w:rPr>
        <w:t xml:space="preserve">, </w:t>
      </w:r>
      <w:r>
        <w:rPr>
          <w:i/>
          <w:color w:val="222222"/>
          <w:highlight w:val="white"/>
        </w:rPr>
        <w:t>11</w:t>
      </w:r>
      <w:r>
        <w:rPr>
          <w:color w:val="222222"/>
          <w:highlight w:val="white"/>
        </w:rPr>
        <w:t xml:space="preserve">(1), 38-53. Available at: </w:t>
      </w:r>
      <w:hyperlink r:id="rId34">
        <w:r>
          <w:rPr>
            <w:color w:val="1155CC"/>
            <w:u w:val="single"/>
          </w:rPr>
          <w:t>https://doi.org/10.1504/IJIPM.2021.113367</w:t>
        </w:r>
      </w:hyperlink>
      <w:r>
        <w:t xml:space="preserve"> (Accessed: 07 December 2023)</w:t>
      </w:r>
    </w:p>
    <w:p w14:paraId="79DD7674" w14:textId="77777777" w:rsidR="002E1E98" w:rsidRDefault="00EB65A3">
      <w:pPr>
        <w:pStyle w:val="Normal1"/>
        <w:pBdr>
          <w:top w:val="nil"/>
          <w:left w:val="nil"/>
          <w:bottom w:val="nil"/>
          <w:right w:val="nil"/>
          <w:between w:val="nil"/>
        </w:pBdr>
        <w:spacing w:line="360" w:lineRule="auto"/>
        <w:jc w:val="both"/>
        <w:rPr>
          <w:color w:val="000000"/>
        </w:rPr>
      </w:pPr>
      <w:r>
        <w:rPr>
          <w:color w:val="222222"/>
          <w:highlight w:val="white"/>
        </w:rPr>
        <w:lastRenderedPageBreak/>
        <w:t xml:space="preserve">Munteanu, V.P. and Dragos, P., (2021). The case for agile methodologies against traditional ones in financial software projects. </w:t>
      </w:r>
      <w:r>
        <w:rPr>
          <w:i/>
          <w:color w:val="222222"/>
          <w:highlight w:val="white"/>
        </w:rPr>
        <w:t>European Journal of Business and Management Research</w:t>
      </w:r>
      <w:r>
        <w:rPr>
          <w:color w:val="222222"/>
          <w:highlight w:val="white"/>
        </w:rPr>
        <w:t xml:space="preserve">, </w:t>
      </w:r>
      <w:r>
        <w:rPr>
          <w:i/>
          <w:color w:val="222222"/>
          <w:highlight w:val="white"/>
        </w:rPr>
        <w:t>6</w:t>
      </w:r>
      <w:r>
        <w:rPr>
          <w:color w:val="222222"/>
          <w:highlight w:val="white"/>
        </w:rPr>
        <w:t xml:space="preserve">(1), pp.134-141. Available at: </w:t>
      </w:r>
      <w:hyperlink r:id="rId35">
        <w:r>
          <w:rPr>
            <w:color w:val="1155CC"/>
            <w:highlight w:val="white"/>
            <w:u w:val="single"/>
          </w:rPr>
          <w:t>https://ejbmr.org/index.php/ejbmr/article/download/741/411</w:t>
        </w:r>
      </w:hyperlink>
      <w:r>
        <w:rPr>
          <w:color w:val="222222"/>
          <w:highlight w:val="white"/>
        </w:rPr>
        <w:t xml:space="preserve"> [Accessed on: 7 December 2023]</w:t>
      </w:r>
    </w:p>
    <w:p w14:paraId="40163ED8" w14:textId="77777777" w:rsidR="002E1E98" w:rsidRDefault="00EB65A3">
      <w:pPr>
        <w:pStyle w:val="Normal1"/>
        <w:spacing w:line="360" w:lineRule="auto"/>
        <w:jc w:val="both"/>
      </w:pPr>
      <w:r>
        <w:rPr>
          <w:color w:val="222222"/>
          <w:highlight w:val="white"/>
        </w:rPr>
        <w:t xml:space="preserve">Nguyen, B. (2019). Marketing Communications Plan for a Fintech company. Case: </w:t>
      </w:r>
      <w:proofErr w:type="spellStart"/>
      <w:r>
        <w:rPr>
          <w:color w:val="222222"/>
          <w:highlight w:val="white"/>
        </w:rPr>
        <w:t>Rundit</w:t>
      </w:r>
      <w:proofErr w:type="spellEnd"/>
      <w:r>
        <w:rPr>
          <w:color w:val="222222"/>
          <w:highlight w:val="white"/>
        </w:rPr>
        <w:t xml:space="preserve"> Oy. Available at: </w:t>
      </w:r>
      <w:hyperlink r:id="rId36">
        <w:r>
          <w:rPr>
            <w:color w:val="1155CC"/>
            <w:u w:val="single"/>
          </w:rPr>
          <w:t>https://www.theseus.fi/bitstream/handle/10024/267265/Bang%20Nguyen%20-%20Laurea%20Thesis.pdf?sequence=2</w:t>
        </w:r>
      </w:hyperlink>
      <w:r>
        <w:t xml:space="preserve"> (Accessed: 07 December 2023)</w:t>
      </w:r>
    </w:p>
    <w:p w14:paraId="3075C44E" w14:textId="77777777" w:rsidR="002E1E98" w:rsidRDefault="00EB65A3">
      <w:pPr>
        <w:pStyle w:val="Normal1"/>
        <w:spacing w:line="360" w:lineRule="auto"/>
        <w:jc w:val="both"/>
      </w:pPr>
      <w:proofErr w:type="spellStart"/>
      <w:r>
        <w:rPr>
          <w:color w:val="222222"/>
          <w:highlight w:val="white"/>
        </w:rPr>
        <w:t>Oducado</w:t>
      </w:r>
      <w:proofErr w:type="spellEnd"/>
      <w:r>
        <w:rPr>
          <w:color w:val="222222"/>
          <w:highlight w:val="white"/>
        </w:rPr>
        <w:t xml:space="preserve">, R.M., (2020). Faculty perception toward online education in a state college in the Philippines during the coronavirus disease 19 (COVID-19) pandemic. </w:t>
      </w:r>
      <w:r>
        <w:rPr>
          <w:i/>
          <w:color w:val="222222"/>
          <w:highlight w:val="white"/>
        </w:rPr>
        <w:t>Universal Journal of Educational Research</w:t>
      </w:r>
      <w:r>
        <w:rPr>
          <w:color w:val="222222"/>
          <w:highlight w:val="white"/>
        </w:rPr>
        <w:t xml:space="preserve">, </w:t>
      </w:r>
      <w:r>
        <w:rPr>
          <w:i/>
          <w:color w:val="222222"/>
          <w:highlight w:val="white"/>
        </w:rPr>
        <w:t xml:space="preserve">8 </w:t>
      </w:r>
      <w:r>
        <w:rPr>
          <w:color w:val="222222"/>
          <w:highlight w:val="white"/>
        </w:rPr>
        <w:t xml:space="preserve">(10), pp.4736-4742.Available at: </w:t>
      </w:r>
      <w:hyperlink r:id="rId37">
        <w:r>
          <w:rPr>
            <w:color w:val="1155CC"/>
            <w:highlight w:val="white"/>
            <w:u w:val="single"/>
          </w:rPr>
          <w:t>https://hal.science/hal-02968006/document</w:t>
        </w:r>
      </w:hyperlink>
      <w:r>
        <w:rPr>
          <w:color w:val="222222"/>
          <w:highlight w:val="white"/>
        </w:rPr>
        <w:t>  </w:t>
      </w:r>
    </w:p>
    <w:p w14:paraId="30F8A407" w14:textId="77777777" w:rsidR="002E1E98" w:rsidRDefault="00EB65A3">
      <w:pPr>
        <w:pStyle w:val="Normal1"/>
        <w:spacing w:line="360" w:lineRule="auto"/>
        <w:jc w:val="both"/>
        <w:rPr>
          <w:b/>
          <w:color w:val="222222"/>
          <w:highlight w:val="white"/>
        </w:rPr>
      </w:pPr>
      <w:r>
        <w:rPr>
          <w:color w:val="222222"/>
          <w:highlight w:val="white"/>
        </w:rPr>
        <w:t xml:space="preserve">Oh, S., Park, M. J., Kim, T. Y., &amp; Shin, J. (2023). Marketing strategies for fintech companies: text data analysis of social media posts. </w:t>
      </w:r>
      <w:r>
        <w:rPr>
          <w:i/>
          <w:color w:val="222222"/>
          <w:highlight w:val="white"/>
        </w:rPr>
        <w:t>Management Decision</w:t>
      </w:r>
      <w:r>
        <w:rPr>
          <w:color w:val="222222"/>
          <w:highlight w:val="white"/>
        </w:rPr>
        <w:t xml:space="preserve">, </w:t>
      </w:r>
      <w:r>
        <w:rPr>
          <w:i/>
          <w:color w:val="222222"/>
          <w:highlight w:val="white"/>
        </w:rPr>
        <w:t>61</w:t>
      </w:r>
      <w:r>
        <w:rPr>
          <w:color w:val="222222"/>
          <w:highlight w:val="white"/>
        </w:rPr>
        <w:t xml:space="preserve">(1), 243-268. Available at: </w:t>
      </w:r>
      <w:hyperlink r:id="rId38">
        <w:r>
          <w:rPr>
            <w:color w:val="1155CC"/>
            <w:u w:val="single"/>
          </w:rPr>
          <w:t>https://doi.org/10.1108/MD-09-2021-1183</w:t>
        </w:r>
      </w:hyperlink>
      <w:r>
        <w:t xml:space="preserve"> (Accessed: 07 December 2023)</w:t>
      </w:r>
    </w:p>
    <w:p w14:paraId="4DB96327" w14:textId="77777777" w:rsidR="002E1E98" w:rsidRDefault="00EB65A3">
      <w:pPr>
        <w:pStyle w:val="Normal1"/>
        <w:spacing w:line="360" w:lineRule="auto"/>
        <w:jc w:val="both"/>
      </w:pPr>
      <w:proofErr w:type="spellStart"/>
      <w:r>
        <w:t>Ossiannilsson</w:t>
      </w:r>
      <w:proofErr w:type="spellEnd"/>
      <w:r>
        <w:t xml:space="preserve">, Ebba. (2018). Visionary Leadership for Digital Transformation: In a Time when Learners Take Ownership of Their Learning. Available at: </w:t>
      </w:r>
      <w:hyperlink r:id="rId39">
        <w:r>
          <w:rPr>
            <w:color w:val="1155CC"/>
            <w:u w:val="single"/>
          </w:rPr>
          <w:t>https://www.researchgate.net/publication/327797500_Visionary_Leadership_for_Digital_Transformation_In_a_Time_when_Learners_Take_Ownership_of_Their_Learning/download?_tp=eyJjb250ZXh0Ijp7ImZpcnN0UGFnZSI6Il9kaXJlY3QiLCJwYWdlIjoiX2RpcmVjdCJ9fQ</w:t>
        </w:r>
      </w:hyperlink>
      <w:r>
        <w:t xml:space="preserve"> (Accessed: 07 December 2023)</w:t>
      </w:r>
    </w:p>
    <w:p w14:paraId="5C1DBB5D" w14:textId="77777777" w:rsidR="002E1E98" w:rsidRDefault="00EB65A3">
      <w:pPr>
        <w:pStyle w:val="Normal1"/>
        <w:spacing w:line="360" w:lineRule="auto"/>
        <w:jc w:val="both"/>
      </w:pPr>
      <w:proofErr w:type="spellStart"/>
      <w:r>
        <w:rPr>
          <w:color w:val="222222"/>
          <w:highlight w:val="white"/>
        </w:rPr>
        <w:t>Paramitha</w:t>
      </w:r>
      <w:proofErr w:type="spellEnd"/>
      <w:r>
        <w:rPr>
          <w:color w:val="222222"/>
          <w:highlight w:val="white"/>
        </w:rPr>
        <w:t xml:space="preserve">, T.A., </w:t>
      </w:r>
      <w:proofErr w:type="spellStart"/>
      <w:r>
        <w:rPr>
          <w:color w:val="222222"/>
          <w:highlight w:val="white"/>
        </w:rPr>
        <w:t>Tobing</w:t>
      </w:r>
      <w:proofErr w:type="spellEnd"/>
      <w:r>
        <w:rPr>
          <w:color w:val="222222"/>
          <w:highlight w:val="white"/>
        </w:rPr>
        <w:t xml:space="preserve">, D.K. and Suroso, I. (2020). ADKAR Model to Manage Organisational Change. </w:t>
      </w:r>
      <w:r>
        <w:rPr>
          <w:i/>
          <w:color w:val="222222"/>
          <w:highlight w:val="white"/>
        </w:rPr>
        <w:t>International Journal of Research Science and Management</w:t>
      </w:r>
      <w:r>
        <w:rPr>
          <w:color w:val="222222"/>
          <w:highlight w:val="white"/>
        </w:rPr>
        <w:t xml:space="preserve">, </w:t>
      </w:r>
      <w:r>
        <w:rPr>
          <w:i/>
          <w:color w:val="222222"/>
          <w:highlight w:val="white"/>
        </w:rPr>
        <w:t>7</w:t>
      </w:r>
      <w:r>
        <w:rPr>
          <w:color w:val="222222"/>
          <w:highlight w:val="white"/>
        </w:rPr>
        <w:t xml:space="preserve">(1), pp.141-149. Available at: </w:t>
      </w:r>
      <w:hyperlink r:id="rId40">
        <w:r>
          <w:rPr>
            <w:color w:val="1155CC"/>
            <w:u w:val="single"/>
          </w:rPr>
          <w:t>http://ijrsm.com/index.php/journal-ijrsm/article/download/80/78</w:t>
        </w:r>
      </w:hyperlink>
      <w:r>
        <w:t xml:space="preserve"> (Accessed: 07 December 2023)</w:t>
      </w:r>
    </w:p>
    <w:p w14:paraId="7BA9C3B6" w14:textId="77777777" w:rsidR="002E1E98" w:rsidRDefault="00EB65A3">
      <w:pPr>
        <w:pStyle w:val="Normal1"/>
        <w:spacing w:line="360" w:lineRule="auto"/>
        <w:jc w:val="both"/>
      </w:pPr>
      <w:proofErr w:type="spellStart"/>
      <w:r>
        <w:rPr>
          <w:color w:val="222222"/>
          <w:highlight w:val="white"/>
        </w:rPr>
        <w:t>Pauliukevičienė</w:t>
      </w:r>
      <w:proofErr w:type="spellEnd"/>
      <w:r>
        <w:rPr>
          <w:color w:val="222222"/>
          <w:highlight w:val="white"/>
        </w:rPr>
        <w:t xml:space="preserve">, G. and </w:t>
      </w:r>
      <w:proofErr w:type="spellStart"/>
      <w:r>
        <w:rPr>
          <w:color w:val="222222"/>
          <w:highlight w:val="white"/>
        </w:rPr>
        <w:t>Stankevičienė</w:t>
      </w:r>
      <w:proofErr w:type="spellEnd"/>
      <w:r>
        <w:rPr>
          <w:color w:val="222222"/>
          <w:highlight w:val="white"/>
        </w:rPr>
        <w:t xml:space="preserve">, J., (2021). Assessment of the impact of external environment on FinTech development. </w:t>
      </w:r>
      <w:r>
        <w:rPr>
          <w:i/>
          <w:color w:val="222222"/>
          <w:highlight w:val="white"/>
        </w:rPr>
        <w:t>Contemporary Issues in Business, Management and Economics Engineering</w:t>
      </w:r>
      <w:r>
        <w:rPr>
          <w:color w:val="222222"/>
          <w:highlight w:val="white"/>
        </w:rPr>
        <w:t xml:space="preserve">, pp.321-330.Available at: </w:t>
      </w:r>
      <w:hyperlink r:id="rId41">
        <w:r>
          <w:rPr>
            <w:color w:val="1155CC"/>
            <w:highlight w:val="white"/>
            <w:u w:val="single"/>
          </w:rPr>
          <w:t>https://etalpykla.lituanistika.lt/object/LT-LDB-0001:J.04~2021~1657555625373/J.04~2021~1657555625373.pdf</w:t>
        </w:r>
      </w:hyperlink>
      <w:r>
        <w:rPr>
          <w:color w:val="222222"/>
          <w:highlight w:val="white"/>
        </w:rPr>
        <w:t xml:space="preserve"> (Accessed: 07 December 2023). </w:t>
      </w:r>
    </w:p>
    <w:p w14:paraId="3AC610A8" w14:textId="77777777" w:rsidR="002E1E98" w:rsidRDefault="00EB65A3">
      <w:pPr>
        <w:pStyle w:val="Normal1"/>
        <w:pBdr>
          <w:top w:val="nil"/>
          <w:left w:val="nil"/>
          <w:bottom w:val="nil"/>
          <w:right w:val="nil"/>
          <w:between w:val="nil"/>
        </w:pBdr>
        <w:spacing w:line="360" w:lineRule="auto"/>
        <w:jc w:val="both"/>
        <w:rPr>
          <w:color w:val="000000"/>
        </w:rPr>
      </w:pPr>
      <w:r>
        <w:rPr>
          <w:color w:val="222222"/>
          <w:highlight w:val="white"/>
        </w:rPr>
        <w:t xml:space="preserve">Pedrini, M. and Ferri, L.M., (2019). Stakeholder management: a systematic literature review. </w:t>
      </w:r>
      <w:r>
        <w:rPr>
          <w:i/>
          <w:color w:val="222222"/>
          <w:highlight w:val="white"/>
        </w:rPr>
        <w:t>Corporate Governance: The International Journal of Business in Society</w:t>
      </w:r>
      <w:r>
        <w:rPr>
          <w:color w:val="222222"/>
          <w:highlight w:val="white"/>
        </w:rPr>
        <w:t xml:space="preserve">, </w:t>
      </w:r>
      <w:r>
        <w:rPr>
          <w:i/>
          <w:color w:val="222222"/>
          <w:highlight w:val="white"/>
        </w:rPr>
        <w:t>19</w:t>
      </w:r>
      <w:r>
        <w:rPr>
          <w:color w:val="222222"/>
          <w:highlight w:val="white"/>
        </w:rPr>
        <w:t xml:space="preserve">(1), pp.44-59. Available at: </w:t>
      </w:r>
      <w:hyperlink r:id="rId42">
        <w:r>
          <w:rPr>
            <w:color w:val="1155CC"/>
            <w:highlight w:val="white"/>
            <w:u w:val="single"/>
          </w:rPr>
          <w:t>https://scholar.archive.org/work/7zot3thz7ndkrp2tszxeko5p5i/access/wayback/https://www.emer</w:t>
        </w:r>
        <w:r>
          <w:rPr>
            <w:color w:val="1155CC"/>
            <w:highlight w:val="white"/>
            <w:u w:val="single"/>
          </w:rPr>
          <w:lastRenderedPageBreak/>
          <w:t>ald.com/insight/content/doi/10.1108/CG-08-2017-0172/full/pdf?title=stakeholder-management-a-systematic-literature-review</w:t>
        </w:r>
      </w:hyperlink>
      <w:r>
        <w:rPr>
          <w:color w:val="222222"/>
          <w:highlight w:val="white"/>
        </w:rPr>
        <w:t xml:space="preserve"> [Accessed on: 7 December 2023]</w:t>
      </w:r>
    </w:p>
    <w:p w14:paraId="5B79DA77" w14:textId="77777777" w:rsidR="002E1E98" w:rsidRDefault="00EB65A3">
      <w:pPr>
        <w:pStyle w:val="Normal1"/>
        <w:spacing w:line="360" w:lineRule="auto"/>
        <w:jc w:val="both"/>
      </w:pPr>
      <w:proofErr w:type="spellStart"/>
      <w:r>
        <w:rPr>
          <w:color w:val="222222"/>
          <w:highlight w:val="white"/>
        </w:rPr>
        <w:t>Revolut</w:t>
      </w:r>
      <w:proofErr w:type="spellEnd"/>
      <w:r>
        <w:rPr>
          <w:i/>
          <w:color w:val="222222"/>
          <w:highlight w:val="white"/>
        </w:rPr>
        <w:t>.</w:t>
      </w:r>
      <w:r>
        <w:rPr>
          <w:color w:val="222222"/>
          <w:highlight w:val="white"/>
        </w:rPr>
        <w:t xml:space="preserve"> (2021) Financial statements. Available at: </w:t>
      </w:r>
      <w:hyperlink r:id="rId43">
        <w:r>
          <w:rPr>
            <w:color w:val="1155CC"/>
            <w:highlight w:val="white"/>
            <w:u w:val="single"/>
          </w:rPr>
          <w:t>https://www.revolut.com/financial-statements/</w:t>
        </w:r>
      </w:hyperlink>
      <w:proofErr w:type="gramStart"/>
      <w:r>
        <w:rPr>
          <w:color w:val="222222"/>
          <w:highlight w:val="white"/>
        </w:rPr>
        <w:t xml:space="preserve">   (</w:t>
      </w:r>
      <w:proofErr w:type="gramEnd"/>
      <w:r>
        <w:rPr>
          <w:color w:val="222222"/>
          <w:highlight w:val="white"/>
        </w:rPr>
        <w:t>Accessed: 07 December 2023). </w:t>
      </w:r>
    </w:p>
    <w:p w14:paraId="6CBEF479" w14:textId="77777777" w:rsidR="002E1E98" w:rsidRDefault="00EB65A3">
      <w:pPr>
        <w:pStyle w:val="Normal1"/>
        <w:spacing w:line="360" w:lineRule="auto"/>
        <w:jc w:val="both"/>
      </w:pPr>
      <w:proofErr w:type="spellStart"/>
      <w:r>
        <w:rPr>
          <w:color w:val="222222"/>
          <w:highlight w:val="white"/>
        </w:rPr>
        <w:t>Revolut</w:t>
      </w:r>
      <w:proofErr w:type="spellEnd"/>
      <w:r>
        <w:rPr>
          <w:color w:val="222222"/>
          <w:highlight w:val="white"/>
        </w:rPr>
        <w:t>.</w:t>
      </w:r>
      <w:r>
        <w:rPr>
          <w:i/>
          <w:color w:val="222222"/>
          <w:highlight w:val="white"/>
        </w:rPr>
        <w:t xml:space="preserve"> </w:t>
      </w:r>
      <w:r>
        <w:rPr>
          <w:color w:val="222222"/>
          <w:highlight w:val="white"/>
        </w:rPr>
        <w:t xml:space="preserve">(2023). Sustainability. Available at: </w:t>
      </w:r>
      <w:hyperlink r:id="rId44">
        <w:r>
          <w:rPr>
            <w:color w:val="1155CC"/>
            <w:highlight w:val="white"/>
            <w:u w:val="single"/>
          </w:rPr>
          <w:t>https://www.revolut.com/sustainability/</w:t>
        </w:r>
      </w:hyperlink>
      <w:r>
        <w:rPr>
          <w:color w:val="222222"/>
          <w:highlight w:val="white"/>
        </w:rPr>
        <w:t>  (Accessed: 07 December 2023). </w:t>
      </w:r>
    </w:p>
    <w:p w14:paraId="74B5BFB6" w14:textId="77777777" w:rsidR="002E1E98" w:rsidRDefault="00EB65A3">
      <w:pPr>
        <w:pStyle w:val="Normal1"/>
        <w:spacing w:line="360" w:lineRule="auto"/>
        <w:jc w:val="both"/>
      </w:pPr>
      <w:proofErr w:type="spellStart"/>
      <w:r>
        <w:rPr>
          <w:color w:val="222222"/>
          <w:highlight w:val="white"/>
        </w:rPr>
        <w:t>Revolut</w:t>
      </w:r>
      <w:proofErr w:type="spellEnd"/>
      <w:r>
        <w:rPr>
          <w:color w:val="222222"/>
          <w:highlight w:val="white"/>
        </w:rPr>
        <w:t xml:space="preserve">. (2023). Diversity &amp; Inclusion. Available at: </w:t>
      </w:r>
      <w:hyperlink r:id="rId45">
        <w:r>
          <w:rPr>
            <w:color w:val="1155CC"/>
            <w:highlight w:val="white"/>
            <w:u w:val="single"/>
          </w:rPr>
          <w:t>https://www.revolut.com/diversity-inclusion/</w:t>
        </w:r>
      </w:hyperlink>
      <w:r>
        <w:rPr>
          <w:color w:val="222222"/>
          <w:highlight w:val="white"/>
        </w:rPr>
        <w:t>  (Accessed: 07 December 2023). </w:t>
      </w:r>
    </w:p>
    <w:p w14:paraId="7B88AFC3" w14:textId="77777777" w:rsidR="002E1E98" w:rsidRDefault="00EB65A3">
      <w:pPr>
        <w:pStyle w:val="Normal1"/>
        <w:spacing w:line="360" w:lineRule="auto"/>
        <w:jc w:val="both"/>
      </w:pPr>
      <w:r>
        <w:rPr>
          <w:color w:val="222222"/>
          <w:highlight w:val="white"/>
        </w:rPr>
        <w:t xml:space="preserve">Swartbooi, A. (2021). </w:t>
      </w:r>
      <w:r>
        <w:rPr>
          <w:i/>
          <w:color w:val="222222"/>
          <w:highlight w:val="white"/>
        </w:rPr>
        <w:t>Customer centricity in enhancing organisational objectives at a selected government parastatal</w:t>
      </w:r>
      <w:r>
        <w:rPr>
          <w:color w:val="222222"/>
          <w:highlight w:val="white"/>
        </w:rPr>
        <w:t xml:space="preserve"> (Doctoral dissertation). Available at: </w:t>
      </w:r>
      <w:hyperlink r:id="rId46">
        <w:r>
          <w:rPr>
            <w:color w:val="1155CC"/>
            <w:u w:val="single"/>
          </w:rPr>
          <w:t>https://openscholar.dut.ac.za/bitstream/10321/4271/3/Swartbooi_A_2021_Redacted.pdf</w:t>
        </w:r>
      </w:hyperlink>
      <w:r>
        <w:t xml:space="preserve"> (Accessed: 07 December 2023)</w:t>
      </w:r>
    </w:p>
    <w:p w14:paraId="45CBB56A" w14:textId="77777777" w:rsidR="002E1E98" w:rsidRDefault="00EB65A3">
      <w:pPr>
        <w:pStyle w:val="Normal1"/>
        <w:spacing w:line="360" w:lineRule="auto"/>
        <w:jc w:val="both"/>
      </w:pPr>
      <w:proofErr w:type="spellStart"/>
      <w:r>
        <w:rPr>
          <w:color w:val="222222"/>
          <w:highlight w:val="white"/>
        </w:rPr>
        <w:t>Verčič</w:t>
      </w:r>
      <w:proofErr w:type="spellEnd"/>
      <w:r>
        <w:rPr>
          <w:color w:val="222222"/>
          <w:highlight w:val="white"/>
        </w:rPr>
        <w:t xml:space="preserve">, A. T. (2021). The impact of employee engagement, organisational </w:t>
      </w:r>
      <w:proofErr w:type="gramStart"/>
      <w:r>
        <w:rPr>
          <w:color w:val="222222"/>
          <w:highlight w:val="white"/>
        </w:rPr>
        <w:t>support</w:t>
      </w:r>
      <w:proofErr w:type="gramEnd"/>
      <w:r>
        <w:rPr>
          <w:color w:val="222222"/>
          <w:highlight w:val="white"/>
        </w:rPr>
        <w:t xml:space="preserve"> and employer branding on internal communication satisfaction. </w:t>
      </w:r>
      <w:r>
        <w:rPr>
          <w:i/>
          <w:color w:val="222222"/>
          <w:highlight w:val="white"/>
        </w:rPr>
        <w:t>Public Relations Review</w:t>
      </w:r>
      <w:r>
        <w:rPr>
          <w:color w:val="222222"/>
          <w:highlight w:val="white"/>
        </w:rPr>
        <w:t xml:space="preserve">, </w:t>
      </w:r>
      <w:r>
        <w:rPr>
          <w:i/>
          <w:color w:val="222222"/>
          <w:highlight w:val="white"/>
        </w:rPr>
        <w:t>47</w:t>
      </w:r>
      <w:r>
        <w:rPr>
          <w:color w:val="222222"/>
          <w:highlight w:val="white"/>
        </w:rPr>
        <w:t xml:space="preserve">(1), 102009. Available at: </w:t>
      </w:r>
      <w:hyperlink r:id="rId47">
        <w:r>
          <w:rPr>
            <w:color w:val="1155CC"/>
            <w:u w:val="single"/>
          </w:rPr>
          <w:t>https://doi.org/10.1016/j.pubrev.2021.102009</w:t>
        </w:r>
      </w:hyperlink>
      <w:r>
        <w:t xml:space="preserve"> (Accessed: 07 December 2023)</w:t>
      </w:r>
    </w:p>
    <w:p w14:paraId="32FB7ACD" w14:textId="77777777" w:rsidR="002E1E98" w:rsidRDefault="00EB65A3">
      <w:pPr>
        <w:pStyle w:val="Normal1"/>
        <w:spacing w:line="360" w:lineRule="auto"/>
        <w:jc w:val="both"/>
      </w:pPr>
      <w:r>
        <w:rPr>
          <w:color w:val="222222"/>
          <w:highlight w:val="white"/>
        </w:rPr>
        <w:t xml:space="preserve">Wanyama, D. N., &amp; Reuben, M. (2022). Internal Control Measures </w:t>
      </w:r>
      <w:proofErr w:type="gramStart"/>
      <w:r>
        <w:rPr>
          <w:color w:val="222222"/>
          <w:highlight w:val="white"/>
        </w:rPr>
        <w:t>On</w:t>
      </w:r>
      <w:proofErr w:type="gramEnd"/>
      <w:r>
        <w:rPr>
          <w:color w:val="222222"/>
          <w:highlight w:val="white"/>
        </w:rPr>
        <w:t xml:space="preserve"> Fraud Detection and Prevention in Fintech Companies in Kenya. Available at: </w:t>
      </w:r>
      <w:hyperlink r:id="rId48">
        <w:r>
          <w:rPr>
            <w:color w:val="1155CC"/>
            <w:u w:val="single"/>
          </w:rPr>
          <w:t>http://repository.mua.ac.ke/xmlui/bitstream/handle/1/224/INTERNAL_CONTROL_MEASURES_ON_FRAUD_DETECTION_AND_PREVENTION_IN_FINTECH_COMPANIES_IN_KENYA.pdf?sequence=1&amp;isAllowed=y</w:t>
        </w:r>
      </w:hyperlink>
      <w:r>
        <w:t xml:space="preserve"> (Accessed: 07 December 2023)</w:t>
      </w:r>
    </w:p>
    <w:sectPr w:rsidR="002E1E98" w:rsidSect="002E1E98">
      <w:footerReference w:type="default" r:id="rId4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29940" w14:textId="77777777" w:rsidR="00A3145E" w:rsidRDefault="00A3145E" w:rsidP="006C052C">
      <w:pPr>
        <w:spacing w:line="240" w:lineRule="auto"/>
      </w:pPr>
      <w:r>
        <w:separator/>
      </w:r>
    </w:p>
  </w:endnote>
  <w:endnote w:type="continuationSeparator" w:id="0">
    <w:p w14:paraId="50A28D0A" w14:textId="77777777" w:rsidR="00A3145E" w:rsidRDefault="00A3145E" w:rsidP="006C05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BEC0B" w14:textId="77777777" w:rsidR="002E1E98" w:rsidRDefault="00EB65A3">
    <w:pPr>
      <w:pStyle w:val="Normal1"/>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sidR="00DF11AC">
      <w:rPr>
        <w:b/>
        <w:color w:val="000000"/>
        <w:sz w:val="24"/>
        <w:szCs w:val="24"/>
      </w:rPr>
      <w:fldChar w:fldCharType="begin"/>
    </w:r>
    <w:r>
      <w:rPr>
        <w:b/>
        <w:color w:val="000000"/>
        <w:sz w:val="24"/>
        <w:szCs w:val="24"/>
      </w:rPr>
      <w:instrText>PAGE</w:instrText>
    </w:r>
    <w:r w:rsidR="00DF11AC">
      <w:rPr>
        <w:b/>
        <w:color w:val="000000"/>
        <w:sz w:val="24"/>
        <w:szCs w:val="24"/>
      </w:rPr>
      <w:fldChar w:fldCharType="separate"/>
    </w:r>
    <w:r w:rsidR="009B0409">
      <w:rPr>
        <w:b/>
        <w:noProof/>
        <w:color w:val="000000"/>
        <w:sz w:val="24"/>
        <w:szCs w:val="24"/>
      </w:rPr>
      <w:t>4</w:t>
    </w:r>
    <w:r w:rsidR="00DF11AC">
      <w:rPr>
        <w:b/>
        <w:color w:val="000000"/>
        <w:sz w:val="24"/>
        <w:szCs w:val="24"/>
      </w:rPr>
      <w:fldChar w:fldCharType="end"/>
    </w:r>
    <w:r>
      <w:rPr>
        <w:color w:val="000000"/>
      </w:rPr>
      <w:t xml:space="preserve"> of </w:t>
    </w:r>
    <w:r w:rsidR="00DF11AC">
      <w:rPr>
        <w:b/>
        <w:color w:val="000000"/>
        <w:sz w:val="24"/>
        <w:szCs w:val="24"/>
      </w:rPr>
      <w:fldChar w:fldCharType="begin"/>
    </w:r>
    <w:r>
      <w:rPr>
        <w:b/>
        <w:color w:val="000000"/>
        <w:sz w:val="24"/>
        <w:szCs w:val="24"/>
      </w:rPr>
      <w:instrText>NUMPAGES</w:instrText>
    </w:r>
    <w:r w:rsidR="00DF11AC">
      <w:rPr>
        <w:b/>
        <w:color w:val="000000"/>
        <w:sz w:val="24"/>
        <w:szCs w:val="24"/>
      </w:rPr>
      <w:fldChar w:fldCharType="separate"/>
    </w:r>
    <w:r w:rsidR="009B0409">
      <w:rPr>
        <w:b/>
        <w:noProof/>
        <w:color w:val="000000"/>
        <w:sz w:val="24"/>
        <w:szCs w:val="24"/>
      </w:rPr>
      <w:t>22</w:t>
    </w:r>
    <w:r w:rsidR="00DF11AC">
      <w:rPr>
        <w:b/>
        <w:color w:val="000000"/>
        <w:sz w:val="24"/>
        <w:szCs w:val="24"/>
      </w:rPr>
      <w:fldChar w:fldCharType="end"/>
    </w:r>
  </w:p>
  <w:p w14:paraId="282B2402" w14:textId="77777777" w:rsidR="002E1E98" w:rsidRDefault="002E1E98">
    <w:pPr>
      <w:pStyle w:val="Normal1"/>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86F2E" w14:textId="77777777" w:rsidR="00A3145E" w:rsidRDefault="00A3145E" w:rsidP="006C052C">
      <w:pPr>
        <w:spacing w:line="240" w:lineRule="auto"/>
      </w:pPr>
      <w:r>
        <w:separator/>
      </w:r>
    </w:p>
  </w:footnote>
  <w:footnote w:type="continuationSeparator" w:id="0">
    <w:p w14:paraId="1FDB0A0F" w14:textId="77777777" w:rsidR="00A3145E" w:rsidRDefault="00A3145E" w:rsidP="006C05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6275CA"/>
    <w:multiLevelType w:val="multilevel"/>
    <w:tmpl w:val="2EDAE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2463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1E98"/>
    <w:rsid w:val="00060C8D"/>
    <w:rsid w:val="000A77C4"/>
    <w:rsid w:val="000E0C8D"/>
    <w:rsid w:val="00175B2C"/>
    <w:rsid w:val="0022664B"/>
    <w:rsid w:val="00257BA4"/>
    <w:rsid w:val="002A68E7"/>
    <w:rsid w:val="002E1E98"/>
    <w:rsid w:val="0030381F"/>
    <w:rsid w:val="005815A9"/>
    <w:rsid w:val="005A35B9"/>
    <w:rsid w:val="005D0D5D"/>
    <w:rsid w:val="005E72F4"/>
    <w:rsid w:val="006C052C"/>
    <w:rsid w:val="006C12F1"/>
    <w:rsid w:val="006D081B"/>
    <w:rsid w:val="0078398D"/>
    <w:rsid w:val="00817FE8"/>
    <w:rsid w:val="0086592B"/>
    <w:rsid w:val="008E23A1"/>
    <w:rsid w:val="009B0409"/>
    <w:rsid w:val="009D6161"/>
    <w:rsid w:val="00A3145E"/>
    <w:rsid w:val="00A67874"/>
    <w:rsid w:val="00C07A3C"/>
    <w:rsid w:val="00C5588C"/>
    <w:rsid w:val="00CA731F"/>
    <w:rsid w:val="00CB2CBF"/>
    <w:rsid w:val="00DC2148"/>
    <w:rsid w:val="00DF11AC"/>
    <w:rsid w:val="00E63D83"/>
    <w:rsid w:val="00EB65A3"/>
    <w:rsid w:val="00EC0F64"/>
    <w:rsid w:val="00FD0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7BB12"/>
  <w15:docId w15:val="{5F8FF95E-EB36-480D-8A9A-7F2369CCD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52C"/>
  </w:style>
  <w:style w:type="paragraph" w:styleId="Heading1">
    <w:name w:val="heading 1"/>
    <w:basedOn w:val="Normal1"/>
    <w:next w:val="Normal1"/>
    <w:rsid w:val="002E1E98"/>
    <w:pPr>
      <w:keepNext/>
      <w:keepLines/>
      <w:spacing w:before="400" w:after="120" w:line="360" w:lineRule="auto"/>
      <w:jc w:val="both"/>
      <w:outlineLvl w:val="0"/>
    </w:pPr>
    <w:rPr>
      <w:b/>
      <w:sz w:val="28"/>
      <w:szCs w:val="28"/>
    </w:rPr>
  </w:style>
  <w:style w:type="paragraph" w:styleId="Heading2">
    <w:name w:val="heading 2"/>
    <w:basedOn w:val="Normal1"/>
    <w:next w:val="Normal1"/>
    <w:rsid w:val="002E1E98"/>
    <w:pPr>
      <w:keepNext/>
      <w:keepLines/>
      <w:spacing w:before="360" w:after="120" w:line="360" w:lineRule="auto"/>
      <w:jc w:val="both"/>
      <w:outlineLvl w:val="1"/>
    </w:pPr>
    <w:rPr>
      <w:b/>
      <w:sz w:val="26"/>
      <w:szCs w:val="26"/>
    </w:rPr>
  </w:style>
  <w:style w:type="paragraph" w:styleId="Heading3">
    <w:name w:val="heading 3"/>
    <w:basedOn w:val="Normal1"/>
    <w:next w:val="Normal1"/>
    <w:rsid w:val="002E1E98"/>
    <w:pPr>
      <w:keepNext/>
      <w:keepLines/>
      <w:spacing w:before="320" w:after="80" w:line="360" w:lineRule="auto"/>
      <w:jc w:val="both"/>
      <w:outlineLvl w:val="2"/>
    </w:pPr>
    <w:rPr>
      <w:b/>
      <w:i/>
      <w:color w:val="000000"/>
      <w:sz w:val="24"/>
      <w:szCs w:val="24"/>
    </w:rPr>
  </w:style>
  <w:style w:type="paragraph" w:styleId="Heading4">
    <w:name w:val="heading 4"/>
    <w:basedOn w:val="Normal1"/>
    <w:next w:val="Normal1"/>
    <w:rsid w:val="002E1E98"/>
    <w:pPr>
      <w:keepNext/>
      <w:keepLines/>
      <w:spacing w:before="280" w:after="80"/>
      <w:outlineLvl w:val="3"/>
    </w:pPr>
    <w:rPr>
      <w:color w:val="666666"/>
      <w:sz w:val="24"/>
      <w:szCs w:val="24"/>
    </w:rPr>
  </w:style>
  <w:style w:type="paragraph" w:styleId="Heading5">
    <w:name w:val="heading 5"/>
    <w:basedOn w:val="Normal1"/>
    <w:next w:val="Normal1"/>
    <w:rsid w:val="002E1E98"/>
    <w:pPr>
      <w:keepNext/>
      <w:keepLines/>
      <w:spacing w:before="240" w:after="80"/>
      <w:outlineLvl w:val="4"/>
    </w:pPr>
    <w:rPr>
      <w:color w:val="666666"/>
    </w:rPr>
  </w:style>
  <w:style w:type="paragraph" w:styleId="Heading6">
    <w:name w:val="heading 6"/>
    <w:basedOn w:val="Normal1"/>
    <w:next w:val="Normal1"/>
    <w:rsid w:val="002E1E9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E1E98"/>
  </w:style>
  <w:style w:type="paragraph" w:styleId="Title">
    <w:name w:val="Title"/>
    <w:basedOn w:val="Normal1"/>
    <w:next w:val="Normal1"/>
    <w:rsid w:val="002E1E98"/>
    <w:pPr>
      <w:keepNext/>
      <w:keepLines/>
      <w:spacing w:after="60"/>
    </w:pPr>
    <w:rPr>
      <w:sz w:val="52"/>
      <w:szCs w:val="52"/>
    </w:rPr>
  </w:style>
  <w:style w:type="paragraph" w:styleId="Subtitle">
    <w:name w:val="Subtitle"/>
    <w:basedOn w:val="Normal1"/>
    <w:next w:val="Normal1"/>
    <w:rsid w:val="002E1E98"/>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D0D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D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002/jsc.2404" TargetMode="External"/><Relationship Id="rId18" Type="http://schemas.openxmlformats.org/officeDocument/2006/relationships/hyperlink" Target="https://www.booksfree.org/wp-content/uploads/2022/03/Making-Sense-Of-Change%20Management.pdf" TargetMode="External"/><Relationship Id="rId26" Type="http://schemas.openxmlformats.org/officeDocument/2006/relationships/hyperlink" Target="https://eprints.whiterose.ac.uk/108610/3/DG_SBnpe28Nov2016.pdf" TargetMode="External"/><Relationship Id="rId39" Type="http://schemas.openxmlformats.org/officeDocument/2006/relationships/hyperlink" Target="https://www.researchgate.net/publication/327797500_Visionary_Leadership_for_Digital_Transformation_In_a_Time_when_Learners_Take_Ownership_of_Their_Learning/download?_tp=eyJjb250ZXh0Ijp7ImZpcnN0UGFnZSI6Il9kaXJlY3QiLCJwYWdlIjoiX2RpcmVjdCJ9fQ" TargetMode="External"/><Relationship Id="rId21" Type="http://schemas.openxmlformats.org/officeDocument/2006/relationships/hyperlink" Target="https://doi.org/10.1080/13639080.2023.2174954" TargetMode="External"/><Relationship Id="rId34" Type="http://schemas.openxmlformats.org/officeDocument/2006/relationships/hyperlink" Target="https://doi.org/10.1504/IJIPM.2021.113367" TargetMode="External"/><Relationship Id="rId42" Type="http://schemas.openxmlformats.org/officeDocument/2006/relationships/hyperlink" Target="https://scholar.archive.org/work/7zot3thz7ndkrp2tszxeko5p5i/access/wayback/https:/www.emerald.com/insight/content/doi/10.1108/CG-08-2017-0172/full/pdf?title=stakeholder-management-a-systematic-literature-review" TargetMode="External"/><Relationship Id="rId47" Type="http://schemas.openxmlformats.org/officeDocument/2006/relationships/hyperlink" Target="https://doi.org/10.1016/j.pubrev.2021.102009"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doi.org/10.35409/IJBMER.2020.3157" TargetMode="External"/><Relationship Id="rId29" Type="http://schemas.openxmlformats.org/officeDocument/2006/relationships/hyperlink" Target="https://doi.org/10.2147/JHL.S289176" TargetMode="External"/><Relationship Id="rId11" Type="http://schemas.openxmlformats.org/officeDocument/2006/relationships/hyperlink" Target="https://doi.org/10.3390/su11226191" TargetMode="External"/><Relationship Id="rId24" Type="http://schemas.openxmlformats.org/officeDocument/2006/relationships/hyperlink" Target="https://www.bis.org/publ/work838.pdf" TargetMode="External"/><Relationship Id="rId32" Type="http://schemas.openxmlformats.org/officeDocument/2006/relationships/hyperlink" Target="https://doi.org/10.3390/admsci12040195" TargetMode="External"/><Relationship Id="rId37" Type="http://schemas.openxmlformats.org/officeDocument/2006/relationships/hyperlink" Target="https://hal.science/hal-02968006/document" TargetMode="External"/><Relationship Id="rId40" Type="http://schemas.openxmlformats.org/officeDocument/2006/relationships/hyperlink" Target="http://ijrsm.com/index.php/journal-ijrsm/article/download/80/78" TargetMode="External"/><Relationship Id="rId45" Type="http://schemas.openxmlformats.org/officeDocument/2006/relationships/hyperlink" Target="https://www.revolut.com/diversity-inclusion/" TargetMode="External"/><Relationship Id="rId5" Type="http://schemas.openxmlformats.org/officeDocument/2006/relationships/webSettings" Target="webSettings.xml"/><Relationship Id="rId15" Type="http://schemas.openxmlformats.org/officeDocument/2006/relationships/hyperlink" Target="https://www.researchgate.net/profile/Gagan-Kukreja/publication/348118829_The_Impact_of_FinTech_on_Financial_Services_in_India_Past_Present_and_Future_Trends/links/5ff297bc45851553a0198f7e/The-Impact-of-FinTech-on-Financial-Services-in-India-Past-Present-and-Future-Trends.pdf" TargetMode="External"/><Relationship Id="rId23" Type="http://schemas.openxmlformats.org/officeDocument/2006/relationships/hyperlink" Target="https://www.ft.com/content/0025347f-6e0c-4dbd-9762-e4eec0431050" TargetMode="External"/><Relationship Id="rId28" Type="http://schemas.openxmlformats.org/officeDocument/2006/relationships/hyperlink" Target="https://ink.library.smu.edu.sg/cgi/viewcontent.cgi?article=5277&amp;context=sis_research" TargetMode="External"/><Relationship Id="rId36" Type="http://schemas.openxmlformats.org/officeDocument/2006/relationships/hyperlink" Target="https://www.theseus.fi/bitstream/handle/10024/267265/Bang%20Nguyen%20-%20Laurea%20Thesis.pdf?sequence=2"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3390/informatics10020054" TargetMode="External"/><Relationship Id="rId31" Type="http://schemas.openxmlformats.org/officeDocument/2006/relationships/hyperlink" Target="https://eudl.eu/pdf/10.4108/eai.30-7-2019.2287551" TargetMode="External"/><Relationship Id="rId44" Type="http://schemas.openxmlformats.org/officeDocument/2006/relationships/hyperlink" Target="https://www.revolut.com/sustainabi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zbw.eu/econis-archiv/bitstream/11159/8938/1/1810622948_0.pdf" TargetMode="External"/><Relationship Id="rId22" Type="http://schemas.openxmlformats.org/officeDocument/2006/relationships/hyperlink" Target="https://web.archive.org/web/20220913022030id_/https:/aisel.aisnet.org/cgi/viewcontent.cgi?article=1052&amp;context=pacis2019" TargetMode="External"/><Relationship Id="rId27" Type="http://schemas.openxmlformats.org/officeDocument/2006/relationships/hyperlink" Target="https://doi.org/10.1111/radm.12477" TargetMode="External"/><Relationship Id="rId30" Type="http://schemas.openxmlformats.org/officeDocument/2006/relationships/hyperlink" Target="https://doi.org/10.1057/s41283-018-0039-y" TargetMode="External"/><Relationship Id="rId35" Type="http://schemas.openxmlformats.org/officeDocument/2006/relationships/hyperlink" Target="https://ejbmr.org/index.php/ejbmr/article/download/741/411" TargetMode="External"/><Relationship Id="rId43" Type="http://schemas.openxmlformats.org/officeDocument/2006/relationships/hyperlink" Target="https://www.revolut.com/financial-statements/" TargetMode="External"/><Relationship Id="rId48" Type="http://schemas.openxmlformats.org/officeDocument/2006/relationships/hyperlink" Target="http://repository.mua.ac.ke/xmlui/bitstream/handle/1/224/INTERNAL_CONTROL_MEASURES_ON_FRAUD_DETECTION_AND_PREVENTION_IN_FINTECH_COMPANIES_IN_KENYA.pdf?sequence=1&amp;isAllowed=y"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8888/ijospl.v1i1.10" TargetMode="External"/><Relationship Id="rId17" Type="http://schemas.openxmlformats.org/officeDocument/2006/relationships/hyperlink" Target="https://doi.org/10.1111/acfi.12471" TargetMode="External"/><Relationship Id="rId25" Type="http://schemas.openxmlformats.org/officeDocument/2006/relationships/hyperlink" Target="https://www.zora.uzh.ch/id/eprint/187776/1/SSRN-id3588453.pdf" TargetMode="External"/><Relationship Id="rId33" Type="http://schemas.openxmlformats.org/officeDocument/2006/relationships/hyperlink" Target="https://jomeino.com/sites/default/files/paper_attachment/Change%20Management%20Project%20in%20a%20Mining%20Company.pdf" TargetMode="External"/><Relationship Id="rId38" Type="http://schemas.openxmlformats.org/officeDocument/2006/relationships/hyperlink" Target="https://doi.org/10.1108/MD-09-2021-1183" TargetMode="External"/><Relationship Id="rId46" Type="http://schemas.openxmlformats.org/officeDocument/2006/relationships/hyperlink" Target="https://openscholar.dut.ac.za/bitstream/10321/4271/3/Swartbooi_A_2021_Redacted.pdf" TargetMode="External"/><Relationship Id="rId20" Type="http://schemas.openxmlformats.org/officeDocument/2006/relationships/hyperlink" Target="https://www.researchgate.net/publication/348696503_Empowering_global_leaders_through_workplace_sustainability_A_case_of_Zambian_leaders/download?_tp=eyJjb250ZXh0Ijp7ImZpcnN0UGFnZSI6Il9kaXJlY3QiLCJwYWdlIjoiX2RpcmVjdCJ9fQ" TargetMode="External"/><Relationship Id="rId41" Type="http://schemas.openxmlformats.org/officeDocument/2006/relationships/hyperlink" Target="https://etalpykla.lituanistika.lt/object/LT-LDB-0001:J.04~2021~1657555625373/J.04~2021~1657555625373.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F6c2zBSTQVkZsKjuDbQdZd259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4AHIhMXBLOWVUQWZLRUlMQmQ5ZlZDeTAwODZOeVBfZzBjT3p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7224</Words>
  <Characters>41183</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SiddiquaSara Ahmed</dc:creator>
  <cp:lastModifiedBy>SiddiquaSara Ahmed</cp:lastModifiedBy>
  <cp:revision>11</cp:revision>
  <dcterms:created xsi:type="dcterms:W3CDTF">2024-01-01T00:44:00Z</dcterms:created>
  <dcterms:modified xsi:type="dcterms:W3CDTF">2024-01-01T01:12:00Z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6e8943de5dcd4a238a324b317b21aedf2a343707eac7ba5b9559422dcf83293a</vt:lpwstr>
  </property>
</Properties>
</file>