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D28CA" w14:textId="77777777" w:rsidR="003B7397" w:rsidRPr="001755F9" w:rsidRDefault="003B7397" w:rsidP="003B7397">
      <w:pPr>
        <w:jc w:val="center"/>
        <w:rPr>
          <w:rFonts w:ascii="Arial" w:hAnsi="Arial" w:cs="Arial"/>
          <w:sz w:val="22"/>
          <w:szCs w:val="22"/>
        </w:rPr>
      </w:pPr>
      <w:r w:rsidRPr="001755F9">
        <w:rPr>
          <w:rFonts w:ascii="Arial" w:hAnsi="Arial" w:cs="Arial"/>
          <w:b/>
          <w:bCs/>
          <w:sz w:val="22"/>
          <w:szCs w:val="22"/>
        </w:rPr>
        <w:t>Program: BA (Hons)</w:t>
      </w:r>
      <w:r w:rsidRPr="001755F9">
        <w:rPr>
          <w:rFonts w:ascii="Arial" w:hAnsi="Arial" w:cs="Arial"/>
          <w:sz w:val="22"/>
          <w:szCs w:val="22"/>
        </w:rPr>
        <w:t xml:space="preserve"> Leadership and Management</w:t>
      </w:r>
    </w:p>
    <w:p w14:paraId="2652B2C3" w14:textId="24DBC827" w:rsidR="003B7397" w:rsidRPr="001755F9" w:rsidRDefault="003B7397" w:rsidP="003B7397">
      <w:pPr>
        <w:jc w:val="center"/>
        <w:rPr>
          <w:rFonts w:ascii="Arial" w:hAnsi="Arial" w:cs="Arial"/>
          <w:sz w:val="22"/>
          <w:szCs w:val="22"/>
        </w:rPr>
      </w:pPr>
      <w:r w:rsidRPr="001755F9">
        <w:rPr>
          <w:rFonts w:ascii="Arial" w:hAnsi="Arial" w:cs="Arial"/>
          <w:b/>
          <w:bCs/>
          <w:sz w:val="22"/>
          <w:szCs w:val="22"/>
        </w:rPr>
        <w:t>Module:</w:t>
      </w:r>
      <w:r w:rsidRPr="001755F9">
        <w:rPr>
          <w:rFonts w:ascii="Arial" w:hAnsi="Arial" w:cs="Arial"/>
          <w:sz w:val="22"/>
          <w:szCs w:val="22"/>
        </w:rPr>
        <w:t xml:space="preserve"> Design Thinking and Innovation</w:t>
      </w:r>
    </w:p>
    <w:p w14:paraId="4DA0B376" w14:textId="76A2DC46" w:rsidR="003B7397" w:rsidRPr="001755F9" w:rsidRDefault="003B7397" w:rsidP="003B7397">
      <w:pPr>
        <w:jc w:val="center"/>
        <w:rPr>
          <w:rFonts w:ascii="Arial" w:hAnsi="Arial" w:cs="Arial"/>
          <w:sz w:val="22"/>
          <w:szCs w:val="22"/>
        </w:rPr>
      </w:pPr>
      <w:r w:rsidRPr="001755F9">
        <w:rPr>
          <w:rFonts w:ascii="Arial" w:hAnsi="Arial" w:cs="Arial"/>
          <w:b/>
          <w:bCs/>
          <w:sz w:val="22"/>
          <w:szCs w:val="22"/>
        </w:rPr>
        <w:t>Module Code:</w:t>
      </w:r>
      <w:r w:rsidRPr="001755F9">
        <w:rPr>
          <w:rFonts w:ascii="Arial" w:hAnsi="Arial" w:cs="Arial"/>
          <w:sz w:val="22"/>
          <w:szCs w:val="22"/>
        </w:rPr>
        <w:t xml:space="preserve"> </w:t>
      </w:r>
      <w:r w:rsidR="00DD5824" w:rsidRPr="001755F9">
        <w:rPr>
          <w:rFonts w:ascii="Arial" w:hAnsi="Arial" w:cs="Arial"/>
          <w:sz w:val="22"/>
          <w:szCs w:val="22"/>
        </w:rPr>
        <w:t>LCLM</w:t>
      </w:r>
      <w:r w:rsidR="009D6C10" w:rsidRPr="001755F9">
        <w:rPr>
          <w:rFonts w:ascii="Arial" w:hAnsi="Arial" w:cs="Arial"/>
          <w:sz w:val="22"/>
          <w:szCs w:val="22"/>
        </w:rPr>
        <w:t>6002</w:t>
      </w:r>
    </w:p>
    <w:p w14:paraId="2911A0CB" w14:textId="47DCB911" w:rsidR="003B7397" w:rsidRPr="001755F9" w:rsidRDefault="003B7397" w:rsidP="003B7397">
      <w:pPr>
        <w:jc w:val="center"/>
        <w:rPr>
          <w:rFonts w:ascii="Arial" w:hAnsi="Arial" w:cs="Arial"/>
          <w:sz w:val="22"/>
          <w:szCs w:val="22"/>
        </w:rPr>
      </w:pPr>
      <w:r w:rsidRPr="001755F9">
        <w:rPr>
          <w:rFonts w:ascii="Arial" w:hAnsi="Arial" w:cs="Arial"/>
          <w:b/>
          <w:bCs/>
          <w:sz w:val="22"/>
          <w:szCs w:val="22"/>
        </w:rPr>
        <w:t>Assignment Title:</w:t>
      </w:r>
      <w:r w:rsidRPr="001755F9">
        <w:rPr>
          <w:rFonts w:ascii="Arial" w:hAnsi="Arial" w:cs="Arial"/>
          <w:sz w:val="22"/>
          <w:szCs w:val="22"/>
        </w:rPr>
        <w:t xml:space="preserve"> </w:t>
      </w:r>
      <w:r w:rsidR="00005821" w:rsidRPr="001755F9">
        <w:rPr>
          <w:rFonts w:ascii="Arial" w:hAnsi="Arial" w:cs="Arial"/>
          <w:sz w:val="22"/>
          <w:szCs w:val="22"/>
        </w:rPr>
        <w:t>Innovation &amp; Customer Journey</w:t>
      </w:r>
    </w:p>
    <w:p w14:paraId="245246F1" w14:textId="77777777" w:rsidR="003B7397" w:rsidRPr="001755F9" w:rsidRDefault="003B7397" w:rsidP="003B7397">
      <w:pPr>
        <w:jc w:val="center"/>
        <w:rPr>
          <w:rFonts w:ascii="Arial" w:hAnsi="Arial" w:cs="Arial"/>
          <w:sz w:val="22"/>
          <w:szCs w:val="22"/>
        </w:rPr>
      </w:pPr>
      <w:r w:rsidRPr="001755F9">
        <w:rPr>
          <w:rFonts w:ascii="Arial" w:hAnsi="Arial" w:cs="Arial"/>
          <w:b/>
          <w:bCs/>
          <w:sz w:val="22"/>
          <w:szCs w:val="22"/>
        </w:rPr>
        <w:t>Student Name:</w:t>
      </w:r>
      <w:r w:rsidRPr="001755F9">
        <w:rPr>
          <w:rFonts w:ascii="Arial" w:hAnsi="Arial" w:cs="Arial"/>
          <w:sz w:val="22"/>
          <w:szCs w:val="22"/>
        </w:rPr>
        <w:t xml:space="preserve"> Anca-Daiana Mercar</w:t>
      </w:r>
    </w:p>
    <w:p w14:paraId="03785210" w14:textId="77777777" w:rsidR="003B7397" w:rsidRPr="001755F9" w:rsidRDefault="003B7397" w:rsidP="003B7397">
      <w:pPr>
        <w:jc w:val="center"/>
        <w:rPr>
          <w:rFonts w:ascii="Arial" w:hAnsi="Arial" w:cs="Arial"/>
          <w:sz w:val="22"/>
          <w:szCs w:val="22"/>
        </w:rPr>
      </w:pPr>
      <w:r w:rsidRPr="001755F9">
        <w:rPr>
          <w:rFonts w:ascii="Arial" w:hAnsi="Arial" w:cs="Arial"/>
          <w:b/>
          <w:bCs/>
          <w:sz w:val="22"/>
          <w:szCs w:val="22"/>
        </w:rPr>
        <w:t>Student ID:</w:t>
      </w:r>
      <w:r w:rsidRPr="001755F9">
        <w:rPr>
          <w:rFonts w:ascii="Arial" w:hAnsi="Arial" w:cs="Arial"/>
          <w:sz w:val="22"/>
          <w:szCs w:val="22"/>
        </w:rPr>
        <w:t xml:space="preserve"> 2316575</w:t>
      </w:r>
    </w:p>
    <w:p w14:paraId="39F0E05E" w14:textId="46E8A3A0" w:rsidR="003B7397" w:rsidRPr="001755F9" w:rsidRDefault="003B7397" w:rsidP="003B7397">
      <w:pPr>
        <w:jc w:val="center"/>
        <w:rPr>
          <w:rFonts w:ascii="Arial" w:hAnsi="Arial" w:cs="Arial"/>
          <w:sz w:val="22"/>
          <w:szCs w:val="22"/>
        </w:rPr>
      </w:pPr>
      <w:r w:rsidRPr="001755F9">
        <w:rPr>
          <w:rFonts w:ascii="Arial" w:hAnsi="Arial" w:cs="Arial"/>
          <w:b/>
          <w:bCs/>
          <w:sz w:val="22"/>
          <w:szCs w:val="22"/>
        </w:rPr>
        <w:t>Lecturer:</w:t>
      </w:r>
      <w:r w:rsidRPr="001755F9">
        <w:rPr>
          <w:rFonts w:ascii="Arial" w:hAnsi="Arial" w:cs="Arial"/>
          <w:sz w:val="22"/>
          <w:szCs w:val="22"/>
        </w:rPr>
        <w:t xml:space="preserve"> </w:t>
      </w:r>
      <w:r w:rsidR="009D6C10" w:rsidRPr="001755F9">
        <w:rPr>
          <w:rFonts w:ascii="Arial" w:hAnsi="Arial" w:cs="Arial"/>
          <w:sz w:val="22"/>
          <w:szCs w:val="22"/>
        </w:rPr>
        <w:t xml:space="preserve">Charles </w:t>
      </w:r>
      <w:proofErr w:type="spellStart"/>
      <w:r w:rsidR="009D6C10" w:rsidRPr="001755F9">
        <w:rPr>
          <w:rFonts w:ascii="Arial" w:hAnsi="Arial" w:cs="Arial"/>
          <w:sz w:val="22"/>
          <w:szCs w:val="22"/>
        </w:rPr>
        <w:t>Obinwa</w:t>
      </w:r>
      <w:proofErr w:type="spellEnd"/>
    </w:p>
    <w:p w14:paraId="5FAF898D" w14:textId="77777777" w:rsidR="00611E57" w:rsidRPr="001755F9" w:rsidRDefault="00611E57">
      <w:pPr>
        <w:rPr>
          <w:rFonts w:ascii="Arial" w:hAnsi="Arial" w:cs="Arial"/>
          <w:sz w:val="22"/>
          <w:szCs w:val="22"/>
        </w:rPr>
      </w:pPr>
    </w:p>
    <w:p w14:paraId="3204BAC0" w14:textId="77777777" w:rsidR="000E2C17" w:rsidRPr="001755F9" w:rsidRDefault="000E2C17">
      <w:pPr>
        <w:rPr>
          <w:rFonts w:ascii="Arial" w:hAnsi="Arial" w:cs="Arial"/>
          <w:sz w:val="22"/>
          <w:szCs w:val="22"/>
        </w:rPr>
      </w:pPr>
    </w:p>
    <w:p w14:paraId="2C40E96E" w14:textId="77777777" w:rsidR="000E2C17" w:rsidRPr="001755F9" w:rsidRDefault="000E2C17">
      <w:pPr>
        <w:rPr>
          <w:rFonts w:ascii="Arial" w:hAnsi="Arial" w:cs="Arial"/>
          <w:sz w:val="22"/>
          <w:szCs w:val="22"/>
        </w:rPr>
      </w:pPr>
    </w:p>
    <w:p w14:paraId="50426998" w14:textId="77777777" w:rsidR="000E2C17" w:rsidRPr="001755F9" w:rsidRDefault="000E2C17">
      <w:pPr>
        <w:rPr>
          <w:rFonts w:ascii="Arial" w:hAnsi="Arial" w:cs="Arial"/>
          <w:sz w:val="22"/>
          <w:szCs w:val="22"/>
        </w:rPr>
      </w:pPr>
    </w:p>
    <w:p w14:paraId="247BB485" w14:textId="77777777" w:rsidR="000E2C17" w:rsidRPr="001755F9" w:rsidRDefault="000E2C17">
      <w:pPr>
        <w:rPr>
          <w:rFonts w:ascii="Arial" w:hAnsi="Arial" w:cs="Arial"/>
          <w:sz w:val="22"/>
          <w:szCs w:val="22"/>
        </w:rPr>
      </w:pPr>
    </w:p>
    <w:p w14:paraId="13F88286" w14:textId="77777777" w:rsidR="000E2C17" w:rsidRPr="001755F9" w:rsidRDefault="000E2C17">
      <w:pPr>
        <w:rPr>
          <w:rFonts w:ascii="Arial" w:hAnsi="Arial" w:cs="Arial"/>
          <w:sz w:val="22"/>
          <w:szCs w:val="22"/>
        </w:rPr>
      </w:pPr>
    </w:p>
    <w:p w14:paraId="785EC337" w14:textId="77777777" w:rsidR="000E2C17" w:rsidRPr="001755F9" w:rsidRDefault="000E2C17">
      <w:pPr>
        <w:rPr>
          <w:rFonts w:ascii="Arial" w:hAnsi="Arial" w:cs="Arial"/>
          <w:sz w:val="22"/>
          <w:szCs w:val="22"/>
        </w:rPr>
      </w:pPr>
    </w:p>
    <w:p w14:paraId="0F717169" w14:textId="77777777" w:rsidR="000E2C17" w:rsidRPr="001755F9" w:rsidRDefault="000E2C17">
      <w:pPr>
        <w:rPr>
          <w:rFonts w:ascii="Arial" w:hAnsi="Arial" w:cs="Arial"/>
          <w:sz w:val="22"/>
          <w:szCs w:val="22"/>
        </w:rPr>
      </w:pPr>
    </w:p>
    <w:p w14:paraId="5B9FDADF" w14:textId="77777777" w:rsidR="000E2C17" w:rsidRPr="001755F9" w:rsidRDefault="000E2C17">
      <w:pPr>
        <w:rPr>
          <w:rFonts w:ascii="Arial" w:hAnsi="Arial" w:cs="Arial"/>
          <w:sz w:val="22"/>
          <w:szCs w:val="22"/>
        </w:rPr>
      </w:pPr>
    </w:p>
    <w:p w14:paraId="784E03E7" w14:textId="77777777" w:rsidR="000E2C17" w:rsidRPr="001755F9" w:rsidRDefault="000E2C17">
      <w:pPr>
        <w:rPr>
          <w:rFonts w:ascii="Arial" w:hAnsi="Arial" w:cs="Arial"/>
          <w:sz w:val="22"/>
          <w:szCs w:val="22"/>
        </w:rPr>
      </w:pPr>
    </w:p>
    <w:p w14:paraId="5375042F" w14:textId="77777777" w:rsidR="000E2C17" w:rsidRPr="001755F9" w:rsidRDefault="000E2C17">
      <w:pPr>
        <w:rPr>
          <w:rFonts w:ascii="Arial" w:hAnsi="Arial" w:cs="Arial"/>
          <w:sz w:val="22"/>
          <w:szCs w:val="22"/>
        </w:rPr>
      </w:pPr>
    </w:p>
    <w:p w14:paraId="4BFBFBD8" w14:textId="77777777" w:rsidR="000E2C17" w:rsidRPr="001755F9" w:rsidRDefault="000E2C17">
      <w:pPr>
        <w:rPr>
          <w:rFonts w:ascii="Arial" w:hAnsi="Arial" w:cs="Arial"/>
          <w:sz w:val="22"/>
          <w:szCs w:val="22"/>
        </w:rPr>
      </w:pPr>
    </w:p>
    <w:p w14:paraId="26BAF659" w14:textId="77777777" w:rsidR="000E2C17" w:rsidRPr="001755F9" w:rsidRDefault="000E2C17">
      <w:pPr>
        <w:rPr>
          <w:rFonts w:ascii="Arial" w:hAnsi="Arial" w:cs="Arial"/>
          <w:sz w:val="22"/>
          <w:szCs w:val="22"/>
        </w:rPr>
      </w:pPr>
    </w:p>
    <w:p w14:paraId="4E03C37B" w14:textId="77777777" w:rsidR="000E2C17" w:rsidRPr="001755F9" w:rsidRDefault="000E2C17">
      <w:pPr>
        <w:rPr>
          <w:rFonts w:ascii="Arial" w:hAnsi="Arial" w:cs="Arial"/>
          <w:sz w:val="22"/>
          <w:szCs w:val="22"/>
        </w:rPr>
      </w:pPr>
    </w:p>
    <w:p w14:paraId="1DA37A2B" w14:textId="77777777" w:rsidR="000E2C17" w:rsidRPr="001755F9" w:rsidRDefault="000E2C17">
      <w:pPr>
        <w:rPr>
          <w:rFonts w:ascii="Arial" w:hAnsi="Arial" w:cs="Arial"/>
          <w:sz w:val="22"/>
          <w:szCs w:val="22"/>
        </w:rPr>
      </w:pPr>
    </w:p>
    <w:p w14:paraId="44AADA5C" w14:textId="77777777" w:rsidR="000E2C17" w:rsidRPr="001755F9" w:rsidRDefault="000E2C17">
      <w:pPr>
        <w:rPr>
          <w:rFonts w:ascii="Arial" w:hAnsi="Arial" w:cs="Arial"/>
          <w:sz w:val="22"/>
          <w:szCs w:val="22"/>
        </w:rPr>
      </w:pPr>
    </w:p>
    <w:p w14:paraId="1AC1107B" w14:textId="77777777" w:rsidR="000E2C17" w:rsidRPr="001755F9" w:rsidRDefault="000E2C17">
      <w:pPr>
        <w:rPr>
          <w:rFonts w:ascii="Arial" w:hAnsi="Arial" w:cs="Arial"/>
          <w:sz w:val="22"/>
          <w:szCs w:val="22"/>
        </w:rPr>
      </w:pPr>
    </w:p>
    <w:p w14:paraId="0E66A57C" w14:textId="77777777" w:rsidR="000E2C17" w:rsidRPr="001755F9" w:rsidRDefault="000E2C17">
      <w:pPr>
        <w:rPr>
          <w:rFonts w:ascii="Arial" w:hAnsi="Arial" w:cs="Arial"/>
          <w:sz w:val="22"/>
          <w:szCs w:val="22"/>
        </w:rPr>
      </w:pPr>
    </w:p>
    <w:p w14:paraId="4BFE16B2" w14:textId="77777777" w:rsidR="000E2C17" w:rsidRPr="001755F9" w:rsidRDefault="000E2C17">
      <w:pPr>
        <w:rPr>
          <w:rFonts w:ascii="Arial" w:hAnsi="Arial" w:cs="Arial"/>
          <w:sz w:val="22"/>
          <w:szCs w:val="22"/>
        </w:rPr>
      </w:pPr>
    </w:p>
    <w:p w14:paraId="01CF5285" w14:textId="77777777" w:rsidR="000E2C17" w:rsidRPr="001755F9" w:rsidRDefault="000E2C17">
      <w:pPr>
        <w:rPr>
          <w:rFonts w:ascii="Arial" w:hAnsi="Arial" w:cs="Arial"/>
          <w:sz w:val="22"/>
          <w:szCs w:val="22"/>
        </w:rPr>
      </w:pPr>
    </w:p>
    <w:p w14:paraId="792006B1" w14:textId="77777777" w:rsidR="000E2C17" w:rsidRPr="001755F9" w:rsidRDefault="000E2C17">
      <w:pPr>
        <w:rPr>
          <w:rFonts w:ascii="Arial" w:hAnsi="Arial" w:cs="Arial"/>
          <w:sz w:val="22"/>
          <w:szCs w:val="22"/>
        </w:rPr>
      </w:pPr>
    </w:p>
    <w:p w14:paraId="32805D53" w14:textId="77777777" w:rsidR="009933E6" w:rsidRPr="001755F9" w:rsidRDefault="009933E6">
      <w:pPr>
        <w:rPr>
          <w:rFonts w:ascii="Arial" w:hAnsi="Arial" w:cs="Arial"/>
          <w:sz w:val="22"/>
          <w:szCs w:val="22"/>
        </w:rPr>
      </w:pPr>
    </w:p>
    <w:p w14:paraId="0C4EAD11" w14:textId="77777777" w:rsidR="000E2C17" w:rsidRPr="001755F9" w:rsidRDefault="000E2C17">
      <w:pPr>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707025725"/>
        <w:docPartObj>
          <w:docPartGallery w:val="Table of Contents"/>
          <w:docPartUnique/>
        </w:docPartObj>
      </w:sdtPr>
      <w:sdtEndPr>
        <w:rPr>
          <w:b/>
          <w:bCs/>
          <w:noProof/>
        </w:rPr>
      </w:sdtEndPr>
      <w:sdtContent>
        <w:p w14:paraId="2DC39029" w14:textId="5389DCF3" w:rsidR="00D34598" w:rsidRPr="001755F9" w:rsidRDefault="00D34598">
          <w:pPr>
            <w:pStyle w:val="TOCHeading"/>
            <w:rPr>
              <w:rFonts w:ascii="Arial" w:hAnsi="Arial" w:cs="Arial"/>
              <w:sz w:val="22"/>
              <w:szCs w:val="22"/>
            </w:rPr>
          </w:pPr>
          <w:r w:rsidRPr="001755F9">
            <w:rPr>
              <w:rFonts w:ascii="Arial" w:hAnsi="Arial" w:cs="Arial"/>
              <w:sz w:val="22"/>
              <w:szCs w:val="22"/>
            </w:rPr>
            <w:t>Contents</w:t>
          </w:r>
        </w:p>
        <w:p w14:paraId="7ED05677" w14:textId="0B5B2B25" w:rsidR="000522D3" w:rsidRDefault="00D34598">
          <w:pPr>
            <w:pStyle w:val="TOC1"/>
            <w:tabs>
              <w:tab w:val="left" w:pos="480"/>
              <w:tab w:val="right" w:leader="dot" w:pos="9016"/>
            </w:tabs>
            <w:rPr>
              <w:rFonts w:eastAsiaTheme="minorEastAsia"/>
              <w:noProof/>
              <w:lang w:eastAsia="en-GB"/>
            </w:rPr>
          </w:pPr>
          <w:r w:rsidRPr="001755F9">
            <w:rPr>
              <w:rFonts w:ascii="Arial" w:hAnsi="Arial" w:cs="Arial"/>
              <w:sz w:val="22"/>
              <w:szCs w:val="22"/>
            </w:rPr>
            <w:fldChar w:fldCharType="begin"/>
          </w:r>
          <w:r w:rsidRPr="001755F9">
            <w:rPr>
              <w:rFonts w:ascii="Arial" w:hAnsi="Arial" w:cs="Arial"/>
              <w:sz w:val="22"/>
              <w:szCs w:val="22"/>
            </w:rPr>
            <w:instrText xml:space="preserve"> TOC \o "1-3" \h \z \u </w:instrText>
          </w:r>
          <w:r w:rsidRPr="001755F9">
            <w:rPr>
              <w:rFonts w:ascii="Arial" w:hAnsi="Arial" w:cs="Arial"/>
              <w:sz w:val="22"/>
              <w:szCs w:val="22"/>
            </w:rPr>
            <w:fldChar w:fldCharType="separate"/>
          </w:r>
          <w:hyperlink w:anchor="_Toc216115627" w:history="1">
            <w:r w:rsidR="000522D3" w:rsidRPr="00CA77AD">
              <w:rPr>
                <w:rStyle w:val="Hyperlink"/>
                <w:rFonts w:ascii="Arial" w:hAnsi="Arial" w:cs="Arial"/>
                <w:noProof/>
              </w:rPr>
              <w:t>1.</w:t>
            </w:r>
            <w:r w:rsidR="000522D3">
              <w:rPr>
                <w:rFonts w:eastAsiaTheme="minorEastAsia"/>
                <w:noProof/>
                <w:lang w:eastAsia="en-GB"/>
              </w:rPr>
              <w:tab/>
            </w:r>
            <w:r w:rsidR="000522D3" w:rsidRPr="00CA77AD">
              <w:rPr>
                <w:rStyle w:val="Hyperlink"/>
                <w:rFonts w:ascii="Arial" w:hAnsi="Arial" w:cs="Arial"/>
                <w:noProof/>
              </w:rPr>
              <w:t>Introduction</w:t>
            </w:r>
            <w:r w:rsidR="000522D3">
              <w:rPr>
                <w:noProof/>
                <w:webHidden/>
              </w:rPr>
              <w:tab/>
            </w:r>
            <w:r w:rsidR="000522D3">
              <w:rPr>
                <w:noProof/>
                <w:webHidden/>
              </w:rPr>
              <w:fldChar w:fldCharType="begin"/>
            </w:r>
            <w:r w:rsidR="000522D3">
              <w:rPr>
                <w:noProof/>
                <w:webHidden/>
              </w:rPr>
              <w:instrText xml:space="preserve"> PAGEREF _Toc216115627 \h </w:instrText>
            </w:r>
            <w:r w:rsidR="000522D3">
              <w:rPr>
                <w:noProof/>
                <w:webHidden/>
              </w:rPr>
            </w:r>
            <w:r w:rsidR="000522D3">
              <w:rPr>
                <w:noProof/>
                <w:webHidden/>
              </w:rPr>
              <w:fldChar w:fldCharType="separate"/>
            </w:r>
            <w:r w:rsidR="000522D3">
              <w:rPr>
                <w:noProof/>
                <w:webHidden/>
              </w:rPr>
              <w:t>3</w:t>
            </w:r>
            <w:r w:rsidR="000522D3">
              <w:rPr>
                <w:noProof/>
                <w:webHidden/>
              </w:rPr>
              <w:fldChar w:fldCharType="end"/>
            </w:r>
          </w:hyperlink>
        </w:p>
        <w:p w14:paraId="19921263" w14:textId="75CB215B" w:rsidR="000522D3" w:rsidRDefault="000522D3">
          <w:pPr>
            <w:pStyle w:val="TOC1"/>
            <w:tabs>
              <w:tab w:val="left" w:pos="480"/>
              <w:tab w:val="right" w:leader="dot" w:pos="9016"/>
            </w:tabs>
            <w:rPr>
              <w:rFonts w:eastAsiaTheme="minorEastAsia"/>
              <w:noProof/>
              <w:lang w:eastAsia="en-GB"/>
            </w:rPr>
          </w:pPr>
          <w:hyperlink w:anchor="_Toc216115628" w:history="1">
            <w:r w:rsidRPr="00CA77AD">
              <w:rPr>
                <w:rStyle w:val="Hyperlink"/>
                <w:rFonts w:ascii="Arial" w:hAnsi="Arial" w:cs="Arial"/>
                <w:noProof/>
              </w:rPr>
              <w:t>2.</w:t>
            </w:r>
            <w:r>
              <w:rPr>
                <w:rFonts w:eastAsiaTheme="minorEastAsia"/>
                <w:noProof/>
                <w:lang w:eastAsia="en-GB"/>
              </w:rPr>
              <w:tab/>
            </w:r>
            <w:r w:rsidRPr="00CA77AD">
              <w:rPr>
                <w:rStyle w:val="Hyperlink"/>
                <w:rFonts w:ascii="Arial" w:hAnsi="Arial" w:cs="Arial"/>
                <w:noProof/>
              </w:rPr>
              <w:t>Key consumers and industry trends</w:t>
            </w:r>
            <w:r>
              <w:rPr>
                <w:noProof/>
                <w:webHidden/>
              </w:rPr>
              <w:tab/>
            </w:r>
            <w:r>
              <w:rPr>
                <w:noProof/>
                <w:webHidden/>
              </w:rPr>
              <w:fldChar w:fldCharType="begin"/>
            </w:r>
            <w:r>
              <w:rPr>
                <w:noProof/>
                <w:webHidden/>
              </w:rPr>
              <w:instrText xml:space="preserve"> PAGEREF _Toc216115628 \h </w:instrText>
            </w:r>
            <w:r>
              <w:rPr>
                <w:noProof/>
                <w:webHidden/>
              </w:rPr>
            </w:r>
            <w:r>
              <w:rPr>
                <w:noProof/>
                <w:webHidden/>
              </w:rPr>
              <w:fldChar w:fldCharType="separate"/>
            </w:r>
            <w:r>
              <w:rPr>
                <w:noProof/>
                <w:webHidden/>
              </w:rPr>
              <w:t>3</w:t>
            </w:r>
            <w:r>
              <w:rPr>
                <w:noProof/>
                <w:webHidden/>
              </w:rPr>
              <w:fldChar w:fldCharType="end"/>
            </w:r>
          </w:hyperlink>
        </w:p>
        <w:p w14:paraId="13D81CE2" w14:textId="7B90937E" w:rsidR="000522D3" w:rsidRDefault="000522D3">
          <w:pPr>
            <w:pStyle w:val="TOC2"/>
            <w:tabs>
              <w:tab w:val="left" w:pos="960"/>
              <w:tab w:val="right" w:leader="dot" w:pos="9016"/>
            </w:tabs>
            <w:rPr>
              <w:rFonts w:eastAsiaTheme="minorEastAsia"/>
              <w:noProof/>
              <w:lang w:eastAsia="en-GB"/>
            </w:rPr>
          </w:pPr>
          <w:hyperlink w:anchor="_Toc216115629" w:history="1">
            <w:r w:rsidRPr="00CA77AD">
              <w:rPr>
                <w:rStyle w:val="Hyperlink"/>
                <w:rFonts w:ascii="Arial" w:hAnsi="Arial" w:cs="Arial"/>
                <w:noProof/>
              </w:rPr>
              <w:t>2.1</w:t>
            </w:r>
            <w:r>
              <w:rPr>
                <w:rFonts w:eastAsiaTheme="minorEastAsia"/>
                <w:noProof/>
                <w:lang w:eastAsia="en-GB"/>
              </w:rPr>
              <w:tab/>
            </w:r>
            <w:r w:rsidRPr="00CA77AD">
              <w:rPr>
                <w:rStyle w:val="Hyperlink"/>
                <w:rFonts w:ascii="Arial" w:hAnsi="Arial" w:cs="Arial"/>
                <w:noProof/>
              </w:rPr>
              <w:t>Key consumers</w:t>
            </w:r>
            <w:r>
              <w:rPr>
                <w:noProof/>
                <w:webHidden/>
              </w:rPr>
              <w:tab/>
            </w:r>
            <w:r>
              <w:rPr>
                <w:noProof/>
                <w:webHidden/>
              </w:rPr>
              <w:fldChar w:fldCharType="begin"/>
            </w:r>
            <w:r>
              <w:rPr>
                <w:noProof/>
                <w:webHidden/>
              </w:rPr>
              <w:instrText xml:space="preserve"> PAGEREF _Toc216115629 \h </w:instrText>
            </w:r>
            <w:r>
              <w:rPr>
                <w:noProof/>
                <w:webHidden/>
              </w:rPr>
            </w:r>
            <w:r>
              <w:rPr>
                <w:noProof/>
                <w:webHidden/>
              </w:rPr>
              <w:fldChar w:fldCharType="separate"/>
            </w:r>
            <w:r>
              <w:rPr>
                <w:noProof/>
                <w:webHidden/>
              </w:rPr>
              <w:t>3</w:t>
            </w:r>
            <w:r>
              <w:rPr>
                <w:noProof/>
                <w:webHidden/>
              </w:rPr>
              <w:fldChar w:fldCharType="end"/>
            </w:r>
          </w:hyperlink>
        </w:p>
        <w:p w14:paraId="64D8D76D" w14:textId="201A866D" w:rsidR="000522D3" w:rsidRDefault="000522D3">
          <w:pPr>
            <w:pStyle w:val="TOC2"/>
            <w:tabs>
              <w:tab w:val="left" w:pos="960"/>
              <w:tab w:val="right" w:leader="dot" w:pos="9016"/>
            </w:tabs>
            <w:rPr>
              <w:rFonts w:eastAsiaTheme="minorEastAsia"/>
              <w:noProof/>
              <w:lang w:eastAsia="en-GB"/>
            </w:rPr>
          </w:pPr>
          <w:hyperlink w:anchor="_Toc216115630" w:history="1">
            <w:r w:rsidRPr="00CA77AD">
              <w:rPr>
                <w:rStyle w:val="Hyperlink"/>
                <w:rFonts w:ascii="Arial" w:hAnsi="Arial" w:cs="Arial"/>
                <w:noProof/>
              </w:rPr>
              <w:t>2.2</w:t>
            </w:r>
            <w:r>
              <w:rPr>
                <w:rFonts w:eastAsiaTheme="minorEastAsia"/>
                <w:noProof/>
                <w:lang w:eastAsia="en-GB"/>
              </w:rPr>
              <w:tab/>
            </w:r>
            <w:r w:rsidRPr="00CA77AD">
              <w:rPr>
                <w:rStyle w:val="Hyperlink"/>
                <w:rFonts w:ascii="Arial" w:hAnsi="Arial" w:cs="Arial"/>
                <w:noProof/>
              </w:rPr>
              <w:t>Changes in customer behaviour</w:t>
            </w:r>
            <w:r>
              <w:rPr>
                <w:noProof/>
                <w:webHidden/>
              </w:rPr>
              <w:tab/>
            </w:r>
            <w:r>
              <w:rPr>
                <w:noProof/>
                <w:webHidden/>
              </w:rPr>
              <w:fldChar w:fldCharType="begin"/>
            </w:r>
            <w:r>
              <w:rPr>
                <w:noProof/>
                <w:webHidden/>
              </w:rPr>
              <w:instrText xml:space="preserve"> PAGEREF _Toc216115630 \h </w:instrText>
            </w:r>
            <w:r>
              <w:rPr>
                <w:noProof/>
                <w:webHidden/>
              </w:rPr>
            </w:r>
            <w:r>
              <w:rPr>
                <w:noProof/>
                <w:webHidden/>
              </w:rPr>
              <w:fldChar w:fldCharType="separate"/>
            </w:r>
            <w:r>
              <w:rPr>
                <w:noProof/>
                <w:webHidden/>
              </w:rPr>
              <w:t>4</w:t>
            </w:r>
            <w:r>
              <w:rPr>
                <w:noProof/>
                <w:webHidden/>
              </w:rPr>
              <w:fldChar w:fldCharType="end"/>
            </w:r>
          </w:hyperlink>
        </w:p>
        <w:p w14:paraId="6DCD5BD1" w14:textId="0CAF6C28" w:rsidR="000522D3" w:rsidRDefault="000522D3">
          <w:pPr>
            <w:pStyle w:val="TOC2"/>
            <w:tabs>
              <w:tab w:val="left" w:pos="960"/>
              <w:tab w:val="right" w:leader="dot" w:pos="9016"/>
            </w:tabs>
            <w:rPr>
              <w:rFonts w:eastAsiaTheme="minorEastAsia"/>
              <w:noProof/>
              <w:lang w:eastAsia="en-GB"/>
            </w:rPr>
          </w:pPr>
          <w:hyperlink w:anchor="_Toc216115631" w:history="1">
            <w:r w:rsidRPr="00CA77AD">
              <w:rPr>
                <w:rStyle w:val="Hyperlink"/>
                <w:rFonts w:ascii="Arial" w:hAnsi="Arial" w:cs="Arial"/>
                <w:noProof/>
              </w:rPr>
              <w:t>2.3</w:t>
            </w:r>
            <w:r>
              <w:rPr>
                <w:rFonts w:eastAsiaTheme="minorEastAsia"/>
                <w:noProof/>
                <w:lang w:eastAsia="en-GB"/>
              </w:rPr>
              <w:tab/>
            </w:r>
            <w:r w:rsidRPr="00CA77AD">
              <w:rPr>
                <w:rStyle w:val="Hyperlink"/>
                <w:rFonts w:ascii="Arial" w:hAnsi="Arial" w:cs="Arial"/>
                <w:noProof/>
              </w:rPr>
              <w:t>Industry trends affecting AstraZeneca</w:t>
            </w:r>
            <w:r>
              <w:rPr>
                <w:noProof/>
                <w:webHidden/>
              </w:rPr>
              <w:tab/>
            </w:r>
            <w:r>
              <w:rPr>
                <w:noProof/>
                <w:webHidden/>
              </w:rPr>
              <w:fldChar w:fldCharType="begin"/>
            </w:r>
            <w:r>
              <w:rPr>
                <w:noProof/>
                <w:webHidden/>
              </w:rPr>
              <w:instrText xml:space="preserve"> PAGEREF _Toc216115631 \h </w:instrText>
            </w:r>
            <w:r>
              <w:rPr>
                <w:noProof/>
                <w:webHidden/>
              </w:rPr>
            </w:r>
            <w:r>
              <w:rPr>
                <w:noProof/>
                <w:webHidden/>
              </w:rPr>
              <w:fldChar w:fldCharType="separate"/>
            </w:r>
            <w:r>
              <w:rPr>
                <w:noProof/>
                <w:webHidden/>
              </w:rPr>
              <w:t>4</w:t>
            </w:r>
            <w:r>
              <w:rPr>
                <w:noProof/>
                <w:webHidden/>
              </w:rPr>
              <w:fldChar w:fldCharType="end"/>
            </w:r>
          </w:hyperlink>
        </w:p>
        <w:p w14:paraId="7A485E5A" w14:textId="456AC100" w:rsidR="000522D3" w:rsidRDefault="000522D3">
          <w:pPr>
            <w:pStyle w:val="TOC1"/>
            <w:tabs>
              <w:tab w:val="right" w:leader="dot" w:pos="9016"/>
            </w:tabs>
            <w:rPr>
              <w:rFonts w:eastAsiaTheme="minorEastAsia"/>
              <w:noProof/>
              <w:lang w:eastAsia="en-GB"/>
            </w:rPr>
          </w:pPr>
          <w:hyperlink w:anchor="_Toc216115632" w:history="1">
            <w:r w:rsidRPr="00CA77AD">
              <w:rPr>
                <w:rStyle w:val="Hyperlink"/>
                <w:rFonts w:ascii="Arial" w:hAnsi="Arial" w:cs="Arial"/>
                <w:noProof/>
              </w:rPr>
              <w:t>Part 1: 3. Innovation Ambition Matrix</w:t>
            </w:r>
            <w:r>
              <w:rPr>
                <w:noProof/>
                <w:webHidden/>
              </w:rPr>
              <w:tab/>
            </w:r>
            <w:r>
              <w:rPr>
                <w:noProof/>
                <w:webHidden/>
              </w:rPr>
              <w:fldChar w:fldCharType="begin"/>
            </w:r>
            <w:r>
              <w:rPr>
                <w:noProof/>
                <w:webHidden/>
              </w:rPr>
              <w:instrText xml:space="preserve"> PAGEREF _Toc216115632 \h </w:instrText>
            </w:r>
            <w:r>
              <w:rPr>
                <w:noProof/>
                <w:webHidden/>
              </w:rPr>
            </w:r>
            <w:r>
              <w:rPr>
                <w:noProof/>
                <w:webHidden/>
              </w:rPr>
              <w:fldChar w:fldCharType="separate"/>
            </w:r>
            <w:r>
              <w:rPr>
                <w:noProof/>
                <w:webHidden/>
              </w:rPr>
              <w:t>4</w:t>
            </w:r>
            <w:r>
              <w:rPr>
                <w:noProof/>
                <w:webHidden/>
              </w:rPr>
              <w:fldChar w:fldCharType="end"/>
            </w:r>
          </w:hyperlink>
        </w:p>
        <w:p w14:paraId="4558A598" w14:textId="26A4700E" w:rsidR="000522D3" w:rsidRDefault="000522D3">
          <w:pPr>
            <w:pStyle w:val="TOC2"/>
            <w:tabs>
              <w:tab w:val="right" w:leader="dot" w:pos="9016"/>
            </w:tabs>
            <w:rPr>
              <w:rFonts w:eastAsiaTheme="minorEastAsia"/>
              <w:noProof/>
              <w:lang w:eastAsia="en-GB"/>
            </w:rPr>
          </w:pPr>
          <w:hyperlink w:anchor="_Toc216115633" w:history="1">
            <w:r w:rsidRPr="00CA77AD">
              <w:rPr>
                <w:rStyle w:val="Hyperlink"/>
                <w:rFonts w:ascii="Arial" w:hAnsi="Arial" w:cs="Arial"/>
                <w:noProof/>
              </w:rPr>
              <w:t>3.1 Core Innovations</w:t>
            </w:r>
            <w:r>
              <w:rPr>
                <w:noProof/>
                <w:webHidden/>
              </w:rPr>
              <w:tab/>
            </w:r>
            <w:r>
              <w:rPr>
                <w:noProof/>
                <w:webHidden/>
              </w:rPr>
              <w:fldChar w:fldCharType="begin"/>
            </w:r>
            <w:r>
              <w:rPr>
                <w:noProof/>
                <w:webHidden/>
              </w:rPr>
              <w:instrText xml:space="preserve"> PAGEREF _Toc216115633 \h </w:instrText>
            </w:r>
            <w:r>
              <w:rPr>
                <w:noProof/>
                <w:webHidden/>
              </w:rPr>
            </w:r>
            <w:r>
              <w:rPr>
                <w:noProof/>
                <w:webHidden/>
              </w:rPr>
              <w:fldChar w:fldCharType="separate"/>
            </w:r>
            <w:r>
              <w:rPr>
                <w:noProof/>
                <w:webHidden/>
              </w:rPr>
              <w:t>5</w:t>
            </w:r>
            <w:r>
              <w:rPr>
                <w:noProof/>
                <w:webHidden/>
              </w:rPr>
              <w:fldChar w:fldCharType="end"/>
            </w:r>
          </w:hyperlink>
        </w:p>
        <w:p w14:paraId="74D59EA5" w14:textId="748CF8D2" w:rsidR="000522D3" w:rsidRDefault="000522D3">
          <w:pPr>
            <w:pStyle w:val="TOC2"/>
            <w:tabs>
              <w:tab w:val="right" w:leader="dot" w:pos="9016"/>
            </w:tabs>
            <w:rPr>
              <w:rFonts w:eastAsiaTheme="minorEastAsia"/>
              <w:noProof/>
              <w:lang w:eastAsia="en-GB"/>
            </w:rPr>
          </w:pPr>
          <w:hyperlink w:anchor="_Toc216115634" w:history="1">
            <w:r w:rsidRPr="00CA77AD">
              <w:rPr>
                <w:rStyle w:val="Hyperlink"/>
                <w:rFonts w:ascii="Arial" w:hAnsi="Arial" w:cs="Arial"/>
                <w:noProof/>
              </w:rPr>
              <w:t>3.2 Adjacent Innovations</w:t>
            </w:r>
            <w:r>
              <w:rPr>
                <w:noProof/>
                <w:webHidden/>
              </w:rPr>
              <w:tab/>
            </w:r>
            <w:r>
              <w:rPr>
                <w:noProof/>
                <w:webHidden/>
              </w:rPr>
              <w:fldChar w:fldCharType="begin"/>
            </w:r>
            <w:r>
              <w:rPr>
                <w:noProof/>
                <w:webHidden/>
              </w:rPr>
              <w:instrText xml:space="preserve"> PAGEREF _Toc216115634 \h </w:instrText>
            </w:r>
            <w:r>
              <w:rPr>
                <w:noProof/>
                <w:webHidden/>
              </w:rPr>
            </w:r>
            <w:r>
              <w:rPr>
                <w:noProof/>
                <w:webHidden/>
              </w:rPr>
              <w:fldChar w:fldCharType="separate"/>
            </w:r>
            <w:r>
              <w:rPr>
                <w:noProof/>
                <w:webHidden/>
              </w:rPr>
              <w:t>6</w:t>
            </w:r>
            <w:r>
              <w:rPr>
                <w:noProof/>
                <w:webHidden/>
              </w:rPr>
              <w:fldChar w:fldCharType="end"/>
            </w:r>
          </w:hyperlink>
        </w:p>
        <w:p w14:paraId="42340565" w14:textId="2F09A41D" w:rsidR="000522D3" w:rsidRDefault="000522D3">
          <w:pPr>
            <w:pStyle w:val="TOC2"/>
            <w:tabs>
              <w:tab w:val="right" w:leader="dot" w:pos="9016"/>
            </w:tabs>
            <w:rPr>
              <w:rFonts w:eastAsiaTheme="minorEastAsia"/>
              <w:noProof/>
              <w:lang w:eastAsia="en-GB"/>
            </w:rPr>
          </w:pPr>
          <w:hyperlink w:anchor="_Toc216115635" w:history="1">
            <w:r w:rsidRPr="00CA77AD">
              <w:rPr>
                <w:rStyle w:val="Hyperlink"/>
                <w:rFonts w:ascii="Arial" w:hAnsi="Arial" w:cs="Arial"/>
                <w:noProof/>
              </w:rPr>
              <w:t>3.3 Transformational Innovations</w:t>
            </w:r>
            <w:r>
              <w:rPr>
                <w:noProof/>
                <w:webHidden/>
              </w:rPr>
              <w:tab/>
            </w:r>
            <w:r>
              <w:rPr>
                <w:noProof/>
                <w:webHidden/>
              </w:rPr>
              <w:fldChar w:fldCharType="begin"/>
            </w:r>
            <w:r>
              <w:rPr>
                <w:noProof/>
                <w:webHidden/>
              </w:rPr>
              <w:instrText xml:space="preserve"> PAGEREF _Toc216115635 \h </w:instrText>
            </w:r>
            <w:r>
              <w:rPr>
                <w:noProof/>
                <w:webHidden/>
              </w:rPr>
            </w:r>
            <w:r>
              <w:rPr>
                <w:noProof/>
                <w:webHidden/>
              </w:rPr>
              <w:fldChar w:fldCharType="separate"/>
            </w:r>
            <w:r>
              <w:rPr>
                <w:noProof/>
                <w:webHidden/>
              </w:rPr>
              <w:t>6</w:t>
            </w:r>
            <w:r>
              <w:rPr>
                <w:noProof/>
                <w:webHidden/>
              </w:rPr>
              <w:fldChar w:fldCharType="end"/>
            </w:r>
          </w:hyperlink>
        </w:p>
        <w:p w14:paraId="60BFCB6E" w14:textId="620DF4DA" w:rsidR="000522D3" w:rsidRDefault="000522D3">
          <w:pPr>
            <w:pStyle w:val="TOC1"/>
            <w:tabs>
              <w:tab w:val="left" w:pos="480"/>
              <w:tab w:val="right" w:leader="dot" w:pos="9016"/>
            </w:tabs>
            <w:rPr>
              <w:rFonts w:eastAsiaTheme="minorEastAsia"/>
              <w:noProof/>
              <w:lang w:eastAsia="en-GB"/>
            </w:rPr>
          </w:pPr>
          <w:hyperlink w:anchor="_Toc216115636" w:history="1">
            <w:r w:rsidRPr="00CA77AD">
              <w:rPr>
                <w:rStyle w:val="Hyperlink"/>
                <w:rFonts w:ascii="Arial" w:hAnsi="Arial" w:cs="Arial"/>
                <w:noProof/>
              </w:rPr>
              <w:t>4.</w:t>
            </w:r>
            <w:r>
              <w:rPr>
                <w:rFonts w:eastAsiaTheme="minorEastAsia"/>
                <w:noProof/>
                <w:lang w:eastAsia="en-GB"/>
              </w:rPr>
              <w:tab/>
            </w:r>
            <w:r w:rsidRPr="00CA77AD">
              <w:rPr>
                <w:rStyle w:val="Hyperlink"/>
                <w:rFonts w:ascii="Arial" w:hAnsi="Arial" w:cs="Arial"/>
                <w:noProof/>
              </w:rPr>
              <w:t>Links between Innovations, Consumers Behaviour and Industry Trends</w:t>
            </w:r>
            <w:r>
              <w:rPr>
                <w:noProof/>
                <w:webHidden/>
              </w:rPr>
              <w:tab/>
            </w:r>
            <w:r>
              <w:rPr>
                <w:noProof/>
                <w:webHidden/>
              </w:rPr>
              <w:fldChar w:fldCharType="begin"/>
            </w:r>
            <w:r>
              <w:rPr>
                <w:noProof/>
                <w:webHidden/>
              </w:rPr>
              <w:instrText xml:space="preserve"> PAGEREF _Toc216115636 \h </w:instrText>
            </w:r>
            <w:r>
              <w:rPr>
                <w:noProof/>
                <w:webHidden/>
              </w:rPr>
            </w:r>
            <w:r>
              <w:rPr>
                <w:noProof/>
                <w:webHidden/>
              </w:rPr>
              <w:fldChar w:fldCharType="separate"/>
            </w:r>
            <w:r>
              <w:rPr>
                <w:noProof/>
                <w:webHidden/>
              </w:rPr>
              <w:t>7</w:t>
            </w:r>
            <w:r>
              <w:rPr>
                <w:noProof/>
                <w:webHidden/>
              </w:rPr>
              <w:fldChar w:fldCharType="end"/>
            </w:r>
          </w:hyperlink>
        </w:p>
        <w:p w14:paraId="38EC2FB3" w14:textId="16E33C9A" w:rsidR="000522D3" w:rsidRDefault="000522D3">
          <w:pPr>
            <w:pStyle w:val="TOC1"/>
            <w:tabs>
              <w:tab w:val="left" w:pos="480"/>
              <w:tab w:val="right" w:leader="dot" w:pos="9016"/>
            </w:tabs>
            <w:rPr>
              <w:rFonts w:eastAsiaTheme="minorEastAsia"/>
              <w:noProof/>
              <w:lang w:eastAsia="en-GB"/>
            </w:rPr>
          </w:pPr>
          <w:hyperlink w:anchor="_Toc216115637" w:history="1">
            <w:r w:rsidRPr="00CA77AD">
              <w:rPr>
                <w:rStyle w:val="Hyperlink"/>
                <w:rFonts w:ascii="Arial" w:hAnsi="Arial" w:cs="Arial"/>
                <w:noProof/>
              </w:rPr>
              <w:t>5.</w:t>
            </w:r>
            <w:r>
              <w:rPr>
                <w:rFonts w:eastAsiaTheme="minorEastAsia"/>
                <w:noProof/>
                <w:lang w:eastAsia="en-GB"/>
              </w:rPr>
              <w:tab/>
            </w:r>
            <w:r w:rsidRPr="00CA77AD">
              <w:rPr>
                <w:rStyle w:val="Hyperlink"/>
                <w:rFonts w:ascii="Arial" w:hAnsi="Arial" w:cs="Arial"/>
                <w:noProof/>
              </w:rPr>
              <w:t>New Innovations Opportunities</w:t>
            </w:r>
            <w:r>
              <w:rPr>
                <w:noProof/>
                <w:webHidden/>
              </w:rPr>
              <w:tab/>
            </w:r>
            <w:r>
              <w:rPr>
                <w:noProof/>
                <w:webHidden/>
              </w:rPr>
              <w:fldChar w:fldCharType="begin"/>
            </w:r>
            <w:r>
              <w:rPr>
                <w:noProof/>
                <w:webHidden/>
              </w:rPr>
              <w:instrText xml:space="preserve"> PAGEREF _Toc216115637 \h </w:instrText>
            </w:r>
            <w:r>
              <w:rPr>
                <w:noProof/>
                <w:webHidden/>
              </w:rPr>
            </w:r>
            <w:r>
              <w:rPr>
                <w:noProof/>
                <w:webHidden/>
              </w:rPr>
              <w:fldChar w:fldCharType="separate"/>
            </w:r>
            <w:r>
              <w:rPr>
                <w:noProof/>
                <w:webHidden/>
              </w:rPr>
              <w:t>7</w:t>
            </w:r>
            <w:r>
              <w:rPr>
                <w:noProof/>
                <w:webHidden/>
              </w:rPr>
              <w:fldChar w:fldCharType="end"/>
            </w:r>
          </w:hyperlink>
        </w:p>
        <w:p w14:paraId="57EEBFB7" w14:textId="48537146" w:rsidR="000522D3" w:rsidRDefault="000522D3">
          <w:pPr>
            <w:pStyle w:val="TOC1"/>
            <w:tabs>
              <w:tab w:val="left" w:pos="480"/>
              <w:tab w:val="right" w:leader="dot" w:pos="9016"/>
            </w:tabs>
            <w:rPr>
              <w:rFonts w:eastAsiaTheme="minorEastAsia"/>
              <w:noProof/>
              <w:lang w:eastAsia="en-GB"/>
            </w:rPr>
          </w:pPr>
          <w:hyperlink w:anchor="_Toc216115638" w:history="1">
            <w:r w:rsidRPr="00CA77AD">
              <w:rPr>
                <w:rStyle w:val="Hyperlink"/>
                <w:rFonts w:ascii="Arial" w:hAnsi="Arial" w:cs="Arial"/>
                <w:noProof/>
              </w:rPr>
              <w:t>6.</w:t>
            </w:r>
            <w:r>
              <w:rPr>
                <w:rFonts w:eastAsiaTheme="minorEastAsia"/>
                <w:noProof/>
                <w:lang w:eastAsia="en-GB"/>
              </w:rPr>
              <w:tab/>
            </w:r>
            <w:r w:rsidRPr="00CA77AD">
              <w:rPr>
                <w:rStyle w:val="Hyperlink"/>
                <w:rFonts w:ascii="Arial" w:hAnsi="Arial" w:cs="Arial"/>
                <w:noProof/>
              </w:rPr>
              <w:t>Customer Journey Map</w:t>
            </w:r>
            <w:r>
              <w:rPr>
                <w:noProof/>
                <w:webHidden/>
              </w:rPr>
              <w:tab/>
            </w:r>
            <w:r>
              <w:rPr>
                <w:noProof/>
                <w:webHidden/>
              </w:rPr>
              <w:fldChar w:fldCharType="begin"/>
            </w:r>
            <w:r>
              <w:rPr>
                <w:noProof/>
                <w:webHidden/>
              </w:rPr>
              <w:instrText xml:space="preserve"> PAGEREF _Toc216115638 \h </w:instrText>
            </w:r>
            <w:r>
              <w:rPr>
                <w:noProof/>
                <w:webHidden/>
              </w:rPr>
            </w:r>
            <w:r>
              <w:rPr>
                <w:noProof/>
                <w:webHidden/>
              </w:rPr>
              <w:fldChar w:fldCharType="separate"/>
            </w:r>
            <w:r>
              <w:rPr>
                <w:noProof/>
                <w:webHidden/>
              </w:rPr>
              <w:t>7</w:t>
            </w:r>
            <w:r>
              <w:rPr>
                <w:noProof/>
                <w:webHidden/>
              </w:rPr>
              <w:fldChar w:fldCharType="end"/>
            </w:r>
          </w:hyperlink>
        </w:p>
        <w:p w14:paraId="7D3DB993" w14:textId="1D835032" w:rsidR="000522D3" w:rsidRDefault="000522D3">
          <w:pPr>
            <w:pStyle w:val="TOC1"/>
            <w:tabs>
              <w:tab w:val="left" w:pos="480"/>
              <w:tab w:val="right" w:leader="dot" w:pos="9016"/>
            </w:tabs>
            <w:rPr>
              <w:rFonts w:eastAsiaTheme="minorEastAsia"/>
              <w:noProof/>
              <w:lang w:eastAsia="en-GB"/>
            </w:rPr>
          </w:pPr>
          <w:hyperlink w:anchor="_Toc216115639" w:history="1">
            <w:r w:rsidRPr="00CA77AD">
              <w:rPr>
                <w:rStyle w:val="Hyperlink"/>
                <w:rFonts w:ascii="Arial" w:hAnsi="Arial" w:cs="Arial"/>
                <w:noProof/>
              </w:rPr>
              <w:t>7.</w:t>
            </w:r>
            <w:r>
              <w:rPr>
                <w:rFonts w:eastAsiaTheme="minorEastAsia"/>
                <w:noProof/>
                <w:lang w:eastAsia="en-GB"/>
              </w:rPr>
              <w:tab/>
            </w:r>
            <w:r w:rsidRPr="00CA77AD">
              <w:rPr>
                <w:rStyle w:val="Hyperlink"/>
                <w:rFonts w:ascii="Arial" w:hAnsi="Arial" w:cs="Arial"/>
                <w:noProof/>
              </w:rPr>
              <w:t>Proposed Digital Transformational Innovations</w:t>
            </w:r>
            <w:r>
              <w:rPr>
                <w:noProof/>
                <w:webHidden/>
              </w:rPr>
              <w:tab/>
            </w:r>
            <w:r>
              <w:rPr>
                <w:noProof/>
                <w:webHidden/>
              </w:rPr>
              <w:fldChar w:fldCharType="begin"/>
            </w:r>
            <w:r>
              <w:rPr>
                <w:noProof/>
                <w:webHidden/>
              </w:rPr>
              <w:instrText xml:space="preserve"> PAGEREF _Toc216115639 \h </w:instrText>
            </w:r>
            <w:r>
              <w:rPr>
                <w:noProof/>
                <w:webHidden/>
              </w:rPr>
            </w:r>
            <w:r>
              <w:rPr>
                <w:noProof/>
                <w:webHidden/>
              </w:rPr>
              <w:fldChar w:fldCharType="separate"/>
            </w:r>
            <w:r>
              <w:rPr>
                <w:noProof/>
                <w:webHidden/>
              </w:rPr>
              <w:t>8</w:t>
            </w:r>
            <w:r>
              <w:rPr>
                <w:noProof/>
                <w:webHidden/>
              </w:rPr>
              <w:fldChar w:fldCharType="end"/>
            </w:r>
          </w:hyperlink>
        </w:p>
        <w:p w14:paraId="44054466" w14:textId="422F7C9E" w:rsidR="000522D3" w:rsidRDefault="000522D3">
          <w:pPr>
            <w:pStyle w:val="TOC1"/>
            <w:tabs>
              <w:tab w:val="left" w:pos="720"/>
              <w:tab w:val="right" w:leader="dot" w:pos="9016"/>
            </w:tabs>
            <w:rPr>
              <w:rFonts w:eastAsiaTheme="minorEastAsia"/>
              <w:noProof/>
              <w:lang w:eastAsia="en-GB"/>
            </w:rPr>
          </w:pPr>
          <w:hyperlink w:anchor="_Toc216115640" w:history="1">
            <w:r w:rsidRPr="00CA77AD">
              <w:rPr>
                <w:rStyle w:val="Hyperlink"/>
                <w:rFonts w:ascii="Arial" w:hAnsi="Arial" w:cs="Arial"/>
                <w:noProof/>
              </w:rPr>
              <w:t>7.1</w:t>
            </w:r>
            <w:r>
              <w:rPr>
                <w:rFonts w:eastAsiaTheme="minorEastAsia"/>
                <w:noProof/>
                <w:lang w:eastAsia="en-GB"/>
              </w:rPr>
              <w:tab/>
            </w:r>
            <w:r w:rsidRPr="00CA77AD">
              <w:rPr>
                <w:rStyle w:val="Hyperlink"/>
                <w:rFonts w:ascii="Arial" w:hAnsi="Arial" w:cs="Arial"/>
                <w:noProof/>
              </w:rPr>
              <w:t>Customer Journey Map</w:t>
            </w:r>
            <w:r>
              <w:rPr>
                <w:noProof/>
                <w:webHidden/>
              </w:rPr>
              <w:tab/>
            </w:r>
            <w:r>
              <w:rPr>
                <w:noProof/>
                <w:webHidden/>
              </w:rPr>
              <w:fldChar w:fldCharType="begin"/>
            </w:r>
            <w:r>
              <w:rPr>
                <w:noProof/>
                <w:webHidden/>
              </w:rPr>
              <w:instrText xml:space="preserve"> PAGEREF _Toc216115640 \h </w:instrText>
            </w:r>
            <w:r>
              <w:rPr>
                <w:noProof/>
                <w:webHidden/>
              </w:rPr>
            </w:r>
            <w:r>
              <w:rPr>
                <w:noProof/>
                <w:webHidden/>
              </w:rPr>
              <w:fldChar w:fldCharType="separate"/>
            </w:r>
            <w:r>
              <w:rPr>
                <w:noProof/>
                <w:webHidden/>
              </w:rPr>
              <w:t>9</w:t>
            </w:r>
            <w:r>
              <w:rPr>
                <w:noProof/>
                <w:webHidden/>
              </w:rPr>
              <w:fldChar w:fldCharType="end"/>
            </w:r>
          </w:hyperlink>
        </w:p>
        <w:p w14:paraId="191DCA9C" w14:textId="6BA9CECE" w:rsidR="000522D3" w:rsidRDefault="000522D3">
          <w:pPr>
            <w:pStyle w:val="TOC1"/>
            <w:tabs>
              <w:tab w:val="left" w:pos="720"/>
              <w:tab w:val="right" w:leader="dot" w:pos="9016"/>
            </w:tabs>
            <w:rPr>
              <w:rFonts w:eastAsiaTheme="minorEastAsia"/>
              <w:noProof/>
              <w:lang w:eastAsia="en-GB"/>
            </w:rPr>
          </w:pPr>
          <w:hyperlink w:anchor="_Toc216115641" w:history="1">
            <w:r w:rsidRPr="00CA77AD">
              <w:rPr>
                <w:rStyle w:val="Hyperlink"/>
                <w:rFonts w:ascii="Arial" w:hAnsi="Arial" w:cs="Arial"/>
                <w:noProof/>
              </w:rPr>
              <w:t>7.2</w:t>
            </w:r>
            <w:r>
              <w:rPr>
                <w:rFonts w:eastAsiaTheme="minorEastAsia"/>
                <w:noProof/>
                <w:lang w:eastAsia="en-GB"/>
              </w:rPr>
              <w:tab/>
            </w:r>
            <w:r w:rsidRPr="00CA77AD">
              <w:rPr>
                <w:rStyle w:val="Hyperlink"/>
                <w:rFonts w:ascii="Arial" w:hAnsi="Arial" w:cs="Arial"/>
                <w:noProof/>
              </w:rPr>
              <w:t>Organisational Impact of the Proposed Digital Transformational Initiative</w:t>
            </w:r>
            <w:r>
              <w:rPr>
                <w:noProof/>
                <w:webHidden/>
              </w:rPr>
              <w:tab/>
            </w:r>
            <w:r>
              <w:rPr>
                <w:noProof/>
                <w:webHidden/>
              </w:rPr>
              <w:fldChar w:fldCharType="begin"/>
            </w:r>
            <w:r>
              <w:rPr>
                <w:noProof/>
                <w:webHidden/>
              </w:rPr>
              <w:instrText xml:space="preserve"> PAGEREF _Toc216115641 \h </w:instrText>
            </w:r>
            <w:r>
              <w:rPr>
                <w:noProof/>
                <w:webHidden/>
              </w:rPr>
            </w:r>
            <w:r>
              <w:rPr>
                <w:noProof/>
                <w:webHidden/>
              </w:rPr>
              <w:fldChar w:fldCharType="separate"/>
            </w:r>
            <w:r>
              <w:rPr>
                <w:noProof/>
                <w:webHidden/>
              </w:rPr>
              <w:t>10</w:t>
            </w:r>
            <w:r>
              <w:rPr>
                <w:noProof/>
                <w:webHidden/>
              </w:rPr>
              <w:fldChar w:fldCharType="end"/>
            </w:r>
          </w:hyperlink>
        </w:p>
        <w:p w14:paraId="26F27613" w14:textId="140B37C3" w:rsidR="000522D3" w:rsidRDefault="000522D3">
          <w:pPr>
            <w:pStyle w:val="TOC1"/>
            <w:tabs>
              <w:tab w:val="left" w:pos="720"/>
              <w:tab w:val="right" w:leader="dot" w:pos="9016"/>
            </w:tabs>
            <w:rPr>
              <w:rFonts w:eastAsiaTheme="minorEastAsia"/>
              <w:noProof/>
              <w:lang w:eastAsia="en-GB"/>
            </w:rPr>
          </w:pPr>
          <w:hyperlink w:anchor="_Toc216115642" w:history="1">
            <w:r w:rsidRPr="00CA77AD">
              <w:rPr>
                <w:rStyle w:val="Hyperlink"/>
                <w:rFonts w:ascii="Arial" w:hAnsi="Arial" w:cs="Arial"/>
                <w:noProof/>
              </w:rPr>
              <w:t>7.3</w:t>
            </w:r>
            <w:r>
              <w:rPr>
                <w:rFonts w:eastAsiaTheme="minorEastAsia"/>
                <w:noProof/>
                <w:lang w:eastAsia="en-GB"/>
              </w:rPr>
              <w:tab/>
            </w:r>
            <w:r w:rsidRPr="00CA77AD">
              <w:rPr>
                <w:rStyle w:val="Hyperlink"/>
                <w:rFonts w:ascii="Arial" w:hAnsi="Arial" w:cs="Arial"/>
                <w:noProof/>
              </w:rPr>
              <w:t>Measuring the Success of the Initiative</w:t>
            </w:r>
            <w:r>
              <w:rPr>
                <w:noProof/>
                <w:webHidden/>
              </w:rPr>
              <w:tab/>
            </w:r>
            <w:r>
              <w:rPr>
                <w:noProof/>
                <w:webHidden/>
              </w:rPr>
              <w:fldChar w:fldCharType="begin"/>
            </w:r>
            <w:r>
              <w:rPr>
                <w:noProof/>
                <w:webHidden/>
              </w:rPr>
              <w:instrText xml:space="preserve"> PAGEREF _Toc216115642 \h </w:instrText>
            </w:r>
            <w:r>
              <w:rPr>
                <w:noProof/>
                <w:webHidden/>
              </w:rPr>
            </w:r>
            <w:r>
              <w:rPr>
                <w:noProof/>
                <w:webHidden/>
              </w:rPr>
              <w:fldChar w:fldCharType="separate"/>
            </w:r>
            <w:r>
              <w:rPr>
                <w:noProof/>
                <w:webHidden/>
              </w:rPr>
              <w:t>12</w:t>
            </w:r>
            <w:r>
              <w:rPr>
                <w:noProof/>
                <w:webHidden/>
              </w:rPr>
              <w:fldChar w:fldCharType="end"/>
            </w:r>
          </w:hyperlink>
        </w:p>
        <w:p w14:paraId="3EA8819B" w14:textId="3E607022" w:rsidR="000522D3" w:rsidRDefault="000522D3">
          <w:pPr>
            <w:pStyle w:val="TOC1"/>
            <w:tabs>
              <w:tab w:val="left" w:pos="480"/>
              <w:tab w:val="right" w:leader="dot" w:pos="9016"/>
            </w:tabs>
            <w:rPr>
              <w:rFonts w:eastAsiaTheme="minorEastAsia"/>
              <w:noProof/>
              <w:lang w:eastAsia="en-GB"/>
            </w:rPr>
          </w:pPr>
          <w:hyperlink w:anchor="_Toc216115643" w:history="1">
            <w:r w:rsidRPr="00CA77AD">
              <w:rPr>
                <w:rStyle w:val="Hyperlink"/>
                <w:rFonts w:ascii="Arial" w:hAnsi="Arial" w:cs="Arial"/>
                <w:noProof/>
              </w:rPr>
              <w:t>8</w:t>
            </w:r>
            <w:r>
              <w:rPr>
                <w:rFonts w:eastAsiaTheme="minorEastAsia"/>
                <w:noProof/>
                <w:lang w:eastAsia="en-GB"/>
              </w:rPr>
              <w:tab/>
            </w:r>
            <w:r w:rsidRPr="00CA77AD">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_Toc216115643 \h </w:instrText>
            </w:r>
            <w:r>
              <w:rPr>
                <w:noProof/>
                <w:webHidden/>
              </w:rPr>
            </w:r>
            <w:r>
              <w:rPr>
                <w:noProof/>
                <w:webHidden/>
              </w:rPr>
              <w:fldChar w:fldCharType="separate"/>
            </w:r>
            <w:r>
              <w:rPr>
                <w:noProof/>
                <w:webHidden/>
              </w:rPr>
              <w:t>14</w:t>
            </w:r>
            <w:r>
              <w:rPr>
                <w:noProof/>
                <w:webHidden/>
              </w:rPr>
              <w:fldChar w:fldCharType="end"/>
            </w:r>
          </w:hyperlink>
        </w:p>
        <w:p w14:paraId="6180F4D1" w14:textId="58B32F0A" w:rsidR="000522D3" w:rsidRDefault="000522D3">
          <w:pPr>
            <w:pStyle w:val="TOC1"/>
            <w:tabs>
              <w:tab w:val="right" w:leader="dot" w:pos="9016"/>
            </w:tabs>
            <w:rPr>
              <w:rFonts w:eastAsiaTheme="minorEastAsia"/>
              <w:noProof/>
              <w:lang w:eastAsia="en-GB"/>
            </w:rPr>
          </w:pPr>
          <w:hyperlink w:anchor="_Toc216115644" w:history="1">
            <w:r w:rsidRPr="00CA77AD">
              <w:rPr>
                <w:rStyle w:val="Hyperlink"/>
                <w:noProof/>
              </w:rPr>
              <w:t>References</w:t>
            </w:r>
            <w:r>
              <w:rPr>
                <w:noProof/>
                <w:webHidden/>
              </w:rPr>
              <w:tab/>
            </w:r>
            <w:r>
              <w:rPr>
                <w:noProof/>
                <w:webHidden/>
              </w:rPr>
              <w:fldChar w:fldCharType="begin"/>
            </w:r>
            <w:r>
              <w:rPr>
                <w:noProof/>
                <w:webHidden/>
              </w:rPr>
              <w:instrText xml:space="preserve"> PAGEREF _Toc216115644 \h </w:instrText>
            </w:r>
            <w:r>
              <w:rPr>
                <w:noProof/>
                <w:webHidden/>
              </w:rPr>
            </w:r>
            <w:r>
              <w:rPr>
                <w:noProof/>
                <w:webHidden/>
              </w:rPr>
              <w:fldChar w:fldCharType="separate"/>
            </w:r>
            <w:r>
              <w:rPr>
                <w:noProof/>
                <w:webHidden/>
              </w:rPr>
              <w:t>15</w:t>
            </w:r>
            <w:r>
              <w:rPr>
                <w:noProof/>
                <w:webHidden/>
              </w:rPr>
              <w:fldChar w:fldCharType="end"/>
            </w:r>
          </w:hyperlink>
        </w:p>
        <w:p w14:paraId="427E4824" w14:textId="2B3CEA24" w:rsidR="00D34598" w:rsidRPr="001755F9" w:rsidRDefault="00D34598">
          <w:pPr>
            <w:rPr>
              <w:rFonts w:ascii="Arial" w:hAnsi="Arial" w:cs="Arial"/>
              <w:sz w:val="22"/>
              <w:szCs w:val="22"/>
            </w:rPr>
          </w:pPr>
          <w:r w:rsidRPr="001755F9">
            <w:rPr>
              <w:rFonts w:ascii="Arial" w:hAnsi="Arial" w:cs="Arial"/>
              <w:b/>
              <w:bCs/>
              <w:noProof/>
              <w:sz w:val="22"/>
              <w:szCs w:val="22"/>
            </w:rPr>
            <w:fldChar w:fldCharType="end"/>
          </w:r>
        </w:p>
      </w:sdtContent>
    </w:sdt>
    <w:p w14:paraId="08A4CC85" w14:textId="77777777" w:rsidR="000E2C17" w:rsidRPr="001755F9" w:rsidRDefault="000E2C17">
      <w:pPr>
        <w:rPr>
          <w:rFonts w:ascii="Arial" w:hAnsi="Arial" w:cs="Arial"/>
          <w:sz w:val="22"/>
          <w:szCs w:val="22"/>
        </w:rPr>
      </w:pPr>
    </w:p>
    <w:p w14:paraId="7741F706" w14:textId="77777777" w:rsidR="000E2C17" w:rsidRPr="001755F9" w:rsidRDefault="000E2C17">
      <w:pPr>
        <w:rPr>
          <w:rFonts w:ascii="Arial" w:hAnsi="Arial" w:cs="Arial"/>
          <w:sz w:val="22"/>
          <w:szCs w:val="22"/>
        </w:rPr>
      </w:pPr>
    </w:p>
    <w:p w14:paraId="1F9FD0B2" w14:textId="77777777" w:rsidR="000E2C17" w:rsidRPr="001755F9" w:rsidRDefault="000E2C17">
      <w:pPr>
        <w:rPr>
          <w:rFonts w:ascii="Arial" w:hAnsi="Arial" w:cs="Arial"/>
          <w:sz w:val="22"/>
          <w:szCs w:val="22"/>
        </w:rPr>
      </w:pPr>
    </w:p>
    <w:p w14:paraId="55BDD7CE" w14:textId="77777777" w:rsidR="000E2C17" w:rsidRPr="001755F9" w:rsidRDefault="000E2C17">
      <w:pPr>
        <w:rPr>
          <w:rFonts w:ascii="Arial" w:hAnsi="Arial" w:cs="Arial"/>
          <w:sz w:val="22"/>
          <w:szCs w:val="22"/>
        </w:rPr>
      </w:pPr>
    </w:p>
    <w:p w14:paraId="5A18C5E8" w14:textId="77777777" w:rsidR="000E2C17" w:rsidRPr="001755F9" w:rsidRDefault="000E2C17">
      <w:pPr>
        <w:rPr>
          <w:rFonts w:ascii="Arial" w:hAnsi="Arial" w:cs="Arial"/>
          <w:sz w:val="22"/>
          <w:szCs w:val="22"/>
        </w:rPr>
      </w:pPr>
    </w:p>
    <w:p w14:paraId="1081753F" w14:textId="77777777" w:rsidR="000E2C17" w:rsidRPr="001755F9" w:rsidRDefault="000E2C17">
      <w:pPr>
        <w:rPr>
          <w:rFonts w:ascii="Arial" w:hAnsi="Arial" w:cs="Arial"/>
          <w:sz w:val="22"/>
          <w:szCs w:val="22"/>
        </w:rPr>
      </w:pPr>
    </w:p>
    <w:p w14:paraId="0E5E7FA7" w14:textId="77777777" w:rsidR="000E2C17" w:rsidRPr="001755F9" w:rsidRDefault="000E2C17">
      <w:pPr>
        <w:rPr>
          <w:rFonts w:ascii="Arial" w:hAnsi="Arial" w:cs="Arial"/>
          <w:sz w:val="22"/>
          <w:szCs w:val="22"/>
        </w:rPr>
      </w:pPr>
    </w:p>
    <w:p w14:paraId="181168D0" w14:textId="77777777" w:rsidR="00AB00AB" w:rsidRDefault="00AB00AB">
      <w:pPr>
        <w:rPr>
          <w:rFonts w:ascii="Arial" w:hAnsi="Arial" w:cs="Arial"/>
          <w:sz w:val="22"/>
          <w:szCs w:val="22"/>
        </w:rPr>
      </w:pPr>
    </w:p>
    <w:p w14:paraId="562B57E3" w14:textId="77777777" w:rsidR="005F0CFE" w:rsidRPr="001755F9" w:rsidRDefault="005F0CFE">
      <w:pPr>
        <w:rPr>
          <w:rFonts w:ascii="Arial" w:hAnsi="Arial" w:cs="Arial"/>
          <w:sz w:val="22"/>
          <w:szCs w:val="22"/>
        </w:rPr>
      </w:pPr>
    </w:p>
    <w:p w14:paraId="0F7D8197" w14:textId="77777777" w:rsidR="000E2C17" w:rsidRPr="001755F9" w:rsidRDefault="000E2C17">
      <w:pPr>
        <w:rPr>
          <w:rFonts w:ascii="Arial" w:hAnsi="Arial" w:cs="Arial"/>
          <w:sz w:val="22"/>
          <w:szCs w:val="22"/>
        </w:rPr>
      </w:pPr>
    </w:p>
    <w:p w14:paraId="304FA67C" w14:textId="77777777" w:rsidR="000E2C17" w:rsidRPr="001755F9" w:rsidRDefault="000E2C17">
      <w:pPr>
        <w:rPr>
          <w:rFonts w:ascii="Arial" w:hAnsi="Arial" w:cs="Arial"/>
          <w:sz w:val="22"/>
          <w:szCs w:val="22"/>
        </w:rPr>
      </w:pPr>
    </w:p>
    <w:p w14:paraId="155CAB6F" w14:textId="56CB9870" w:rsidR="00090F88" w:rsidRPr="001755F9" w:rsidRDefault="000D3901" w:rsidP="000D3901">
      <w:pPr>
        <w:pStyle w:val="Heading1"/>
        <w:numPr>
          <w:ilvl w:val="0"/>
          <w:numId w:val="3"/>
        </w:numPr>
        <w:rPr>
          <w:rFonts w:ascii="Arial" w:hAnsi="Arial" w:cs="Arial"/>
          <w:sz w:val="22"/>
          <w:szCs w:val="22"/>
        </w:rPr>
      </w:pPr>
      <w:bookmarkStart w:id="0" w:name="_Toc216115627"/>
      <w:r w:rsidRPr="001755F9">
        <w:rPr>
          <w:rFonts w:ascii="Arial" w:hAnsi="Arial" w:cs="Arial"/>
          <w:sz w:val="22"/>
          <w:szCs w:val="22"/>
        </w:rPr>
        <w:lastRenderedPageBreak/>
        <w:t>Introduction</w:t>
      </w:r>
      <w:bookmarkEnd w:id="0"/>
      <w:r w:rsidRPr="001755F9">
        <w:rPr>
          <w:rFonts w:ascii="Arial" w:hAnsi="Arial" w:cs="Arial"/>
          <w:sz w:val="22"/>
          <w:szCs w:val="22"/>
        </w:rPr>
        <w:t xml:space="preserve"> </w:t>
      </w:r>
    </w:p>
    <w:p w14:paraId="70A574F4" w14:textId="222973A8" w:rsidR="00FC0FBD" w:rsidRPr="001755F9" w:rsidRDefault="00964DCA" w:rsidP="00FC0FBD">
      <w:pPr>
        <w:rPr>
          <w:rFonts w:ascii="Arial" w:hAnsi="Arial" w:cs="Arial"/>
          <w:sz w:val="22"/>
          <w:szCs w:val="22"/>
        </w:rPr>
      </w:pPr>
      <w:r w:rsidRPr="001755F9">
        <w:rPr>
          <w:rFonts w:ascii="Arial" w:hAnsi="Arial" w:cs="Arial"/>
          <w:sz w:val="22"/>
          <w:szCs w:val="22"/>
        </w:rPr>
        <w:t xml:space="preserve">The </w:t>
      </w:r>
      <w:r w:rsidR="00525387" w:rsidRPr="001755F9">
        <w:rPr>
          <w:rFonts w:ascii="Arial" w:hAnsi="Arial" w:cs="Arial"/>
          <w:sz w:val="22"/>
          <w:szCs w:val="22"/>
        </w:rPr>
        <w:t>British Swedish</w:t>
      </w:r>
      <w:r w:rsidRPr="001755F9">
        <w:rPr>
          <w:rFonts w:ascii="Arial" w:hAnsi="Arial" w:cs="Arial"/>
          <w:sz w:val="22"/>
          <w:szCs w:val="22"/>
        </w:rPr>
        <w:t xml:space="preserve"> multinational biopharmaceutical business AstraZeneca plc conducts research, develops, and markets prescription medications for </w:t>
      </w:r>
      <w:r w:rsidR="00C9720A" w:rsidRPr="001755F9">
        <w:rPr>
          <w:rFonts w:ascii="Arial" w:hAnsi="Arial" w:cs="Arial"/>
          <w:sz w:val="22"/>
          <w:szCs w:val="22"/>
        </w:rPr>
        <w:t>several</w:t>
      </w:r>
      <w:r w:rsidRPr="001755F9">
        <w:rPr>
          <w:rFonts w:ascii="Arial" w:hAnsi="Arial" w:cs="Arial"/>
          <w:sz w:val="22"/>
          <w:szCs w:val="22"/>
        </w:rPr>
        <w:t xml:space="preserve"> serious illness categories, such as respiratory, cardiovascular, renal, metabolic, and cancer disorders. The company was founded in 1999 </w:t>
      </w:r>
      <w:r w:rsidR="00D80CB8" w:rsidRPr="001755F9">
        <w:rPr>
          <w:rFonts w:ascii="Arial" w:hAnsi="Arial" w:cs="Arial"/>
          <w:sz w:val="22"/>
          <w:szCs w:val="22"/>
        </w:rPr>
        <w:t>because of</w:t>
      </w:r>
      <w:r w:rsidRPr="001755F9">
        <w:rPr>
          <w:rFonts w:ascii="Arial" w:hAnsi="Arial" w:cs="Arial"/>
          <w:sz w:val="22"/>
          <w:szCs w:val="22"/>
        </w:rPr>
        <w:t xml:space="preserve"> the merger between Zeneca Group plc of the United Kingdom and Astra AB of Sweden. Its headquarters are in Cambridge, United Kingdom. AstraZeneca employs over 83,500 people, works in more than 100 countries, and provides its medications to more than 200 million patients annually worldwide, according to its Annual Report 2024 (AstraZeneca, 2024).</w:t>
      </w:r>
    </w:p>
    <w:p w14:paraId="589F5FA3" w14:textId="314D4B5D" w:rsidR="00964DCA" w:rsidRPr="001755F9" w:rsidRDefault="002C6103" w:rsidP="00FC0FBD">
      <w:pPr>
        <w:rPr>
          <w:rFonts w:ascii="Arial" w:hAnsi="Arial" w:cs="Arial"/>
          <w:sz w:val="22"/>
          <w:szCs w:val="22"/>
        </w:rPr>
      </w:pPr>
      <w:r w:rsidRPr="001755F9">
        <w:rPr>
          <w:rFonts w:ascii="Arial" w:hAnsi="Arial" w:cs="Arial"/>
          <w:sz w:val="22"/>
          <w:szCs w:val="22"/>
        </w:rPr>
        <w:t xml:space="preserve">The company's </w:t>
      </w:r>
      <w:r w:rsidR="00D80CB8" w:rsidRPr="001755F9">
        <w:rPr>
          <w:rFonts w:ascii="Arial" w:hAnsi="Arial" w:cs="Arial"/>
          <w:sz w:val="22"/>
          <w:szCs w:val="22"/>
        </w:rPr>
        <w:t>focus</w:t>
      </w:r>
      <w:r w:rsidRPr="001755F9">
        <w:rPr>
          <w:rFonts w:ascii="Arial" w:hAnsi="Arial" w:cs="Arial"/>
          <w:sz w:val="22"/>
          <w:szCs w:val="22"/>
        </w:rPr>
        <w:t xml:space="preserve"> is on science-led innovation, which uses advanced research and teamwork to find and provide medicines that can change people's lives. Rare diseases, oncology, and biopharmaceuticals make up its three main business divisions. By acquiring Alexion Pharmaceuticals in 2021, AstraZeneca increased its research capabilities in immune-related and uncommon diseases, bolstering its position in the worldwide market and diversifying its research (</w:t>
      </w:r>
      <w:proofErr w:type="spellStart"/>
      <w:r w:rsidRPr="001755F9">
        <w:rPr>
          <w:rFonts w:ascii="Arial" w:hAnsi="Arial" w:cs="Arial"/>
          <w:sz w:val="22"/>
          <w:szCs w:val="22"/>
        </w:rPr>
        <w:t>EvaluatePharma</w:t>
      </w:r>
      <w:proofErr w:type="spellEnd"/>
      <w:r w:rsidRPr="001755F9">
        <w:rPr>
          <w:rFonts w:ascii="Arial" w:hAnsi="Arial" w:cs="Arial"/>
          <w:sz w:val="22"/>
          <w:szCs w:val="22"/>
        </w:rPr>
        <w:t>, 2024). The Cambridge Biomedical Campus, a globally recognized life-science hub that facilitates strong collaboration with academic institutions, hospitals, and technological partners, is where its headquarters are ideally situated in Cambridge (PwC, 2023).</w:t>
      </w:r>
    </w:p>
    <w:p w14:paraId="2E9F0FBB" w14:textId="488154E0" w:rsidR="009F5765" w:rsidRPr="001755F9" w:rsidRDefault="00B06754" w:rsidP="00FC0FBD">
      <w:pPr>
        <w:rPr>
          <w:rFonts w:ascii="Arial" w:hAnsi="Arial" w:cs="Arial"/>
          <w:sz w:val="22"/>
          <w:szCs w:val="22"/>
        </w:rPr>
      </w:pPr>
      <w:r w:rsidRPr="001755F9">
        <w:rPr>
          <w:rFonts w:ascii="Arial" w:hAnsi="Arial" w:cs="Arial"/>
          <w:sz w:val="22"/>
          <w:szCs w:val="22"/>
        </w:rPr>
        <w:t>AstraZeneca is one of the most powerful healthcare companies in the world thanks to its solid scientific base, digital innovation, and sustainability strategy. Its mission to "push the boundaries of science to deliver life-changing medicines" is supported by its ongoing investments in technology and research (AstraZeneca, 2024). The organization is a perfect model for analysing how design thinking and innovation contribute to long-term value creation in the pharmaceutical industry because of its global reach, collaborative culture, and ethical orientation.</w:t>
      </w:r>
    </w:p>
    <w:p w14:paraId="7337C497" w14:textId="7A52F9D0" w:rsidR="00B06754" w:rsidRPr="001755F9" w:rsidRDefault="003C247C" w:rsidP="003C247C">
      <w:pPr>
        <w:pStyle w:val="Heading1"/>
        <w:numPr>
          <w:ilvl w:val="0"/>
          <w:numId w:val="3"/>
        </w:numPr>
        <w:rPr>
          <w:rFonts w:ascii="Arial" w:hAnsi="Arial" w:cs="Arial"/>
          <w:sz w:val="22"/>
          <w:szCs w:val="22"/>
        </w:rPr>
      </w:pPr>
      <w:bookmarkStart w:id="1" w:name="_Toc216115628"/>
      <w:r w:rsidRPr="001755F9">
        <w:rPr>
          <w:rFonts w:ascii="Arial" w:hAnsi="Arial" w:cs="Arial"/>
          <w:sz w:val="22"/>
          <w:szCs w:val="22"/>
        </w:rPr>
        <w:t>Key consumers and industry trends</w:t>
      </w:r>
      <w:bookmarkEnd w:id="1"/>
    </w:p>
    <w:p w14:paraId="26B4F133" w14:textId="67F54094" w:rsidR="003C247C" w:rsidRPr="001755F9" w:rsidRDefault="003C247C" w:rsidP="003C247C">
      <w:pPr>
        <w:pStyle w:val="Heading2"/>
        <w:numPr>
          <w:ilvl w:val="1"/>
          <w:numId w:val="3"/>
        </w:numPr>
        <w:rPr>
          <w:rFonts w:ascii="Arial" w:hAnsi="Arial" w:cs="Arial"/>
          <w:sz w:val="22"/>
          <w:szCs w:val="22"/>
        </w:rPr>
      </w:pPr>
      <w:bookmarkStart w:id="2" w:name="_Toc216115629"/>
      <w:r w:rsidRPr="001755F9">
        <w:rPr>
          <w:rFonts w:ascii="Arial" w:hAnsi="Arial" w:cs="Arial"/>
          <w:sz w:val="22"/>
          <w:szCs w:val="22"/>
        </w:rPr>
        <w:t>Key consumers</w:t>
      </w:r>
      <w:bookmarkEnd w:id="2"/>
    </w:p>
    <w:p w14:paraId="32172A6D" w14:textId="33009D48" w:rsidR="009E61D3" w:rsidRPr="001755F9" w:rsidRDefault="009D6291" w:rsidP="003C247C">
      <w:pPr>
        <w:rPr>
          <w:rFonts w:ascii="Arial" w:hAnsi="Arial" w:cs="Arial"/>
          <w:sz w:val="22"/>
          <w:szCs w:val="22"/>
        </w:rPr>
      </w:pPr>
      <w:r w:rsidRPr="001755F9">
        <w:rPr>
          <w:rFonts w:ascii="Arial" w:hAnsi="Arial" w:cs="Arial"/>
          <w:sz w:val="22"/>
          <w:szCs w:val="22"/>
        </w:rPr>
        <w:t xml:space="preserve">Healthcare professionals, hospitals and clinics, government health authorities, and strategic partners within international healthcare systems are among its customers in addition to traditional patients (AstraZeneca, 2024). While patients are the final consumers of AstraZeneca's medications, the company also </w:t>
      </w:r>
      <w:r w:rsidR="008C75C1" w:rsidRPr="001755F9">
        <w:rPr>
          <w:rFonts w:ascii="Arial" w:hAnsi="Arial" w:cs="Arial"/>
          <w:sz w:val="22"/>
          <w:szCs w:val="22"/>
        </w:rPr>
        <w:t>must</w:t>
      </w:r>
      <w:r w:rsidRPr="001755F9">
        <w:rPr>
          <w:rFonts w:ascii="Arial" w:hAnsi="Arial" w:cs="Arial"/>
          <w:sz w:val="22"/>
          <w:szCs w:val="22"/>
        </w:rPr>
        <w:t xml:space="preserve"> satisfy the demands of regulators, physicians, and institutional buyers who have an impact on product approval, cost, and availability. </w:t>
      </w:r>
    </w:p>
    <w:p w14:paraId="5C471344" w14:textId="3DC359D6" w:rsidR="008B0983" w:rsidRPr="001755F9" w:rsidRDefault="002737E0" w:rsidP="003C247C">
      <w:pPr>
        <w:rPr>
          <w:rFonts w:ascii="Arial" w:hAnsi="Arial" w:cs="Arial"/>
          <w:sz w:val="22"/>
          <w:szCs w:val="22"/>
        </w:rPr>
      </w:pPr>
      <w:r w:rsidRPr="001755F9">
        <w:rPr>
          <w:rFonts w:ascii="Arial" w:hAnsi="Arial" w:cs="Arial"/>
          <w:sz w:val="22"/>
          <w:szCs w:val="22"/>
        </w:rPr>
        <w:t>H</w:t>
      </w:r>
      <w:r w:rsidR="00554A8E" w:rsidRPr="001755F9">
        <w:rPr>
          <w:rFonts w:ascii="Arial" w:hAnsi="Arial" w:cs="Arial"/>
          <w:sz w:val="22"/>
          <w:szCs w:val="22"/>
        </w:rPr>
        <w:t xml:space="preserve">ealthcare workers are an important consumer group in addition to patients. For evidence-based information, clinical trial outcomes, and continuing education regarding new treatments, doctors, pharmacists, and nurses rely on AstraZeneca. The organization uses virtual medical conferences and online learning platforms, which have grown significantly since the pandemic, to interact with these specialists (McKinsey &amp; Company, 2023). </w:t>
      </w:r>
    </w:p>
    <w:p w14:paraId="3385C276" w14:textId="70A7C680" w:rsidR="00592B56" w:rsidRPr="001755F9" w:rsidRDefault="00196650" w:rsidP="003C247C">
      <w:pPr>
        <w:rPr>
          <w:rFonts w:ascii="Arial" w:hAnsi="Arial" w:cs="Arial"/>
          <w:sz w:val="22"/>
          <w:szCs w:val="22"/>
        </w:rPr>
      </w:pPr>
      <w:r w:rsidRPr="001755F9">
        <w:rPr>
          <w:rFonts w:ascii="Arial" w:hAnsi="Arial" w:cs="Arial"/>
          <w:sz w:val="22"/>
          <w:szCs w:val="22"/>
        </w:rPr>
        <w:t>Digital health and technology partners, businesses that work together to incorporate wearable data, machine learning, and artificial intelligence (AI) into patient care</w:t>
      </w:r>
      <w:r w:rsidR="00B22E56" w:rsidRPr="001755F9">
        <w:rPr>
          <w:rFonts w:ascii="Arial" w:hAnsi="Arial" w:cs="Arial"/>
          <w:sz w:val="22"/>
          <w:szCs w:val="22"/>
        </w:rPr>
        <w:t xml:space="preserve"> </w:t>
      </w:r>
      <w:r w:rsidRPr="001755F9">
        <w:rPr>
          <w:rFonts w:ascii="Arial" w:hAnsi="Arial" w:cs="Arial"/>
          <w:sz w:val="22"/>
          <w:szCs w:val="22"/>
        </w:rPr>
        <w:t xml:space="preserve">are now among AstraZeneca's customers. This expanding consumer-partner ecosystem is best illustrated by the company's collaboration with Microsoft UK to create the AI Factory for Health (Microsoft UK, 2023). </w:t>
      </w:r>
    </w:p>
    <w:p w14:paraId="67D41ABB" w14:textId="76CC8739" w:rsidR="000C086C" w:rsidRPr="001755F9" w:rsidRDefault="0001333F" w:rsidP="000C086C">
      <w:pPr>
        <w:pStyle w:val="Heading2"/>
        <w:numPr>
          <w:ilvl w:val="1"/>
          <w:numId w:val="3"/>
        </w:numPr>
        <w:rPr>
          <w:rFonts w:ascii="Arial" w:hAnsi="Arial" w:cs="Arial"/>
          <w:sz w:val="22"/>
          <w:szCs w:val="22"/>
        </w:rPr>
      </w:pPr>
      <w:bookmarkStart w:id="3" w:name="_Toc216115630"/>
      <w:r w:rsidRPr="001755F9">
        <w:rPr>
          <w:rFonts w:ascii="Arial" w:hAnsi="Arial" w:cs="Arial"/>
          <w:sz w:val="22"/>
          <w:szCs w:val="22"/>
        </w:rPr>
        <w:lastRenderedPageBreak/>
        <w:t>Changes in customer be</w:t>
      </w:r>
      <w:r w:rsidR="00ED0D33" w:rsidRPr="001755F9">
        <w:rPr>
          <w:rFonts w:ascii="Arial" w:hAnsi="Arial" w:cs="Arial"/>
          <w:sz w:val="22"/>
          <w:szCs w:val="22"/>
        </w:rPr>
        <w:t>haviour</w:t>
      </w:r>
      <w:bookmarkEnd w:id="3"/>
    </w:p>
    <w:p w14:paraId="06D5DEF3" w14:textId="4432CAC1" w:rsidR="00ED0D33" w:rsidRPr="001755F9" w:rsidRDefault="00855F24" w:rsidP="00ED0D33">
      <w:pPr>
        <w:rPr>
          <w:rFonts w:ascii="Arial" w:hAnsi="Arial" w:cs="Arial"/>
          <w:sz w:val="22"/>
          <w:szCs w:val="22"/>
        </w:rPr>
      </w:pPr>
      <w:r w:rsidRPr="001755F9">
        <w:rPr>
          <w:rFonts w:ascii="Arial" w:hAnsi="Arial" w:cs="Arial"/>
          <w:sz w:val="22"/>
          <w:szCs w:val="22"/>
        </w:rPr>
        <w:t xml:space="preserve">Due to factors including digitalization, increased health consciousness, and post-pandemic demands for accessibility and openness, customer </w:t>
      </w:r>
      <w:r w:rsidR="00F66D19" w:rsidRPr="001755F9">
        <w:rPr>
          <w:rFonts w:ascii="Arial" w:hAnsi="Arial" w:cs="Arial"/>
          <w:sz w:val="22"/>
          <w:szCs w:val="22"/>
        </w:rPr>
        <w:t>behaviour</w:t>
      </w:r>
      <w:r w:rsidRPr="001755F9">
        <w:rPr>
          <w:rFonts w:ascii="Arial" w:hAnsi="Arial" w:cs="Arial"/>
          <w:sz w:val="22"/>
          <w:szCs w:val="22"/>
        </w:rPr>
        <w:t xml:space="preserve"> in the pharmaceutical and healthcare industries has changed dramatically over the last five years. As a result of this shift, pharmaceutical businesses must embrace technology-enabled, human-</w:t>
      </w:r>
      <w:r w:rsidR="00921DFE" w:rsidRPr="001755F9">
        <w:rPr>
          <w:rFonts w:ascii="Arial" w:hAnsi="Arial" w:cs="Arial"/>
          <w:sz w:val="22"/>
          <w:szCs w:val="22"/>
        </w:rPr>
        <w:t>centred</w:t>
      </w:r>
      <w:r w:rsidRPr="001755F9">
        <w:rPr>
          <w:rFonts w:ascii="Arial" w:hAnsi="Arial" w:cs="Arial"/>
          <w:sz w:val="22"/>
          <w:szCs w:val="22"/>
        </w:rPr>
        <w:t xml:space="preserve"> engagement tactics in addition to traditional marketing (Deloitte, 2024).</w:t>
      </w:r>
    </w:p>
    <w:p w14:paraId="021952B2" w14:textId="208B40E5" w:rsidR="00855F24" w:rsidRPr="001755F9" w:rsidRDefault="003C4014" w:rsidP="00ED0D33">
      <w:pPr>
        <w:rPr>
          <w:rFonts w:ascii="Arial" w:hAnsi="Arial" w:cs="Arial"/>
          <w:sz w:val="22"/>
          <w:szCs w:val="22"/>
        </w:rPr>
      </w:pPr>
      <w:r w:rsidRPr="001755F9">
        <w:rPr>
          <w:rFonts w:ascii="Arial" w:hAnsi="Arial" w:cs="Arial"/>
          <w:sz w:val="22"/>
          <w:szCs w:val="22"/>
        </w:rPr>
        <w:t xml:space="preserve">The rising need for remote and digital healthcare solutions is one of the most obvious </w:t>
      </w:r>
      <w:r w:rsidR="00921DFE" w:rsidRPr="001755F9">
        <w:rPr>
          <w:rFonts w:ascii="Arial" w:hAnsi="Arial" w:cs="Arial"/>
          <w:sz w:val="22"/>
          <w:szCs w:val="22"/>
        </w:rPr>
        <w:t>behavioural</w:t>
      </w:r>
      <w:r w:rsidRPr="001755F9">
        <w:rPr>
          <w:rFonts w:ascii="Arial" w:hAnsi="Arial" w:cs="Arial"/>
          <w:sz w:val="22"/>
          <w:szCs w:val="22"/>
        </w:rPr>
        <w:t xml:space="preserve"> changes. The World Economic Forum (2024) reports that between 2020 and 2024, the use of digital health apps and telemedicine grew by over 70% worldwide. Customers now demand healthcare experiences to be both accessible and emotionally comforting, which </w:t>
      </w:r>
      <w:r w:rsidR="00274ACB" w:rsidRPr="001755F9">
        <w:rPr>
          <w:rFonts w:ascii="Arial" w:hAnsi="Arial" w:cs="Arial"/>
          <w:sz w:val="22"/>
          <w:szCs w:val="22"/>
        </w:rPr>
        <w:t>reflects</w:t>
      </w:r>
      <w:r w:rsidRPr="001755F9">
        <w:rPr>
          <w:rFonts w:ascii="Arial" w:hAnsi="Arial" w:cs="Arial"/>
          <w:sz w:val="22"/>
          <w:szCs w:val="22"/>
        </w:rPr>
        <w:t xml:space="preserve"> the emergence of "digital empathy."</w:t>
      </w:r>
    </w:p>
    <w:p w14:paraId="0F02C8A5" w14:textId="052358D0" w:rsidR="003C4014" w:rsidRPr="001755F9" w:rsidRDefault="003C4014" w:rsidP="00ED0D33">
      <w:pPr>
        <w:rPr>
          <w:rFonts w:ascii="Arial" w:hAnsi="Arial" w:cs="Arial"/>
          <w:sz w:val="22"/>
          <w:szCs w:val="22"/>
        </w:rPr>
      </w:pPr>
      <w:r w:rsidRPr="001755F9">
        <w:rPr>
          <w:rFonts w:ascii="Arial" w:hAnsi="Arial" w:cs="Arial"/>
          <w:sz w:val="22"/>
          <w:szCs w:val="22"/>
        </w:rPr>
        <w:t xml:space="preserve">The emergence of patient empowerment and transparency demands represents a second </w:t>
      </w:r>
      <w:r w:rsidR="00033CFE" w:rsidRPr="001755F9">
        <w:rPr>
          <w:rFonts w:ascii="Arial" w:hAnsi="Arial" w:cs="Arial"/>
          <w:sz w:val="22"/>
          <w:szCs w:val="22"/>
        </w:rPr>
        <w:t>behavioural</w:t>
      </w:r>
      <w:r w:rsidRPr="001755F9">
        <w:rPr>
          <w:rFonts w:ascii="Arial" w:hAnsi="Arial" w:cs="Arial"/>
          <w:sz w:val="22"/>
          <w:szCs w:val="22"/>
        </w:rPr>
        <w:t xml:space="preserve"> shift. Patients today demand open access to health data and actively participate in treatment decisions rather than being passive recipients of medical advice. More than 60% of European patients increasingly independently study treatment choices before speaking with medical specialists, according to a McKinsey &amp; Company (2023) analysis. </w:t>
      </w:r>
    </w:p>
    <w:p w14:paraId="335BE8CF" w14:textId="4A199D9A" w:rsidR="00C92192" w:rsidRPr="001755F9" w:rsidRDefault="00C92192" w:rsidP="00ED0D33">
      <w:pPr>
        <w:rPr>
          <w:rFonts w:ascii="Arial" w:hAnsi="Arial" w:cs="Arial"/>
          <w:sz w:val="22"/>
          <w:szCs w:val="22"/>
        </w:rPr>
      </w:pPr>
      <w:r w:rsidRPr="001755F9">
        <w:rPr>
          <w:rFonts w:ascii="Arial" w:hAnsi="Arial" w:cs="Arial"/>
          <w:sz w:val="22"/>
          <w:szCs w:val="22"/>
        </w:rPr>
        <w:t xml:space="preserve">At the same time, the digital transformation is causing a change in the </w:t>
      </w:r>
      <w:r w:rsidR="00B20194" w:rsidRPr="001755F9">
        <w:rPr>
          <w:rFonts w:ascii="Arial" w:hAnsi="Arial" w:cs="Arial"/>
          <w:sz w:val="22"/>
          <w:szCs w:val="22"/>
        </w:rPr>
        <w:t>behaviours</w:t>
      </w:r>
      <w:r w:rsidRPr="001755F9">
        <w:rPr>
          <w:rFonts w:ascii="Arial" w:hAnsi="Arial" w:cs="Arial"/>
          <w:sz w:val="22"/>
          <w:szCs w:val="22"/>
        </w:rPr>
        <w:t xml:space="preserve"> of healthcare personnel. Virtual learning, data-driven insights, and AI-enabled decision-support technologies are becoming </w:t>
      </w:r>
      <w:r w:rsidR="00B20194" w:rsidRPr="001755F9">
        <w:rPr>
          <w:rFonts w:ascii="Arial" w:hAnsi="Arial" w:cs="Arial"/>
          <w:sz w:val="22"/>
          <w:szCs w:val="22"/>
        </w:rPr>
        <w:t>increasingly</w:t>
      </w:r>
      <w:r w:rsidRPr="001755F9">
        <w:rPr>
          <w:rFonts w:ascii="Arial" w:hAnsi="Arial" w:cs="Arial"/>
          <w:sz w:val="22"/>
          <w:szCs w:val="22"/>
        </w:rPr>
        <w:t xml:space="preserve"> popular among clinicians (Statista, 2024). </w:t>
      </w:r>
    </w:p>
    <w:p w14:paraId="13167778" w14:textId="486B34B5" w:rsidR="00DD5A56" w:rsidRPr="001755F9" w:rsidRDefault="007E5321" w:rsidP="007E5321">
      <w:pPr>
        <w:pStyle w:val="Heading2"/>
        <w:numPr>
          <w:ilvl w:val="1"/>
          <w:numId w:val="3"/>
        </w:numPr>
        <w:rPr>
          <w:rFonts w:ascii="Arial" w:hAnsi="Arial" w:cs="Arial"/>
          <w:sz w:val="22"/>
          <w:szCs w:val="22"/>
        </w:rPr>
      </w:pPr>
      <w:bookmarkStart w:id="4" w:name="_Toc216115631"/>
      <w:r w:rsidRPr="001755F9">
        <w:rPr>
          <w:rFonts w:ascii="Arial" w:hAnsi="Arial" w:cs="Arial"/>
          <w:sz w:val="22"/>
          <w:szCs w:val="22"/>
        </w:rPr>
        <w:t>Industry trends affecting AstraZeneca</w:t>
      </w:r>
      <w:bookmarkEnd w:id="4"/>
    </w:p>
    <w:p w14:paraId="594DE14A" w14:textId="410E9CB9" w:rsidR="003846C6" w:rsidRPr="001755F9" w:rsidRDefault="003E572E" w:rsidP="007E5321">
      <w:pPr>
        <w:rPr>
          <w:rFonts w:ascii="Arial" w:hAnsi="Arial" w:cs="Arial"/>
          <w:sz w:val="22"/>
          <w:szCs w:val="22"/>
        </w:rPr>
      </w:pPr>
      <w:r w:rsidRPr="001755F9">
        <w:rPr>
          <w:rFonts w:ascii="Arial" w:hAnsi="Arial" w:cs="Arial"/>
          <w:sz w:val="22"/>
          <w:szCs w:val="22"/>
        </w:rPr>
        <w:t xml:space="preserve">The use of sophisticated analytics and artificial intelligence (AI) in medication discovery, production, and patient interaction is a popular trend. More than 80% of global life-science businesses are investing in AI-based solutions to speed up research and development, save operating expenses, and customize patient care, according to </w:t>
      </w:r>
      <w:r w:rsidR="007F6DC5" w:rsidRPr="001755F9">
        <w:rPr>
          <w:rFonts w:ascii="Arial" w:hAnsi="Arial" w:cs="Arial"/>
          <w:sz w:val="22"/>
          <w:szCs w:val="22"/>
        </w:rPr>
        <w:t>(</w:t>
      </w:r>
      <w:r w:rsidRPr="001755F9">
        <w:rPr>
          <w:rFonts w:ascii="Arial" w:hAnsi="Arial" w:cs="Arial"/>
          <w:sz w:val="22"/>
          <w:szCs w:val="22"/>
        </w:rPr>
        <w:t xml:space="preserve">Deloitte 2025). </w:t>
      </w:r>
    </w:p>
    <w:p w14:paraId="77185CBD" w14:textId="5835EFB3" w:rsidR="003E572E" w:rsidRPr="001755F9" w:rsidRDefault="004201FD" w:rsidP="007E5321">
      <w:pPr>
        <w:rPr>
          <w:rFonts w:ascii="Arial" w:hAnsi="Arial" w:cs="Arial"/>
          <w:sz w:val="22"/>
          <w:szCs w:val="22"/>
        </w:rPr>
      </w:pPr>
      <w:r w:rsidRPr="001755F9">
        <w:rPr>
          <w:rFonts w:ascii="Arial" w:hAnsi="Arial" w:cs="Arial"/>
          <w:sz w:val="22"/>
          <w:szCs w:val="22"/>
        </w:rPr>
        <w:t xml:space="preserve">Consumers are expecting more holistic wellbeing than reactive treatment, which is a second major trend in patient-centric and preventative healthcare. According to </w:t>
      </w:r>
      <w:r w:rsidR="00B559C7" w:rsidRPr="001755F9">
        <w:rPr>
          <w:rFonts w:ascii="Arial" w:hAnsi="Arial" w:cs="Arial"/>
          <w:sz w:val="22"/>
          <w:szCs w:val="22"/>
        </w:rPr>
        <w:t>(</w:t>
      </w:r>
      <w:r w:rsidRPr="001755F9">
        <w:rPr>
          <w:rFonts w:ascii="Arial" w:hAnsi="Arial" w:cs="Arial"/>
          <w:sz w:val="22"/>
          <w:szCs w:val="22"/>
        </w:rPr>
        <w:t xml:space="preserve">Mintel 2024), 62% of UK customers are looking for goods or services that assist prevent sickness rather than treat it, indicating that proactive health management is becoming more important to them. </w:t>
      </w:r>
    </w:p>
    <w:p w14:paraId="6E1FD6C1" w14:textId="4301E144" w:rsidR="00CF288C" w:rsidRPr="001755F9" w:rsidRDefault="00CF288C" w:rsidP="00ED0D33">
      <w:pPr>
        <w:rPr>
          <w:rFonts w:ascii="Arial" w:hAnsi="Arial" w:cs="Arial"/>
          <w:sz w:val="22"/>
          <w:szCs w:val="22"/>
        </w:rPr>
      </w:pPr>
      <w:r w:rsidRPr="001755F9">
        <w:rPr>
          <w:rFonts w:ascii="Arial" w:hAnsi="Arial" w:cs="Arial"/>
          <w:sz w:val="22"/>
          <w:szCs w:val="22"/>
        </w:rPr>
        <w:t xml:space="preserve">Environmental responsibility and sustainability are now essential components of the pharmaceutical value chain. 76% of global healthcare investors now take environmental, social, and </w:t>
      </w:r>
      <w:r w:rsidR="0005692D" w:rsidRPr="001755F9">
        <w:rPr>
          <w:rFonts w:ascii="Arial" w:hAnsi="Arial" w:cs="Arial"/>
          <w:sz w:val="22"/>
          <w:szCs w:val="22"/>
        </w:rPr>
        <w:t>governance measures</w:t>
      </w:r>
      <w:r w:rsidRPr="001755F9">
        <w:rPr>
          <w:rFonts w:ascii="Arial" w:hAnsi="Arial" w:cs="Arial"/>
          <w:sz w:val="22"/>
          <w:szCs w:val="22"/>
        </w:rPr>
        <w:t xml:space="preserve"> into account when assessing a company's performance, according to the </w:t>
      </w:r>
      <w:r w:rsidR="00B559C7" w:rsidRPr="001755F9">
        <w:rPr>
          <w:rFonts w:ascii="Arial" w:hAnsi="Arial" w:cs="Arial"/>
          <w:sz w:val="22"/>
          <w:szCs w:val="22"/>
        </w:rPr>
        <w:t>(</w:t>
      </w:r>
      <w:r w:rsidRPr="001755F9">
        <w:rPr>
          <w:rFonts w:ascii="Arial" w:hAnsi="Arial" w:cs="Arial"/>
          <w:sz w:val="22"/>
          <w:szCs w:val="22"/>
        </w:rPr>
        <w:t>PwC Next in Pharma 2025</w:t>
      </w:r>
      <w:r w:rsidR="00B559C7" w:rsidRPr="001755F9">
        <w:rPr>
          <w:rFonts w:ascii="Arial" w:hAnsi="Arial" w:cs="Arial"/>
          <w:sz w:val="22"/>
          <w:szCs w:val="22"/>
        </w:rPr>
        <w:t>)</w:t>
      </w:r>
      <w:r w:rsidRPr="001755F9">
        <w:rPr>
          <w:rFonts w:ascii="Arial" w:hAnsi="Arial" w:cs="Arial"/>
          <w:sz w:val="22"/>
          <w:szCs w:val="22"/>
        </w:rPr>
        <w:t xml:space="preserve"> report. The strategic priorities of AstraZeneca are directly impacted by this change. </w:t>
      </w:r>
    </w:p>
    <w:p w14:paraId="280C9346" w14:textId="3B97BCD4" w:rsidR="00811628" w:rsidRPr="001755F9" w:rsidRDefault="00811628" w:rsidP="00ED0D33">
      <w:pPr>
        <w:rPr>
          <w:rFonts w:ascii="Arial" w:hAnsi="Arial" w:cs="Arial"/>
          <w:sz w:val="22"/>
          <w:szCs w:val="22"/>
        </w:rPr>
      </w:pPr>
      <w:r w:rsidRPr="001755F9">
        <w:rPr>
          <w:rFonts w:ascii="Arial" w:hAnsi="Arial" w:cs="Arial"/>
          <w:sz w:val="22"/>
          <w:szCs w:val="22"/>
        </w:rPr>
        <w:t xml:space="preserve">The diversity and globalization of pharmaceutical supply chains is another significant development. The risks of centralized manufacturing strategies were made clear by the COVID-19 pandemic. According to </w:t>
      </w:r>
      <w:r w:rsidR="006C1EA1" w:rsidRPr="001755F9">
        <w:rPr>
          <w:rFonts w:ascii="Arial" w:hAnsi="Arial" w:cs="Arial"/>
          <w:sz w:val="22"/>
          <w:szCs w:val="22"/>
        </w:rPr>
        <w:t>(</w:t>
      </w:r>
      <w:r w:rsidRPr="001755F9">
        <w:rPr>
          <w:rFonts w:ascii="Arial" w:hAnsi="Arial" w:cs="Arial"/>
          <w:sz w:val="22"/>
          <w:szCs w:val="22"/>
        </w:rPr>
        <w:t xml:space="preserve">ZS Associates 2025), over 50% of major pharmaceutical companies are investing in supply-chain resilience and regionalizing manufacturing through digital logistics systems and local partnerships. </w:t>
      </w:r>
    </w:p>
    <w:p w14:paraId="7F153D7B" w14:textId="68F06D46" w:rsidR="004D4617" w:rsidRPr="001755F9" w:rsidRDefault="003F78B7" w:rsidP="003F78B7">
      <w:pPr>
        <w:pStyle w:val="Heading1"/>
        <w:rPr>
          <w:rFonts w:ascii="Arial" w:hAnsi="Arial" w:cs="Arial"/>
          <w:sz w:val="22"/>
          <w:szCs w:val="22"/>
        </w:rPr>
      </w:pPr>
      <w:bookmarkStart w:id="5" w:name="_Toc216115632"/>
      <w:r w:rsidRPr="001755F9">
        <w:rPr>
          <w:rFonts w:ascii="Arial" w:hAnsi="Arial" w:cs="Arial"/>
          <w:sz w:val="22"/>
          <w:szCs w:val="22"/>
        </w:rPr>
        <w:t xml:space="preserve">Part 1: </w:t>
      </w:r>
      <w:r w:rsidR="002F2B3C" w:rsidRPr="001755F9">
        <w:rPr>
          <w:rFonts w:ascii="Arial" w:hAnsi="Arial" w:cs="Arial"/>
          <w:sz w:val="22"/>
          <w:szCs w:val="22"/>
        </w:rPr>
        <w:t xml:space="preserve">3. </w:t>
      </w:r>
      <w:r w:rsidRPr="001755F9">
        <w:rPr>
          <w:rFonts w:ascii="Arial" w:hAnsi="Arial" w:cs="Arial"/>
          <w:sz w:val="22"/>
          <w:szCs w:val="22"/>
        </w:rPr>
        <w:t>Innovation Ambition Matrix</w:t>
      </w:r>
      <w:bookmarkEnd w:id="5"/>
    </w:p>
    <w:p w14:paraId="5D11DD4A" w14:textId="77777777" w:rsidR="00F81434" w:rsidRPr="001755F9" w:rsidRDefault="007F1836" w:rsidP="00ED0D33">
      <w:pPr>
        <w:rPr>
          <w:rFonts w:ascii="Arial" w:hAnsi="Arial" w:cs="Arial"/>
          <w:sz w:val="22"/>
          <w:szCs w:val="22"/>
        </w:rPr>
      </w:pPr>
      <w:r w:rsidRPr="001755F9">
        <w:rPr>
          <w:rFonts w:ascii="Arial" w:hAnsi="Arial" w:cs="Arial"/>
          <w:sz w:val="22"/>
          <w:szCs w:val="22"/>
        </w:rPr>
        <w:t>Organizational innovation is divided into three levels by the Innovation Ambition Matrix (</w:t>
      </w:r>
      <w:proofErr w:type="spellStart"/>
      <w:r w:rsidRPr="001755F9">
        <w:rPr>
          <w:rFonts w:ascii="Arial" w:hAnsi="Arial" w:cs="Arial"/>
          <w:sz w:val="22"/>
          <w:szCs w:val="22"/>
        </w:rPr>
        <w:t>Nagji</w:t>
      </w:r>
      <w:proofErr w:type="spellEnd"/>
      <w:r w:rsidRPr="001755F9">
        <w:rPr>
          <w:rFonts w:ascii="Arial" w:hAnsi="Arial" w:cs="Arial"/>
          <w:sz w:val="22"/>
          <w:szCs w:val="22"/>
        </w:rPr>
        <w:t xml:space="preserve"> and Tuff, 2012): core, adjacent, and transfor</w:t>
      </w:r>
      <w:r w:rsidR="00F81434" w:rsidRPr="001755F9">
        <w:rPr>
          <w:rFonts w:ascii="Arial" w:hAnsi="Arial" w:cs="Arial"/>
          <w:sz w:val="22"/>
          <w:szCs w:val="22"/>
        </w:rPr>
        <w:t>mational</w:t>
      </w:r>
      <w:r w:rsidRPr="001755F9">
        <w:rPr>
          <w:rFonts w:ascii="Arial" w:hAnsi="Arial" w:cs="Arial"/>
          <w:sz w:val="22"/>
          <w:szCs w:val="22"/>
        </w:rPr>
        <w:t xml:space="preserve">. By using this methodology, </w:t>
      </w:r>
      <w:r w:rsidRPr="001755F9">
        <w:rPr>
          <w:rFonts w:ascii="Arial" w:hAnsi="Arial" w:cs="Arial"/>
          <w:sz w:val="22"/>
          <w:szCs w:val="22"/>
        </w:rPr>
        <w:lastRenderedPageBreak/>
        <w:t xml:space="preserve">AstraZeneca can identify innovation possibilities and conduct an organized assessment of its present innovation portfolio and the design-thinking concepts that underpin these </w:t>
      </w:r>
      <w:r w:rsidR="00F81434" w:rsidRPr="001755F9">
        <w:rPr>
          <w:rFonts w:ascii="Arial" w:hAnsi="Arial" w:cs="Arial"/>
          <w:sz w:val="22"/>
          <w:szCs w:val="22"/>
        </w:rPr>
        <w:t>endeavours</w:t>
      </w:r>
      <w:r w:rsidRPr="001755F9">
        <w:rPr>
          <w:rFonts w:ascii="Arial" w:hAnsi="Arial" w:cs="Arial"/>
          <w:sz w:val="22"/>
          <w:szCs w:val="22"/>
        </w:rPr>
        <w:t xml:space="preserve">. Clear connections between AstraZeneca's innovation efforts, changing customer </w:t>
      </w:r>
      <w:r w:rsidR="00F81434" w:rsidRPr="001755F9">
        <w:rPr>
          <w:rFonts w:ascii="Arial" w:hAnsi="Arial" w:cs="Arial"/>
          <w:sz w:val="22"/>
          <w:szCs w:val="22"/>
        </w:rPr>
        <w:t>behaviour</w:t>
      </w:r>
      <w:r w:rsidRPr="001755F9">
        <w:rPr>
          <w:rFonts w:ascii="Arial" w:hAnsi="Arial" w:cs="Arial"/>
          <w:sz w:val="22"/>
          <w:szCs w:val="22"/>
        </w:rPr>
        <w:t>, and more general industry trends are also highlighted by this investigation.</w:t>
      </w:r>
    </w:p>
    <w:tbl>
      <w:tblPr>
        <w:tblStyle w:val="TableGrid"/>
        <w:tblW w:w="0" w:type="auto"/>
        <w:tblLook w:val="04A0" w:firstRow="1" w:lastRow="0" w:firstColumn="1" w:lastColumn="0" w:noHBand="0" w:noVBand="1"/>
      </w:tblPr>
      <w:tblGrid>
        <w:gridCol w:w="4508"/>
        <w:gridCol w:w="4508"/>
      </w:tblGrid>
      <w:tr w:rsidR="003C04A4" w:rsidRPr="001755F9" w14:paraId="7DB37919" w14:textId="77777777" w:rsidTr="003C04A4">
        <w:tc>
          <w:tcPr>
            <w:tcW w:w="4508" w:type="dxa"/>
          </w:tcPr>
          <w:p w14:paraId="20F8156D" w14:textId="1849943A" w:rsidR="003C04A4" w:rsidRPr="001755F9" w:rsidRDefault="00117CB1" w:rsidP="00ED0D33">
            <w:pPr>
              <w:rPr>
                <w:rFonts w:ascii="Arial" w:hAnsi="Arial" w:cs="Arial"/>
                <w:b/>
                <w:bCs/>
                <w:sz w:val="22"/>
                <w:szCs w:val="22"/>
              </w:rPr>
            </w:pPr>
            <w:r w:rsidRPr="001755F9">
              <w:rPr>
                <w:rFonts w:ascii="Arial" w:hAnsi="Arial" w:cs="Arial"/>
                <w:b/>
                <w:bCs/>
                <w:sz w:val="22"/>
                <w:szCs w:val="22"/>
              </w:rPr>
              <w:t>Innovation Category</w:t>
            </w:r>
          </w:p>
        </w:tc>
        <w:tc>
          <w:tcPr>
            <w:tcW w:w="4508" w:type="dxa"/>
          </w:tcPr>
          <w:p w14:paraId="685AC7E5" w14:textId="63323CCC" w:rsidR="003C04A4" w:rsidRPr="001755F9" w:rsidRDefault="00642303" w:rsidP="00ED0D33">
            <w:pPr>
              <w:rPr>
                <w:rFonts w:ascii="Arial" w:hAnsi="Arial" w:cs="Arial"/>
                <w:b/>
                <w:bCs/>
                <w:sz w:val="22"/>
                <w:szCs w:val="22"/>
              </w:rPr>
            </w:pPr>
            <w:r w:rsidRPr="001755F9">
              <w:rPr>
                <w:rFonts w:ascii="Arial" w:hAnsi="Arial" w:cs="Arial"/>
                <w:b/>
                <w:bCs/>
                <w:sz w:val="22"/>
                <w:szCs w:val="22"/>
              </w:rPr>
              <w:t>Astra-Zeneca Innovations</w:t>
            </w:r>
          </w:p>
        </w:tc>
      </w:tr>
      <w:tr w:rsidR="003C04A4" w:rsidRPr="001755F9" w14:paraId="2EB881F1" w14:textId="77777777" w:rsidTr="003C04A4">
        <w:tc>
          <w:tcPr>
            <w:tcW w:w="4508" w:type="dxa"/>
          </w:tcPr>
          <w:p w14:paraId="6939BD46" w14:textId="3F0F3DD0" w:rsidR="003C04A4" w:rsidRPr="001755F9" w:rsidRDefault="00117CB1" w:rsidP="00ED0D33">
            <w:pPr>
              <w:rPr>
                <w:rFonts w:ascii="Arial" w:hAnsi="Arial" w:cs="Arial"/>
                <w:b/>
                <w:bCs/>
                <w:sz w:val="22"/>
                <w:szCs w:val="22"/>
              </w:rPr>
            </w:pPr>
            <w:r w:rsidRPr="001755F9">
              <w:rPr>
                <w:rFonts w:ascii="Arial" w:hAnsi="Arial" w:cs="Arial"/>
                <w:b/>
                <w:bCs/>
                <w:sz w:val="22"/>
                <w:szCs w:val="22"/>
              </w:rPr>
              <w:t>Core Innovations</w:t>
            </w:r>
          </w:p>
        </w:tc>
        <w:tc>
          <w:tcPr>
            <w:tcW w:w="4508" w:type="dxa"/>
          </w:tcPr>
          <w:p w14:paraId="671F16BF" w14:textId="16859D26" w:rsidR="003C04A4" w:rsidRPr="001755F9" w:rsidRDefault="00167366" w:rsidP="00ED0D33">
            <w:pPr>
              <w:rPr>
                <w:rFonts w:ascii="Arial" w:hAnsi="Arial" w:cs="Arial"/>
                <w:sz w:val="22"/>
                <w:szCs w:val="22"/>
              </w:rPr>
            </w:pPr>
            <w:r w:rsidRPr="001755F9">
              <w:rPr>
                <w:rFonts w:ascii="Arial" w:hAnsi="Arial" w:cs="Arial"/>
                <w:sz w:val="22"/>
                <w:szCs w:val="22"/>
              </w:rPr>
              <w:t>• Improvements to established medicines (</w:t>
            </w:r>
            <w:proofErr w:type="spellStart"/>
            <w:r w:rsidRPr="001755F9">
              <w:rPr>
                <w:rFonts w:ascii="Arial" w:hAnsi="Arial" w:cs="Arial"/>
                <w:sz w:val="22"/>
                <w:szCs w:val="22"/>
              </w:rPr>
              <w:t>Tagrisso</w:t>
            </w:r>
            <w:proofErr w:type="spellEnd"/>
            <w:r w:rsidRPr="001755F9">
              <w:rPr>
                <w:rFonts w:ascii="Arial" w:hAnsi="Arial" w:cs="Arial"/>
                <w:sz w:val="22"/>
                <w:szCs w:val="22"/>
              </w:rPr>
              <w:t xml:space="preserve">, Symbicort, </w:t>
            </w:r>
            <w:proofErr w:type="spellStart"/>
            <w:r w:rsidRPr="001755F9">
              <w:rPr>
                <w:rFonts w:ascii="Arial" w:hAnsi="Arial" w:cs="Arial"/>
                <w:sz w:val="22"/>
                <w:szCs w:val="22"/>
              </w:rPr>
              <w:t>Farxiga</w:t>
            </w:r>
            <w:proofErr w:type="spellEnd"/>
            <w:r w:rsidRPr="001755F9">
              <w:rPr>
                <w:rFonts w:ascii="Arial" w:hAnsi="Arial" w:cs="Arial"/>
                <w:sz w:val="22"/>
                <w:szCs w:val="22"/>
              </w:rPr>
              <w:t xml:space="preserve">) </w:t>
            </w:r>
            <w:r w:rsidRPr="001755F9">
              <w:rPr>
                <w:rFonts w:ascii="Arial" w:hAnsi="Arial" w:cs="Arial"/>
                <w:sz w:val="22"/>
                <w:szCs w:val="22"/>
              </w:rPr>
              <w:br/>
              <w:t xml:space="preserve">• AI-assisted molecule screening </w:t>
            </w:r>
            <w:r w:rsidRPr="001755F9">
              <w:rPr>
                <w:rFonts w:ascii="Arial" w:hAnsi="Arial" w:cs="Arial"/>
                <w:sz w:val="22"/>
                <w:szCs w:val="22"/>
              </w:rPr>
              <w:br/>
              <w:t xml:space="preserve">• Digital automation in manufacturing </w:t>
            </w:r>
            <w:r w:rsidRPr="001755F9">
              <w:rPr>
                <w:rFonts w:ascii="Arial" w:hAnsi="Arial" w:cs="Arial"/>
                <w:sz w:val="22"/>
                <w:szCs w:val="22"/>
              </w:rPr>
              <w:br/>
              <w:t>• Enhanced clinical trial efficiency using real-world data</w:t>
            </w:r>
          </w:p>
        </w:tc>
      </w:tr>
      <w:tr w:rsidR="003C04A4" w:rsidRPr="001755F9" w14:paraId="315BACBB" w14:textId="77777777" w:rsidTr="003C04A4">
        <w:tc>
          <w:tcPr>
            <w:tcW w:w="4508" w:type="dxa"/>
          </w:tcPr>
          <w:p w14:paraId="775DCB3F" w14:textId="47633574" w:rsidR="003C04A4" w:rsidRPr="001755F9" w:rsidRDefault="00117CB1" w:rsidP="00ED0D33">
            <w:pPr>
              <w:rPr>
                <w:rFonts w:ascii="Arial" w:hAnsi="Arial" w:cs="Arial"/>
                <w:b/>
                <w:bCs/>
                <w:sz w:val="22"/>
                <w:szCs w:val="22"/>
              </w:rPr>
            </w:pPr>
            <w:r w:rsidRPr="001755F9">
              <w:rPr>
                <w:rFonts w:ascii="Arial" w:hAnsi="Arial" w:cs="Arial"/>
                <w:b/>
                <w:bCs/>
                <w:sz w:val="22"/>
                <w:szCs w:val="22"/>
              </w:rPr>
              <w:t>Adjacent Innovations</w:t>
            </w:r>
          </w:p>
        </w:tc>
        <w:tc>
          <w:tcPr>
            <w:tcW w:w="4508" w:type="dxa"/>
          </w:tcPr>
          <w:p w14:paraId="28B20C06" w14:textId="77777777" w:rsidR="003252A8" w:rsidRPr="001755F9" w:rsidRDefault="003252A8" w:rsidP="00ED0D33">
            <w:pPr>
              <w:rPr>
                <w:rFonts w:ascii="Arial" w:hAnsi="Arial" w:cs="Arial"/>
                <w:sz w:val="22"/>
                <w:szCs w:val="22"/>
              </w:rPr>
            </w:pPr>
            <w:r w:rsidRPr="001755F9">
              <w:rPr>
                <w:rFonts w:ascii="Arial" w:hAnsi="Arial" w:cs="Arial"/>
                <w:sz w:val="22"/>
                <w:szCs w:val="22"/>
              </w:rPr>
              <w:t>• Apps for treatment assistance, Care+, and other digital health resources</w:t>
            </w:r>
          </w:p>
          <w:p w14:paraId="36FC9289" w14:textId="76F94741" w:rsidR="00642303" w:rsidRPr="001755F9" w:rsidRDefault="003252A8" w:rsidP="00ED0D33">
            <w:pPr>
              <w:rPr>
                <w:rFonts w:ascii="Arial" w:hAnsi="Arial" w:cs="Arial"/>
                <w:sz w:val="22"/>
                <w:szCs w:val="22"/>
              </w:rPr>
            </w:pPr>
            <w:r w:rsidRPr="001755F9">
              <w:rPr>
                <w:rFonts w:ascii="Arial" w:hAnsi="Arial" w:cs="Arial"/>
                <w:sz w:val="22"/>
                <w:szCs w:val="22"/>
              </w:rPr>
              <w:t xml:space="preserve">• Acquisition of Alexion to expand into rare </w:t>
            </w:r>
            <w:r w:rsidR="00642303" w:rsidRPr="001755F9">
              <w:rPr>
                <w:rFonts w:ascii="Arial" w:hAnsi="Arial" w:cs="Arial"/>
                <w:sz w:val="22"/>
                <w:szCs w:val="22"/>
              </w:rPr>
              <w:t>diseases.</w:t>
            </w:r>
            <w:r w:rsidRPr="001755F9">
              <w:rPr>
                <w:rFonts w:ascii="Arial" w:hAnsi="Arial" w:cs="Arial"/>
                <w:sz w:val="22"/>
                <w:szCs w:val="22"/>
              </w:rPr>
              <w:t xml:space="preserve"> </w:t>
            </w:r>
          </w:p>
          <w:p w14:paraId="39A586D8" w14:textId="01997CA6" w:rsidR="00642303" w:rsidRPr="001755F9" w:rsidRDefault="003252A8" w:rsidP="00ED0D33">
            <w:pPr>
              <w:rPr>
                <w:rFonts w:ascii="Arial" w:hAnsi="Arial" w:cs="Arial"/>
                <w:sz w:val="22"/>
                <w:szCs w:val="22"/>
              </w:rPr>
            </w:pPr>
            <w:r w:rsidRPr="001755F9">
              <w:rPr>
                <w:rFonts w:ascii="Arial" w:hAnsi="Arial" w:cs="Arial"/>
                <w:sz w:val="22"/>
                <w:szCs w:val="22"/>
              </w:rPr>
              <w:t xml:space="preserve">• Collaborations with IT companies for cloud analytics and artificial </w:t>
            </w:r>
            <w:r w:rsidR="00642303" w:rsidRPr="001755F9">
              <w:rPr>
                <w:rFonts w:ascii="Arial" w:hAnsi="Arial" w:cs="Arial"/>
                <w:sz w:val="22"/>
                <w:szCs w:val="22"/>
              </w:rPr>
              <w:t>intelligence.</w:t>
            </w:r>
          </w:p>
          <w:p w14:paraId="644B21C7" w14:textId="2CF121AC" w:rsidR="003C04A4" w:rsidRPr="001755F9" w:rsidRDefault="003252A8" w:rsidP="00ED0D33">
            <w:pPr>
              <w:rPr>
                <w:rFonts w:ascii="Arial" w:hAnsi="Arial" w:cs="Arial"/>
                <w:sz w:val="22"/>
                <w:szCs w:val="22"/>
              </w:rPr>
            </w:pPr>
            <w:r w:rsidRPr="001755F9">
              <w:rPr>
                <w:rFonts w:ascii="Arial" w:hAnsi="Arial" w:cs="Arial"/>
                <w:sz w:val="22"/>
                <w:szCs w:val="22"/>
              </w:rPr>
              <w:t xml:space="preserve"> • Digital patient education and hybrid support initiatives</w:t>
            </w:r>
          </w:p>
        </w:tc>
      </w:tr>
      <w:tr w:rsidR="003C04A4" w:rsidRPr="001755F9" w14:paraId="066F2300" w14:textId="77777777" w:rsidTr="003C04A4">
        <w:tc>
          <w:tcPr>
            <w:tcW w:w="4508" w:type="dxa"/>
          </w:tcPr>
          <w:p w14:paraId="24FE48D1" w14:textId="0779B626" w:rsidR="003C04A4" w:rsidRPr="001755F9" w:rsidRDefault="00117CB1" w:rsidP="00ED0D33">
            <w:pPr>
              <w:rPr>
                <w:rFonts w:ascii="Arial" w:hAnsi="Arial" w:cs="Arial"/>
                <w:b/>
                <w:bCs/>
                <w:sz w:val="22"/>
                <w:szCs w:val="22"/>
              </w:rPr>
            </w:pPr>
            <w:r w:rsidRPr="001755F9">
              <w:rPr>
                <w:rFonts w:ascii="Arial" w:hAnsi="Arial" w:cs="Arial"/>
                <w:b/>
                <w:bCs/>
                <w:sz w:val="22"/>
                <w:szCs w:val="22"/>
              </w:rPr>
              <w:t>Transformational Innovations</w:t>
            </w:r>
          </w:p>
        </w:tc>
        <w:tc>
          <w:tcPr>
            <w:tcW w:w="4508" w:type="dxa"/>
          </w:tcPr>
          <w:p w14:paraId="255C9B53" w14:textId="6C2FBC03" w:rsidR="00642303" w:rsidRPr="001755F9" w:rsidRDefault="00167366" w:rsidP="00ED0D33">
            <w:pPr>
              <w:rPr>
                <w:rFonts w:ascii="Arial" w:hAnsi="Arial" w:cs="Arial"/>
                <w:sz w:val="22"/>
                <w:szCs w:val="22"/>
              </w:rPr>
            </w:pPr>
            <w:r w:rsidRPr="001755F9">
              <w:rPr>
                <w:rFonts w:ascii="Arial" w:hAnsi="Arial" w:cs="Arial"/>
                <w:sz w:val="22"/>
                <w:szCs w:val="22"/>
              </w:rPr>
              <w:t>• AI-enabled personalized treatment pathway</w:t>
            </w:r>
            <w:r w:rsidR="00642303" w:rsidRPr="001755F9">
              <w:rPr>
                <w:rFonts w:ascii="Arial" w:hAnsi="Arial" w:cs="Arial"/>
                <w:sz w:val="22"/>
                <w:szCs w:val="22"/>
              </w:rPr>
              <w:t>s.</w:t>
            </w:r>
            <w:r w:rsidRPr="001755F9">
              <w:rPr>
                <w:rFonts w:ascii="Arial" w:hAnsi="Arial" w:cs="Arial"/>
                <w:sz w:val="22"/>
                <w:szCs w:val="22"/>
              </w:rPr>
              <w:t xml:space="preserve"> </w:t>
            </w:r>
          </w:p>
          <w:p w14:paraId="64B0F9B2" w14:textId="19235125" w:rsidR="00642303" w:rsidRPr="001755F9" w:rsidRDefault="00167366" w:rsidP="00ED0D33">
            <w:pPr>
              <w:rPr>
                <w:rFonts w:ascii="Arial" w:hAnsi="Arial" w:cs="Arial"/>
                <w:sz w:val="22"/>
                <w:szCs w:val="22"/>
              </w:rPr>
            </w:pPr>
            <w:r w:rsidRPr="001755F9">
              <w:rPr>
                <w:rFonts w:ascii="Arial" w:hAnsi="Arial" w:cs="Arial"/>
                <w:sz w:val="22"/>
                <w:szCs w:val="22"/>
              </w:rPr>
              <w:t>• Digital biomarkers and wearable-integrated monitoring</w:t>
            </w:r>
            <w:r w:rsidR="00642303" w:rsidRPr="001755F9">
              <w:rPr>
                <w:rFonts w:ascii="Arial" w:hAnsi="Arial" w:cs="Arial"/>
                <w:sz w:val="22"/>
                <w:szCs w:val="22"/>
              </w:rPr>
              <w:t>.</w:t>
            </w:r>
          </w:p>
          <w:p w14:paraId="1A396E31" w14:textId="6051D32C" w:rsidR="00642303" w:rsidRPr="001755F9" w:rsidRDefault="00167366" w:rsidP="00ED0D33">
            <w:pPr>
              <w:rPr>
                <w:rFonts w:ascii="Arial" w:hAnsi="Arial" w:cs="Arial"/>
                <w:sz w:val="22"/>
                <w:szCs w:val="22"/>
              </w:rPr>
            </w:pPr>
            <w:r w:rsidRPr="001755F9">
              <w:rPr>
                <w:rFonts w:ascii="Arial" w:hAnsi="Arial" w:cs="Arial"/>
                <w:sz w:val="22"/>
                <w:szCs w:val="22"/>
              </w:rPr>
              <w:t>• Sustainability-led innovation (Ambition Zero Carbon)</w:t>
            </w:r>
            <w:r w:rsidR="00642303" w:rsidRPr="001755F9">
              <w:rPr>
                <w:rFonts w:ascii="Arial" w:hAnsi="Arial" w:cs="Arial"/>
                <w:sz w:val="22"/>
                <w:szCs w:val="22"/>
              </w:rPr>
              <w:t>.</w:t>
            </w:r>
          </w:p>
          <w:p w14:paraId="4A3C4D52" w14:textId="09298E01" w:rsidR="003C04A4" w:rsidRPr="001755F9" w:rsidRDefault="00167366" w:rsidP="00ED0D33">
            <w:pPr>
              <w:rPr>
                <w:rFonts w:ascii="Arial" w:hAnsi="Arial" w:cs="Arial"/>
                <w:sz w:val="22"/>
                <w:szCs w:val="22"/>
              </w:rPr>
            </w:pPr>
            <w:r w:rsidRPr="001755F9">
              <w:rPr>
                <w:rFonts w:ascii="Arial" w:hAnsi="Arial" w:cs="Arial"/>
                <w:sz w:val="22"/>
                <w:szCs w:val="22"/>
              </w:rPr>
              <w:t>• Precision medicine through genetics and biomarker research</w:t>
            </w:r>
          </w:p>
        </w:tc>
      </w:tr>
    </w:tbl>
    <w:p w14:paraId="2B6A6C5B" w14:textId="77777777" w:rsidR="00E27005" w:rsidRPr="001755F9" w:rsidRDefault="00E27005" w:rsidP="00ED0D33">
      <w:pPr>
        <w:rPr>
          <w:rFonts w:ascii="Arial" w:hAnsi="Arial" w:cs="Arial"/>
          <w:sz w:val="22"/>
          <w:szCs w:val="22"/>
        </w:rPr>
      </w:pPr>
    </w:p>
    <w:p w14:paraId="37A78214" w14:textId="77777777" w:rsidR="00E27005" w:rsidRPr="001755F9" w:rsidRDefault="00E27005" w:rsidP="00E27005">
      <w:pPr>
        <w:pStyle w:val="Heading2"/>
        <w:rPr>
          <w:rFonts w:ascii="Arial" w:hAnsi="Arial" w:cs="Arial"/>
          <w:sz w:val="22"/>
          <w:szCs w:val="22"/>
        </w:rPr>
      </w:pPr>
      <w:bookmarkStart w:id="6" w:name="_Toc216115633"/>
      <w:r w:rsidRPr="001755F9">
        <w:rPr>
          <w:rFonts w:ascii="Arial" w:hAnsi="Arial" w:cs="Arial"/>
          <w:sz w:val="22"/>
          <w:szCs w:val="22"/>
        </w:rPr>
        <w:t>3.1 Core Innovations</w:t>
      </w:r>
      <w:bookmarkEnd w:id="6"/>
    </w:p>
    <w:p w14:paraId="60713CDB" w14:textId="77777777" w:rsidR="004D1FBC" w:rsidRPr="001755F9" w:rsidRDefault="007D6906" w:rsidP="007D6906">
      <w:pPr>
        <w:rPr>
          <w:rFonts w:ascii="Arial" w:hAnsi="Arial" w:cs="Arial"/>
          <w:sz w:val="22"/>
          <w:szCs w:val="22"/>
        </w:rPr>
      </w:pPr>
      <w:r w:rsidRPr="001755F9">
        <w:rPr>
          <w:rFonts w:ascii="Arial" w:hAnsi="Arial" w:cs="Arial"/>
          <w:sz w:val="22"/>
          <w:szCs w:val="22"/>
        </w:rPr>
        <w:t xml:space="preserve">AstraZeneca's core innovations concentrate on making small adjustments to its current medications, technologies, and procedures. These developments are intended to improve the functionality, usability, and accessibility of well-known products that serve as the foundation of the company's commercial portfolio, such as </w:t>
      </w:r>
      <w:proofErr w:type="spellStart"/>
      <w:r w:rsidRPr="001755F9">
        <w:rPr>
          <w:rFonts w:ascii="Arial" w:hAnsi="Arial" w:cs="Arial"/>
          <w:sz w:val="22"/>
          <w:szCs w:val="22"/>
        </w:rPr>
        <w:t>Tagrisso</w:t>
      </w:r>
      <w:proofErr w:type="spellEnd"/>
      <w:r w:rsidRPr="001755F9">
        <w:rPr>
          <w:rFonts w:ascii="Arial" w:hAnsi="Arial" w:cs="Arial"/>
          <w:sz w:val="22"/>
          <w:szCs w:val="22"/>
        </w:rPr>
        <w:t xml:space="preserve">, Imfinzi, </w:t>
      </w:r>
      <w:proofErr w:type="spellStart"/>
      <w:r w:rsidRPr="001755F9">
        <w:rPr>
          <w:rFonts w:ascii="Arial" w:hAnsi="Arial" w:cs="Arial"/>
          <w:sz w:val="22"/>
          <w:szCs w:val="22"/>
        </w:rPr>
        <w:t>Farxiga</w:t>
      </w:r>
      <w:proofErr w:type="spellEnd"/>
      <w:r w:rsidRPr="001755F9">
        <w:rPr>
          <w:rFonts w:ascii="Arial" w:hAnsi="Arial" w:cs="Arial"/>
          <w:sz w:val="22"/>
          <w:szCs w:val="22"/>
        </w:rPr>
        <w:t xml:space="preserve">, and Symbicort. The AstraZeneca Annual Report (2024) states that the company continuously makes investments to enhance medication formulations, expand indications, and streamline delivery methods </w:t>
      </w:r>
      <w:r w:rsidR="004D1FBC" w:rsidRPr="001755F9">
        <w:rPr>
          <w:rFonts w:ascii="Arial" w:hAnsi="Arial" w:cs="Arial"/>
          <w:sz w:val="22"/>
          <w:szCs w:val="22"/>
        </w:rPr>
        <w:t>to</w:t>
      </w:r>
      <w:r w:rsidRPr="001755F9">
        <w:rPr>
          <w:rFonts w:ascii="Arial" w:hAnsi="Arial" w:cs="Arial"/>
          <w:sz w:val="22"/>
          <w:szCs w:val="22"/>
        </w:rPr>
        <w:t xml:space="preserve"> promote clinical outcomes and patient experience.</w:t>
      </w:r>
    </w:p>
    <w:p w14:paraId="00CCF4F8" w14:textId="77777777" w:rsidR="00D6365E" w:rsidRPr="001755F9" w:rsidRDefault="00112D19" w:rsidP="007D6906">
      <w:pPr>
        <w:rPr>
          <w:rFonts w:ascii="Arial" w:hAnsi="Arial" w:cs="Arial"/>
          <w:sz w:val="22"/>
          <w:szCs w:val="22"/>
        </w:rPr>
      </w:pPr>
      <w:r w:rsidRPr="001755F9">
        <w:rPr>
          <w:rFonts w:ascii="Arial" w:hAnsi="Arial" w:cs="Arial"/>
          <w:sz w:val="22"/>
          <w:szCs w:val="22"/>
        </w:rPr>
        <w:t>AstraZeneca's main innovation capabilities include the utilization of digital automation and AI-assisted molecular screening in production. AI-driven automation has become crucial for pharmaceutical production, according to Gartner (2024), since it allows for better supply reliability, decreased waste, and enhanced precision. These developments directly address both the industry's tendency toward more economical, technologically improved operations and current consumer expectations for reliable access to medications.</w:t>
      </w:r>
    </w:p>
    <w:p w14:paraId="02D49947" w14:textId="77777777" w:rsidR="00BB7406" w:rsidRPr="001755F9" w:rsidRDefault="00935A55" w:rsidP="007D6906">
      <w:pPr>
        <w:rPr>
          <w:rFonts w:ascii="Arial" w:hAnsi="Arial" w:cs="Arial"/>
          <w:sz w:val="22"/>
          <w:szCs w:val="22"/>
        </w:rPr>
      </w:pPr>
      <w:r w:rsidRPr="001755F9">
        <w:rPr>
          <w:rFonts w:ascii="Arial" w:hAnsi="Arial" w:cs="Arial"/>
          <w:sz w:val="22"/>
          <w:szCs w:val="22"/>
        </w:rPr>
        <w:t xml:space="preserve">Additionally, core innovations are in line with changing consumer behaviour, especially regarding the need for better adherence assistance and more lucid treatment information. According to EY (2023), patients are placing a higher value on treatment simplicity, openness, and ongoing support during their medical journey. AstraZeneca's continuous enhancements to its clinical trial procedures, which make use of empirical data and patient </w:t>
      </w:r>
      <w:r w:rsidRPr="001755F9">
        <w:rPr>
          <w:rFonts w:ascii="Arial" w:hAnsi="Arial" w:cs="Arial"/>
          <w:sz w:val="22"/>
          <w:szCs w:val="22"/>
        </w:rPr>
        <w:lastRenderedPageBreak/>
        <w:t>feedback, exhibit a design-thinking methodology based on empathy and iterative development.</w:t>
      </w:r>
    </w:p>
    <w:p w14:paraId="590BA5ED" w14:textId="77777777" w:rsidR="00BB7406" w:rsidRPr="001755F9" w:rsidRDefault="00BB7406" w:rsidP="00BB7406">
      <w:pPr>
        <w:pStyle w:val="Heading2"/>
        <w:rPr>
          <w:rFonts w:ascii="Arial" w:hAnsi="Arial" w:cs="Arial"/>
          <w:sz w:val="22"/>
          <w:szCs w:val="22"/>
        </w:rPr>
      </w:pPr>
      <w:bookmarkStart w:id="7" w:name="_Toc216115634"/>
      <w:r w:rsidRPr="001755F9">
        <w:rPr>
          <w:rFonts w:ascii="Arial" w:hAnsi="Arial" w:cs="Arial"/>
          <w:sz w:val="22"/>
          <w:szCs w:val="22"/>
        </w:rPr>
        <w:t>3.2 Adjacent Innovations</w:t>
      </w:r>
      <w:bookmarkEnd w:id="7"/>
    </w:p>
    <w:p w14:paraId="466EE2CE" w14:textId="77777777" w:rsidR="008026EE" w:rsidRPr="001755F9" w:rsidRDefault="00C83FE2" w:rsidP="00C83FE2">
      <w:pPr>
        <w:rPr>
          <w:rFonts w:ascii="Arial" w:hAnsi="Arial" w:cs="Arial"/>
          <w:sz w:val="22"/>
          <w:szCs w:val="22"/>
        </w:rPr>
      </w:pPr>
      <w:r w:rsidRPr="001755F9">
        <w:rPr>
          <w:rFonts w:ascii="Arial" w:hAnsi="Arial" w:cs="Arial"/>
          <w:sz w:val="22"/>
          <w:szCs w:val="22"/>
        </w:rPr>
        <w:t>Adjacent innovations enable AstraZeneca to enter new but related fields in addition to its current products and markets. After acquiring Alexion Pharmaceuticals, the company entered the field of uncommon and immune-mediated disorders, which is a significant adjacent innovation. In line with worldwide trends toward individualized and precision-based healthcare, this change puts AstraZeneca in a position to offer new patient populations with highly specialized treatment needs.</w:t>
      </w:r>
    </w:p>
    <w:p w14:paraId="2B24AFC7" w14:textId="77777777" w:rsidR="00A63700" w:rsidRPr="001755F9" w:rsidRDefault="00B8290D" w:rsidP="00C83FE2">
      <w:pPr>
        <w:rPr>
          <w:rFonts w:ascii="Arial" w:hAnsi="Arial" w:cs="Arial"/>
          <w:sz w:val="22"/>
          <w:szCs w:val="22"/>
        </w:rPr>
      </w:pPr>
      <w:r w:rsidRPr="001755F9">
        <w:rPr>
          <w:rFonts w:ascii="Arial" w:hAnsi="Arial" w:cs="Arial"/>
          <w:sz w:val="22"/>
          <w:szCs w:val="22"/>
        </w:rPr>
        <w:t>The ad</w:t>
      </w:r>
      <w:r w:rsidR="00A63700" w:rsidRPr="001755F9">
        <w:rPr>
          <w:rFonts w:ascii="Arial" w:hAnsi="Arial" w:cs="Arial"/>
          <w:sz w:val="22"/>
          <w:szCs w:val="22"/>
        </w:rPr>
        <w:t>jacent innovations</w:t>
      </w:r>
      <w:r w:rsidRPr="001755F9">
        <w:rPr>
          <w:rFonts w:ascii="Arial" w:hAnsi="Arial" w:cs="Arial"/>
          <w:sz w:val="22"/>
          <w:szCs w:val="22"/>
        </w:rPr>
        <w:t xml:space="preserve"> of digital health platforms, such as treatment-support applications, prescription reminders, patient education materials, and online portals, is another significant related invention. According to IQVIA (2023), patients now anticipate hybrid care models that combine digital tools with clinical support, making digital engagement a defining characteristic of contemporary healthcare. This change is reflected in AstraZeneca's digital solutions, which directly address customer demands for easily accessible information, remote monitoring, and tailored interaction.</w:t>
      </w:r>
    </w:p>
    <w:p w14:paraId="25B1E8DC" w14:textId="77777777" w:rsidR="00BC44D0" w:rsidRPr="001755F9" w:rsidRDefault="003C75C8" w:rsidP="00C83FE2">
      <w:pPr>
        <w:rPr>
          <w:rFonts w:ascii="Arial" w:hAnsi="Arial" w:cs="Arial"/>
          <w:sz w:val="22"/>
          <w:szCs w:val="22"/>
        </w:rPr>
      </w:pPr>
      <w:r w:rsidRPr="001755F9">
        <w:rPr>
          <w:rFonts w:ascii="Arial" w:hAnsi="Arial" w:cs="Arial"/>
          <w:sz w:val="22"/>
          <w:szCs w:val="22"/>
        </w:rPr>
        <w:t>AstraZeneca's partnerships with IT companies, where cloud computing, AI analytics, and digital trial platforms improve its operational and research capabilities, are another example of adjacent innovation. According to the Financial Times (2024), collaborations between pharmaceutical and technology firms are now crucial for boosting innovation and enhancing patient care. The design-thinking concepts of co-creation, interdisciplinary issue solving, and iterative experimentation are reflected in these partnerships.</w:t>
      </w:r>
    </w:p>
    <w:p w14:paraId="5B73876E" w14:textId="77777777" w:rsidR="00BC44D0" w:rsidRPr="001755F9" w:rsidRDefault="00BC44D0" w:rsidP="00BC44D0">
      <w:pPr>
        <w:pStyle w:val="Heading2"/>
        <w:rPr>
          <w:rFonts w:ascii="Arial" w:hAnsi="Arial" w:cs="Arial"/>
          <w:sz w:val="22"/>
          <w:szCs w:val="22"/>
        </w:rPr>
      </w:pPr>
      <w:bookmarkStart w:id="8" w:name="_Toc216115635"/>
      <w:r w:rsidRPr="001755F9">
        <w:rPr>
          <w:rFonts w:ascii="Arial" w:hAnsi="Arial" w:cs="Arial"/>
          <w:sz w:val="22"/>
          <w:szCs w:val="22"/>
        </w:rPr>
        <w:t>3.3 Transformational Innovations</w:t>
      </w:r>
      <w:bookmarkEnd w:id="8"/>
    </w:p>
    <w:p w14:paraId="30A75EF1" w14:textId="77777777" w:rsidR="00C3212A" w:rsidRPr="001755F9" w:rsidRDefault="008E1D6C" w:rsidP="00BC44D0">
      <w:pPr>
        <w:rPr>
          <w:rFonts w:ascii="Arial" w:hAnsi="Arial" w:cs="Arial"/>
          <w:sz w:val="22"/>
          <w:szCs w:val="22"/>
        </w:rPr>
      </w:pPr>
      <w:r w:rsidRPr="001755F9">
        <w:rPr>
          <w:rFonts w:ascii="Arial" w:hAnsi="Arial" w:cs="Arial"/>
          <w:sz w:val="22"/>
          <w:szCs w:val="22"/>
        </w:rPr>
        <w:t>Redefining AstraZeneca's long-term strategic direction and reshaping the larger healthcare ecosystem are the goals of transformational innovations. The organization's investment in precision medicine, which is bolstered by genome sequencing, biomarker research, and AI-driven diagnostic insights, is a key transformational focus. According to Nature Medicine (2022), one of the biggest changes in contemporary healthcare is precision medicine, which allows for treatments that are customized to each patient's unique biological traits. AstraZeneca is at the forefront of upcoming therapeutic models thanks to its leadership in this area.</w:t>
      </w:r>
    </w:p>
    <w:p w14:paraId="2CA55417" w14:textId="77777777" w:rsidR="00194086" w:rsidRPr="001755F9" w:rsidRDefault="001E53CD" w:rsidP="00BC44D0">
      <w:pPr>
        <w:rPr>
          <w:rFonts w:ascii="Arial" w:hAnsi="Arial" w:cs="Arial"/>
          <w:sz w:val="22"/>
          <w:szCs w:val="22"/>
        </w:rPr>
      </w:pPr>
      <w:r w:rsidRPr="001755F9">
        <w:rPr>
          <w:rFonts w:ascii="Arial" w:hAnsi="Arial" w:cs="Arial"/>
          <w:sz w:val="22"/>
          <w:szCs w:val="22"/>
        </w:rPr>
        <w:t>AstraZeneca's dedication to healthcare redesign driven by sustainability through its Ambition Zero Carbon program is another game-changing breakthrough. The plan calls for a carbon-negative value chain by 2030 and carbon-neutral operations by 2025 (AstraZeneca, 2024). According to KPMG (2024), investors and healthcare systems now use sustainability as a primary evaluation criterion, which makes AstraZeneca's environmental advances a crucial source of competitive difference.</w:t>
      </w:r>
    </w:p>
    <w:p w14:paraId="1FC2A6D6" w14:textId="77777777" w:rsidR="00FA5DCB" w:rsidRPr="001755F9" w:rsidRDefault="003E7898" w:rsidP="00BC44D0">
      <w:pPr>
        <w:rPr>
          <w:rFonts w:ascii="Arial" w:hAnsi="Arial" w:cs="Arial"/>
          <w:sz w:val="22"/>
          <w:szCs w:val="22"/>
        </w:rPr>
      </w:pPr>
      <w:r w:rsidRPr="001755F9">
        <w:rPr>
          <w:rFonts w:ascii="Arial" w:hAnsi="Arial" w:cs="Arial"/>
          <w:sz w:val="22"/>
          <w:szCs w:val="22"/>
        </w:rPr>
        <w:t xml:space="preserve">Additionally, AstraZeneca is investigating wearable-integrated monitoring, digital biomarkers, and predictive analytics, all of which could revolutionize patient-clinician communication. The growing need for proactive, real-time health monitoring systems that facilitate early </w:t>
      </w:r>
      <w:r w:rsidR="00FA5DCB" w:rsidRPr="001755F9">
        <w:rPr>
          <w:rFonts w:ascii="Arial" w:hAnsi="Arial" w:cs="Arial"/>
          <w:sz w:val="22"/>
          <w:szCs w:val="22"/>
        </w:rPr>
        <w:t>intervention,</w:t>
      </w:r>
      <w:r w:rsidRPr="001755F9">
        <w:rPr>
          <w:rFonts w:ascii="Arial" w:hAnsi="Arial" w:cs="Arial"/>
          <w:sz w:val="22"/>
          <w:szCs w:val="22"/>
        </w:rPr>
        <w:t xml:space="preserve"> and long-term self-management is highlighted by the OECD (2022). Deeper consumer movements toward empowerment, preventive, and digital health knowledge are reflected in these advances.</w:t>
      </w:r>
    </w:p>
    <w:p w14:paraId="652CB6F8" w14:textId="77777777" w:rsidR="008F1936" w:rsidRPr="001755F9" w:rsidRDefault="00CD2E77" w:rsidP="00CD2E77">
      <w:pPr>
        <w:pStyle w:val="Heading1"/>
        <w:numPr>
          <w:ilvl w:val="0"/>
          <w:numId w:val="5"/>
        </w:numPr>
        <w:rPr>
          <w:rFonts w:ascii="Arial" w:hAnsi="Arial" w:cs="Arial"/>
          <w:sz w:val="22"/>
          <w:szCs w:val="22"/>
        </w:rPr>
      </w:pPr>
      <w:bookmarkStart w:id="9" w:name="_Toc216115636"/>
      <w:r w:rsidRPr="001755F9">
        <w:rPr>
          <w:rFonts w:ascii="Arial" w:hAnsi="Arial" w:cs="Arial"/>
          <w:sz w:val="22"/>
          <w:szCs w:val="22"/>
        </w:rPr>
        <w:lastRenderedPageBreak/>
        <w:t xml:space="preserve">Links between </w:t>
      </w:r>
      <w:r w:rsidR="008F1936" w:rsidRPr="001755F9">
        <w:rPr>
          <w:rFonts w:ascii="Arial" w:hAnsi="Arial" w:cs="Arial"/>
          <w:sz w:val="22"/>
          <w:szCs w:val="22"/>
        </w:rPr>
        <w:t>Innovations, Consumers Behaviour and Industry Trends</w:t>
      </w:r>
      <w:bookmarkEnd w:id="9"/>
    </w:p>
    <w:p w14:paraId="312E96E8" w14:textId="77777777" w:rsidR="002D26F1" w:rsidRPr="001755F9" w:rsidRDefault="002D26F1" w:rsidP="008F1936">
      <w:pPr>
        <w:rPr>
          <w:rFonts w:ascii="Arial" w:hAnsi="Arial" w:cs="Arial"/>
          <w:sz w:val="22"/>
          <w:szCs w:val="22"/>
        </w:rPr>
      </w:pPr>
      <w:r w:rsidRPr="001755F9">
        <w:rPr>
          <w:rFonts w:ascii="Arial" w:hAnsi="Arial" w:cs="Arial"/>
          <w:sz w:val="22"/>
          <w:szCs w:val="22"/>
        </w:rPr>
        <w:t>The innovation portfolio of AstraZeneca closely corresponds with the previously mentioned consumer and industrial trends.</w:t>
      </w:r>
    </w:p>
    <w:p w14:paraId="2BF549D7" w14:textId="77777777" w:rsidR="00F511B0" w:rsidRPr="001755F9" w:rsidRDefault="00A148A4" w:rsidP="008F1936">
      <w:pPr>
        <w:rPr>
          <w:rFonts w:ascii="Arial" w:hAnsi="Arial" w:cs="Arial"/>
          <w:sz w:val="22"/>
          <w:szCs w:val="22"/>
        </w:rPr>
      </w:pPr>
      <w:r w:rsidRPr="0017447D">
        <w:rPr>
          <w:rFonts w:ascii="Arial" w:hAnsi="Arial" w:cs="Arial"/>
          <w:b/>
          <w:bCs/>
          <w:sz w:val="22"/>
          <w:szCs w:val="22"/>
        </w:rPr>
        <w:t>Core Innovations</w:t>
      </w:r>
      <w:r w:rsidRPr="001755F9">
        <w:rPr>
          <w:rFonts w:ascii="Arial" w:hAnsi="Arial" w:cs="Arial"/>
          <w:sz w:val="22"/>
          <w:szCs w:val="22"/>
        </w:rPr>
        <w:t xml:space="preserve">- </w:t>
      </w:r>
      <w:r w:rsidR="00F511B0" w:rsidRPr="001755F9">
        <w:rPr>
          <w:rFonts w:ascii="Arial" w:hAnsi="Arial" w:cs="Arial"/>
          <w:sz w:val="22"/>
          <w:szCs w:val="22"/>
        </w:rPr>
        <w:t>represent standards for dependability, security, quicker treatment access, and clear information (EY, 2023).</w:t>
      </w:r>
    </w:p>
    <w:p w14:paraId="416852B1" w14:textId="77777777" w:rsidR="00DF2A4E" w:rsidRPr="001755F9" w:rsidRDefault="00F511B0" w:rsidP="008F1936">
      <w:pPr>
        <w:rPr>
          <w:rFonts w:ascii="Arial" w:hAnsi="Arial" w:cs="Arial"/>
          <w:sz w:val="22"/>
          <w:szCs w:val="22"/>
        </w:rPr>
      </w:pPr>
      <w:r w:rsidRPr="0017447D">
        <w:rPr>
          <w:rFonts w:ascii="Arial" w:hAnsi="Arial" w:cs="Arial"/>
          <w:b/>
          <w:bCs/>
          <w:sz w:val="22"/>
          <w:szCs w:val="22"/>
        </w:rPr>
        <w:t>Adjacent Innovations</w:t>
      </w:r>
      <w:r w:rsidRPr="001755F9">
        <w:rPr>
          <w:rFonts w:ascii="Arial" w:hAnsi="Arial" w:cs="Arial"/>
          <w:sz w:val="22"/>
          <w:szCs w:val="22"/>
        </w:rPr>
        <w:t xml:space="preserve">- </w:t>
      </w:r>
      <w:r w:rsidR="00DF2A4E" w:rsidRPr="001755F9">
        <w:rPr>
          <w:rFonts w:ascii="Arial" w:hAnsi="Arial" w:cs="Arial"/>
          <w:sz w:val="22"/>
          <w:szCs w:val="22"/>
        </w:rPr>
        <w:t>adapt to patient empowerment, growing digital adoption, and the need for individualized instruction and hybrid support (IQVIA, 2023; Financial Times, 2024).</w:t>
      </w:r>
    </w:p>
    <w:p w14:paraId="147B7B4B" w14:textId="77777777" w:rsidR="005B1ABF" w:rsidRPr="001755F9" w:rsidRDefault="00DF2A4E" w:rsidP="008F1936">
      <w:pPr>
        <w:rPr>
          <w:rFonts w:ascii="Arial" w:hAnsi="Arial" w:cs="Arial"/>
          <w:sz w:val="22"/>
          <w:szCs w:val="22"/>
        </w:rPr>
      </w:pPr>
      <w:r w:rsidRPr="0017447D">
        <w:rPr>
          <w:rFonts w:ascii="Arial" w:hAnsi="Arial" w:cs="Arial"/>
          <w:b/>
          <w:bCs/>
          <w:sz w:val="22"/>
          <w:szCs w:val="22"/>
        </w:rPr>
        <w:t>Transformational Innovations</w:t>
      </w:r>
      <w:r w:rsidRPr="001755F9">
        <w:rPr>
          <w:rFonts w:ascii="Arial" w:hAnsi="Arial" w:cs="Arial"/>
          <w:sz w:val="22"/>
          <w:szCs w:val="22"/>
        </w:rPr>
        <w:t xml:space="preserve">- </w:t>
      </w:r>
      <w:r w:rsidR="005B1ABF" w:rsidRPr="001755F9">
        <w:rPr>
          <w:rFonts w:ascii="Arial" w:hAnsi="Arial" w:cs="Arial"/>
          <w:sz w:val="22"/>
          <w:szCs w:val="22"/>
        </w:rPr>
        <w:t>conform to the worldwide trend of proactive, real-time health management, precision healthcare, and sustainability (KPMG, 2024; OECD, 2022).</w:t>
      </w:r>
    </w:p>
    <w:p w14:paraId="25E6C6FF" w14:textId="2BFD7B91" w:rsidR="00CB334F" w:rsidRPr="001755F9" w:rsidRDefault="00CB334F" w:rsidP="009C6CDD">
      <w:pPr>
        <w:rPr>
          <w:rFonts w:ascii="Arial" w:hAnsi="Arial" w:cs="Arial"/>
          <w:sz w:val="22"/>
          <w:szCs w:val="22"/>
        </w:rPr>
      </w:pPr>
      <w:r w:rsidRPr="001755F9">
        <w:rPr>
          <w:rFonts w:ascii="Arial" w:hAnsi="Arial" w:cs="Arial"/>
          <w:sz w:val="22"/>
          <w:szCs w:val="22"/>
        </w:rPr>
        <w:t>AstraZeneca's application of design-thinking concepts, including as empathy, co-creation, iterative improvement, and user-centred problem-solving, is demonstrated by this integration.</w:t>
      </w:r>
    </w:p>
    <w:p w14:paraId="2213DB82" w14:textId="0ADD1D41" w:rsidR="009C6CDD" w:rsidRPr="001755F9" w:rsidRDefault="009C6CDD" w:rsidP="009C6CDD">
      <w:pPr>
        <w:pStyle w:val="Heading1"/>
        <w:numPr>
          <w:ilvl w:val="0"/>
          <w:numId w:val="5"/>
        </w:numPr>
        <w:rPr>
          <w:rFonts w:ascii="Arial" w:hAnsi="Arial" w:cs="Arial"/>
          <w:sz w:val="22"/>
          <w:szCs w:val="22"/>
        </w:rPr>
      </w:pPr>
      <w:bookmarkStart w:id="10" w:name="_Toc216115637"/>
      <w:r w:rsidRPr="001755F9">
        <w:rPr>
          <w:rFonts w:ascii="Arial" w:hAnsi="Arial" w:cs="Arial"/>
          <w:sz w:val="22"/>
          <w:szCs w:val="22"/>
        </w:rPr>
        <w:t>New Innovations Opportunities</w:t>
      </w:r>
      <w:bookmarkEnd w:id="10"/>
    </w:p>
    <w:p w14:paraId="053EBAE4" w14:textId="77777777" w:rsidR="003024AE" w:rsidRPr="001755F9" w:rsidRDefault="003024AE" w:rsidP="009C6CDD">
      <w:pPr>
        <w:rPr>
          <w:rFonts w:ascii="Arial" w:hAnsi="Arial" w:cs="Arial"/>
          <w:sz w:val="22"/>
          <w:szCs w:val="22"/>
        </w:rPr>
      </w:pPr>
      <w:r w:rsidRPr="001755F9">
        <w:rPr>
          <w:rFonts w:ascii="Arial" w:hAnsi="Arial" w:cs="Arial"/>
          <w:sz w:val="22"/>
          <w:szCs w:val="22"/>
        </w:rPr>
        <w:t>AstraZeneca could investigate the following innovation gaps identified by the analysis:</w:t>
      </w:r>
    </w:p>
    <w:p w14:paraId="60852E4F" w14:textId="77777777" w:rsidR="003024AE" w:rsidRPr="001755F9" w:rsidRDefault="003024AE" w:rsidP="003024AE">
      <w:pPr>
        <w:ind w:firstLine="720"/>
        <w:rPr>
          <w:rFonts w:ascii="Arial" w:hAnsi="Arial" w:cs="Arial"/>
          <w:sz w:val="22"/>
          <w:szCs w:val="22"/>
        </w:rPr>
      </w:pPr>
      <w:r w:rsidRPr="001755F9">
        <w:rPr>
          <w:rFonts w:ascii="Arial" w:hAnsi="Arial" w:cs="Arial"/>
          <w:sz w:val="22"/>
          <w:szCs w:val="22"/>
        </w:rPr>
        <w:t>-AI-powered diagnostic tools to lower diagnostic uncertainty and wait times</w:t>
      </w:r>
    </w:p>
    <w:p w14:paraId="0266EDB3" w14:textId="77777777" w:rsidR="003024AE" w:rsidRPr="001755F9" w:rsidRDefault="003024AE" w:rsidP="003024AE">
      <w:pPr>
        <w:ind w:firstLine="720"/>
        <w:rPr>
          <w:rFonts w:ascii="Arial" w:hAnsi="Arial" w:cs="Arial"/>
          <w:sz w:val="22"/>
          <w:szCs w:val="22"/>
        </w:rPr>
      </w:pPr>
      <w:r w:rsidRPr="001755F9">
        <w:rPr>
          <w:rFonts w:ascii="Arial" w:hAnsi="Arial" w:cs="Arial"/>
          <w:sz w:val="22"/>
          <w:szCs w:val="22"/>
        </w:rPr>
        <w:t>-Cutting-edge wearable technology for predictive health alarms and remote monitoring</w:t>
      </w:r>
    </w:p>
    <w:p w14:paraId="4CAB31C6" w14:textId="77777777" w:rsidR="003024AE" w:rsidRPr="001755F9" w:rsidRDefault="003024AE" w:rsidP="003024AE">
      <w:pPr>
        <w:ind w:firstLine="720"/>
        <w:rPr>
          <w:rFonts w:ascii="Arial" w:hAnsi="Arial" w:cs="Arial"/>
          <w:sz w:val="22"/>
          <w:szCs w:val="22"/>
        </w:rPr>
      </w:pPr>
      <w:r w:rsidRPr="001755F9">
        <w:rPr>
          <w:rFonts w:ascii="Arial" w:hAnsi="Arial" w:cs="Arial"/>
          <w:sz w:val="22"/>
          <w:szCs w:val="22"/>
        </w:rPr>
        <w:t>-Increased access to digital learning resources catered to various patient literacy levels</w:t>
      </w:r>
    </w:p>
    <w:p w14:paraId="27EDFAE4" w14:textId="77777777" w:rsidR="003024AE" w:rsidRPr="001755F9" w:rsidRDefault="003024AE" w:rsidP="003024AE">
      <w:pPr>
        <w:ind w:firstLine="720"/>
        <w:rPr>
          <w:rFonts w:ascii="Arial" w:hAnsi="Arial" w:cs="Arial"/>
          <w:sz w:val="22"/>
          <w:szCs w:val="22"/>
        </w:rPr>
      </w:pPr>
      <w:r w:rsidRPr="001755F9">
        <w:rPr>
          <w:rFonts w:ascii="Arial" w:hAnsi="Arial" w:cs="Arial"/>
          <w:sz w:val="22"/>
          <w:szCs w:val="22"/>
        </w:rPr>
        <w:t>-Models of low-carbon clinical trials to improve leadership in sustainability</w:t>
      </w:r>
    </w:p>
    <w:p w14:paraId="0F7BAE15" w14:textId="6FBEB732" w:rsidR="003024AE" w:rsidRPr="001755F9" w:rsidRDefault="003024AE" w:rsidP="003024AE">
      <w:pPr>
        <w:ind w:firstLine="720"/>
        <w:rPr>
          <w:rFonts w:ascii="Arial" w:hAnsi="Arial" w:cs="Arial"/>
          <w:sz w:val="22"/>
          <w:szCs w:val="22"/>
        </w:rPr>
      </w:pPr>
      <w:r w:rsidRPr="001755F9">
        <w:rPr>
          <w:rFonts w:ascii="Arial" w:hAnsi="Arial" w:cs="Arial"/>
          <w:sz w:val="22"/>
          <w:szCs w:val="22"/>
        </w:rPr>
        <w:t>-Integrated patient-data ecosystems that connect treatment response, lifestyle data, and genomics</w:t>
      </w:r>
    </w:p>
    <w:p w14:paraId="2FEB1710" w14:textId="13C532C6" w:rsidR="009C6CDD" w:rsidRPr="001755F9" w:rsidRDefault="003024AE" w:rsidP="009C6CDD">
      <w:pPr>
        <w:rPr>
          <w:rFonts w:ascii="Arial" w:hAnsi="Arial" w:cs="Arial"/>
          <w:sz w:val="22"/>
          <w:szCs w:val="22"/>
        </w:rPr>
      </w:pPr>
      <w:r w:rsidRPr="001755F9">
        <w:rPr>
          <w:rFonts w:ascii="Arial" w:hAnsi="Arial" w:cs="Arial"/>
          <w:sz w:val="22"/>
          <w:szCs w:val="22"/>
        </w:rPr>
        <w:t>These opportunities show where unmet demands still exist throughout the care pathway and directly contribute to the customer journey analysis.</w:t>
      </w:r>
    </w:p>
    <w:p w14:paraId="0572B780" w14:textId="7BE44C6D" w:rsidR="00493E14" w:rsidRPr="001755F9" w:rsidRDefault="00493E14" w:rsidP="00B9643C">
      <w:pPr>
        <w:rPr>
          <w:rFonts w:ascii="Arial" w:hAnsi="Arial" w:cs="Arial"/>
          <w:sz w:val="22"/>
          <w:szCs w:val="22"/>
        </w:rPr>
      </w:pPr>
      <w:r w:rsidRPr="001755F9">
        <w:rPr>
          <w:rFonts w:ascii="Arial" w:hAnsi="Arial" w:cs="Arial"/>
          <w:sz w:val="22"/>
          <w:szCs w:val="22"/>
        </w:rPr>
        <w:t>The basis for charting AstraZeneca's customer journey is the Innovation Ambition Matrix. Pain points, gain points, and possibilities for digital innovation at every stage of the journey can be identified by knowing where core, adjacent, and transformative innovations support or fail to support the patient experience.</w:t>
      </w:r>
    </w:p>
    <w:p w14:paraId="37C3BE57" w14:textId="36A9458A" w:rsidR="00B9643C" w:rsidRPr="001755F9" w:rsidRDefault="00B9643C" w:rsidP="00B9643C">
      <w:pPr>
        <w:pStyle w:val="Heading1"/>
        <w:numPr>
          <w:ilvl w:val="0"/>
          <w:numId w:val="5"/>
        </w:numPr>
        <w:rPr>
          <w:rFonts w:ascii="Arial" w:hAnsi="Arial" w:cs="Arial"/>
          <w:sz w:val="22"/>
          <w:szCs w:val="22"/>
        </w:rPr>
      </w:pPr>
      <w:bookmarkStart w:id="11" w:name="_Toc216115638"/>
      <w:r w:rsidRPr="001755F9">
        <w:rPr>
          <w:rFonts w:ascii="Arial" w:hAnsi="Arial" w:cs="Arial"/>
          <w:sz w:val="22"/>
          <w:szCs w:val="22"/>
        </w:rPr>
        <w:t>Customer Journey Map</w:t>
      </w:r>
      <w:bookmarkEnd w:id="11"/>
    </w:p>
    <w:p w14:paraId="0AFFD3C6" w14:textId="4B0AA6E5" w:rsidR="003C4014" w:rsidRPr="001755F9" w:rsidRDefault="00C5731B" w:rsidP="008F1936">
      <w:pPr>
        <w:rPr>
          <w:rFonts w:ascii="Arial" w:hAnsi="Arial" w:cs="Arial"/>
          <w:sz w:val="22"/>
          <w:szCs w:val="22"/>
        </w:rPr>
      </w:pPr>
      <w:r w:rsidRPr="001755F9">
        <w:rPr>
          <w:rFonts w:ascii="Arial" w:hAnsi="Arial" w:cs="Arial"/>
          <w:sz w:val="22"/>
          <w:szCs w:val="22"/>
        </w:rPr>
        <w:t xml:space="preserve">Evaluating how AstraZeneca supports patients throughout the course of treatment requires an understanding of the customer journey. By charting the present path from first awareness to long-term follow-up, it is feasible to pinpoint the chances for digital innovation, gain spots, and pain points that influence the patient </w:t>
      </w:r>
      <w:r w:rsidR="009719C8" w:rsidRPr="001755F9">
        <w:rPr>
          <w:rFonts w:ascii="Arial" w:hAnsi="Arial" w:cs="Arial"/>
          <w:sz w:val="22"/>
          <w:szCs w:val="22"/>
        </w:rPr>
        <w:t>experience</w:t>
      </w:r>
      <w:r w:rsidRPr="001755F9">
        <w:rPr>
          <w:rFonts w:ascii="Arial" w:hAnsi="Arial" w:cs="Arial"/>
          <w:sz w:val="22"/>
          <w:szCs w:val="22"/>
        </w:rPr>
        <w:t>. AstraZeneca's present service environment is reflected in the analysis that follows, which also identifies areas that could be improved through innovation and design-thinking techniques.</w:t>
      </w:r>
    </w:p>
    <w:p w14:paraId="3DE3629A" w14:textId="63F46A46" w:rsidR="00C5731B" w:rsidRPr="001755F9" w:rsidRDefault="009719C8" w:rsidP="008F1936">
      <w:pPr>
        <w:rPr>
          <w:rFonts w:ascii="Arial" w:hAnsi="Arial" w:cs="Arial"/>
          <w:sz w:val="22"/>
          <w:szCs w:val="22"/>
        </w:rPr>
      </w:pPr>
      <w:r w:rsidRPr="001755F9">
        <w:rPr>
          <w:rFonts w:ascii="Arial" w:hAnsi="Arial" w:cs="Arial"/>
          <w:noProof/>
          <w:sz w:val="22"/>
          <w:szCs w:val="22"/>
        </w:rPr>
        <w:lastRenderedPageBreak/>
        <w:drawing>
          <wp:inline distT="0" distB="0" distL="0" distR="0" wp14:anchorId="329DFA63" wp14:editId="2E04CE59">
            <wp:extent cx="5731510" cy="2789555"/>
            <wp:effectExtent l="0" t="0" r="2540" b="0"/>
            <wp:docPr id="1928557373" name="Picture 1" descr="A table of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557373" name="Picture 1" descr="A table of medical informati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2789555"/>
                    </a:xfrm>
                    <a:prstGeom prst="rect">
                      <a:avLst/>
                    </a:prstGeom>
                  </pic:spPr>
                </pic:pic>
              </a:graphicData>
            </a:graphic>
          </wp:inline>
        </w:drawing>
      </w:r>
    </w:p>
    <w:p w14:paraId="78CB9E16" w14:textId="3907B332" w:rsidR="009719C8" w:rsidRPr="001755F9" w:rsidRDefault="009719C8" w:rsidP="008F1936">
      <w:pPr>
        <w:rPr>
          <w:rFonts w:ascii="Arial" w:hAnsi="Arial" w:cs="Arial"/>
          <w:sz w:val="22"/>
          <w:szCs w:val="22"/>
        </w:rPr>
      </w:pPr>
      <w:r w:rsidRPr="001755F9">
        <w:rPr>
          <w:rFonts w:ascii="Arial" w:hAnsi="Arial" w:cs="Arial"/>
          <w:sz w:val="22"/>
          <w:szCs w:val="22"/>
        </w:rPr>
        <w:tab/>
      </w:r>
      <w:r w:rsidR="006072B1" w:rsidRPr="001755F9">
        <w:rPr>
          <w:rFonts w:ascii="Arial" w:hAnsi="Arial" w:cs="Arial"/>
          <w:sz w:val="22"/>
          <w:szCs w:val="22"/>
        </w:rPr>
        <w:t xml:space="preserve"> Visualised customer journey map, highlighting the stages of the patient pathway and the associated pain points, gain points and digital innovation opportunities.</w:t>
      </w:r>
    </w:p>
    <w:p w14:paraId="1A233043" w14:textId="414993F3" w:rsidR="003A73F6" w:rsidRPr="001755F9" w:rsidRDefault="00F81D23" w:rsidP="00F81D23">
      <w:pPr>
        <w:pStyle w:val="Heading1"/>
        <w:numPr>
          <w:ilvl w:val="0"/>
          <w:numId w:val="5"/>
        </w:numPr>
        <w:rPr>
          <w:rFonts w:ascii="Arial" w:hAnsi="Arial" w:cs="Arial"/>
          <w:sz w:val="22"/>
          <w:szCs w:val="22"/>
        </w:rPr>
      </w:pPr>
      <w:bookmarkStart w:id="12" w:name="_Toc216115639"/>
      <w:r w:rsidRPr="001755F9">
        <w:rPr>
          <w:rFonts w:ascii="Arial" w:hAnsi="Arial" w:cs="Arial"/>
          <w:sz w:val="22"/>
          <w:szCs w:val="22"/>
        </w:rPr>
        <w:t>Proposed Digital Transformational Innovations</w:t>
      </w:r>
      <w:bookmarkEnd w:id="12"/>
    </w:p>
    <w:p w14:paraId="0AC82D31" w14:textId="1C959603" w:rsidR="00F81D23" w:rsidRPr="001755F9" w:rsidRDefault="00B71EAB" w:rsidP="00F81D23">
      <w:pPr>
        <w:rPr>
          <w:rFonts w:ascii="Arial" w:hAnsi="Arial" w:cs="Arial"/>
          <w:sz w:val="22"/>
          <w:szCs w:val="22"/>
        </w:rPr>
      </w:pPr>
      <w:r w:rsidRPr="001755F9">
        <w:rPr>
          <w:rFonts w:ascii="Arial" w:hAnsi="Arial" w:cs="Arial"/>
          <w:sz w:val="22"/>
          <w:szCs w:val="22"/>
        </w:rPr>
        <w:t>This portfolio suggests creating an AI-Enabled Personalized Patient Support Platform for AstraZeneca based on the analysis in Part 1. The platform would operate as a safe digital ecosystem (web site and mobile application, with optional wearable connectivity) intended to assist patients with diagnosis, treatment, adherence, and long-term follow-up from the time they become aware of their ailment. It directly addresses the main issues found in the current customer journey, such as unclear information at the awareness stage, anxiety and delays during diagnosis, a lack of individualized guidance when starting treatment, poor adherence in chronic conditions, and a lack of long-term, comprehensive support.</w:t>
      </w:r>
    </w:p>
    <w:p w14:paraId="3963006C" w14:textId="45AA1B98" w:rsidR="00B71EAB" w:rsidRPr="001755F9" w:rsidRDefault="00B84BFC" w:rsidP="00F81D23">
      <w:pPr>
        <w:rPr>
          <w:rFonts w:ascii="Arial" w:hAnsi="Arial" w:cs="Arial"/>
          <w:sz w:val="22"/>
          <w:szCs w:val="22"/>
        </w:rPr>
      </w:pPr>
      <w:r w:rsidRPr="001755F9">
        <w:rPr>
          <w:rFonts w:ascii="Arial" w:hAnsi="Arial" w:cs="Arial"/>
          <w:sz w:val="22"/>
          <w:szCs w:val="22"/>
        </w:rPr>
        <w:t>In partnership with healthcare providers, AstraZeneca would co-develop and promote the suggested platform, which would function as a single digital companion. The application would offer customized instruction depending on patient characteristics, literacy level, and disease kind during the awareness and diagnosis stages. It might provide symptom checklists, highlight when professional assistance should be sought, and translate clinical information into easily understood language using AI-driven recommendation engines. This reduces the confusion and anxiety found in the current path and is consistent with the growing usage of digital self-assessment and education reported in international digital-health surveys (e.g. OECD, 2023; WHO, 2023).</w:t>
      </w:r>
    </w:p>
    <w:p w14:paraId="6A159097" w14:textId="5DB47ED3" w:rsidR="00B84BFC" w:rsidRPr="001755F9" w:rsidRDefault="005604FF" w:rsidP="00F81D23">
      <w:pPr>
        <w:rPr>
          <w:rFonts w:ascii="Arial" w:hAnsi="Arial" w:cs="Arial"/>
          <w:sz w:val="22"/>
          <w:szCs w:val="22"/>
        </w:rPr>
      </w:pPr>
      <w:r w:rsidRPr="001755F9">
        <w:rPr>
          <w:rFonts w:ascii="Arial" w:hAnsi="Arial" w:cs="Arial"/>
          <w:sz w:val="22"/>
          <w:szCs w:val="22"/>
        </w:rPr>
        <w:t xml:space="preserve">The platform would assist patients with structured onboarding for </w:t>
      </w:r>
      <w:r w:rsidR="00337B41" w:rsidRPr="001755F9">
        <w:rPr>
          <w:rFonts w:ascii="Arial" w:hAnsi="Arial" w:cs="Arial"/>
          <w:sz w:val="22"/>
          <w:szCs w:val="22"/>
        </w:rPr>
        <w:t>AstraZeneca</w:t>
      </w:r>
      <w:r w:rsidRPr="001755F9">
        <w:rPr>
          <w:rFonts w:ascii="Arial" w:hAnsi="Arial" w:cs="Arial"/>
          <w:sz w:val="22"/>
          <w:szCs w:val="22"/>
        </w:rPr>
        <w:t xml:space="preserve"> drugs during the start of treatment. This might contain interactive checklists, commonly asked questions, step-by-step instructions on how to take medications correctly, and tailored side-effect information based on empirical data. Patients would feel supported rather than overburdened by features like automatic prompts to record side effects, chat-based support (either human or AI-assisted), and in-app messaging with nurses or pharmacists. By focusing the solution on patient requirements, these elements mirror design-thinking concepts of empathy and co-creation and immediately address the pain points of limited guidance and fear of side effects mentioned in Part 1 (Brown, 2021).</w:t>
      </w:r>
    </w:p>
    <w:p w14:paraId="6B221D22" w14:textId="21335D95" w:rsidR="00337B41" w:rsidRPr="001755F9" w:rsidRDefault="00337B41" w:rsidP="00F81D23">
      <w:pPr>
        <w:rPr>
          <w:rFonts w:ascii="Arial" w:hAnsi="Arial" w:cs="Arial"/>
          <w:sz w:val="22"/>
          <w:szCs w:val="22"/>
        </w:rPr>
      </w:pPr>
      <w:r w:rsidRPr="001755F9">
        <w:rPr>
          <w:rFonts w:ascii="Arial" w:hAnsi="Arial" w:cs="Arial"/>
          <w:sz w:val="22"/>
          <w:szCs w:val="22"/>
        </w:rPr>
        <w:lastRenderedPageBreak/>
        <w:t>During the adherence stage, behavioural support would be the platform's key value. Patients might get encouraging messages connected to their success and symptom patterns, as well as intelligent medicine dosage reminders tailored to their daily schedules. Passive tracking of movement, sleep, or other pertinent factors would be made possible by integration with wearable technology or smartphone sensors, producing visual feedback on how adherence affects health outcomes. When paired with individualized feedback and clinical supervision, evidence from digital-health analytics indicates that these tools can greatly increase adherence in chronic illnesses (IQVIA, 2023; EY, 2023). This would lessen non-adherence, which is a significant obstacle to medication efficacy and revenue realization for AstraZeneca.</w:t>
      </w:r>
    </w:p>
    <w:p w14:paraId="2B3DCF80" w14:textId="0667E8A4" w:rsidR="00337B41" w:rsidRPr="001755F9" w:rsidRDefault="008D589F" w:rsidP="00F81D23">
      <w:pPr>
        <w:rPr>
          <w:rFonts w:ascii="Arial" w:hAnsi="Arial" w:cs="Arial"/>
          <w:sz w:val="22"/>
          <w:szCs w:val="22"/>
        </w:rPr>
      </w:pPr>
      <w:r w:rsidRPr="001755F9">
        <w:rPr>
          <w:rFonts w:ascii="Arial" w:hAnsi="Arial" w:cs="Arial"/>
          <w:sz w:val="22"/>
          <w:szCs w:val="22"/>
        </w:rPr>
        <w:t xml:space="preserve">The platform would evolve into a long-term self-management and monitoring tool during the ongoing support phase. While the system </w:t>
      </w:r>
      <w:proofErr w:type="gramStart"/>
      <w:r w:rsidRPr="001755F9">
        <w:rPr>
          <w:rFonts w:ascii="Arial" w:hAnsi="Arial" w:cs="Arial"/>
          <w:sz w:val="22"/>
          <w:szCs w:val="22"/>
        </w:rPr>
        <w:t>use</w:t>
      </w:r>
      <w:proofErr w:type="gramEnd"/>
      <w:r w:rsidRPr="001755F9">
        <w:rPr>
          <w:rFonts w:ascii="Arial" w:hAnsi="Arial" w:cs="Arial"/>
          <w:sz w:val="22"/>
          <w:szCs w:val="22"/>
        </w:rPr>
        <w:t xml:space="preserve"> predictive analytics to detect decline or risk patterns, patients could keep recording their symptoms, quality-of-life metrics, and lifestyle objectives. When thresholds are achieved, alerts could be given to care teams or doctors, allowing for proactive interventions as opposed to reactive crisis management. This approach satisfies customer demands for ongoing rather than sporadic support and is consistent with industry trends toward proactive, data-driven healthcare and precision treatment (Nature treatment, 2022; KPMG, 2024).</w:t>
      </w:r>
    </w:p>
    <w:p w14:paraId="40C6BEB9" w14:textId="25D09EC5" w:rsidR="008D589F" w:rsidRPr="001755F9" w:rsidRDefault="00843B0C" w:rsidP="00F81D23">
      <w:pPr>
        <w:rPr>
          <w:rFonts w:ascii="Arial" w:hAnsi="Arial" w:cs="Arial"/>
          <w:sz w:val="22"/>
          <w:szCs w:val="22"/>
        </w:rPr>
      </w:pPr>
      <w:r w:rsidRPr="001755F9">
        <w:rPr>
          <w:rFonts w:ascii="Arial" w:hAnsi="Arial" w:cs="Arial"/>
          <w:sz w:val="22"/>
          <w:szCs w:val="22"/>
        </w:rPr>
        <w:t>Iterative co-design involving patients, clinicians, and digital partners would be used to build the project from a design-thinking standpoint. AstraZeneca might conduct trials in important therapeutic domains (such as cardiovascular, respiratory, and oncology) and improve the platform in response to user feedback. In keeping with the empathy-driven philosophy emphasized in contemporary health-innovation practice, features like language options, accessibility tools, and customizable notification preferences would guarantee inclusivity for a variety of patient groups (Brown, 2021).</w:t>
      </w:r>
    </w:p>
    <w:p w14:paraId="378B33DE" w14:textId="0856013F" w:rsidR="00843B0C" w:rsidRPr="001755F9" w:rsidRDefault="0013449E" w:rsidP="00F81D23">
      <w:pPr>
        <w:rPr>
          <w:rFonts w:ascii="Arial" w:hAnsi="Arial" w:cs="Arial"/>
          <w:sz w:val="22"/>
          <w:szCs w:val="22"/>
        </w:rPr>
      </w:pPr>
      <w:r w:rsidRPr="001755F9">
        <w:rPr>
          <w:rFonts w:ascii="Arial" w:hAnsi="Arial" w:cs="Arial"/>
          <w:sz w:val="22"/>
          <w:szCs w:val="22"/>
        </w:rPr>
        <w:t>Importantly, this digital transformation project is a strategic extension of AstraZeneca's value proposition rather than just a marketing tool. It shifts the company's focus from making pharmaceuticals to offering integrated, digitally enabled care experiences. By doing this, it directly addresses the consumer and industry trends noted in Part 1: the need for hybrid models of care, the normalization of digital health, the shift towards patient empowerment, and the significance of real-world data for clinical and business decision-making (OECD, 2022; Gartner, 2024).</w:t>
      </w:r>
    </w:p>
    <w:p w14:paraId="55F8F79A" w14:textId="15094C48" w:rsidR="0013449E" w:rsidRPr="001755F9" w:rsidRDefault="00AF2D22" w:rsidP="005F0CFE">
      <w:pPr>
        <w:pStyle w:val="Heading1"/>
        <w:numPr>
          <w:ilvl w:val="1"/>
          <w:numId w:val="9"/>
        </w:numPr>
        <w:rPr>
          <w:rFonts w:ascii="Arial" w:hAnsi="Arial" w:cs="Arial"/>
          <w:sz w:val="22"/>
          <w:szCs w:val="22"/>
        </w:rPr>
      </w:pPr>
      <w:bookmarkStart w:id="13" w:name="_Toc216115640"/>
      <w:r w:rsidRPr="001755F9">
        <w:rPr>
          <w:rFonts w:ascii="Arial" w:hAnsi="Arial" w:cs="Arial"/>
          <w:sz w:val="22"/>
          <w:szCs w:val="22"/>
        </w:rPr>
        <w:t>Customer Journey Map</w:t>
      </w:r>
      <w:bookmarkEnd w:id="13"/>
    </w:p>
    <w:p w14:paraId="1CE8B8F5" w14:textId="56DC7191" w:rsidR="00AF2D22" w:rsidRPr="001755F9" w:rsidRDefault="004F7C0A" w:rsidP="00AF2D22">
      <w:pPr>
        <w:rPr>
          <w:rFonts w:ascii="Arial" w:hAnsi="Arial" w:cs="Arial"/>
          <w:sz w:val="22"/>
          <w:szCs w:val="22"/>
        </w:rPr>
      </w:pPr>
      <w:r w:rsidRPr="001755F9">
        <w:rPr>
          <w:rFonts w:ascii="Arial" w:hAnsi="Arial" w:cs="Arial"/>
          <w:sz w:val="22"/>
          <w:szCs w:val="22"/>
        </w:rPr>
        <w:t xml:space="preserve">The patient experience is drastically changed at every point of the customer journey with the launch of AstraZeneca's AI-Enabled Personalized Patient Support Platform. The improved journey produces a more individualized, proactive, and integrated care pathway by resolving the issues mentioned in Part 1 and coordinating with important consumer and industry trends. </w:t>
      </w:r>
    </w:p>
    <w:p w14:paraId="11A4B122" w14:textId="101037B5" w:rsidR="008642C6" w:rsidRPr="001755F9" w:rsidRDefault="0005345A" w:rsidP="00AF2D22">
      <w:pPr>
        <w:rPr>
          <w:rFonts w:ascii="Arial" w:hAnsi="Arial" w:cs="Arial"/>
          <w:sz w:val="22"/>
          <w:szCs w:val="22"/>
        </w:rPr>
      </w:pPr>
      <w:r w:rsidRPr="001755F9">
        <w:rPr>
          <w:rFonts w:ascii="Arial" w:hAnsi="Arial" w:cs="Arial"/>
          <w:sz w:val="22"/>
          <w:szCs w:val="22"/>
        </w:rPr>
        <w:lastRenderedPageBreak/>
        <w:drawing>
          <wp:inline distT="0" distB="0" distL="0" distR="0" wp14:anchorId="5935D127" wp14:editId="41DE7A9C">
            <wp:extent cx="5731510" cy="2430145"/>
            <wp:effectExtent l="0" t="0" r="2540" b="8255"/>
            <wp:docPr id="853161281" name="Picture 1" descr="A table of medical proced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61281" name="Picture 1" descr="A table of medical procedures&#10;&#10;AI-generated content may be incorrect."/>
                    <pic:cNvPicPr/>
                  </pic:nvPicPr>
                  <pic:blipFill>
                    <a:blip r:embed="rId9"/>
                    <a:stretch>
                      <a:fillRect/>
                    </a:stretch>
                  </pic:blipFill>
                  <pic:spPr>
                    <a:xfrm>
                      <a:off x="0" y="0"/>
                      <a:ext cx="5731510" cy="2430145"/>
                    </a:xfrm>
                    <a:prstGeom prst="rect">
                      <a:avLst/>
                    </a:prstGeom>
                  </pic:spPr>
                </pic:pic>
              </a:graphicData>
            </a:graphic>
          </wp:inline>
        </w:drawing>
      </w:r>
    </w:p>
    <w:p w14:paraId="5A714843" w14:textId="191C415B" w:rsidR="00904F8A" w:rsidRPr="001755F9" w:rsidRDefault="00526B1A" w:rsidP="00526B1A">
      <w:pPr>
        <w:ind w:firstLine="720"/>
        <w:rPr>
          <w:rFonts w:ascii="Arial" w:hAnsi="Arial" w:cs="Arial"/>
          <w:sz w:val="22"/>
          <w:szCs w:val="22"/>
        </w:rPr>
      </w:pPr>
      <w:r w:rsidRPr="001755F9">
        <w:rPr>
          <w:rFonts w:ascii="Arial" w:hAnsi="Arial" w:cs="Arial"/>
          <w:sz w:val="22"/>
          <w:szCs w:val="22"/>
        </w:rPr>
        <w:t>An improved customer journey map that shows how the AI-powered personalized support platform strengthens gain points, addresses pain points, and adds additional digital touchpoints throughout the patient pathway.</w:t>
      </w:r>
    </w:p>
    <w:p w14:paraId="3C788A0E" w14:textId="6F7A69C7" w:rsidR="00526B1A" w:rsidRPr="001755F9" w:rsidRDefault="00790816" w:rsidP="005F0CFE">
      <w:pPr>
        <w:pStyle w:val="Heading1"/>
        <w:numPr>
          <w:ilvl w:val="1"/>
          <w:numId w:val="9"/>
        </w:numPr>
        <w:rPr>
          <w:rFonts w:ascii="Arial" w:hAnsi="Arial" w:cs="Arial"/>
          <w:sz w:val="22"/>
          <w:szCs w:val="22"/>
        </w:rPr>
      </w:pPr>
      <w:bookmarkStart w:id="14" w:name="_Toc216115641"/>
      <w:r w:rsidRPr="001755F9">
        <w:rPr>
          <w:rFonts w:ascii="Arial" w:hAnsi="Arial" w:cs="Arial"/>
          <w:sz w:val="22"/>
          <w:szCs w:val="22"/>
        </w:rPr>
        <w:t xml:space="preserve">Organisational Impact </w:t>
      </w:r>
      <w:r w:rsidR="00B65415" w:rsidRPr="001755F9">
        <w:rPr>
          <w:rFonts w:ascii="Arial" w:hAnsi="Arial" w:cs="Arial"/>
          <w:sz w:val="22"/>
          <w:szCs w:val="22"/>
        </w:rPr>
        <w:t>of the Proposed Digital Transformational Initiative</w:t>
      </w:r>
      <w:bookmarkEnd w:id="14"/>
    </w:p>
    <w:p w14:paraId="1608ED0B" w14:textId="56372D57" w:rsidR="00B65415" w:rsidRPr="001755F9" w:rsidRDefault="00AE3AD8" w:rsidP="00B65415">
      <w:pPr>
        <w:rPr>
          <w:rFonts w:ascii="Arial" w:hAnsi="Arial" w:cs="Arial"/>
          <w:sz w:val="22"/>
          <w:szCs w:val="22"/>
        </w:rPr>
      </w:pPr>
      <w:r w:rsidRPr="001755F9">
        <w:rPr>
          <w:rFonts w:ascii="Arial" w:hAnsi="Arial" w:cs="Arial"/>
          <w:sz w:val="22"/>
          <w:szCs w:val="22"/>
        </w:rPr>
        <w:t>AstraZeneca would gain a great deal from the deployment of the AI-Enabled Personalized Patient Support Platform in terms of clinical, operational, and strategic aspects. The program improves AstraZeneca's standing in the increasingly cutthroat and technologically advanced pharmaceutical industry by directly addressing the main issues mentioned in Part 1.</w:t>
      </w:r>
    </w:p>
    <w:p w14:paraId="72CD6418" w14:textId="420430B7" w:rsidR="00AE3AD8" w:rsidRPr="001755F9" w:rsidRDefault="00D532BC" w:rsidP="00D532BC">
      <w:pPr>
        <w:pStyle w:val="ListParagraph"/>
        <w:numPr>
          <w:ilvl w:val="0"/>
          <w:numId w:val="6"/>
        </w:numPr>
        <w:rPr>
          <w:rFonts w:ascii="Arial" w:hAnsi="Arial" w:cs="Arial"/>
          <w:b/>
          <w:bCs/>
          <w:sz w:val="22"/>
          <w:szCs w:val="22"/>
        </w:rPr>
      </w:pPr>
      <w:r w:rsidRPr="001755F9">
        <w:rPr>
          <w:rFonts w:ascii="Arial" w:hAnsi="Arial" w:cs="Arial"/>
          <w:b/>
          <w:bCs/>
          <w:sz w:val="22"/>
          <w:szCs w:val="22"/>
        </w:rPr>
        <w:t>Improved Results and Experience for Patients</w:t>
      </w:r>
    </w:p>
    <w:p w14:paraId="2DDCFACA" w14:textId="15B2406B" w:rsidR="008A7B2B" w:rsidRPr="001755F9" w:rsidRDefault="008A7B2B" w:rsidP="008A7B2B">
      <w:pPr>
        <w:rPr>
          <w:rFonts w:ascii="Arial" w:hAnsi="Arial" w:cs="Arial"/>
          <w:sz w:val="22"/>
          <w:szCs w:val="22"/>
        </w:rPr>
      </w:pPr>
      <w:r w:rsidRPr="001755F9">
        <w:rPr>
          <w:rFonts w:ascii="Arial" w:hAnsi="Arial" w:cs="Arial"/>
          <w:sz w:val="22"/>
          <w:szCs w:val="22"/>
        </w:rPr>
        <w:t>By providing individualized instruction, real-time support, and ongoing monitoring throughout the whole process, the platform enhances the overall patient experience. At the awareness stage, patients receive more precise information; during diagnosis, they receive more transparent preparation; and during therapy, they receive individualized coaching. Global health surveys show that when digital technologies offer proactive support and easily accessible, personalized information, the patient experience is greatly improved (OECD, 2023; WHO, 2023). In keeping with design-thinking concepts that emphasize empathy and user-centricity, the platform also improves patient empowerment and emotional reassurance (Brown, 2021).</w:t>
      </w:r>
    </w:p>
    <w:p w14:paraId="3D5C4B3D" w14:textId="3EC3A361" w:rsidR="00340D38" w:rsidRPr="001755F9" w:rsidRDefault="00CA5CD2" w:rsidP="00340D38">
      <w:pPr>
        <w:pStyle w:val="ListParagraph"/>
        <w:numPr>
          <w:ilvl w:val="0"/>
          <w:numId w:val="6"/>
        </w:numPr>
        <w:rPr>
          <w:rFonts w:ascii="Arial" w:hAnsi="Arial" w:cs="Arial"/>
          <w:b/>
          <w:bCs/>
          <w:sz w:val="22"/>
          <w:szCs w:val="22"/>
        </w:rPr>
      </w:pPr>
      <w:r w:rsidRPr="001755F9">
        <w:rPr>
          <w:rFonts w:ascii="Arial" w:hAnsi="Arial" w:cs="Arial"/>
          <w:b/>
          <w:bCs/>
          <w:sz w:val="22"/>
          <w:szCs w:val="22"/>
        </w:rPr>
        <w:t>Enhanced Compliance with Medication and Efficiency of Treatment</w:t>
      </w:r>
    </w:p>
    <w:p w14:paraId="3CB58EA9" w14:textId="246BBCE7" w:rsidR="00301BC4" w:rsidRPr="001755F9" w:rsidRDefault="00301BC4" w:rsidP="00CA5CD2">
      <w:pPr>
        <w:rPr>
          <w:rFonts w:ascii="Arial" w:hAnsi="Arial" w:cs="Arial"/>
          <w:sz w:val="22"/>
          <w:szCs w:val="22"/>
        </w:rPr>
      </w:pPr>
      <w:r w:rsidRPr="001755F9">
        <w:rPr>
          <w:rFonts w:ascii="Arial" w:hAnsi="Arial" w:cs="Arial"/>
          <w:sz w:val="22"/>
          <w:szCs w:val="22"/>
        </w:rPr>
        <w:t>Improved treatment adherence is one of the biggest organizational effects. Digital solutions that offer behavioural nudges, reminders, and personalized feedback have a quantifiable positive impact on adherence rates in chronic illnesses, as noted by EY (2023) and IQVIA (2023). Better adherence results in the following for AstraZeneca:</w:t>
      </w:r>
    </w:p>
    <w:p w14:paraId="72B0D549" w14:textId="77777777" w:rsidR="00301BC4" w:rsidRPr="001755F9" w:rsidRDefault="00301BC4" w:rsidP="00301BC4">
      <w:pPr>
        <w:ind w:firstLine="720"/>
        <w:rPr>
          <w:rFonts w:ascii="Arial" w:hAnsi="Arial" w:cs="Arial"/>
          <w:sz w:val="22"/>
          <w:szCs w:val="22"/>
        </w:rPr>
      </w:pPr>
      <w:r w:rsidRPr="001755F9">
        <w:rPr>
          <w:rFonts w:ascii="Arial" w:hAnsi="Arial" w:cs="Arial"/>
          <w:sz w:val="22"/>
          <w:szCs w:val="22"/>
        </w:rPr>
        <w:t>-improved clinical results</w:t>
      </w:r>
    </w:p>
    <w:p w14:paraId="57F1F52D" w14:textId="77777777" w:rsidR="00301BC4" w:rsidRPr="001755F9" w:rsidRDefault="00301BC4" w:rsidP="00301BC4">
      <w:pPr>
        <w:ind w:left="720"/>
        <w:rPr>
          <w:rFonts w:ascii="Arial" w:hAnsi="Arial" w:cs="Arial"/>
          <w:sz w:val="22"/>
          <w:szCs w:val="22"/>
        </w:rPr>
      </w:pPr>
      <w:r w:rsidRPr="001755F9">
        <w:rPr>
          <w:rFonts w:ascii="Arial" w:hAnsi="Arial" w:cs="Arial"/>
          <w:sz w:val="22"/>
          <w:szCs w:val="22"/>
        </w:rPr>
        <w:t>-enhanced continuity of treatment</w:t>
      </w:r>
    </w:p>
    <w:p w14:paraId="356230C8" w14:textId="77777777" w:rsidR="00301BC4" w:rsidRPr="001755F9" w:rsidRDefault="00301BC4" w:rsidP="00301BC4">
      <w:pPr>
        <w:ind w:left="720"/>
        <w:rPr>
          <w:rFonts w:ascii="Arial" w:hAnsi="Arial" w:cs="Arial"/>
          <w:sz w:val="22"/>
          <w:szCs w:val="22"/>
        </w:rPr>
      </w:pPr>
      <w:r w:rsidRPr="001755F9">
        <w:rPr>
          <w:rFonts w:ascii="Arial" w:hAnsi="Arial" w:cs="Arial"/>
          <w:sz w:val="22"/>
          <w:szCs w:val="22"/>
        </w:rPr>
        <w:t>-less waste of medications</w:t>
      </w:r>
    </w:p>
    <w:p w14:paraId="1F652C9E" w14:textId="29DA8C27" w:rsidR="00301BC4" w:rsidRPr="001755F9" w:rsidRDefault="00301BC4" w:rsidP="00301BC4">
      <w:pPr>
        <w:ind w:left="720"/>
        <w:rPr>
          <w:rFonts w:ascii="Arial" w:hAnsi="Arial" w:cs="Arial"/>
          <w:sz w:val="22"/>
          <w:szCs w:val="22"/>
        </w:rPr>
      </w:pPr>
      <w:r w:rsidRPr="001755F9">
        <w:rPr>
          <w:rFonts w:ascii="Arial" w:hAnsi="Arial" w:cs="Arial"/>
          <w:sz w:val="22"/>
          <w:szCs w:val="22"/>
        </w:rPr>
        <w:t>-greater sustained patient involvement</w:t>
      </w:r>
    </w:p>
    <w:p w14:paraId="3141521D" w14:textId="47501F84" w:rsidR="00CA5CD2" w:rsidRPr="001755F9" w:rsidRDefault="00301BC4" w:rsidP="00CA5CD2">
      <w:pPr>
        <w:rPr>
          <w:rFonts w:ascii="Arial" w:hAnsi="Arial" w:cs="Arial"/>
          <w:sz w:val="22"/>
          <w:szCs w:val="22"/>
        </w:rPr>
      </w:pPr>
      <w:r w:rsidRPr="001755F9">
        <w:rPr>
          <w:rFonts w:ascii="Arial" w:hAnsi="Arial" w:cs="Arial"/>
          <w:sz w:val="22"/>
          <w:szCs w:val="22"/>
        </w:rPr>
        <w:lastRenderedPageBreak/>
        <w:t>High rates of non-adherence are linked to decreased therapeutic value and lower real-world performance of AstraZeneca's medications, which has a direct commercial impact.</w:t>
      </w:r>
    </w:p>
    <w:p w14:paraId="56C58561" w14:textId="3B050E6C" w:rsidR="00301BC4" w:rsidRPr="001755F9" w:rsidRDefault="000F29BF" w:rsidP="000F29BF">
      <w:pPr>
        <w:pStyle w:val="ListParagraph"/>
        <w:numPr>
          <w:ilvl w:val="0"/>
          <w:numId w:val="6"/>
        </w:numPr>
        <w:rPr>
          <w:rFonts w:ascii="Arial" w:hAnsi="Arial" w:cs="Arial"/>
          <w:b/>
          <w:bCs/>
          <w:sz w:val="22"/>
          <w:szCs w:val="22"/>
        </w:rPr>
      </w:pPr>
      <w:r w:rsidRPr="001755F9">
        <w:rPr>
          <w:rFonts w:ascii="Arial" w:hAnsi="Arial" w:cs="Arial"/>
          <w:b/>
          <w:bCs/>
          <w:sz w:val="22"/>
          <w:szCs w:val="22"/>
        </w:rPr>
        <w:t>Enhanced Capabilities for Data and Evidence Generation</w:t>
      </w:r>
    </w:p>
    <w:p w14:paraId="65D9F641" w14:textId="7C64F155" w:rsidR="00BA2C8D" w:rsidRPr="001755F9" w:rsidRDefault="00BA2C8D" w:rsidP="000F29BF">
      <w:pPr>
        <w:rPr>
          <w:rFonts w:ascii="Arial" w:hAnsi="Arial" w:cs="Arial"/>
          <w:sz w:val="22"/>
          <w:szCs w:val="22"/>
        </w:rPr>
      </w:pPr>
      <w:r w:rsidRPr="001755F9">
        <w:rPr>
          <w:rFonts w:ascii="Arial" w:hAnsi="Arial" w:cs="Arial"/>
          <w:sz w:val="22"/>
          <w:szCs w:val="22"/>
        </w:rPr>
        <w:t>AstraZeneca can collect important real-world evidence (RWE) using wearable data, patient-reported outcomes, adherence patterns, and symptom logs thanks to the digital platform. These databases provide evidence for:</w:t>
      </w:r>
    </w:p>
    <w:p w14:paraId="0510439C" w14:textId="77777777" w:rsidR="00BA2C8D" w:rsidRPr="001755F9" w:rsidRDefault="00BA2C8D" w:rsidP="00BA2C8D">
      <w:pPr>
        <w:ind w:firstLine="720"/>
        <w:rPr>
          <w:rFonts w:ascii="Arial" w:hAnsi="Arial" w:cs="Arial"/>
          <w:sz w:val="22"/>
          <w:szCs w:val="22"/>
        </w:rPr>
      </w:pPr>
      <w:r w:rsidRPr="001755F9">
        <w:rPr>
          <w:rFonts w:ascii="Arial" w:hAnsi="Arial" w:cs="Arial"/>
          <w:sz w:val="22"/>
          <w:szCs w:val="22"/>
        </w:rPr>
        <w:t>-surveillance after marketing</w:t>
      </w:r>
    </w:p>
    <w:p w14:paraId="6854E320" w14:textId="77777777" w:rsidR="00BA2C8D" w:rsidRPr="001755F9" w:rsidRDefault="00BA2C8D" w:rsidP="00BA2C8D">
      <w:pPr>
        <w:ind w:firstLine="720"/>
        <w:rPr>
          <w:rFonts w:ascii="Arial" w:hAnsi="Arial" w:cs="Arial"/>
          <w:sz w:val="22"/>
          <w:szCs w:val="22"/>
        </w:rPr>
      </w:pPr>
      <w:r w:rsidRPr="001755F9">
        <w:rPr>
          <w:rFonts w:ascii="Arial" w:hAnsi="Arial" w:cs="Arial"/>
          <w:sz w:val="22"/>
          <w:szCs w:val="22"/>
        </w:rPr>
        <w:t>-safety surveillance</w:t>
      </w:r>
    </w:p>
    <w:p w14:paraId="604EB1CA" w14:textId="77777777" w:rsidR="00BA2C8D" w:rsidRPr="001755F9" w:rsidRDefault="00BA2C8D" w:rsidP="00BA2C8D">
      <w:pPr>
        <w:ind w:firstLine="720"/>
        <w:rPr>
          <w:rFonts w:ascii="Arial" w:hAnsi="Arial" w:cs="Arial"/>
          <w:sz w:val="22"/>
          <w:szCs w:val="22"/>
        </w:rPr>
      </w:pPr>
      <w:r w:rsidRPr="001755F9">
        <w:rPr>
          <w:rFonts w:ascii="Arial" w:hAnsi="Arial" w:cs="Arial"/>
          <w:sz w:val="22"/>
          <w:szCs w:val="22"/>
        </w:rPr>
        <w:t>-submissions for regulations</w:t>
      </w:r>
    </w:p>
    <w:p w14:paraId="5DAFC940" w14:textId="77777777" w:rsidR="00BA2C8D" w:rsidRPr="001755F9" w:rsidRDefault="00BA2C8D" w:rsidP="00BA2C8D">
      <w:pPr>
        <w:ind w:firstLine="720"/>
        <w:rPr>
          <w:rFonts w:ascii="Arial" w:hAnsi="Arial" w:cs="Arial"/>
          <w:sz w:val="22"/>
          <w:szCs w:val="22"/>
        </w:rPr>
      </w:pPr>
      <w:r w:rsidRPr="001755F9">
        <w:rPr>
          <w:rFonts w:ascii="Arial" w:hAnsi="Arial" w:cs="Arial"/>
          <w:sz w:val="22"/>
          <w:szCs w:val="22"/>
        </w:rPr>
        <w:t>-evaluations of health technology</w:t>
      </w:r>
    </w:p>
    <w:p w14:paraId="0F42BA01" w14:textId="4D2E5052" w:rsidR="00BA2C8D" w:rsidRPr="001755F9" w:rsidRDefault="00BA2C8D" w:rsidP="00BA2C8D">
      <w:pPr>
        <w:ind w:firstLine="720"/>
        <w:rPr>
          <w:rFonts w:ascii="Arial" w:hAnsi="Arial" w:cs="Arial"/>
          <w:sz w:val="22"/>
          <w:szCs w:val="22"/>
        </w:rPr>
      </w:pPr>
      <w:r w:rsidRPr="001755F9">
        <w:rPr>
          <w:rFonts w:ascii="Arial" w:hAnsi="Arial" w:cs="Arial"/>
          <w:sz w:val="22"/>
          <w:szCs w:val="22"/>
        </w:rPr>
        <w:t>-design of upcoming clinical trials</w:t>
      </w:r>
    </w:p>
    <w:p w14:paraId="3B351B91" w14:textId="77777777" w:rsidR="00BA2C8D" w:rsidRPr="001755F9" w:rsidRDefault="00BA2C8D" w:rsidP="00BA2C8D">
      <w:pPr>
        <w:ind w:firstLine="720"/>
        <w:rPr>
          <w:rFonts w:ascii="Arial" w:hAnsi="Arial" w:cs="Arial"/>
          <w:sz w:val="22"/>
          <w:szCs w:val="22"/>
        </w:rPr>
      </w:pPr>
    </w:p>
    <w:p w14:paraId="5DF46F8F" w14:textId="77777777" w:rsidR="00BA2C8D" w:rsidRPr="001755F9" w:rsidRDefault="00BA2C8D" w:rsidP="000F29BF">
      <w:pPr>
        <w:rPr>
          <w:rFonts w:ascii="Arial" w:hAnsi="Arial" w:cs="Arial"/>
          <w:sz w:val="22"/>
          <w:szCs w:val="22"/>
        </w:rPr>
      </w:pPr>
    </w:p>
    <w:p w14:paraId="260445ED" w14:textId="53523971" w:rsidR="000F29BF" w:rsidRPr="001755F9" w:rsidRDefault="00BA2C8D" w:rsidP="000F29BF">
      <w:pPr>
        <w:rPr>
          <w:rFonts w:ascii="Arial" w:hAnsi="Arial" w:cs="Arial"/>
          <w:sz w:val="22"/>
          <w:szCs w:val="22"/>
        </w:rPr>
      </w:pPr>
      <w:r w:rsidRPr="001755F9">
        <w:rPr>
          <w:rFonts w:ascii="Arial" w:hAnsi="Arial" w:cs="Arial"/>
          <w:sz w:val="22"/>
          <w:szCs w:val="22"/>
        </w:rPr>
        <w:t xml:space="preserve">The ability to provide continuous RWE becomes a crucial competitive advantage as the pharmaceutical sector focuses </w:t>
      </w:r>
      <w:r w:rsidR="002767E1" w:rsidRPr="001755F9">
        <w:rPr>
          <w:rFonts w:ascii="Arial" w:hAnsi="Arial" w:cs="Arial"/>
          <w:sz w:val="22"/>
          <w:szCs w:val="22"/>
        </w:rPr>
        <w:t>more</w:t>
      </w:r>
      <w:r w:rsidRPr="001755F9">
        <w:rPr>
          <w:rFonts w:ascii="Arial" w:hAnsi="Arial" w:cs="Arial"/>
          <w:sz w:val="22"/>
          <w:szCs w:val="22"/>
        </w:rPr>
        <w:t xml:space="preserve"> on high-quality data to prove value and obtain reimbursement (Gartner, 2024; KPMG, 2024).</w:t>
      </w:r>
    </w:p>
    <w:p w14:paraId="6E2BF9AD" w14:textId="69B00231" w:rsidR="002767E1" w:rsidRPr="001755F9" w:rsidRDefault="002767E1" w:rsidP="002767E1">
      <w:pPr>
        <w:pStyle w:val="ListParagraph"/>
        <w:numPr>
          <w:ilvl w:val="0"/>
          <w:numId w:val="6"/>
        </w:numPr>
        <w:rPr>
          <w:rFonts w:ascii="Arial" w:hAnsi="Arial" w:cs="Arial"/>
          <w:b/>
          <w:bCs/>
          <w:sz w:val="22"/>
          <w:szCs w:val="22"/>
        </w:rPr>
      </w:pPr>
      <w:r w:rsidRPr="001755F9">
        <w:rPr>
          <w:rFonts w:ascii="Arial" w:hAnsi="Arial" w:cs="Arial"/>
          <w:b/>
          <w:bCs/>
          <w:sz w:val="22"/>
          <w:szCs w:val="22"/>
        </w:rPr>
        <w:t>Efficiency in Operations and Decreased Healthcare Costs</w:t>
      </w:r>
    </w:p>
    <w:p w14:paraId="0863CACF" w14:textId="1D580D43" w:rsidR="00AA676F" w:rsidRPr="001755F9" w:rsidRDefault="004F7F50" w:rsidP="002767E1">
      <w:pPr>
        <w:rPr>
          <w:rFonts w:ascii="Arial" w:hAnsi="Arial" w:cs="Arial"/>
          <w:sz w:val="22"/>
          <w:szCs w:val="22"/>
        </w:rPr>
      </w:pPr>
      <w:r w:rsidRPr="001755F9">
        <w:rPr>
          <w:rFonts w:ascii="Arial" w:hAnsi="Arial" w:cs="Arial"/>
          <w:sz w:val="22"/>
          <w:szCs w:val="22"/>
        </w:rPr>
        <w:t>By combining patient data, providing AI-driven deterioration alerts, and cutting down on pointless sessions, the project helps physicians. Healthcare systems, which increasingly depend on digital solutions to optimize workflow and lessen administrative burden, become more efficient as a result (Gartner, 2024). AstraZeneca is a more beneficial long-term partner for healthcare organizations looking for digitally enabled service models because improved information flow and proactive monitoring reduce delays and fragmentation (KPMG, 2024).</w:t>
      </w:r>
    </w:p>
    <w:p w14:paraId="5130082C" w14:textId="2B67FCA7" w:rsidR="004F7F50" w:rsidRPr="001755F9" w:rsidRDefault="00622932" w:rsidP="004F7F50">
      <w:pPr>
        <w:pStyle w:val="ListParagraph"/>
        <w:numPr>
          <w:ilvl w:val="0"/>
          <w:numId w:val="6"/>
        </w:numPr>
        <w:rPr>
          <w:rFonts w:ascii="Arial" w:hAnsi="Arial" w:cs="Arial"/>
          <w:b/>
          <w:bCs/>
          <w:sz w:val="22"/>
          <w:szCs w:val="22"/>
        </w:rPr>
      </w:pPr>
      <w:r w:rsidRPr="001755F9">
        <w:rPr>
          <w:rFonts w:ascii="Arial" w:hAnsi="Arial" w:cs="Arial"/>
          <w:b/>
          <w:bCs/>
          <w:sz w:val="22"/>
          <w:szCs w:val="22"/>
        </w:rPr>
        <w:t>Differentiating Yourself Strategically in a Competitive Market</w:t>
      </w:r>
    </w:p>
    <w:p w14:paraId="4EA0D4ED" w14:textId="54DA36DF" w:rsidR="00622932" w:rsidRPr="001755F9" w:rsidRDefault="00BC6A99" w:rsidP="00622932">
      <w:pPr>
        <w:rPr>
          <w:rFonts w:ascii="Arial" w:hAnsi="Arial" w:cs="Arial"/>
          <w:sz w:val="22"/>
          <w:szCs w:val="22"/>
        </w:rPr>
      </w:pPr>
      <w:r w:rsidRPr="001755F9">
        <w:rPr>
          <w:rFonts w:ascii="Arial" w:hAnsi="Arial" w:cs="Arial"/>
          <w:sz w:val="22"/>
          <w:szCs w:val="22"/>
        </w:rPr>
        <w:t>In the global pharmaceutical industry, digital transformation is now a crucial differentiation. Businesses that provide comprehensive digital health solutions in addition to medications build better bonds with patients, medical professionals, and healthcare systems. AstraZeneca advances toward a "beyond the pill" business model by providing a customized support platform, strengthening its competitive edge in fields like cardiovascular care, oncology, and respiratory illness. According to the OECD (2023) and Nature Medicine (2022), this is consistent with broader industry shifts toward hybrid care and digital therapies.</w:t>
      </w:r>
    </w:p>
    <w:p w14:paraId="3D2CA59B" w14:textId="64CFEF84" w:rsidR="00BC6A99" w:rsidRPr="001755F9" w:rsidRDefault="00665D23" w:rsidP="00BC6A99">
      <w:pPr>
        <w:pStyle w:val="ListParagraph"/>
        <w:numPr>
          <w:ilvl w:val="0"/>
          <w:numId w:val="6"/>
        </w:numPr>
        <w:rPr>
          <w:rFonts w:ascii="Arial" w:hAnsi="Arial" w:cs="Arial"/>
          <w:b/>
          <w:bCs/>
          <w:sz w:val="22"/>
          <w:szCs w:val="22"/>
        </w:rPr>
      </w:pPr>
      <w:r w:rsidRPr="001755F9">
        <w:rPr>
          <w:rFonts w:ascii="Arial" w:hAnsi="Arial" w:cs="Arial"/>
          <w:b/>
          <w:bCs/>
          <w:sz w:val="22"/>
          <w:szCs w:val="22"/>
        </w:rPr>
        <w:t>Contribution to Long-Term Strategy and Sustainability</w:t>
      </w:r>
    </w:p>
    <w:p w14:paraId="4CDE8F8D" w14:textId="433D40B8" w:rsidR="00CA72E1" w:rsidRPr="001755F9" w:rsidRDefault="00CA72E1" w:rsidP="00CA72E1">
      <w:pPr>
        <w:rPr>
          <w:rFonts w:ascii="Arial" w:hAnsi="Arial" w:cs="Arial"/>
          <w:sz w:val="22"/>
          <w:szCs w:val="22"/>
        </w:rPr>
      </w:pPr>
      <w:r w:rsidRPr="001755F9">
        <w:rPr>
          <w:rFonts w:ascii="Arial" w:hAnsi="Arial" w:cs="Arial"/>
          <w:sz w:val="22"/>
          <w:szCs w:val="22"/>
        </w:rPr>
        <w:t>By lowering needless travel, facilitating hybrid treatment pathways, and increasing the effectiveness of illness management, the platform helps AstraZeneca achieve its sustainability objectives. It has been demonstrated that digital health models lessen their negative effects on the environment and promote more sustainable service delivery in healthcare systems (OECD, 2023). This promotes worldwide trends that emphasize environmentally responsible innovation in pharmaceuticals and is consistent with AstraZeneca's Ambition Zero Carbon objective (KPMG, 2024).</w:t>
      </w:r>
    </w:p>
    <w:p w14:paraId="4EEE55BC" w14:textId="6DFFB7CF" w:rsidR="000E3D93" w:rsidRPr="001755F9" w:rsidRDefault="00237DFF" w:rsidP="000E3D93">
      <w:pPr>
        <w:pStyle w:val="ListParagraph"/>
        <w:numPr>
          <w:ilvl w:val="0"/>
          <w:numId w:val="6"/>
        </w:numPr>
        <w:rPr>
          <w:rFonts w:ascii="Arial" w:hAnsi="Arial" w:cs="Arial"/>
          <w:b/>
          <w:bCs/>
          <w:sz w:val="22"/>
          <w:szCs w:val="22"/>
        </w:rPr>
      </w:pPr>
      <w:r w:rsidRPr="001755F9">
        <w:rPr>
          <w:rFonts w:ascii="Arial" w:hAnsi="Arial" w:cs="Arial"/>
          <w:b/>
          <w:bCs/>
          <w:sz w:val="22"/>
          <w:szCs w:val="22"/>
        </w:rPr>
        <w:lastRenderedPageBreak/>
        <w:t>Enhanced Cross-Sector Partnership and Innovation Culture</w:t>
      </w:r>
    </w:p>
    <w:p w14:paraId="495A4D94" w14:textId="08627E1C" w:rsidR="00867BF8" w:rsidRPr="001755F9" w:rsidRDefault="00373277" w:rsidP="00237DFF">
      <w:pPr>
        <w:rPr>
          <w:rFonts w:ascii="Arial" w:hAnsi="Arial" w:cs="Arial"/>
          <w:sz w:val="22"/>
          <w:szCs w:val="22"/>
        </w:rPr>
      </w:pPr>
      <w:r w:rsidRPr="001755F9">
        <w:rPr>
          <w:rFonts w:ascii="Arial" w:hAnsi="Arial" w:cs="Arial"/>
          <w:sz w:val="22"/>
          <w:szCs w:val="22"/>
        </w:rPr>
        <w:t>AstraZeneca must work with technology companies, medical professionals, and patient organizations to develop the platform, strengthening an innovative culture. The importance of these cross-sector collaborations in promoting digital health and producing scalable healthcare solutions is becoming more widely acknowledged (EY, 2023; IQVIA, 2023). In line with the design-thinking concepts discussed in Part 1, AstraZeneca enhances its organizational capacity and establishes itself as a pioneer in digital health transformation by embracing co-creation, iteration, and interdisciplinary cooperation (Brown, 2021).</w:t>
      </w:r>
    </w:p>
    <w:p w14:paraId="0C8C29F9" w14:textId="5CBFC5DC" w:rsidR="00373277" w:rsidRPr="001755F9" w:rsidRDefault="00303690" w:rsidP="00237DFF">
      <w:pPr>
        <w:rPr>
          <w:rFonts w:ascii="Arial" w:hAnsi="Arial" w:cs="Arial"/>
          <w:sz w:val="22"/>
          <w:szCs w:val="22"/>
        </w:rPr>
      </w:pPr>
      <w:r w:rsidRPr="001755F9">
        <w:rPr>
          <w:rFonts w:ascii="Arial" w:hAnsi="Arial" w:cs="Arial"/>
          <w:sz w:val="22"/>
          <w:szCs w:val="22"/>
        </w:rPr>
        <w:t>AstraZeneca's clinical value, operational effectiveness, market competitiveness, sustainability performance, and patient outcomes are all improved by the suggested digital effort. The platform assists AstraZeneca in reducing new risks and opening new business and strategic opportunities by addressing both consumer and industry trends. It presents the company as an integrated digital health partner promoting long-term patient care change in addition to being a pharmaceutical maker.</w:t>
      </w:r>
    </w:p>
    <w:p w14:paraId="3CA88A5A" w14:textId="4BCEC150" w:rsidR="00303690" w:rsidRPr="001755F9" w:rsidRDefault="00670AC5" w:rsidP="005F0CFE">
      <w:pPr>
        <w:pStyle w:val="Heading1"/>
        <w:numPr>
          <w:ilvl w:val="1"/>
          <w:numId w:val="9"/>
        </w:numPr>
        <w:rPr>
          <w:rFonts w:ascii="Arial" w:hAnsi="Arial" w:cs="Arial"/>
          <w:sz w:val="22"/>
          <w:szCs w:val="22"/>
        </w:rPr>
      </w:pPr>
      <w:bookmarkStart w:id="15" w:name="_Toc216115642"/>
      <w:r w:rsidRPr="001755F9">
        <w:rPr>
          <w:rFonts w:ascii="Arial" w:hAnsi="Arial" w:cs="Arial"/>
          <w:sz w:val="22"/>
          <w:szCs w:val="22"/>
        </w:rPr>
        <w:t xml:space="preserve">Measuring </w:t>
      </w:r>
      <w:r w:rsidR="00F10C5D" w:rsidRPr="001755F9">
        <w:rPr>
          <w:rFonts w:ascii="Arial" w:hAnsi="Arial" w:cs="Arial"/>
          <w:sz w:val="22"/>
          <w:szCs w:val="22"/>
        </w:rPr>
        <w:t>the Success of the Initiative</w:t>
      </w:r>
      <w:bookmarkEnd w:id="15"/>
    </w:p>
    <w:p w14:paraId="2E1C0790" w14:textId="55EEE976" w:rsidR="00F10C5D" w:rsidRPr="001755F9" w:rsidRDefault="00C222DB" w:rsidP="00F10C5D">
      <w:pPr>
        <w:rPr>
          <w:rFonts w:ascii="Arial" w:hAnsi="Arial" w:cs="Arial"/>
          <w:sz w:val="22"/>
          <w:szCs w:val="22"/>
        </w:rPr>
      </w:pPr>
      <w:r w:rsidRPr="001755F9">
        <w:rPr>
          <w:rFonts w:ascii="Arial" w:hAnsi="Arial" w:cs="Arial"/>
          <w:sz w:val="22"/>
          <w:szCs w:val="22"/>
        </w:rPr>
        <w:t>Several quantifiable performance measures covering clinical results, patient engagement, organizational efficiency, and strategic value generation can be used to assess the efficacy of AstraZeneca's AI-Enabled Personalized Patient Support Platform. In addition to proving the platform's influence, measuring performance is essential for promoting ongoing development and conforming to industry standards for evidence-based digital transformation (OECD, 2023; Gartner, 2024).</w:t>
      </w:r>
    </w:p>
    <w:p w14:paraId="2FA57DAD" w14:textId="675D88A9" w:rsidR="00C222DB" w:rsidRPr="001755F9" w:rsidRDefault="000A7D66" w:rsidP="000A7D66">
      <w:pPr>
        <w:pStyle w:val="ListParagraph"/>
        <w:numPr>
          <w:ilvl w:val="0"/>
          <w:numId w:val="7"/>
        </w:numPr>
        <w:rPr>
          <w:rFonts w:ascii="Arial" w:hAnsi="Arial" w:cs="Arial"/>
          <w:b/>
          <w:bCs/>
          <w:sz w:val="22"/>
          <w:szCs w:val="22"/>
        </w:rPr>
      </w:pPr>
      <w:r w:rsidRPr="001755F9">
        <w:rPr>
          <w:rFonts w:ascii="Arial" w:hAnsi="Arial" w:cs="Arial"/>
          <w:b/>
          <w:bCs/>
          <w:sz w:val="22"/>
          <w:szCs w:val="22"/>
        </w:rPr>
        <w:t>Metrics for Patient Engagement and Adoption</w:t>
      </w:r>
    </w:p>
    <w:p w14:paraId="5DFA36A7" w14:textId="77777777" w:rsidR="002D5877" w:rsidRPr="001755F9" w:rsidRDefault="002D5877" w:rsidP="000A7D66">
      <w:pPr>
        <w:rPr>
          <w:rFonts w:ascii="Arial" w:hAnsi="Arial" w:cs="Arial"/>
          <w:sz w:val="22"/>
          <w:szCs w:val="22"/>
        </w:rPr>
      </w:pPr>
      <w:r w:rsidRPr="001755F9">
        <w:rPr>
          <w:rFonts w:ascii="Arial" w:hAnsi="Arial" w:cs="Arial"/>
          <w:sz w:val="22"/>
          <w:szCs w:val="22"/>
        </w:rPr>
        <w:t>The rate at which patients use the platform and engage with it on a regular basis is the first measure of success. Important metrics consist of:</w:t>
      </w:r>
    </w:p>
    <w:p w14:paraId="4D826305" w14:textId="77777777" w:rsidR="002D5877" w:rsidRPr="001755F9" w:rsidRDefault="002D5877" w:rsidP="002D5877">
      <w:pPr>
        <w:ind w:firstLine="720"/>
        <w:rPr>
          <w:rFonts w:ascii="Arial" w:hAnsi="Arial" w:cs="Arial"/>
          <w:sz w:val="22"/>
          <w:szCs w:val="22"/>
        </w:rPr>
      </w:pPr>
      <w:r w:rsidRPr="001755F9">
        <w:rPr>
          <w:rFonts w:ascii="Arial" w:hAnsi="Arial" w:cs="Arial"/>
          <w:sz w:val="22"/>
          <w:szCs w:val="22"/>
        </w:rPr>
        <w:t>-The quantity of active users</w:t>
      </w:r>
    </w:p>
    <w:p w14:paraId="00A816AE" w14:textId="77777777" w:rsidR="002D5877" w:rsidRPr="001755F9" w:rsidRDefault="002D5877" w:rsidP="002D5877">
      <w:pPr>
        <w:ind w:firstLine="720"/>
        <w:rPr>
          <w:rFonts w:ascii="Arial" w:hAnsi="Arial" w:cs="Arial"/>
          <w:sz w:val="22"/>
          <w:szCs w:val="22"/>
        </w:rPr>
      </w:pPr>
      <w:r w:rsidRPr="001755F9">
        <w:rPr>
          <w:rFonts w:ascii="Arial" w:hAnsi="Arial" w:cs="Arial"/>
          <w:sz w:val="22"/>
          <w:szCs w:val="22"/>
        </w:rPr>
        <w:t>-Regularity of app usage</w:t>
      </w:r>
    </w:p>
    <w:p w14:paraId="7979A9F9" w14:textId="77777777" w:rsidR="002D5877" w:rsidRPr="001755F9" w:rsidRDefault="002D5877" w:rsidP="002D5877">
      <w:pPr>
        <w:ind w:firstLine="720"/>
        <w:rPr>
          <w:rFonts w:ascii="Arial" w:hAnsi="Arial" w:cs="Arial"/>
          <w:sz w:val="22"/>
          <w:szCs w:val="22"/>
        </w:rPr>
      </w:pPr>
      <w:r w:rsidRPr="001755F9">
        <w:rPr>
          <w:rFonts w:ascii="Arial" w:hAnsi="Arial" w:cs="Arial"/>
          <w:sz w:val="22"/>
          <w:szCs w:val="22"/>
        </w:rPr>
        <w:t>-Onboarding module completion rates</w:t>
      </w:r>
    </w:p>
    <w:p w14:paraId="03353147" w14:textId="70D25EB8" w:rsidR="002D5877" w:rsidRPr="001755F9" w:rsidRDefault="002D5877" w:rsidP="002D5877">
      <w:pPr>
        <w:ind w:firstLine="720"/>
        <w:rPr>
          <w:rFonts w:ascii="Arial" w:hAnsi="Arial" w:cs="Arial"/>
          <w:sz w:val="22"/>
          <w:szCs w:val="22"/>
        </w:rPr>
      </w:pPr>
      <w:r w:rsidRPr="001755F9">
        <w:rPr>
          <w:rFonts w:ascii="Arial" w:hAnsi="Arial" w:cs="Arial"/>
          <w:sz w:val="22"/>
          <w:szCs w:val="22"/>
        </w:rPr>
        <w:t>-Use of educational resources and symptom monitoring</w:t>
      </w:r>
    </w:p>
    <w:p w14:paraId="6757F2AA" w14:textId="7A505608" w:rsidR="000A7D66" w:rsidRPr="001755F9" w:rsidRDefault="002D5877" w:rsidP="000A7D66">
      <w:pPr>
        <w:rPr>
          <w:rFonts w:ascii="Arial" w:hAnsi="Arial" w:cs="Arial"/>
          <w:sz w:val="22"/>
          <w:szCs w:val="22"/>
        </w:rPr>
      </w:pPr>
      <w:r w:rsidRPr="001755F9">
        <w:rPr>
          <w:rFonts w:ascii="Arial" w:hAnsi="Arial" w:cs="Arial"/>
          <w:sz w:val="22"/>
          <w:szCs w:val="22"/>
        </w:rPr>
        <w:t>High adoption shows that the platform fulfils customer expectations for easily available, customized digital health products and offers significant value (WHO, 2023).</w:t>
      </w:r>
    </w:p>
    <w:p w14:paraId="60E71F99" w14:textId="51CA73E8" w:rsidR="002D5877" w:rsidRPr="001755F9" w:rsidRDefault="00E77060" w:rsidP="002D5877">
      <w:pPr>
        <w:pStyle w:val="ListParagraph"/>
        <w:numPr>
          <w:ilvl w:val="0"/>
          <w:numId w:val="7"/>
        </w:numPr>
        <w:rPr>
          <w:rFonts w:ascii="Arial" w:hAnsi="Arial" w:cs="Arial"/>
          <w:b/>
          <w:bCs/>
          <w:sz w:val="22"/>
          <w:szCs w:val="22"/>
        </w:rPr>
      </w:pPr>
      <w:r w:rsidRPr="001755F9">
        <w:rPr>
          <w:rFonts w:ascii="Arial" w:hAnsi="Arial" w:cs="Arial"/>
          <w:b/>
          <w:bCs/>
          <w:sz w:val="22"/>
          <w:szCs w:val="22"/>
        </w:rPr>
        <w:t>Enhancement of Patient Confidence and Health Literacy</w:t>
      </w:r>
    </w:p>
    <w:p w14:paraId="7E15A4A7" w14:textId="77777777" w:rsidR="00C56D80" w:rsidRPr="001755F9" w:rsidRDefault="00C56D80" w:rsidP="00E77060">
      <w:pPr>
        <w:rPr>
          <w:rFonts w:ascii="Arial" w:hAnsi="Arial" w:cs="Arial"/>
          <w:sz w:val="22"/>
          <w:szCs w:val="22"/>
        </w:rPr>
      </w:pPr>
      <w:r w:rsidRPr="001755F9">
        <w:rPr>
          <w:rFonts w:ascii="Arial" w:hAnsi="Arial" w:cs="Arial"/>
          <w:sz w:val="22"/>
          <w:szCs w:val="22"/>
        </w:rPr>
        <w:t>Improvements in patient comprehension, confidence, and satisfaction will be crucial evaluation criteria because the platform tackles early-stage confusion and fear. This can be quantified by:</w:t>
      </w:r>
    </w:p>
    <w:p w14:paraId="78047402" w14:textId="77777777" w:rsidR="00C56D80" w:rsidRPr="001755F9" w:rsidRDefault="00C56D80" w:rsidP="00C56D80">
      <w:pPr>
        <w:pStyle w:val="ListParagraph"/>
        <w:ind w:left="1080"/>
        <w:rPr>
          <w:rFonts w:ascii="Arial" w:hAnsi="Arial" w:cs="Arial"/>
          <w:sz w:val="22"/>
          <w:szCs w:val="22"/>
        </w:rPr>
      </w:pPr>
      <w:r w:rsidRPr="001755F9">
        <w:rPr>
          <w:rFonts w:ascii="Arial" w:hAnsi="Arial" w:cs="Arial"/>
          <w:sz w:val="22"/>
          <w:szCs w:val="22"/>
        </w:rPr>
        <w:t>-Surveys of patient opinions</w:t>
      </w:r>
    </w:p>
    <w:p w14:paraId="4E759998" w14:textId="77777777" w:rsidR="00C56D80" w:rsidRPr="001755F9" w:rsidRDefault="00C56D80" w:rsidP="00C56D80">
      <w:pPr>
        <w:pStyle w:val="ListParagraph"/>
        <w:ind w:left="1080"/>
        <w:rPr>
          <w:rFonts w:ascii="Arial" w:hAnsi="Arial" w:cs="Arial"/>
          <w:sz w:val="22"/>
          <w:szCs w:val="22"/>
        </w:rPr>
      </w:pPr>
      <w:r w:rsidRPr="001755F9">
        <w:rPr>
          <w:rFonts w:ascii="Arial" w:hAnsi="Arial" w:cs="Arial"/>
          <w:sz w:val="22"/>
          <w:szCs w:val="22"/>
        </w:rPr>
        <w:t xml:space="preserve">-Confidence scores as indicated by oneself </w:t>
      </w:r>
    </w:p>
    <w:p w14:paraId="15977686" w14:textId="71179AC9" w:rsidR="00C56D80" w:rsidRPr="001755F9" w:rsidRDefault="00C56D80" w:rsidP="00C56D80">
      <w:pPr>
        <w:pStyle w:val="ListParagraph"/>
        <w:ind w:left="1080"/>
        <w:rPr>
          <w:rFonts w:ascii="Arial" w:hAnsi="Arial" w:cs="Arial"/>
          <w:sz w:val="22"/>
          <w:szCs w:val="22"/>
        </w:rPr>
      </w:pPr>
      <w:r w:rsidRPr="001755F9">
        <w:rPr>
          <w:rFonts w:ascii="Arial" w:hAnsi="Arial" w:cs="Arial"/>
          <w:sz w:val="22"/>
          <w:szCs w:val="22"/>
        </w:rPr>
        <w:t>-Decrease in uncertainty about early-stage help-seeking</w:t>
      </w:r>
    </w:p>
    <w:p w14:paraId="0EA1109D" w14:textId="5E69D3A0" w:rsidR="00E77060" w:rsidRPr="001755F9" w:rsidRDefault="00C56D80" w:rsidP="00E77060">
      <w:pPr>
        <w:rPr>
          <w:rFonts w:ascii="Arial" w:hAnsi="Arial" w:cs="Arial"/>
          <w:sz w:val="22"/>
          <w:szCs w:val="22"/>
        </w:rPr>
      </w:pPr>
      <w:r w:rsidRPr="001755F9">
        <w:rPr>
          <w:rFonts w:ascii="Arial" w:hAnsi="Arial" w:cs="Arial"/>
          <w:sz w:val="22"/>
          <w:szCs w:val="22"/>
        </w:rPr>
        <w:t>The success of the design-thinking emphasis on empathy and clarity is reflected in improved literacy (Brown, 2021).</w:t>
      </w:r>
    </w:p>
    <w:p w14:paraId="689E3678" w14:textId="454064C3" w:rsidR="00C56D80" w:rsidRPr="001755F9" w:rsidRDefault="00616BF8" w:rsidP="00C56D80">
      <w:pPr>
        <w:pStyle w:val="ListParagraph"/>
        <w:numPr>
          <w:ilvl w:val="0"/>
          <w:numId w:val="7"/>
        </w:numPr>
        <w:rPr>
          <w:rFonts w:ascii="Arial" w:hAnsi="Arial" w:cs="Arial"/>
          <w:b/>
          <w:bCs/>
          <w:sz w:val="22"/>
          <w:szCs w:val="22"/>
        </w:rPr>
      </w:pPr>
      <w:r w:rsidRPr="001755F9">
        <w:rPr>
          <w:rFonts w:ascii="Arial" w:hAnsi="Arial" w:cs="Arial"/>
          <w:b/>
          <w:bCs/>
          <w:sz w:val="22"/>
          <w:szCs w:val="22"/>
        </w:rPr>
        <w:lastRenderedPageBreak/>
        <w:t>Indicators of Diagnostic Efficiency</w:t>
      </w:r>
    </w:p>
    <w:p w14:paraId="37F6FE60" w14:textId="6FBBC936" w:rsidR="0012304C" w:rsidRPr="001755F9" w:rsidRDefault="0012304C" w:rsidP="00616BF8">
      <w:pPr>
        <w:rPr>
          <w:rFonts w:ascii="Arial" w:hAnsi="Arial" w:cs="Arial"/>
          <w:sz w:val="22"/>
          <w:szCs w:val="22"/>
        </w:rPr>
      </w:pPr>
      <w:r w:rsidRPr="001755F9">
        <w:rPr>
          <w:rFonts w:ascii="Arial" w:hAnsi="Arial" w:cs="Arial"/>
          <w:sz w:val="22"/>
          <w:szCs w:val="22"/>
        </w:rPr>
        <w:t>AstraZeneca can monitor the following since the platform facilitates the diagnosis journey with preparatory tools and timetable transparency:</w:t>
      </w:r>
    </w:p>
    <w:p w14:paraId="571CE459" w14:textId="77777777" w:rsidR="0012304C" w:rsidRPr="001755F9" w:rsidRDefault="0012304C" w:rsidP="0012304C">
      <w:pPr>
        <w:ind w:firstLine="720"/>
        <w:rPr>
          <w:rFonts w:ascii="Arial" w:hAnsi="Arial" w:cs="Arial"/>
          <w:sz w:val="22"/>
          <w:szCs w:val="22"/>
        </w:rPr>
      </w:pPr>
      <w:r w:rsidRPr="001755F9">
        <w:rPr>
          <w:rFonts w:ascii="Arial" w:hAnsi="Arial" w:cs="Arial"/>
          <w:sz w:val="22"/>
          <w:szCs w:val="22"/>
        </w:rPr>
        <w:t>-Decrease in the time it takes to diagnose</w:t>
      </w:r>
    </w:p>
    <w:p w14:paraId="7A7906E7" w14:textId="77777777" w:rsidR="0012304C" w:rsidRPr="001755F9" w:rsidRDefault="0012304C" w:rsidP="0012304C">
      <w:pPr>
        <w:ind w:firstLine="720"/>
        <w:rPr>
          <w:rFonts w:ascii="Arial" w:hAnsi="Arial" w:cs="Arial"/>
          <w:sz w:val="22"/>
          <w:szCs w:val="22"/>
        </w:rPr>
      </w:pPr>
      <w:r w:rsidRPr="001755F9">
        <w:rPr>
          <w:rFonts w:ascii="Arial" w:hAnsi="Arial" w:cs="Arial"/>
          <w:sz w:val="22"/>
          <w:szCs w:val="22"/>
        </w:rPr>
        <w:t>-Reduced number of unneeded or missed appointments</w:t>
      </w:r>
    </w:p>
    <w:p w14:paraId="01745F9A" w14:textId="631C3982" w:rsidR="0012304C" w:rsidRPr="001755F9" w:rsidRDefault="0012304C" w:rsidP="0012304C">
      <w:pPr>
        <w:ind w:firstLine="720"/>
        <w:rPr>
          <w:rFonts w:ascii="Arial" w:hAnsi="Arial" w:cs="Arial"/>
          <w:sz w:val="22"/>
          <w:szCs w:val="22"/>
        </w:rPr>
      </w:pPr>
      <w:r w:rsidRPr="001755F9">
        <w:rPr>
          <w:rFonts w:ascii="Arial" w:hAnsi="Arial" w:cs="Arial"/>
          <w:sz w:val="22"/>
          <w:szCs w:val="22"/>
        </w:rPr>
        <w:t>-Enhanced readiness of patients for examinations and consultations with specialists</w:t>
      </w:r>
    </w:p>
    <w:p w14:paraId="7C61D0E3" w14:textId="60E91250" w:rsidR="00616BF8" w:rsidRPr="001755F9" w:rsidRDefault="0012304C" w:rsidP="00616BF8">
      <w:pPr>
        <w:rPr>
          <w:rFonts w:ascii="Arial" w:hAnsi="Arial" w:cs="Arial"/>
          <w:sz w:val="22"/>
          <w:szCs w:val="22"/>
        </w:rPr>
      </w:pPr>
      <w:r w:rsidRPr="001755F9">
        <w:rPr>
          <w:rFonts w:ascii="Arial" w:hAnsi="Arial" w:cs="Arial"/>
          <w:sz w:val="22"/>
          <w:szCs w:val="22"/>
        </w:rPr>
        <w:t>The global health system's aims for increased diagnostic efficiency are supported by these results (OECD, 2023).</w:t>
      </w:r>
    </w:p>
    <w:p w14:paraId="5299AF74" w14:textId="0A16CD51" w:rsidR="0012304C" w:rsidRPr="001755F9" w:rsidRDefault="00CF0E5C" w:rsidP="0012304C">
      <w:pPr>
        <w:pStyle w:val="ListParagraph"/>
        <w:numPr>
          <w:ilvl w:val="0"/>
          <w:numId w:val="7"/>
        </w:numPr>
        <w:rPr>
          <w:rFonts w:ascii="Arial" w:hAnsi="Arial" w:cs="Arial"/>
          <w:b/>
          <w:bCs/>
          <w:sz w:val="22"/>
          <w:szCs w:val="22"/>
        </w:rPr>
      </w:pPr>
      <w:r w:rsidRPr="001755F9">
        <w:rPr>
          <w:rFonts w:ascii="Arial" w:hAnsi="Arial" w:cs="Arial"/>
          <w:b/>
          <w:bCs/>
          <w:sz w:val="22"/>
          <w:szCs w:val="22"/>
        </w:rPr>
        <w:t>Treatment Persistence and Medication Adherence</w:t>
      </w:r>
    </w:p>
    <w:p w14:paraId="7F739EA7" w14:textId="77777777" w:rsidR="00053D8D" w:rsidRPr="001755F9" w:rsidRDefault="00053D8D" w:rsidP="00CF0E5C">
      <w:pPr>
        <w:rPr>
          <w:rFonts w:ascii="Arial" w:hAnsi="Arial" w:cs="Arial"/>
          <w:sz w:val="22"/>
          <w:szCs w:val="22"/>
        </w:rPr>
      </w:pPr>
      <w:r w:rsidRPr="001755F9">
        <w:rPr>
          <w:rFonts w:ascii="Arial" w:hAnsi="Arial" w:cs="Arial"/>
          <w:sz w:val="22"/>
          <w:szCs w:val="22"/>
        </w:rPr>
        <w:t xml:space="preserve">Improving adherence is one of the key success elements. AstraZeneca </w:t>
      </w:r>
      <w:proofErr w:type="gramStart"/>
      <w:r w:rsidRPr="001755F9">
        <w:rPr>
          <w:rFonts w:ascii="Arial" w:hAnsi="Arial" w:cs="Arial"/>
          <w:sz w:val="22"/>
          <w:szCs w:val="22"/>
        </w:rPr>
        <w:t>is able to</w:t>
      </w:r>
      <w:proofErr w:type="gramEnd"/>
      <w:r w:rsidRPr="001755F9">
        <w:rPr>
          <w:rFonts w:ascii="Arial" w:hAnsi="Arial" w:cs="Arial"/>
          <w:sz w:val="22"/>
          <w:szCs w:val="22"/>
        </w:rPr>
        <w:t xml:space="preserve"> gauge:</w:t>
      </w:r>
    </w:p>
    <w:p w14:paraId="594942BF" w14:textId="77777777" w:rsidR="00053D8D" w:rsidRPr="001755F9" w:rsidRDefault="00053D8D" w:rsidP="00053D8D">
      <w:pPr>
        <w:ind w:firstLine="720"/>
        <w:rPr>
          <w:rFonts w:ascii="Arial" w:hAnsi="Arial" w:cs="Arial"/>
          <w:sz w:val="22"/>
          <w:szCs w:val="22"/>
        </w:rPr>
      </w:pPr>
      <w:r w:rsidRPr="001755F9">
        <w:rPr>
          <w:rFonts w:ascii="Arial" w:hAnsi="Arial" w:cs="Arial"/>
          <w:sz w:val="22"/>
          <w:szCs w:val="22"/>
        </w:rPr>
        <w:t>-Percentage growth in adherence rates</w:t>
      </w:r>
    </w:p>
    <w:p w14:paraId="68650486" w14:textId="77777777" w:rsidR="00053D8D" w:rsidRPr="001755F9" w:rsidRDefault="00053D8D" w:rsidP="00053D8D">
      <w:pPr>
        <w:ind w:firstLine="720"/>
        <w:rPr>
          <w:rFonts w:ascii="Arial" w:hAnsi="Arial" w:cs="Arial"/>
          <w:sz w:val="22"/>
          <w:szCs w:val="22"/>
        </w:rPr>
      </w:pPr>
      <w:r w:rsidRPr="001755F9">
        <w:rPr>
          <w:rFonts w:ascii="Arial" w:hAnsi="Arial" w:cs="Arial"/>
          <w:sz w:val="22"/>
          <w:szCs w:val="22"/>
        </w:rPr>
        <w:t>-Decrease in missed doses</w:t>
      </w:r>
    </w:p>
    <w:p w14:paraId="4976AABB" w14:textId="77777777" w:rsidR="00053D8D" w:rsidRPr="001755F9" w:rsidRDefault="00053D8D" w:rsidP="00053D8D">
      <w:pPr>
        <w:ind w:firstLine="720"/>
        <w:rPr>
          <w:rFonts w:ascii="Arial" w:hAnsi="Arial" w:cs="Arial"/>
          <w:sz w:val="22"/>
          <w:szCs w:val="22"/>
        </w:rPr>
      </w:pPr>
      <w:r w:rsidRPr="001755F9">
        <w:rPr>
          <w:rFonts w:ascii="Arial" w:hAnsi="Arial" w:cs="Arial"/>
          <w:sz w:val="22"/>
          <w:szCs w:val="22"/>
        </w:rPr>
        <w:t>-Persistence of treatment at intervals of three, six, and twelve months</w:t>
      </w:r>
    </w:p>
    <w:p w14:paraId="4AF4E3A5" w14:textId="2609FD44" w:rsidR="00053D8D" w:rsidRPr="001755F9" w:rsidRDefault="00053D8D" w:rsidP="00053D8D">
      <w:pPr>
        <w:ind w:firstLine="720"/>
        <w:rPr>
          <w:rFonts w:ascii="Arial" w:hAnsi="Arial" w:cs="Arial"/>
          <w:sz w:val="22"/>
          <w:szCs w:val="22"/>
        </w:rPr>
      </w:pPr>
      <w:r w:rsidRPr="001755F9">
        <w:rPr>
          <w:rFonts w:ascii="Arial" w:hAnsi="Arial" w:cs="Arial"/>
          <w:sz w:val="22"/>
          <w:szCs w:val="22"/>
        </w:rPr>
        <w:t>-Reduction in treatment discontinuation due to miscommunication or anxiety</w:t>
      </w:r>
    </w:p>
    <w:p w14:paraId="68D62C98" w14:textId="34C82048" w:rsidR="00CF0E5C" w:rsidRPr="001755F9" w:rsidRDefault="00053D8D" w:rsidP="00CF0E5C">
      <w:pPr>
        <w:rPr>
          <w:rFonts w:ascii="Arial" w:hAnsi="Arial" w:cs="Arial"/>
          <w:sz w:val="22"/>
          <w:szCs w:val="22"/>
        </w:rPr>
      </w:pPr>
      <w:r w:rsidRPr="001755F9">
        <w:rPr>
          <w:rFonts w:ascii="Arial" w:hAnsi="Arial" w:cs="Arial"/>
          <w:sz w:val="22"/>
          <w:szCs w:val="22"/>
        </w:rPr>
        <w:t>When individualized feedback and monitoring are offered, digital adherence solutions have been demonstrated to dramatically increase long-term therapy success (IQVIA, 2023; EY, 2023).</w:t>
      </w:r>
    </w:p>
    <w:p w14:paraId="2835EB98" w14:textId="52007ACE" w:rsidR="00053D8D" w:rsidRPr="001755F9" w:rsidRDefault="00F07564" w:rsidP="00053D8D">
      <w:pPr>
        <w:pStyle w:val="ListParagraph"/>
        <w:numPr>
          <w:ilvl w:val="0"/>
          <w:numId w:val="7"/>
        </w:numPr>
        <w:rPr>
          <w:rFonts w:ascii="Arial" w:hAnsi="Arial" w:cs="Arial"/>
          <w:b/>
          <w:bCs/>
          <w:sz w:val="22"/>
          <w:szCs w:val="22"/>
        </w:rPr>
      </w:pPr>
      <w:r w:rsidRPr="001755F9">
        <w:rPr>
          <w:rFonts w:ascii="Arial" w:hAnsi="Arial" w:cs="Arial"/>
          <w:b/>
          <w:bCs/>
          <w:sz w:val="22"/>
          <w:szCs w:val="22"/>
        </w:rPr>
        <w:t>Measures of Clinical Outcomes</w:t>
      </w:r>
    </w:p>
    <w:p w14:paraId="52B5D10A" w14:textId="77777777" w:rsidR="00F9583D" w:rsidRPr="001755F9" w:rsidRDefault="00F9583D" w:rsidP="00F07564">
      <w:pPr>
        <w:rPr>
          <w:rFonts w:ascii="Arial" w:hAnsi="Arial" w:cs="Arial"/>
          <w:sz w:val="22"/>
          <w:szCs w:val="22"/>
        </w:rPr>
      </w:pPr>
      <w:r w:rsidRPr="001755F9">
        <w:rPr>
          <w:rFonts w:ascii="Arial" w:hAnsi="Arial" w:cs="Arial"/>
          <w:sz w:val="22"/>
          <w:szCs w:val="22"/>
        </w:rPr>
        <w:t>Clinical advancements like these can also be used to gauge the initiative's success:</w:t>
      </w:r>
    </w:p>
    <w:p w14:paraId="16B720A2" w14:textId="77777777" w:rsidR="00F9583D" w:rsidRPr="001755F9" w:rsidRDefault="00F9583D" w:rsidP="00F9583D">
      <w:pPr>
        <w:ind w:firstLine="720"/>
        <w:rPr>
          <w:rFonts w:ascii="Arial" w:hAnsi="Arial" w:cs="Arial"/>
          <w:sz w:val="22"/>
          <w:szCs w:val="22"/>
        </w:rPr>
      </w:pPr>
      <w:r w:rsidRPr="001755F9">
        <w:rPr>
          <w:rFonts w:ascii="Arial" w:hAnsi="Arial" w:cs="Arial"/>
          <w:sz w:val="22"/>
          <w:szCs w:val="22"/>
        </w:rPr>
        <w:t>-Improved management of symptoms</w:t>
      </w:r>
    </w:p>
    <w:p w14:paraId="25F77F48" w14:textId="133AB4A4" w:rsidR="00F9583D" w:rsidRPr="001755F9" w:rsidRDefault="00F9583D" w:rsidP="00F9583D">
      <w:pPr>
        <w:ind w:firstLine="720"/>
        <w:rPr>
          <w:rFonts w:ascii="Arial" w:hAnsi="Arial" w:cs="Arial"/>
          <w:sz w:val="22"/>
          <w:szCs w:val="22"/>
        </w:rPr>
      </w:pPr>
      <w:r w:rsidRPr="001755F9">
        <w:rPr>
          <w:rFonts w:ascii="Arial" w:hAnsi="Arial" w:cs="Arial"/>
          <w:sz w:val="22"/>
          <w:szCs w:val="22"/>
        </w:rPr>
        <w:t>-Decrease in adverse occurrences because of early discovery</w:t>
      </w:r>
    </w:p>
    <w:p w14:paraId="61FC37D2" w14:textId="77777777" w:rsidR="00F9583D" w:rsidRPr="001755F9" w:rsidRDefault="00F9583D" w:rsidP="00F9583D">
      <w:pPr>
        <w:ind w:firstLine="720"/>
        <w:rPr>
          <w:rFonts w:ascii="Arial" w:hAnsi="Arial" w:cs="Arial"/>
          <w:sz w:val="22"/>
          <w:szCs w:val="22"/>
        </w:rPr>
      </w:pPr>
      <w:r w:rsidRPr="001755F9">
        <w:rPr>
          <w:rFonts w:ascii="Arial" w:hAnsi="Arial" w:cs="Arial"/>
          <w:sz w:val="22"/>
          <w:szCs w:val="22"/>
        </w:rPr>
        <w:t>-Enhanced stability in the management of disease</w:t>
      </w:r>
    </w:p>
    <w:p w14:paraId="565392C2" w14:textId="19CCA41F" w:rsidR="00F9583D" w:rsidRPr="001755F9" w:rsidRDefault="00F9583D" w:rsidP="00F9583D">
      <w:pPr>
        <w:ind w:firstLine="720"/>
        <w:rPr>
          <w:rFonts w:ascii="Arial" w:hAnsi="Arial" w:cs="Arial"/>
          <w:sz w:val="22"/>
          <w:szCs w:val="22"/>
        </w:rPr>
      </w:pPr>
      <w:r w:rsidRPr="001755F9">
        <w:rPr>
          <w:rFonts w:ascii="Arial" w:hAnsi="Arial" w:cs="Arial"/>
          <w:sz w:val="22"/>
          <w:szCs w:val="22"/>
        </w:rPr>
        <w:t>-Improved results as reported by patients</w:t>
      </w:r>
    </w:p>
    <w:p w14:paraId="4B0DC6C4" w14:textId="05020C34" w:rsidR="00F07564" w:rsidRPr="001755F9" w:rsidRDefault="00F9583D" w:rsidP="00F07564">
      <w:pPr>
        <w:rPr>
          <w:rFonts w:ascii="Arial" w:hAnsi="Arial" w:cs="Arial"/>
          <w:sz w:val="22"/>
          <w:szCs w:val="22"/>
        </w:rPr>
      </w:pPr>
      <w:r w:rsidRPr="001755F9">
        <w:rPr>
          <w:rFonts w:ascii="Arial" w:hAnsi="Arial" w:cs="Arial"/>
          <w:sz w:val="22"/>
          <w:szCs w:val="22"/>
        </w:rPr>
        <w:t>According to real-world evidence priorities, these metrics demonstrate how the digital platform helps both the clinical and emotional aspects of treatment (Gartner, 2024).</w:t>
      </w:r>
    </w:p>
    <w:p w14:paraId="3D8D303F" w14:textId="65FE9C97" w:rsidR="00F9583D" w:rsidRPr="001755F9" w:rsidRDefault="00266057" w:rsidP="00F9583D">
      <w:pPr>
        <w:pStyle w:val="ListParagraph"/>
        <w:numPr>
          <w:ilvl w:val="0"/>
          <w:numId w:val="7"/>
        </w:numPr>
        <w:rPr>
          <w:rFonts w:ascii="Arial" w:hAnsi="Arial" w:cs="Arial"/>
          <w:b/>
          <w:bCs/>
          <w:sz w:val="22"/>
          <w:szCs w:val="22"/>
        </w:rPr>
      </w:pPr>
      <w:r w:rsidRPr="001755F9">
        <w:rPr>
          <w:rFonts w:ascii="Arial" w:hAnsi="Arial" w:cs="Arial"/>
          <w:b/>
          <w:bCs/>
          <w:sz w:val="22"/>
          <w:szCs w:val="22"/>
        </w:rPr>
        <w:t>Cost Impact and Organizational Efficiency</w:t>
      </w:r>
    </w:p>
    <w:p w14:paraId="6F3A072F" w14:textId="77777777" w:rsidR="001F2043" w:rsidRPr="001755F9" w:rsidRDefault="001F2043" w:rsidP="00266057">
      <w:pPr>
        <w:rPr>
          <w:rFonts w:ascii="Arial" w:hAnsi="Arial" w:cs="Arial"/>
          <w:sz w:val="22"/>
          <w:szCs w:val="22"/>
        </w:rPr>
      </w:pPr>
      <w:r w:rsidRPr="001755F9">
        <w:rPr>
          <w:rFonts w:ascii="Arial" w:hAnsi="Arial" w:cs="Arial"/>
          <w:sz w:val="22"/>
          <w:szCs w:val="22"/>
        </w:rPr>
        <w:t>Internal efficiency gains are another important area for evaluation, according to AstraZeneca. KPIs that are pertinent include:</w:t>
      </w:r>
    </w:p>
    <w:p w14:paraId="795E6DC2" w14:textId="77777777" w:rsidR="001F2043" w:rsidRPr="001755F9" w:rsidRDefault="001F2043" w:rsidP="001F2043">
      <w:pPr>
        <w:ind w:firstLine="720"/>
        <w:rPr>
          <w:rFonts w:ascii="Arial" w:hAnsi="Arial" w:cs="Arial"/>
          <w:sz w:val="22"/>
          <w:szCs w:val="22"/>
        </w:rPr>
      </w:pPr>
      <w:r w:rsidRPr="001755F9">
        <w:rPr>
          <w:rFonts w:ascii="Arial" w:hAnsi="Arial" w:cs="Arial"/>
          <w:sz w:val="22"/>
          <w:szCs w:val="22"/>
        </w:rPr>
        <w:t>-Decrease in patient inquiries that call for manual assistance</w:t>
      </w:r>
    </w:p>
    <w:p w14:paraId="71266EED" w14:textId="77777777" w:rsidR="001F2043" w:rsidRPr="001755F9" w:rsidRDefault="001F2043" w:rsidP="001F2043">
      <w:pPr>
        <w:ind w:firstLine="720"/>
        <w:rPr>
          <w:rFonts w:ascii="Arial" w:hAnsi="Arial" w:cs="Arial"/>
          <w:sz w:val="22"/>
          <w:szCs w:val="22"/>
        </w:rPr>
      </w:pPr>
      <w:r w:rsidRPr="001755F9">
        <w:rPr>
          <w:rFonts w:ascii="Arial" w:hAnsi="Arial" w:cs="Arial"/>
          <w:sz w:val="22"/>
          <w:szCs w:val="22"/>
        </w:rPr>
        <w:t>-More effective delivery of instructional and onboarding resources</w:t>
      </w:r>
    </w:p>
    <w:p w14:paraId="21335AC1" w14:textId="77777777" w:rsidR="001F2043" w:rsidRPr="001755F9" w:rsidRDefault="001F2043" w:rsidP="001F2043">
      <w:pPr>
        <w:ind w:firstLine="720"/>
        <w:rPr>
          <w:rFonts w:ascii="Arial" w:hAnsi="Arial" w:cs="Arial"/>
          <w:sz w:val="22"/>
          <w:szCs w:val="22"/>
        </w:rPr>
      </w:pPr>
      <w:r w:rsidRPr="001755F9">
        <w:rPr>
          <w:rFonts w:ascii="Arial" w:hAnsi="Arial" w:cs="Arial"/>
          <w:sz w:val="22"/>
          <w:szCs w:val="22"/>
        </w:rPr>
        <w:t>-Reduced expenses related to non-adherence</w:t>
      </w:r>
    </w:p>
    <w:p w14:paraId="5A908205" w14:textId="4A2D6BE3" w:rsidR="001F2043" w:rsidRPr="001755F9" w:rsidRDefault="001F2043" w:rsidP="001F2043">
      <w:pPr>
        <w:ind w:firstLine="720"/>
        <w:rPr>
          <w:rFonts w:ascii="Arial" w:hAnsi="Arial" w:cs="Arial"/>
          <w:sz w:val="22"/>
          <w:szCs w:val="22"/>
        </w:rPr>
      </w:pPr>
      <w:r w:rsidRPr="001755F9">
        <w:rPr>
          <w:rFonts w:ascii="Arial" w:hAnsi="Arial" w:cs="Arial"/>
          <w:sz w:val="22"/>
          <w:szCs w:val="22"/>
        </w:rPr>
        <w:t xml:space="preserve">-Healthcare partners' resource savings </w:t>
      </w:r>
      <w:proofErr w:type="gramStart"/>
      <w:r w:rsidRPr="001755F9">
        <w:rPr>
          <w:rFonts w:ascii="Arial" w:hAnsi="Arial" w:cs="Arial"/>
          <w:sz w:val="22"/>
          <w:szCs w:val="22"/>
        </w:rPr>
        <w:t>as a result of</w:t>
      </w:r>
      <w:proofErr w:type="gramEnd"/>
      <w:r w:rsidRPr="001755F9">
        <w:rPr>
          <w:rFonts w:ascii="Arial" w:hAnsi="Arial" w:cs="Arial"/>
          <w:sz w:val="22"/>
          <w:szCs w:val="22"/>
        </w:rPr>
        <w:t xml:space="preserve"> fewer unnecessary appointments</w:t>
      </w:r>
    </w:p>
    <w:p w14:paraId="31271F50" w14:textId="056900B9" w:rsidR="00266057" w:rsidRPr="001755F9" w:rsidRDefault="001F2043" w:rsidP="00266057">
      <w:pPr>
        <w:rPr>
          <w:rFonts w:ascii="Arial" w:hAnsi="Arial" w:cs="Arial"/>
          <w:sz w:val="22"/>
          <w:szCs w:val="22"/>
        </w:rPr>
      </w:pPr>
      <w:r w:rsidRPr="001755F9">
        <w:rPr>
          <w:rFonts w:ascii="Arial" w:hAnsi="Arial" w:cs="Arial"/>
          <w:sz w:val="22"/>
          <w:szCs w:val="22"/>
        </w:rPr>
        <w:lastRenderedPageBreak/>
        <w:t>It has been demonstrated that digital transformation in the healthcare industry reduces operational inefficiencies and promotes more sustainable service delivery (KPMG, 2024).</w:t>
      </w:r>
    </w:p>
    <w:p w14:paraId="2FEF6C8C" w14:textId="53476291" w:rsidR="001F2043" w:rsidRPr="001755F9" w:rsidRDefault="00A33A79" w:rsidP="00A33A79">
      <w:pPr>
        <w:pStyle w:val="ListParagraph"/>
        <w:numPr>
          <w:ilvl w:val="0"/>
          <w:numId w:val="7"/>
        </w:numPr>
        <w:rPr>
          <w:rFonts w:ascii="Arial" w:hAnsi="Arial" w:cs="Arial"/>
          <w:b/>
          <w:bCs/>
          <w:sz w:val="22"/>
          <w:szCs w:val="22"/>
        </w:rPr>
      </w:pPr>
      <w:r w:rsidRPr="001755F9">
        <w:rPr>
          <w:rFonts w:ascii="Arial" w:hAnsi="Arial" w:cs="Arial"/>
          <w:b/>
          <w:bCs/>
          <w:sz w:val="22"/>
          <w:szCs w:val="22"/>
        </w:rPr>
        <w:t>Healthcare Partnerships' Strength</w:t>
      </w:r>
    </w:p>
    <w:p w14:paraId="5A509AAC" w14:textId="77777777" w:rsidR="00173A83" w:rsidRPr="001755F9" w:rsidRDefault="00173A83" w:rsidP="00A33A79">
      <w:pPr>
        <w:rPr>
          <w:rFonts w:ascii="Arial" w:hAnsi="Arial" w:cs="Arial"/>
          <w:sz w:val="22"/>
          <w:szCs w:val="22"/>
        </w:rPr>
      </w:pPr>
      <w:r w:rsidRPr="001755F9">
        <w:rPr>
          <w:rFonts w:ascii="Arial" w:hAnsi="Arial" w:cs="Arial"/>
          <w:sz w:val="22"/>
          <w:szCs w:val="22"/>
        </w:rPr>
        <w:t>Additionally, the program strengthens AstraZeneca's ties to national health systems, hospitals, and physicians. Among the measurements are:</w:t>
      </w:r>
    </w:p>
    <w:p w14:paraId="2A62264C" w14:textId="77777777" w:rsidR="00173A83" w:rsidRPr="001755F9" w:rsidRDefault="00173A83" w:rsidP="00173A83">
      <w:pPr>
        <w:ind w:firstLine="720"/>
        <w:rPr>
          <w:rFonts w:ascii="Arial" w:hAnsi="Arial" w:cs="Arial"/>
          <w:sz w:val="22"/>
          <w:szCs w:val="22"/>
        </w:rPr>
      </w:pPr>
      <w:r w:rsidRPr="001755F9">
        <w:rPr>
          <w:rFonts w:ascii="Arial" w:hAnsi="Arial" w:cs="Arial"/>
          <w:sz w:val="22"/>
          <w:szCs w:val="22"/>
        </w:rPr>
        <w:t>-The quantity of healthcare professionals using the platform</w:t>
      </w:r>
    </w:p>
    <w:p w14:paraId="69976EAE" w14:textId="77777777" w:rsidR="00173A83" w:rsidRPr="001755F9" w:rsidRDefault="00173A83" w:rsidP="00173A83">
      <w:pPr>
        <w:ind w:firstLine="720"/>
        <w:rPr>
          <w:rFonts w:ascii="Arial" w:hAnsi="Arial" w:cs="Arial"/>
          <w:sz w:val="22"/>
          <w:szCs w:val="22"/>
        </w:rPr>
      </w:pPr>
      <w:r w:rsidRPr="001755F9">
        <w:rPr>
          <w:rFonts w:ascii="Arial" w:hAnsi="Arial" w:cs="Arial"/>
          <w:sz w:val="22"/>
          <w:szCs w:val="22"/>
        </w:rPr>
        <w:t>-The calibre and regularity of partnerships involving data sharing</w:t>
      </w:r>
    </w:p>
    <w:p w14:paraId="14CDC330" w14:textId="77777777" w:rsidR="00173A83" w:rsidRPr="001755F9" w:rsidRDefault="00173A83" w:rsidP="00173A83">
      <w:pPr>
        <w:ind w:firstLine="720"/>
        <w:rPr>
          <w:rFonts w:ascii="Arial" w:hAnsi="Arial" w:cs="Arial"/>
          <w:sz w:val="22"/>
          <w:szCs w:val="22"/>
        </w:rPr>
      </w:pPr>
      <w:r w:rsidRPr="001755F9">
        <w:rPr>
          <w:rFonts w:ascii="Arial" w:hAnsi="Arial" w:cs="Arial"/>
          <w:sz w:val="22"/>
          <w:szCs w:val="22"/>
        </w:rPr>
        <w:t>-Clinicians' opinions about less work or better decision support</w:t>
      </w:r>
    </w:p>
    <w:p w14:paraId="66A245E0" w14:textId="0DD3D15B" w:rsidR="00173A83" w:rsidRPr="001755F9" w:rsidRDefault="00173A83" w:rsidP="00173A83">
      <w:pPr>
        <w:ind w:firstLine="720"/>
        <w:rPr>
          <w:rFonts w:ascii="Arial" w:hAnsi="Arial" w:cs="Arial"/>
          <w:sz w:val="22"/>
          <w:szCs w:val="22"/>
        </w:rPr>
      </w:pPr>
      <w:r w:rsidRPr="001755F9">
        <w:rPr>
          <w:rFonts w:ascii="Arial" w:hAnsi="Arial" w:cs="Arial"/>
          <w:sz w:val="22"/>
          <w:szCs w:val="22"/>
        </w:rPr>
        <w:t>-Increased use of AstraZeneca treatments linked to better patient outcomes</w:t>
      </w:r>
    </w:p>
    <w:p w14:paraId="2646DE3C" w14:textId="194A7479" w:rsidR="00A33A79" w:rsidRPr="001755F9" w:rsidRDefault="00173A83" w:rsidP="00A33A79">
      <w:pPr>
        <w:rPr>
          <w:rFonts w:ascii="Arial" w:hAnsi="Arial" w:cs="Arial"/>
          <w:sz w:val="22"/>
          <w:szCs w:val="22"/>
        </w:rPr>
      </w:pPr>
      <w:r w:rsidRPr="001755F9">
        <w:rPr>
          <w:rFonts w:ascii="Arial" w:hAnsi="Arial" w:cs="Arial"/>
          <w:sz w:val="22"/>
          <w:szCs w:val="22"/>
        </w:rPr>
        <w:t>The industrial trend toward hybrid digital-clinical care models is supported by these partnership initiatives (OECD, 2023).</w:t>
      </w:r>
    </w:p>
    <w:p w14:paraId="4A23ABD1" w14:textId="09758614" w:rsidR="00173A83" w:rsidRPr="001755F9" w:rsidRDefault="007D71EB" w:rsidP="00173A83">
      <w:pPr>
        <w:pStyle w:val="ListParagraph"/>
        <w:numPr>
          <w:ilvl w:val="0"/>
          <w:numId w:val="7"/>
        </w:numPr>
        <w:rPr>
          <w:rFonts w:ascii="Arial" w:hAnsi="Arial" w:cs="Arial"/>
          <w:b/>
          <w:bCs/>
          <w:sz w:val="22"/>
          <w:szCs w:val="22"/>
        </w:rPr>
      </w:pPr>
      <w:r w:rsidRPr="001755F9">
        <w:rPr>
          <w:rFonts w:ascii="Arial" w:hAnsi="Arial" w:cs="Arial"/>
          <w:b/>
          <w:bCs/>
          <w:sz w:val="22"/>
          <w:szCs w:val="22"/>
        </w:rPr>
        <w:t>Impact on Strategy and Competition</w:t>
      </w:r>
    </w:p>
    <w:p w14:paraId="3D8B22EA" w14:textId="77777777" w:rsidR="008513F6" w:rsidRPr="001755F9" w:rsidRDefault="008513F6" w:rsidP="007D71EB">
      <w:pPr>
        <w:rPr>
          <w:rFonts w:ascii="Arial" w:hAnsi="Arial" w:cs="Arial"/>
          <w:sz w:val="22"/>
          <w:szCs w:val="22"/>
        </w:rPr>
      </w:pPr>
      <w:r w:rsidRPr="001755F9">
        <w:rPr>
          <w:rFonts w:ascii="Arial" w:hAnsi="Arial" w:cs="Arial"/>
          <w:sz w:val="22"/>
          <w:szCs w:val="22"/>
        </w:rPr>
        <w:t>Lastly, AstraZeneca can gauge its long-term strategic success by:</w:t>
      </w:r>
    </w:p>
    <w:p w14:paraId="321E0405" w14:textId="77777777" w:rsidR="008513F6" w:rsidRPr="001755F9" w:rsidRDefault="008513F6" w:rsidP="008513F6">
      <w:pPr>
        <w:ind w:firstLine="720"/>
        <w:rPr>
          <w:rFonts w:ascii="Arial" w:hAnsi="Arial" w:cs="Arial"/>
          <w:sz w:val="22"/>
          <w:szCs w:val="22"/>
        </w:rPr>
      </w:pPr>
      <w:r w:rsidRPr="001755F9">
        <w:rPr>
          <w:rFonts w:ascii="Arial" w:hAnsi="Arial" w:cs="Arial"/>
          <w:sz w:val="22"/>
          <w:szCs w:val="22"/>
        </w:rPr>
        <w:t>-Enhanced brand perception and market differentiation</w:t>
      </w:r>
    </w:p>
    <w:p w14:paraId="008C309E" w14:textId="77777777" w:rsidR="008513F6" w:rsidRPr="001755F9" w:rsidRDefault="008513F6" w:rsidP="008513F6">
      <w:pPr>
        <w:ind w:firstLine="720"/>
        <w:rPr>
          <w:rFonts w:ascii="Arial" w:hAnsi="Arial" w:cs="Arial"/>
          <w:sz w:val="22"/>
          <w:szCs w:val="22"/>
        </w:rPr>
      </w:pPr>
      <w:r w:rsidRPr="001755F9">
        <w:rPr>
          <w:rFonts w:ascii="Arial" w:hAnsi="Arial" w:cs="Arial"/>
          <w:sz w:val="22"/>
          <w:szCs w:val="22"/>
        </w:rPr>
        <w:t>-Enhanced leadership in the field of digital health innovation</w:t>
      </w:r>
    </w:p>
    <w:p w14:paraId="7019B27F" w14:textId="77777777" w:rsidR="008513F6" w:rsidRPr="001755F9" w:rsidRDefault="008513F6" w:rsidP="008513F6">
      <w:pPr>
        <w:ind w:firstLine="720"/>
        <w:rPr>
          <w:rFonts w:ascii="Arial" w:hAnsi="Arial" w:cs="Arial"/>
          <w:sz w:val="22"/>
          <w:szCs w:val="22"/>
        </w:rPr>
      </w:pPr>
      <w:r w:rsidRPr="001755F9">
        <w:rPr>
          <w:rFonts w:ascii="Arial" w:hAnsi="Arial" w:cs="Arial"/>
          <w:sz w:val="22"/>
          <w:szCs w:val="22"/>
        </w:rPr>
        <w:t>-Increased production of empirical evidence</w:t>
      </w:r>
    </w:p>
    <w:p w14:paraId="0D0E8056" w14:textId="24E1A7C7" w:rsidR="008513F6" w:rsidRPr="001755F9" w:rsidRDefault="008513F6" w:rsidP="008513F6">
      <w:pPr>
        <w:ind w:firstLine="720"/>
        <w:rPr>
          <w:rFonts w:ascii="Arial" w:hAnsi="Arial" w:cs="Arial"/>
          <w:sz w:val="22"/>
          <w:szCs w:val="22"/>
        </w:rPr>
      </w:pPr>
      <w:r w:rsidRPr="001755F9">
        <w:rPr>
          <w:rFonts w:ascii="Arial" w:hAnsi="Arial" w:cs="Arial"/>
          <w:sz w:val="22"/>
          <w:szCs w:val="22"/>
        </w:rPr>
        <w:t>-Improved sustainability outcomes by cutting down on travel and pointless appointments</w:t>
      </w:r>
    </w:p>
    <w:p w14:paraId="1D7EA7CD" w14:textId="04CB1282" w:rsidR="00C222DB" w:rsidRPr="001755F9" w:rsidRDefault="00751730" w:rsidP="00F10C5D">
      <w:pPr>
        <w:rPr>
          <w:rFonts w:ascii="Arial" w:hAnsi="Arial" w:cs="Arial"/>
          <w:sz w:val="22"/>
          <w:szCs w:val="22"/>
        </w:rPr>
      </w:pPr>
      <w:r w:rsidRPr="001755F9">
        <w:rPr>
          <w:rFonts w:ascii="Arial" w:hAnsi="Arial" w:cs="Arial"/>
          <w:sz w:val="22"/>
          <w:szCs w:val="22"/>
        </w:rPr>
        <w:t>These long-term indicators show how well the company can maintain its competitiveness in the quickly digitizing pharmaceutical sector (Gartner, 2024).</w:t>
      </w:r>
    </w:p>
    <w:p w14:paraId="17D24AD6" w14:textId="34F3BF1A" w:rsidR="003D2D52" w:rsidRPr="001755F9" w:rsidRDefault="00A20B49" w:rsidP="005F0CFE">
      <w:pPr>
        <w:pStyle w:val="Heading1"/>
        <w:numPr>
          <w:ilvl w:val="0"/>
          <w:numId w:val="9"/>
        </w:numPr>
        <w:rPr>
          <w:rFonts w:ascii="Arial" w:hAnsi="Arial" w:cs="Arial"/>
          <w:sz w:val="22"/>
          <w:szCs w:val="22"/>
        </w:rPr>
      </w:pPr>
      <w:bookmarkStart w:id="16" w:name="_Toc216115643"/>
      <w:r w:rsidRPr="001755F9">
        <w:rPr>
          <w:rFonts w:ascii="Arial" w:hAnsi="Arial" w:cs="Arial"/>
          <w:sz w:val="22"/>
          <w:szCs w:val="22"/>
        </w:rPr>
        <w:t>Conclusion</w:t>
      </w:r>
      <w:bookmarkEnd w:id="16"/>
    </w:p>
    <w:p w14:paraId="720B3D4C" w14:textId="35231216" w:rsidR="00A20B49" w:rsidRPr="001755F9" w:rsidRDefault="00AD72CB" w:rsidP="00A20B49">
      <w:pPr>
        <w:rPr>
          <w:rFonts w:ascii="Arial" w:hAnsi="Arial" w:cs="Arial"/>
          <w:sz w:val="22"/>
          <w:szCs w:val="22"/>
        </w:rPr>
      </w:pPr>
      <w:r w:rsidRPr="001755F9">
        <w:rPr>
          <w:rFonts w:ascii="Arial" w:hAnsi="Arial" w:cs="Arial"/>
          <w:sz w:val="22"/>
          <w:szCs w:val="22"/>
        </w:rPr>
        <w:t>This portfolio investigated AstraZeneca's innovation environment and the issues influencing its present customer experience. In addition to highlighting the company's core, adjacent, and transformative innovations' alignment with significant consumer and industry trends, Part 1 identified specific pain areas related to awareness, diagnosis, treatment, adherence, and long-term support.</w:t>
      </w:r>
    </w:p>
    <w:p w14:paraId="023027BD" w14:textId="3E5D3E77" w:rsidR="001755F9" w:rsidRPr="001755F9" w:rsidRDefault="001755F9" w:rsidP="00A20B49">
      <w:pPr>
        <w:rPr>
          <w:rFonts w:ascii="Arial" w:hAnsi="Arial" w:cs="Arial"/>
          <w:sz w:val="22"/>
          <w:szCs w:val="22"/>
        </w:rPr>
      </w:pPr>
      <w:r w:rsidRPr="001755F9">
        <w:rPr>
          <w:rFonts w:ascii="Arial" w:hAnsi="Arial" w:cs="Arial"/>
          <w:sz w:val="22"/>
          <w:szCs w:val="22"/>
        </w:rPr>
        <w:t>To fill these deficiencies, Part 2 suggested an AI-Enabled Personalized Patient Support Platform. The improved path map illustrated how the program promotes treatment onboarding, lowers diagnostic ambiguity, increases patient clarity, encourages adherence, and permits continuous care. By enhancing practical results, assisting in the creation of evidence, boosting operational effectiveness, and bolstering AstraZeneca's competitive position, the suggested solution also provides organizational value.</w:t>
      </w:r>
    </w:p>
    <w:p w14:paraId="2D222FA8" w14:textId="1F6EF612" w:rsidR="00AD72CB" w:rsidRDefault="001755F9" w:rsidP="00A20B49">
      <w:pPr>
        <w:rPr>
          <w:rFonts w:ascii="Arial" w:hAnsi="Arial" w:cs="Arial"/>
          <w:sz w:val="22"/>
          <w:szCs w:val="22"/>
        </w:rPr>
      </w:pPr>
      <w:r w:rsidRPr="001755F9">
        <w:rPr>
          <w:rFonts w:ascii="Arial" w:hAnsi="Arial" w:cs="Arial"/>
          <w:sz w:val="22"/>
          <w:szCs w:val="22"/>
        </w:rPr>
        <w:t>All things considered, the program improves AstraZeneca's capacity to provide patient-</w:t>
      </w:r>
      <w:r w:rsidR="005F0CFE" w:rsidRPr="001755F9">
        <w:rPr>
          <w:rFonts w:ascii="Arial" w:hAnsi="Arial" w:cs="Arial"/>
          <w:sz w:val="22"/>
          <w:szCs w:val="22"/>
        </w:rPr>
        <w:t>centred</w:t>
      </w:r>
      <w:r w:rsidRPr="001755F9">
        <w:rPr>
          <w:rFonts w:ascii="Arial" w:hAnsi="Arial" w:cs="Arial"/>
          <w:sz w:val="22"/>
          <w:szCs w:val="22"/>
        </w:rPr>
        <w:t>, technologically enabled, and sustainable healthcare services.</w:t>
      </w:r>
    </w:p>
    <w:p w14:paraId="21E38197" w14:textId="77777777" w:rsidR="005F0CFE" w:rsidRPr="001755F9" w:rsidRDefault="005F0CFE" w:rsidP="00A20B49">
      <w:pPr>
        <w:rPr>
          <w:rFonts w:ascii="Arial" w:hAnsi="Arial" w:cs="Arial"/>
          <w:sz w:val="22"/>
          <w:szCs w:val="22"/>
        </w:rPr>
      </w:pPr>
    </w:p>
    <w:p w14:paraId="559527C2" w14:textId="4960AD03" w:rsidR="00751730" w:rsidRDefault="005F0CFE" w:rsidP="005F0CFE">
      <w:pPr>
        <w:pStyle w:val="Heading1"/>
      </w:pPr>
      <w:bookmarkStart w:id="17" w:name="_Toc216115644"/>
      <w:r>
        <w:lastRenderedPageBreak/>
        <w:t>References</w:t>
      </w:r>
      <w:bookmarkEnd w:id="17"/>
    </w:p>
    <w:p w14:paraId="66D0071F" w14:textId="77777777" w:rsidR="00CE34CB" w:rsidRPr="00CE34CB" w:rsidRDefault="00CE34CB" w:rsidP="00CE34CB">
      <w:r w:rsidRPr="00CE34CB">
        <w:t>AstraZeneca (2024) Annual Report and Sustainability Review 2024. Cambridge: AstraZeneca plc.</w:t>
      </w:r>
      <w:r w:rsidRPr="00CE34CB">
        <w:br/>
        <w:t xml:space="preserve">Available at: </w:t>
      </w:r>
      <w:hyperlink r:id="rId10" w:tgtFrame="_new" w:history="1">
        <w:r w:rsidRPr="00CE34CB">
          <w:rPr>
            <w:rStyle w:val="Hyperlink"/>
          </w:rPr>
          <w:t>https://www.astrazeneca.com/investor-relations/annual-reports.html</w:t>
        </w:r>
      </w:hyperlink>
      <w:r w:rsidRPr="00CE34CB">
        <w:br/>
        <w:t xml:space="preserve">(Accessed: </w:t>
      </w:r>
      <w:r w:rsidRPr="00CE34CB">
        <w:rPr>
          <w:i/>
          <w:iCs/>
        </w:rPr>
        <w:t>5 November 2025</w:t>
      </w:r>
      <w:r w:rsidRPr="00CE34CB">
        <w:t>).</w:t>
      </w:r>
    </w:p>
    <w:p w14:paraId="55AE1CAF" w14:textId="77777777" w:rsidR="00CE34CB" w:rsidRPr="00CE34CB" w:rsidRDefault="00CE34CB" w:rsidP="00CE34CB">
      <w:r w:rsidRPr="00CE34CB">
        <w:t>Brown, T. (2021) Design Thinking for Health Innovation. Harvard Business Publishing.</w:t>
      </w:r>
      <w:r w:rsidRPr="00CE34CB">
        <w:br/>
        <w:t xml:space="preserve">(Accessed: </w:t>
      </w:r>
      <w:r w:rsidRPr="00CE34CB">
        <w:rPr>
          <w:i/>
          <w:iCs/>
        </w:rPr>
        <w:t>7 November 2025</w:t>
      </w:r>
      <w:r w:rsidRPr="00CE34CB">
        <w:t>).</w:t>
      </w:r>
    </w:p>
    <w:p w14:paraId="138F390C" w14:textId="77777777" w:rsidR="00CE34CB" w:rsidRPr="00CE34CB" w:rsidRDefault="00CE34CB" w:rsidP="00CE34CB">
      <w:r w:rsidRPr="00CE34CB">
        <w:t>Deloitte (2024) 2024 Global Healthcare Outlook: Navigating Patient Centric Care and Digital Trust.</w:t>
      </w:r>
      <w:r w:rsidRPr="00CE34CB">
        <w:br/>
        <w:t xml:space="preserve">Available at: </w:t>
      </w:r>
      <w:hyperlink r:id="rId11" w:tgtFrame="_new" w:history="1">
        <w:r w:rsidRPr="00CE34CB">
          <w:rPr>
            <w:rStyle w:val="Hyperlink"/>
          </w:rPr>
          <w:t>https://www.deloitte.com/global-healthcare-outlook-2024</w:t>
        </w:r>
      </w:hyperlink>
      <w:r w:rsidRPr="00CE34CB">
        <w:br/>
        <w:t xml:space="preserve">(Accessed: </w:t>
      </w:r>
      <w:r w:rsidRPr="00CE34CB">
        <w:rPr>
          <w:i/>
          <w:iCs/>
        </w:rPr>
        <w:t>10 November 2025</w:t>
      </w:r>
      <w:r w:rsidRPr="00CE34CB">
        <w:t>).</w:t>
      </w:r>
    </w:p>
    <w:p w14:paraId="788C422B" w14:textId="77777777" w:rsidR="00CE34CB" w:rsidRPr="00CE34CB" w:rsidRDefault="00CE34CB" w:rsidP="00CE34CB">
      <w:r w:rsidRPr="00CE34CB">
        <w:t>Deloitte (2025) Life Sciences and Healthcare Tech Trends 2025.</w:t>
      </w:r>
      <w:r w:rsidRPr="00CE34CB">
        <w:br/>
        <w:t xml:space="preserve">Available at: </w:t>
      </w:r>
      <w:hyperlink r:id="rId12" w:tgtFrame="_new" w:history="1">
        <w:r w:rsidRPr="00CE34CB">
          <w:rPr>
            <w:rStyle w:val="Hyperlink"/>
          </w:rPr>
          <w:t>https://www.deloitte.com/ch/en/Industries/life-sciences-health-care/perspectives/tech-trends-2025.html</w:t>
        </w:r>
      </w:hyperlink>
      <w:r w:rsidRPr="00CE34CB">
        <w:br/>
        <w:t xml:space="preserve">(Accessed: </w:t>
      </w:r>
      <w:r w:rsidRPr="00CE34CB">
        <w:rPr>
          <w:i/>
          <w:iCs/>
          <w:caps/>
        </w:rPr>
        <w:t>12</w:t>
      </w:r>
      <w:r w:rsidRPr="00CE34CB">
        <w:rPr>
          <w:i/>
          <w:iCs/>
        </w:rPr>
        <w:t xml:space="preserve"> November 2025</w:t>
      </w:r>
      <w:r w:rsidRPr="00CE34CB">
        <w:t>).</w:t>
      </w:r>
    </w:p>
    <w:p w14:paraId="37D37065" w14:textId="77777777" w:rsidR="00CE34CB" w:rsidRPr="00CE34CB" w:rsidRDefault="00CE34CB" w:rsidP="00CE34CB">
      <w:proofErr w:type="spellStart"/>
      <w:r w:rsidRPr="00CE34CB">
        <w:t>EvaluatePharma</w:t>
      </w:r>
      <w:proofErr w:type="spellEnd"/>
      <w:r w:rsidRPr="00CE34CB">
        <w:t xml:space="preserve"> (2024</w:t>
      </w:r>
      <w:r w:rsidRPr="00CE34CB">
        <w:rPr>
          <w:b/>
          <w:bCs/>
        </w:rPr>
        <w:t>)</w:t>
      </w:r>
      <w:r w:rsidRPr="00CE34CB">
        <w:t xml:space="preserve"> World Preview 2024: Outlook to 2030.</w:t>
      </w:r>
      <w:r w:rsidRPr="00CE34CB">
        <w:br/>
        <w:t xml:space="preserve">Available at: </w:t>
      </w:r>
      <w:hyperlink r:id="rId13" w:tgtFrame="_new" w:history="1">
        <w:r w:rsidRPr="00CE34CB">
          <w:rPr>
            <w:rStyle w:val="Hyperlink"/>
          </w:rPr>
          <w:t>https://www.evaluate.com/thought-leadership/pharma/world-preview-2024-outlook-2030</w:t>
        </w:r>
      </w:hyperlink>
      <w:r w:rsidRPr="00CE34CB">
        <w:br/>
        <w:t xml:space="preserve">(Accessed: </w:t>
      </w:r>
      <w:r w:rsidRPr="00CE34CB">
        <w:rPr>
          <w:i/>
          <w:iCs/>
        </w:rPr>
        <w:t>3 November 2025</w:t>
      </w:r>
      <w:r w:rsidRPr="00CE34CB">
        <w:t>).</w:t>
      </w:r>
    </w:p>
    <w:p w14:paraId="458BA76F" w14:textId="77777777" w:rsidR="00CE34CB" w:rsidRPr="00CE34CB" w:rsidRDefault="00CE34CB" w:rsidP="00CE34CB">
      <w:r w:rsidRPr="00CE34CB">
        <w:t>EY (2023) Global Life Sciences Survey 2023: Patient Experience and Digital Engagement.</w:t>
      </w:r>
      <w:r w:rsidRPr="00CE34CB">
        <w:br/>
        <w:t xml:space="preserve">Available at: </w:t>
      </w:r>
      <w:hyperlink r:id="rId14" w:tgtFrame="_new" w:history="1">
        <w:r w:rsidRPr="00CE34CB">
          <w:rPr>
            <w:rStyle w:val="Hyperlink"/>
          </w:rPr>
          <w:t>https://www.ey.com</w:t>
        </w:r>
      </w:hyperlink>
      <w:r w:rsidRPr="00CE34CB">
        <w:br/>
        <w:t xml:space="preserve">(Accessed: </w:t>
      </w:r>
      <w:r w:rsidRPr="00CE34CB">
        <w:rPr>
          <w:i/>
          <w:iCs/>
        </w:rPr>
        <w:t>15 November 2025</w:t>
      </w:r>
      <w:r w:rsidRPr="00CE34CB">
        <w:t>).</w:t>
      </w:r>
    </w:p>
    <w:p w14:paraId="19A337E0" w14:textId="77777777" w:rsidR="00CE34CB" w:rsidRPr="00CE34CB" w:rsidRDefault="00CE34CB" w:rsidP="00CE34CB">
      <w:r w:rsidRPr="00CE34CB">
        <w:t>Financial Times (2024) Pharma and Tech Convergence in Healthcare.</w:t>
      </w:r>
      <w:r w:rsidRPr="00CE34CB">
        <w:br/>
        <w:t xml:space="preserve">Available at: </w:t>
      </w:r>
      <w:hyperlink r:id="rId15" w:tgtFrame="_new" w:history="1">
        <w:r w:rsidRPr="00CE34CB">
          <w:rPr>
            <w:rStyle w:val="Hyperlink"/>
          </w:rPr>
          <w:t>https://www.ft.com</w:t>
        </w:r>
      </w:hyperlink>
      <w:r w:rsidRPr="00CE34CB">
        <w:br/>
        <w:t xml:space="preserve">(Accessed: </w:t>
      </w:r>
      <w:r w:rsidRPr="00CE34CB">
        <w:rPr>
          <w:i/>
          <w:iCs/>
        </w:rPr>
        <w:t>18 November 2025</w:t>
      </w:r>
      <w:r w:rsidRPr="00CE34CB">
        <w:t>).</w:t>
      </w:r>
    </w:p>
    <w:p w14:paraId="25A34B18" w14:textId="77777777" w:rsidR="00CE34CB" w:rsidRPr="00CE34CB" w:rsidRDefault="00CE34CB" w:rsidP="00CE34CB">
      <w:r w:rsidRPr="00CE34CB">
        <w:t>Gartner (2024) Healthcare and Life Sciences Predictions 2024.</w:t>
      </w:r>
      <w:r w:rsidRPr="00CE34CB">
        <w:br/>
        <w:t xml:space="preserve">Available at: </w:t>
      </w:r>
      <w:hyperlink r:id="rId16" w:tgtFrame="_new" w:history="1">
        <w:r w:rsidRPr="00CE34CB">
          <w:rPr>
            <w:rStyle w:val="Hyperlink"/>
          </w:rPr>
          <w:t>https://www.gartner.com</w:t>
        </w:r>
      </w:hyperlink>
      <w:r w:rsidRPr="00CE34CB">
        <w:br/>
        <w:t xml:space="preserve">(Accessed: </w:t>
      </w:r>
      <w:r w:rsidRPr="00CE34CB">
        <w:rPr>
          <w:i/>
          <w:iCs/>
        </w:rPr>
        <w:t>25 November 2025</w:t>
      </w:r>
      <w:r w:rsidRPr="00CE34CB">
        <w:t>).</w:t>
      </w:r>
    </w:p>
    <w:p w14:paraId="04848C79" w14:textId="77777777" w:rsidR="00CE34CB" w:rsidRPr="00CE34CB" w:rsidRDefault="00CE34CB" w:rsidP="00CE34CB">
      <w:r w:rsidRPr="00CE34CB">
        <w:t>IQVIA (2023) Global Trends in Digital Health and Real-World Evidence.</w:t>
      </w:r>
      <w:r w:rsidRPr="00CE34CB">
        <w:br/>
        <w:t xml:space="preserve">Available at: </w:t>
      </w:r>
      <w:hyperlink r:id="rId17" w:tgtFrame="_new" w:history="1">
        <w:r w:rsidRPr="00CE34CB">
          <w:rPr>
            <w:rStyle w:val="Hyperlink"/>
          </w:rPr>
          <w:t>https://www.iqvia.com</w:t>
        </w:r>
      </w:hyperlink>
      <w:r w:rsidRPr="00CE34CB">
        <w:br/>
        <w:t xml:space="preserve">(Accessed: </w:t>
      </w:r>
      <w:r w:rsidRPr="00CE34CB">
        <w:rPr>
          <w:i/>
          <w:iCs/>
        </w:rPr>
        <w:t>20 November 2025</w:t>
      </w:r>
      <w:r w:rsidRPr="00CE34CB">
        <w:t>).</w:t>
      </w:r>
    </w:p>
    <w:p w14:paraId="6C0DACA3" w14:textId="77777777" w:rsidR="00CE34CB" w:rsidRPr="00CE34CB" w:rsidRDefault="00CE34CB" w:rsidP="00CE34CB">
      <w:r w:rsidRPr="00CE34CB">
        <w:t>KPMG (2024) Life Sciences Outlook 2024: Digital Acceleration in Pharma.</w:t>
      </w:r>
      <w:r w:rsidRPr="00CE34CB">
        <w:br/>
        <w:t xml:space="preserve">Available at: </w:t>
      </w:r>
      <w:hyperlink r:id="rId18" w:tgtFrame="_new" w:history="1">
        <w:r w:rsidRPr="00CE34CB">
          <w:rPr>
            <w:rStyle w:val="Hyperlink"/>
          </w:rPr>
          <w:t>https://www.kpmg.com</w:t>
        </w:r>
      </w:hyperlink>
      <w:r w:rsidRPr="00CE34CB">
        <w:br/>
        <w:t xml:space="preserve">(Accessed: </w:t>
      </w:r>
      <w:r w:rsidRPr="00CE34CB">
        <w:rPr>
          <w:i/>
          <w:iCs/>
        </w:rPr>
        <w:t>22 November 2025</w:t>
      </w:r>
      <w:r w:rsidRPr="00CE34CB">
        <w:t>).</w:t>
      </w:r>
    </w:p>
    <w:p w14:paraId="63A4C945" w14:textId="77777777" w:rsidR="00CE34CB" w:rsidRPr="00CE34CB" w:rsidRDefault="00CE34CB" w:rsidP="00CE34CB">
      <w:r w:rsidRPr="00CE34CB">
        <w:lastRenderedPageBreak/>
        <w:t>McKinsey &amp; Company (2023) The State of Innovation in Life Sciences.</w:t>
      </w:r>
      <w:r w:rsidRPr="00CE34CB">
        <w:br/>
        <w:t xml:space="preserve">Available at: </w:t>
      </w:r>
      <w:hyperlink r:id="rId19" w:tgtFrame="_new" w:history="1">
        <w:r w:rsidRPr="00CE34CB">
          <w:rPr>
            <w:rStyle w:val="Hyperlink"/>
          </w:rPr>
          <w:t>https://www.mckinsey.com/industries/life-sciences</w:t>
        </w:r>
      </w:hyperlink>
      <w:r w:rsidRPr="00CE34CB">
        <w:br/>
        <w:t xml:space="preserve">(Accessed: </w:t>
      </w:r>
      <w:r w:rsidRPr="00CE34CB">
        <w:rPr>
          <w:i/>
          <w:iCs/>
        </w:rPr>
        <w:t>27 November 2025</w:t>
      </w:r>
      <w:r w:rsidRPr="00CE34CB">
        <w:t>).</w:t>
      </w:r>
    </w:p>
    <w:p w14:paraId="43CA572C" w14:textId="77777777" w:rsidR="00CE34CB" w:rsidRPr="00CE34CB" w:rsidRDefault="00CE34CB" w:rsidP="00CE34CB">
      <w:r w:rsidRPr="00CE34CB">
        <w:t>Microsoft UK (2023) AI Factory for Health: Transforming Data-Driven R&amp;D.</w:t>
      </w:r>
      <w:r w:rsidRPr="00CE34CB">
        <w:br/>
        <w:t xml:space="preserve">Available at: </w:t>
      </w:r>
      <w:hyperlink r:id="rId20" w:tgtFrame="_new" w:history="1">
        <w:r w:rsidRPr="00CE34CB">
          <w:rPr>
            <w:rStyle w:val="Hyperlink"/>
          </w:rPr>
          <w:t>https://news.microsoft.com/en-gb/</w:t>
        </w:r>
      </w:hyperlink>
      <w:r w:rsidRPr="00CE34CB">
        <w:br/>
        <w:t xml:space="preserve">(Accessed: </w:t>
      </w:r>
      <w:r w:rsidRPr="00CE34CB">
        <w:rPr>
          <w:i/>
          <w:iCs/>
        </w:rPr>
        <w:t>30 November 2025</w:t>
      </w:r>
      <w:r w:rsidRPr="00CE34CB">
        <w:t>).</w:t>
      </w:r>
    </w:p>
    <w:p w14:paraId="447F1D88" w14:textId="77777777" w:rsidR="00CE34CB" w:rsidRPr="00CE34CB" w:rsidRDefault="00CE34CB" w:rsidP="00CE34CB">
      <w:r w:rsidRPr="00CE34CB">
        <w:t>Mintel (2024) UK Health and Wellness in the Home Market Report.</w:t>
      </w:r>
      <w:r w:rsidRPr="00CE34CB">
        <w:br/>
        <w:t xml:space="preserve">Available at: </w:t>
      </w:r>
      <w:hyperlink r:id="rId21" w:tgtFrame="_new" w:history="1">
        <w:r w:rsidRPr="00CE34CB">
          <w:rPr>
            <w:rStyle w:val="Hyperlink"/>
          </w:rPr>
          <w:t>https://store.mintel.com/report/uk-health-and-wellness-in-the-home-market-report</w:t>
        </w:r>
      </w:hyperlink>
      <w:r w:rsidRPr="00CE34CB">
        <w:br/>
        <w:t xml:space="preserve">(Accessed: </w:t>
      </w:r>
      <w:r w:rsidRPr="00CE34CB">
        <w:rPr>
          <w:i/>
          <w:iCs/>
        </w:rPr>
        <w:t>2 December 2025</w:t>
      </w:r>
      <w:r w:rsidRPr="00CE34CB">
        <w:t>).</w:t>
      </w:r>
    </w:p>
    <w:p w14:paraId="5B9CCF7C" w14:textId="77777777" w:rsidR="00CE34CB" w:rsidRPr="00CE34CB" w:rsidRDefault="00CE34CB" w:rsidP="00CE34CB">
      <w:r w:rsidRPr="00CE34CB">
        <w:t>Nature Medicine (2022) Precision Medicine Advances and Applications.</w:t>
      </w:r>
      <w:r w:rsidRPr="00CE34CB">
        <w:br/>
        <w:t xml:space="preserve">Available at: </w:t>
      </w:r>
      <w:hyperlink r:id="rId22" w:tgtFrame="_new" w:history="1">
        <w:r w:rsidRPr="00CE34CB">
          <w:rPr>
            <w:rStyle w:val="Hyperlink"/>
          </w:rPr>
          <w:t>https://www.nature.com/nm</w:t>
        </w:r>
      </w:hyperlink>
      <w:r w:rsidRPr="00CE34CB">
        <w:br/>
        <w:t xml:space="preserve">(Accessed: </w:t>
      </w:r>
      <w:r w:rsidRPr="00CE34CB">
        <w:rPr>
          <w:i/>
          <w:iCs/>
        </w:rPr>
        <w:t>6 December 2025</w:t>
      </w:r>
      <w:r w:rsidRPr="00CE34CB">
        <w:t>).</w:t>
      </w:r>
    </w:p>
    <w:p w14:paraId="29D0A329" w14:textId="77777777" w:rsidR="00CE34CB" w:rsidRPr="00CE34CB" w:rsidRDefault="00CE34CB" w:rsidP="00CE34CB">
      <w:r w:rsidRPr="00CE34CB">
        <w:t>OECD (2022) Health Statistics 2022: Digital Health and Patient Empowerment.</w:t>
      </w:r>
      <w:r w:rsidRPr="00CE34CB">
        <w:br/>
        <w:t xml:space="preserve">Available at: </w:t>
      </w:r>
      <w:hyperlink r:id="rId23" w:tgtFrame="_new" w:history="1">
        <w:r w:rsidRPr="00CE34CB">
          <w:rPr>
            <w:rStyle w:val="Hyperlink"/>
          </w:rPr>
          <w:t>https://www.oecd.org</w:t>
        </w:r>
      </w:hyperlink>
      <w:r w:rsidRPr="00CE34CB">
        <w:br/>
        <w:t xml:space="preserve">(Accessed: </w:t>
      </w:r>
      <w:r w:rsidRPr="00CE34CB">
        <w:rPr>
          <w:i/>
          <w:iCs/>
        </w:rPr>
        <w:t>8 December 2025</w:t>
      </w:r>
      <w:r w:rsidRPr="00CE34CB">
        <w:t>).</w:t>
      </w:r>
    </w:p>
    <w:p w14:paraId="441030F0" w14:textId="77777777" w:rsidR="00CE34CB" w:rsidRPr="00CE34CB" w:rsidRDefault="00CE34CB" w:rsidP="00CE34CB">
      <w:r w:rsidRPr="00CE34CB">
        <w:t>OECD (2023) Digital Health and Patient Empowerment Report 2023.</w:t>
      </w:r>
      <w:r w:rsidRPr="00CE34CB">
        <w:br/>
        <w:t xml:space="preserve">Available at: </w:t>
      </w:r>
      <w:hyperlink r:id="rId24" w:tgtFrame="_new" w:history="1">
        <w:r w:rsidRPr="00CE34CB">
          <w:rPr>
            <w:rStyle w:val="Hyperlink"/>
          </w:rPr>
          <w:t>https://www.oecd.org</w:t>
        </w:r>
      </w:hyperlink>
      <w:r w:rsidRPr="00CE34CB">
        <w:br/>
        <w:t xml:space="preserve">(Accessed: </w:t>
      </w:r>
      <w:r w:rsidRPr="00CE34CB">
        <w:rPr>
          <w:i/>
          <w:iCs/>
        </w:rPr>
        <w:t>25 November 2025</w:t>
      </w:r>
      <w:r w:rsidRPr="00CE34CB">
        <w:t>).</w:t>
      </w:r>
    </w:p>
    <w:p w14:paraId="3C32473F" w14:textId="77777777" w:rsidR="00CE34CB" w:rsidRPr="00CE34CB" w:rsidRDefault="00CE34CB" w:rsidP="00CE34CB">
      <w:r w:rsidRPr="00CE34CB">
        <w:t>PwC (2023) Pharma 2023: The Digital Transformation of Drug Development.</w:t>
      </w:r>
      <w:r w:rsidRPr="00CE34CB">
        <w:br/>
        <w:t xml:space="preserve">Available at: </w:t>
      </w:r>
      <w:hyperlink r:id="rId25" w:tgtFrame="_new" w:history="1">
        <w:r w:rsidRPr="00CE34CB">
          <w:rPr>
            <w:rStyle w:val="Hyperlink"/>
          </w:rPr>
          <w:t>https://www.pwc.com/gx/en/industries/pharma-life-sciences/pharma-2023.html</w:t>
        </w:r>
      </w:hyperlink>
      <w:r w:rsidRPr="00CE34CB">
        <w:br/>
        <w:t xml:space="preserve">(Accessed: </w:t>
      </w:r>
      <w:r w:rsidRPr="00CE34CB">
        <w:rPr>
          <w:i/>
          <w:iCs/>
        </w:rPr>
        <w:t>13 November 2025</w:t>
      </w:r>
      <w:r w:rsidRPr="00CE34CB">
        <w:t>).</w:t>
      </w:r>
    </w:p>
    <w:p w14:paraId="6FE4107A" w14:textId="77777777" w:rsidR="00CE34CB" w:rsidRPr="00CE34CB" w:rsidRDefault="00CE34CB" w:rsidP="00CE34CB">
      <w:r w:rsidRPr="00CE34CB">
        <w:t>PwC (2025) Next in Pharma 2025: The Future is Now.</w:t>
      </w:r>
      <w:r w:rsidRPr="00CE34CB">
        <w:br/>
        <w:t xml:space="preserve">Available at: </w:t>
      </w:r>
      <w:hyperlink r:id="rId26" w:tgtFrame="_new" w:history="1">
        <w:r w:rsidRPr="00CE34CB">
          <w:rPr>
            <w:rStyle w:val="Hyperlink"/>
          </w:rPr>
          <w:t>https://www.pwc.com/us/en/industries/pharma-life-sciences/pharmaceutical-industry-trends.html</w:t>
        </w:r>
      </w:hyperlink>
      <w:r w:rsidRPr="00CE34CB">
        <w:br/>
        <w:t xml:space="preserve">(Accessed: </w:t>
      </w:r>
      <w:r w:rsidRPr="00CE34CB">
        <w:rPr>
          <w:i/>
          <w:iCs/>
        </w:rPr>
        <w:t>19 November 2025</w:t>
      </w:r>
      <w:r w:rsidRPr="00CE34CB">
        <w:t>).</w:t>
      </w:r>
    </w:p>
    <w:p w14:paraId="1B591B4C" w14:textId="77777777" w:rsidR="00CE34CB" w:rsidRPr="00CE34CB" w:rsidRDefault="00CE34CB" w:rsidP="00CE34CB">
      <w:r w:rsidRPr="00CE34CB">
        <w:t>Statista (2024) Digital Health Usage and Telemedicine Adoption Worldwide 2020–2024.</w:t>
      </w:r>
      <w:r w:rsidRPr="00CE34CB">
        <w:br/>
        <w:t xml:space="preserve">Available at: </w:t>
      </w:r>
      <w:hyperlink r:id="rId27" w:tgtFrame="_new" w:history="1">
        <w:r w:rsidRPr="00CE34CB">
          <w:rPr>
            <w:rStyle w:val="Hyperlink"/>
          </w:rPr>
          <w:t>https://www.statista.com</w:t>
        </w:r>
      </w:hyperlink>
      <w:r w:rsidRPr="00CE34CB">
        <w:br/>
        <w:t xml:space="preserve">(Accessed: </w:t>
      </w:r>
      <w:r w:rsidRPr="00CE34CB">
        <w:rPr>
          <w:i/>
          <w:iCs/>
        </w:rPr>
        <w:t>4 November 2025</w:t>
      </w:r>
      <w:r w:rsidRPr="00CE34CB">
        <w:t>).</w:t>
      </w:r>
    </w:p>
    <w:p w14:paraId="4478F991" w14:textId="77777777" w:rsidR="00CE34CB" w:rsidRPr="00CE34CB" w:rsidRDefault="00CE34CB" w:rsidP="00CE34CB">
      <w:r w:rsidRPr="00CE34CB">
        <w:t>World Economic Forum (2024) Global Health and Digital Transformation Report 2024.</w:t>
      </w:r>
      <w:r w:rsidRPr="00CE34CB">
        <w:br/>
        <w:t xml:space="preserve">Available at: </w:t>
      </w:r>
      <w:hyperlink r:id="rId28" w:tgtFrame="_new" w:history="1">
        <w:r w:rsidRPr="00CE34CB">
          <w:rPr>
            <w:rStyle w:val="Hyperlink"/>
          </w:rPr>
          <w:t>https://www.weforum.org/reports/global-health-digital-transformation-2024</w:t>
        </w:r>
      </w:hyperlink>
      <w:r w:rsidRPr="00CE34CB">
        <w:br/>
        <w:t xml:space="preserve">(Accessed: </w:t>
      </w:r>
      <w:r w:rsidRPr="00CE34CB">
        <w:rPr>
          <w:i/>
          <w:iCs/>
        </w:rPr>
        <w:t>28 November 2025</w:t>
      </w:r>
      <w:r w:rsidRPr="00CE34CB">
        <w:t>).</w:t>
      </w:r>
    </w:p>
    <w:p w14:paraId="700B0A09" w14:textId="77777777" w:rsidR="00CE34CB" w:rsidRPr="00CE34CB" w:rsidRDefault="00CE34CB" w:rsidP="00CE34CB">
      <w:r w:rsidRPr="00CE34CB">
        <w:t>ZS Associates (2025) Pharmaceutical Industry Trends 2025: Outlook and Strategies.</w:t>
      </w:r>
      <w:r w:rsidRPr="00CE34CB">
        <w:br/>
        <w:t xml:space="preserve">Available at: </w:t>
      </w:r>
      <w:hyperlink r:id="rId29" w:tgtFrame="_new" w:history="1">
        <w:r w:rsidRPr="00CE34CB">
          <w:rPr>
            <w:rStyle w:val="Hyperlink"/>
          </w:rPr>
          <w:t>https://www.zs.com/insights/pharmaceutical-trends-2025-outlook-ai-</w:t>
        </w:r>
        <w:r w:rsidRPr="00CE34CB">
          <w:rPr>
            <w:rStyle w:val="Hyperlink"/>
          </w:rPr>
          <w:lastRenderedPageBreak/>
          <w:t>supplychain-and-beyond</w:t>
        </w:r>
      </w:hyperlink>
      <w:r w:rsidRPr="00CE34CB">
        <w:br/>
        <w:t xml:space="preserve">(Accessed: </w:t>
      </w:r>
      <w:r w:rsidRPr="00CE34CB">
        <w:rPr>
          <w:i/>
          <w:iCs/>
        </w:rPr>
        <w:t>21 November 2025</w:t>
      </w:r>
      <w:r w:rsidRPr="00CE34CB">
        <w:t>).</w:t>
      </w:r>
    </w:p>
    <w:p w14:paraId="147BEDF4" w14:textId="77777777" w:rsidR="001D47FE" w:rsidRPr="001D47FE" w:rsidRDefault="001D47FE" w:rsidP="001D47FE"/>
    <w:p w14:paraId="76589F5D" w14:textId="77777777" w:rsidR="005F0CFE" w:rsidRPr="005F0CFE" w:rsidRDefault="005F0CFE" w:rsidP="005F0CFE"/>
    <w:p w14:paraId="338C8994" w14:textId="77777777" w:rsidR="00867BF8" w:rsidRPr="001755F9" w:rsidRDefault="00867BF8" w:rsidP="00237DFF">
      <w:pPr>
        <w:rPr>
          <w:rFonts w:ascii="Arial" w:hAnsi="Arial" w:cs="Arial"/>
          <w:sz w:val="22"/>
          <w:szCs w:val="22"/>
        </w:rPr>
      </w:pPr>
    </w:p>
    <w:p w14:paraId="466E8BD4" w14:textId="77777777" w:rsidR="002767E1" w:rsidRPr="001755F9" w:rsidRDefault="002767E1" w:rsidP="000F29BF">
      <w:pPr>
        <w:rPr>
          <w:rFonts w:ascii="Arial" w:hAnsi="Arial" w:cs="Arial"/>
          <w:b/>
          <w:bCs/>
          <w:sz w:val="22"/>
          <w:szCs w:val="22"/>
        </w:rPr>
      </w:pPr>
    </w:p>
    <w:p w14:paraId="021681EF" w14:textId="77777777" w:rsidR="005604FF" w:rsidRPr="001755F9" w:rsidRDefault="005604FF" w:rsidP="00F81D23">
      <w:pPr>
        <w:rPr>
          <w:rFonts w:ascii="Arial" w:hAnsi="Arial" w:cs="Arial"/>
          <w:sz w:val="22"/>
          <w:szCs w:val="22"/>
        </w:rPr>
      </w:pPr>
    </w:p>
    <w:sectPr w:rsidR="005604FF" w:rsidRPr="001755F9">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EC5E16" w14:textId="77777777" w:rsidR="00446890" w:rsidRDefault="00446890" w:rsidP="000C09F0">
      <w:pPr>
        <w:spacing w:after="0" w:line="240" w:lineRule="auto"/>
      </w:pPr>
      <w:r>
        <w:separator/>
      </w:r>
    </w:p>
  </w:endnote>
  <w:endnote w:type="continuationSeparator" w:id="0">
    <w:p w14:paraId="4E060445" w14:textId="77777777" w:rsidR="00446890" w:rsidRDefault="00446890" w:rsidP="000C0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2536C" w14:textId="77777777" w:rsidR="000C09F0" w:rsidRDefault="000C09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1654AF" w14:textId="77777777" w:rsidR="000C09F0" w:rsidRDefault="000C09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5FE2F" w14:textId="77777777" w:rsidR="000C09F0" w:rsidRDefault="000C0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273F8" w14:textId="77777777" w:rsidR="00446890" w:rsidRDefault="00446890" w:rsidP="000C09F0">
      <w:pPr>
        <w:spacing w:after="0" w:line="240" w:lineRule="auto"/>
      </w:pPr>
      <w:r>
        <w:separator/>
      </w:r>
    </w:p>
  </w:footnote>
  <w:footnote w:type="continuationSeparator" w:id="0">
    <w:p w14:paraId="1EF1767A" w14:textId="77777777" w:rsidR="00446890" w:rsidRDefault="00446890" w:rsidP="000C09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AA8937" w14:textId="77777777" w:rsidR="000C09F0" w:rsidRDefault="000C09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B7717" w14:textId="77777777" w:rsidR="000C09F0" w:rsidRDefault="000C09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0CF62" w14:textId="77777777" w:rsidR="000C09F0" w:rsidRDefault="000C09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70F7F"/>
    <w:multiLevelType w:val="multilevel"/>
    <w:tmpl w:val="4FEA3858"/>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B907E6"/>
    <w:multiLevelType w:val="multilevel"/>
    <w:tmpl w:val="D8D8743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78B46D9"/>
    <w:multiLevelType w:val="hybridMultilevel"/>
    <w:tmpl w:val="BB2E7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A76174"/>
    <w:multiLevelType w:val="hybridMultilevel"/>
    <w:tmpl w:val="2C50643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C43AE1"/>
    <w:multiLevelType w:val="hybridMultilevel"/>
    <w:tmpl w:val="18C21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0A1AD5"/>
    <w:multiLevelType w:val="multilevel"/>
    <w:tmpl w:val="9A7AD66A"/>
    <w:lvl w:ilvl="0">
      <w:start w:val="1"/>
      <w:numFmt w:val="decimal"/>
      <w:lvlText w:val="%1."/>
      <w:lvlJc w:val="left"/>
      <w:pPr>
        <w:ind w:left="720" w:hanging="360"/>
      </w:pPr>
      <w:rPr>
        <w:rFonts w:hint="default"/>
      </w:rPr>
    </w:lvl>
    <w:lvl w:ilvl="1">
      <w:start w:val="4"/>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BCE6FCE"/>
    <w:multiLevelType w:val="multilevel"/>
    <w:tmpl w:val="18362C1C"/>
    <w:lvl w:ilvl="0">
      <w:start w:val="7"/>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3BB4452"/>
    <w:multiLevelType w:val="multilevel"/>
    <w:tmpl w:val="63D6658A"/>
    <w:lvl w:ilvl="0">
      <w:start w:val="4"/>
      <w:numFmt w:val="decimal"/>
      <w:lvlText w:val="%1."/>
      <w:lvlJc w:val="left"/>
      <w:pPr>
        <w:ind w:left="720" w:hanging="360"/>
      </w:pPr>
      <w:rPr>
        <w:rFonts w:hint="default"/>
      </w:rPr>
    </w:lvl>
    <w:lvl w:ilvl="1">
      <w:start w:val="2"/>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74977C9"/>
    <w:multiLevelType w:val="hybridMultilevel"/>
    <w:tmpl w:val="94CA9AA4"/>
    <w:lvl w:ilvl="0" w:tplc="883CDC28">
      <w:start w:val="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07589202">
    <w:abstractNumId w:val="4"/>
  </w:num>
  <w:num w:numId="2" w16cid:durableId="222450322">
    <w:abstractNumId w:val="0"/>
  </w:num>
  <w:num w:numId="3" w16cid:durableId="1907960180">
    <w:abstractNumId w:val="1"/>
  </w:num>
  <w:num w:numId="4" w16cid:durableId="1688095642">
    <w:abstractNumId w:val="3"/>
  </w:num>
  <w:num w:numId="5" w16cid:durableId="56709425">
    <w:abstractNumId w:val="7"/>
  </w:num>
  <w:num w:numId="6" w16cid:durableId="483745517">
    <w:abstractNumId w:val="5"/>
  </w:num>
  <w:num w:numId="7" w16cid:durableId="2101292547">
    <w:abstractNumId w:val="2"/>
  </w:num>
  <w:num w:numId="8" w16cid:durableId="789278195">
    <w:abstractNumId w:val="8"/>
  </w:num>
  <w:num w:numId="9" w16cid:durableId="10770228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E57"/>
    <w:rsid w:val="00005821"/>
    <w:rsid w:val="0001333F"/>
    <w:rsid w:val="00033CFE"/>
    <w:rsid w:val="00041472"/>
    <w:rsid w:val="000522D3"/>
    <w:rsid w:val="0005345A"/>
    <w:rsid w:val="00053D8D"/>
    <w:rsid w:val="0005692D"/>
    <w:rsid w:val="00074A3B"/>
    <w:rsid w:val="00077AA9"/>
    <w:rsid w:val="00090F88"/>
    <w:rsid w:val="000A2588"/>
    <w:rsid w:val="000A5704"/>
    <w:rsid w:val="000A7D66"/>
    <w:rsid w:val="000B3278"/>
    <w:rsid w:val="000C086C"/>
    <w:rsid w:val="000C09F0"/>
    <w:rsid w:val="000D2DF3"/>
    <w:rsid w:val="000D3901"/>
    <w:rsid w:val="000E2C17"/>
    <w:rsid w:val="000E3D93"/>
    <w:rsid w:val="000E6F98"/>
    <w:rsid w:val="000F29BF"/>
    <w:rsid w:val="000F2A5F"/>
    <w:rsid w:val="000F59E7"/>
    <w:rsid w:val="00112D19"/>
    <w:rsid w:val="00117CB1"/>
    <w:rsid w:val="00121D21"/>
    <w:rsid w:val="0012304C"/>
    <w:rsid w:val="00130A0A"/>
    <w:rsid w:val="0013449E"/>
    <w:rsid w:val="00136ED3"/>
    <w:rsid w:val="001419B8"/>
    <w:rsid w:val="00151A71"/>
    <w:rsid w:val="00167366"/>
    <w:rsid w:val="00173A83"/>
    <w:rsid w:val="0017447D"/>
    <w:rsid w:val="001755F9"/>
    <w:rsid w:val="00192A48"/>
    <w:rsid w:val="00194086"/>
    <w:rsid w:val="00196650"/>
    <w:rsid w:val="001D0A26"/>
    <w:rsid w:val="001D47FE"/>
    <w:rsid w:val="001E394D"/>
    <w:rsid w:val="001E53CD"/>
    <w:rsid w:val="001F2043"/>
    <w:rsid w:val="001F6844"/>
    <w:rsid w:val="00213CE4"/>
    <w:rsid w:val="00223471"/>
    <w:rsid w:val="00237DFF"/>
    <w:rsid w:val="00241580"/>
    <w:rsid w:val="002452C4"/>
    <w:rsid w:val="00266057"/>
    <w:rsid w:val="002737E0"/>
    <w:rsid w:val="00274ACB"/>
    <w:rsid w:val="002767E1"/>
    <w:rsid w:val="002818F5"/>
    <w:rsid w:val="002C6103"/>
    <w:rsid w:val="002D26F1"/>
    <w:rsid w:val="002D5877"/>
    <w:rsid w:val="002F11F2"/>
    <w:rsid w:val="002F2B3C"/>
    <w:rsid w:val="00301BC4"/>
    <w:rsid w:val="003024AE"/>
    <w:rsid w:val="00303690"/>
    <w:rsid w:val="003070BF"/>
    <w:rsid w:val="003159F7"/>
    <w:rsid w:val="003252A8"/>
    <w:rsid w:val="0032737F"/>
    <w:rsid w:val="00337B41"/>
    <w:rsid w:val="00340D38"/>
    <w:rsid w:val="003579D2"/>
    <w:rsid w:val="00373277"/>
    <w:rsid w:val="003846C6"/>
    <w:rsid w:val="003A0F0C"/>
    <w:rsid w:val="003A336D"/>
    <w:rsid w:val="003A373C"/>
    <w:rsid w:val="003A73F6"/>
    <w:rsid w:val="003B7397"/>
    <w:rsid w:val="003C04A4"/>
    <w:rsid w:val="003C247C"/>
    <w:rsid w:val="003C4014"/>
    <w:rsid w:val="003C75C8"/>
    <w:rsid w:val="003D2D52"/>
    <w:rsid w:val="003D4371"/>
    <w:rsid w:val="003E572E"/>
    <w:rsid w:val="003E7898"/>
    <w:rsid w:val="003F78B7"/>
    <w:rsid w:val="004136A7"/>
    <w:rsid w:val="004201FD"/>
    <w:rsid w:val="00437B48"/>
    <w:rsid w:val="00442218"/>
    <w:rsid w:val="00446890"/>
    <w:rsid w:val="004476DF"/>
    <w:rsid w:val="0046248F"/>
    <w:rsid w:val="0046253B"/>
    <w:rsid w:val="004902DC"/>
    <w:rsid w:val="00493E14"/>
    <w:rsid w:val="004A14EC"/>
    <w:rsid w:val="004A21CB"/>
    <w:rsid w:val="004D1FBC"/>
    <w:rsid w:val="004D4617"/>
    <w:rsid w:val="004F4820"/>
    <w:rsid w:val="004F7C0A"/>
    <w:rsid w:val="004F7F50"/>
    <w:rsid w:val="00525387"/>
    <w:rsid w:val="005267C8"/>
    <w:rsid w:val="00526B1A"/>
    <w:rsid w:val="00554A8E"/>
    <w:rsid w:val="005564CB"/>
    <w:rsid w:val="005565AC"/>
    <w:rsid w:val="005604FF"/>
    <w:rsid w:val="00592B56"/>
    <w:rsid w:val="005B1ABF"/>
    <w:rsid w:val="005D239F"/>
    <w:rsid w:val="005D48A5"/>
    <w:rsid w:val="005E11B0"/>
    <w:rsid w:val="005F0CFE"/>
    <w:rsid w:val="005F1ECB"/>
    <w:rsid w:val="005F36FA"/>
    <w:rsid w:val="005F75CE"/>
    <w:rsid w:val="00606127"/>
    <w:rsid w:val="006072B1"/>
    <w:rsid w:val="00611A25"/>
    <w:rsid w:val="00611E57"/>
    <w:rsid w:val="00616BF8"/>
    <w:rsid w:val="0062049D"/>
    <w:rsid w:val="00622932"/>
    <w:rsid w:val="00623B92"/>
    <w:rsid w:val="0063040B"/>
    <w:rsid w:val="0063415B"/>
    <w:rsid w:val="00642303"/>
    <w:rsid w:val="00652A19"/>
    <w:rsid w:val="00655E28"/>
    <w:rsid w:val="00660E3F"/>
    <w:rsid w:val="00665D23"/>
    <w:rsid w:val="00670AC5"/>
    <w:rsid w:val="00676792"/>
    <w:rsid w:val="00694696"/>
    <w:rsid w:val="006C1EA1"/>
    <w:rsid w:val="006E5D94"/>
    <w:rsid w:val="00751730"/>
    <w:rsid w:val="007722A5"/>
    <w:rsid w:val="00790816"/>
    <w:rsid w:val="0079324A"/>
    <w:rsid w:val="007B7505"/>
    <w:rsid w:val="007D6906"/>
    <w:rsid w:val="007D71EB"/>
    <w:rsid w:val="007E5321"/>
    <w:rsid w:val="007F1836"/>
    <w:rsid w:val="007F4E6E"/>
    <w:rsid w:val="007F6DC5"/>
    <w:rsid w:val="008026EE"/>
    <w:rsid w:val="00811628"/>
    <w:rsid w:val="00833913"/>
    <w:rsid w:val="00843B0C"/>
    <w:rsid w:val="00850F9B"/>
    <w:rsid w:val="008513F6"/>
    <w:rsid w:val="00855F24"/>
    <w:rsid w:val="008642C6"/>
    <w:rsid w:val="00867BF8"/>
    <w:rsid w:val="00892050"/>
    <w:rsid w:val="008A7B2B"/>
    <w:rsid w:val="008B0983"/>
    <w:rsid w:val="008C75C1"/>
    <w:rsid w:val="008D589F"/>
    <w:rsid w:val="008D76B2"/>
    <w:rsid w:val="008E1D6C"/>
    <w:rsid w:val="008E5D94"/>
    <w:rsid w:val="008F1936"/>
    <w:rsid w:val="00904F8A"/>
    <w:rsid w:val="00921DFE"/>
    <w:rsid w:val="00935A55"/>
    <w:rsid w:val="00936915"/>
    <w:rsid w:val="00964DCA"/>
    <w:rsid w:val="009719C8"/>
    <w:rsid w:val="009933E6"/>
    <w:rsid w:val="00995BE8"/>
    <w:rsid w:val="00996864"/>
    <w:rsid w:val="009C6CDD"/>
    <w:rsid w:val="009D6291"/>
    <w:rsid w:val="009D6C10"/>
    <w:rsid w:val="009E61D3"/>
    <w:rsid w:val="009E6BDD"/>
    <w:rsid w:val="009F1269"/>
    <w:rsid w:val="009F5765"/>
    <w:rsid w:val="009F7D44"/>
    <w:rsid w:val="00A10A98"/>
    <w:rsid w:val="00A148A4"/>
    <w:rsid w:val="00A17B7F"/>
    <w:rsid w:val="00A20B49"/>
    <w:rsid w:val="00A21A6B"/>
    <w:rsid w:val="00A33A79"/>
    <w:rsid w:val="00A63700"/>
    <w:rsid w:val="00A72960"/>
    <w:rsid w:val="00A73A95"/>
    <w:rsid w:val="00A813BA"/>
    <w:rsid w:val="00A90EC4"/>
    <w:rsid w:val="00AA102B"/>
    <w:rsid w:val="00AA676F"/>
    <w:rsid w:val="00AB00AB"/>
    <w:rsid w:val="00AD72CB"/>
    <w:rsid w:val="00AE3AD8"/>
    <w:rsid w:val="00AF2D22"/>
    <w:rsid w:val="00B06754"/>
    <w:rsid w:val="00B16DAA"/>
    <w:rsid w:val="00B20194"/>
    <w:rsid w:val="00B21A91"/>
    <w:rsid w:val="00B22E56"/>
    <w:rsid w:val="00B4542E"/>
    <w:rsid w:val="00B559C7"/>
    <w:rsid w:val="00B64E03"/>
    <w:rsid w:val="00B65415"/>
    <w:rsid w:val="00B71EAB"/>
    <w:rsid w:val="00B8144F"/>
    <w:rsid w:val="00B8290D"/>
    <w:rsid w:val="00B84BFC"/>
    <w:rsid w:val="00B87FAC"/>
    <w:rsid w:val="00B9643C"/>
    <w:rsid w:val="00BA2C8D"/>
    <w:rsid w:val="00BB7406"/>
    <w:rsid w:val="00BC39C6"/>
    <w:rsid w:val="00BC44D0"/>
    <w:rsid w:val="00BC6A99"/>
    <w:rsid w:val="00BD6D67"/>
    <w:rsid w:val="00C03988"/>
    <w:rsid w:val="00C222DB"/>
    <w:rsid w:val="00C25789"/>
    <w:rsid w:val="00C3212A"/>
    <w:rsid w:val="00C35B2B"/>
    <w:rsid w:val="00C54927"/>
    <w:rsid w:val="00C56D80"/>
    <w:rsid w:val="00C5731B"/>
    <w:rsid w:val="00C64CB9"/>
    <w:rsid w:val="00C723C1"/>
    <w:rsid w:val="00C74CCF"/>
    <w:rsid w:val="00C83FE2"/>
    <w:rsid w:val="00C8638D"/>
    <w:rsid w:val="00C90521"/>
    <w:rsid w:val="00C92192"/>
    <w:rsid w:val="00C9720A"/>
    <w:rsid w:val="00CA5CD2"/>
    <w:rsid w:val="00CA72E1"/>
    <w:rsid w:val="00CB334F"/>
    <w:rsid w:val="00CB55F9"/>
    <w:rsid w:val="00CC643D"/>
    <w:rsid w:val="00CD2E77"/>
    <w:rsid w:val="00CE34CB"/>
    <w:rsid w:val="00CF0E5C"/>
    <w:rsid w:val="00CF288C"/>
    <w:rsid w:val="00D112CF"/>
    <w:rsid w:val="00D2212B"/>
    <w:rsid w:val="00D34598"/>
    <w:rsid w:val="00D47B0C"/>
    <w:rsid w:val="00D532BC"/>
    <w:rsid w:val="00D551B5"/>
    <w:rsid w:val="00D6365E"/>
    <w:rsid w:val="00D80CB8"/>
    <w:rsid w:val="00DD5824"/>
    <w:rsid w:val="00DD5A56"/>
    <w:rsid w:val="00DF2A4E"/>
    <w:rsid w:val="00E15589"/>
    <w:rsid w:val="00E17751"/>
    <w:rsid w:val="00E27005"/>
    <w:rsid w:val="00E3689B"/>
    <w:rsid w:val="00E44BC2"/>
    <w:rsid w:val="00E77060"/>
    <w:rsid w:val="00EC04AB"/>
    <w:rsid w:val="00EC63CC"/>
    <w:rsid w:val="00ED0D33"/>
    <w:rsid w:val="00F07564"/>
    <w:rsid w:val="00F10C5D"/>
    <w:rsid w:val="00F23B86"/>
    <w:rsid w:val="00F25295"/>
    <w:rsid w:val="00F27731"/>
    <w:rsid w:val="00F324D5"/>
    <w:rsid w:val="00F349A7"/>
    <w:rsid w:val="00F511B0"/>
    <w:rsid w:val="00F56C23"/>
    <w:rsid w:val="00F66D19"/>
    <w:rsid w:val="00F73FBF"/>
    <w:rsid w:val="00F81434"/>
    <w:rsid w:val="00F81D23"/>
    <w:rsid w:val="00F9583D"/>
    <w:rsid w:val="00FA5DCB"/>
    <w:rsid w:val="00FC0FBD"/>
    <w:rsid w:val="00FC65E9"/>
    <w:rsid w:val="00FD2A5F"/>
    <w:rsid w:val="00FD2CF9"/>
    <w:rsid w:val="00FE3B33"/>
    <w:rsid w:val="00FF5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58C61"/>
  <w15:chartTrackingRefBased/>
  <w15:docId w15:val="{7F6A9B94-452B-462A-ADC9-730C4519A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97"/>
  </w:style>
  <w:style w:type="paragraph" w:styleId="Heading1">
    <w:name w:val="heading 1"/>
    <w:basedOn w:val="Normal"/>
    <w:next w:val="Normal"/>
    <w:link w:val="Heading1Char"/>
    <w:uiPriority w:val="9"/>
    <w:qFormat/>
    <w:rsid w:val="00611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1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1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1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1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1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1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1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1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1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1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1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1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1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1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1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1E57"/>
    <w:rPr>
      <w:rFonts w:eastAsiaTheme="majorEastAsia" w:cstheme="majorBidi"/>
      <w:color w:val="272727" w:themeColor="text1" w:themeTint="D8"/>
    </w:rPr>
  </w:style>
  <w:style w:type="paragraph" w:styleId="Title">
    <w:name w:val="Title"/>
    <w:basedOn w:val="Normal"/>
    <w:next w:val="Normal"/>
    <w:link w:val="TitleChar"/>
    <w:uiPriority w:val="10"/>
    <w:qFormat/>
    <w:rsid w:val="00611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1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1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1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1E57"/>
    <w:pPr>
      <w:spacing w:before="160"/>
      <w:jc w:val="center"/>
    </w:pPr>
    <w:rPr>
      <w:i/>
      <w:iCs/>
      <w:color w:val="404040" w:themeColor="text1" w:themeTint="BF"/>
    </w:rPr>
  </w:style>
  <w:style w:type="character" w:customStyle="1" w:styleId="QuoteChar">
    <w:name w:val="Quote Char"/>
    <w:basedOn w:val="DefaultParagraphFont"/>
    <w:link w:val="Quote"/>
    <w:uiPriority w:val="29"/>
    <w:rsid w:val="00611E57"/>
    <w:rPr>
      <w:i/>
      <w:iCs/>
      <w:color w:val="404040" w:themeColor="text1" w:themeTint="BF"/>
    </w:rPr>
  </w:style>
  <w:style w:type="paragraph" w:styleId="ListParagraph">
    <w:name w:val="List Paragraph"/>
    <w:basedOn w:val="Normal"/>
    <w:uiPriority w:val="34"/>
    <w:qFormat/>
    <w:rsid w:val="00611E57"/>
    <w:pPr>
      <w:ind w:left="720"/>
      <w:contextualSpacing/>
    </w:pPr>
  </w:style>
  <w:style w:type="character" w:styleId="IntenseEmphasis">
    <w:name w:val="Intense Emphasis"/>
    <w:basedOn w:val="DefaultParagraphFont"/>
    <w:uiPriority w:val="21"/>
    <w:qFormat/>
    <w:rsid w:val="00611E57"/>
    <w:rPr>
      <w:i/>
      <w:iCs/>
      <w:color w:val="0F4761" w:themeColor="accent1" w:themeShade="BF"/>
    </w:rPr>
  </w:style>
  <w:style w:type="paragraph" w:styleId="IntenseQuote">
    <w:name w:val="Intense Quote"/>
    <w:basedOn w:val="Normal"/>
    <w:next w:val="Normal"/>
    <w:link w:val="IntenseQuoteChar"/>
    <w:uiPriority w:val="30"/>
    <w:qFormat/>
    <w:rsid w:val="00611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1E57"/>
    <w:rPr>
      <w:i/>
      <w:iCs/>
      <w:color w:val="0F4761" w:themeColor="accent1" w:themeShade="BF"/>
    </w:rPr>
  </w:style>
  <w:style w:type="character" w:styleId="IntenseReference">
    <w:name w:val="Intense Reference"/>
    <w:basedOn w:val="DefaultParagraphFont"/>
    <w:uiPriority w:val="32"/>
    <w:qFormat/>
    <w:rsid w:val="00611E57"/>
    <w:rPr>
      <w:b/>
      <w:bCs/>
      <w:smallCaps/>
      <w:color w:val="0F4761" w:themeColor="accent1" w:themeShade="BF"/>
      <w:spacing w:val="5"/>
    </w:rPr>
  </w:style>
  <w:style w:type="paragraph" w:styleId="Header">
    <w:name w:val="header"/>
    <w:basedOn w:val="Normal"/>
    <w:link w:val="HeaderChar"/>
    <w:uiPriority w:val="99"/>
    <w:unhideWhenUsed/>
    <w:rsid w:val="000C09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9F0"/>
  </w:style>
  <w:style w:type="paragraph" w:styleId="Footer">
    <w:name w:val="footer"/>
    <w:basedOn w:val="Normal"/>
    <w:link w:val="FooterChar"/>
    <w:uiPriority w:val="99"/>
    <w:unhideWhenUsed/>
    <w:rsid w:val="000C09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9F0"/>
  </w:style>
  <w:style w:type="paragraph" w:styleId="TOCHeading">
    <w:name w:val="TOC Heading"/>
    <w:basedOn w:val="Heading1"/>
    <w:next w:val="Normal"/>
    <w:uiPriority w:val="39"/>
    <w:unhideWhenUsed/>
    <w:qFormat/>
    <w:rsid w:val="00D345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4598"/>
    <w:pPr>
      <w:spacing w:after="100"/>
    </w:pPr>
  </w:style>
  <w:style w:type="paragraph" w:styleId="TOC2">
    <w:name w:val="toc 2"/>
    <w:basedOn w:val="Normal"/>
    <w:next w:val="Normal"/>
    <w:autoRedefine/>
    <w:uiPriority w:val="39"/>
    <w:unhideWhenUsed/>
    <w:rsid w:val="00D34598"/>
    <w:pPr>
      <w:spacing w:after="100"/>
      <w:ind w:left="240"/>
    </w:pPr>
  </w:style>
  <w:style w:type="character" w:styleId="Hyperlink">
    <w:name w:val="Hyperlink"/>
    <w:basedOn w:val="DefaultParagraphFont"/>
    <w:uiPriority w:val="99"/>
    <w:unhideWhenUsed/>
    <w:rsid w:val="00D34598"/>
    <w:rPr>
      <w:color w:val="467886" w:themeColor="hyperlink"/>
      <w:u w:val="single"/>
    </w:rPr>
  </w:style>
  <w:style w:type="table" w:styleId="TableGrid">
    <w:name w:val="Table Grid"/>
    <w:basedOn w:val="TableNormal"/>
    <w:uiPriority w:val="39"/>
    <w:rsid w:val="003C04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E34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valuate.com/thought-leadership/pharma/world-preview-2024-outlook-2030" TargetMode="External"/><Relationship Id="rId18" Type="http://schemas.openxmlformats.org/officeDocument/2006/relationships/hyperlink" Target="https://www.kpmg.com" TargetMode="External"/><Relationship Id="rId26" Type="http://schemas.openxmlformats.org/officeDocument/2006/relationships/hyperlink" Target="https://www.pwc.com/us/en/industries/pharma-life-sciences/pharmaceutical-industry-trends.html?utm_source=chatgpt.com" TargetMode="External"/><Relationship Id="rId21" Type="http://schemas.openxmlformats.org/officeDocument/2006/relationships/hyperlink" Target="https://store.mintel.com/report/uk-health-and-wellness-in-the-home-market-report?utm_source=chatgpt.com"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deloitte.com/ch/en/Industries/life-sciences-health-care/perspectives/tech-trends-2025.html?utm_source=chatgpt.com" TargetMode="External"/><Relationship Id="rId17" Type="http://schemas.openxmlformats.org/officeDocument/2006/relationships/hyperlink" Target="https://www.iqvia.com" TargetMode="External"/><Relationship Id="rId25" Type="http://schemas.openxmlformats.org/officeDocument/2006/relationships/hyperlink" Target="https://www.pwc.com/gx/en/industries/pharma-life-sciences/pharma-2023.html"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artner.com" TargetMode="External"/><Relationship Id="rId20" Type="http://schemas.openxmlformats.org/officeDocument/2006/relationships/hyperlink" Target="https://news.microsoft.com/en-gb/" TargetMode="External"/><Relationship Id="rId29" Type="http://schemas.openxmlformats.org/officeDocument/2006/relationships/hyperlink" Target="https://www.zs.com/insights/pharmaceutical-trends-2025-outlook-ai-supplychain-and-beyond?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global-healthcare-outlook-2024" TargetMode="External"/><Relationship Id="rId24" Type="http://schemas.openxmlformats.org/officeDocument/2006/relationships/hyperlink" Target="https://www.oecd.org"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t.com" TargetMode="External"/><Relationship Id="rId23" Type="http://schemas.openxmlformats.org/officeDocument/2006/relationships/hyperlink" Target="https://www.oecd.org" TargetMode="External"/><Relationship Id="rId28" Type="http://schemas.openxmlformats.org/officeDocument/2006/relationships/hyperlink" Target="https://www.weforum.org/reports/global-health-digital-transformation-2024" TargetMode="External"/><Relationship Id="rId36" Type="http://schemas.openxmlformats.org/officeDocument/2006/relationships/fontTable" Target="fontTable.xml"/><Relationship Id="rId10" Type="http://schemas.openxmlformats.org/officeDocument/2006/relationships/hyperlink" Target="https://www.astrazeneca.com/investor-relations/annual-reports.html" TargetMode="External"/><Relationship Id="rId19" Type="http://schemas.openxmlformats.org/officeDocument/2006/relationships/hyperlink" Target="https://www.mckinsey.com/industries/life-sciences"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y.com" TargetMode="External"/><Relationship Id="rId22" Type="http://schemas.openxmlformats.org/officeDocument/2006/relationships/hyperlink" Target="https://www.nature.com/nm" TargetMode="External"/><Relationship Id="rId27" Type="http://schemas.openxmlformats.org/officeDocument/2006/relationships/hyperlink" Target="https://www.statista.com"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443B413-ABE5-4B45-8D02-0461BBE9B2DB}">
  <we:reference id="wa200000368" version="1.0.0.0" store="en-US" storeType="OMEX"/>
  <we:alternateReferences>
    <we:reference id="wa200000368" version="1.0.0.0" store="WA200000368" storeType="OMEX"/>
  </we:alternateReferences>
  <we:properties>
    <we:property name="documentId" value="&quot;df808f0491b76e5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0E5DD2-D776-44C9-914F-2D50C2F0C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17</Pages>
  <Words>4001</Words>
  <Characters>35210</Characters>
  <Application>Microsoft Office Word</Application>
  <DocSecurity>0</DocSecurity>
  <Lines>664</Lines>
  <Paragraphs>239</Paragraphs>
  <ScaleCrop>false</ScaleCrop>
  <Company/>
  <LinksUpToDate>false</LinksUpToDate>
  <CharactersWithSpaces>38972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Mercar</dc:creator>
  <cp:keywords/>
  <dc:description/>
  <cp:lastModifiedBy>Anca Mercar</cp:lastModifiedBy>
  <cp:revision>271</cp:revision>
  <dcterms:created xsi:type="dcterms:W3CDTF">2025-10-26T11:03:00Z</dcterms:created>
  <dcterms:modified xsi:type="dcterms:W3CDTF">2025-12-08T19:58:00Z</dcterms:modified>
</cp:coreProperties>
</file>