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7C780" w14:textId="60E77606" w:rsidR="008567E5" w:rsidRPr="003F188A" w:rsidRDefault="008567E5">
      <w:pPr>
        <w:rPr>
          <w:sz w:val="20"/>
          <w:szCs w:val="20"/>
        </w:rPr>
      </w:pPr>
    </w:p>
    <w:p w14:paraId="0181E99C" w14:textId="0D3D5716" w:rsidR="003E4872" w:rsidRPr="00573891" w:rsidRDefault="003E4872" w:rsidP="003F188A">
      <w:pPr>
        <w:spacing w:line="240" w:lineRule="auto"/>
        <w:rPr>
          <w:b/>
          <w:bCs/>
          <w:sz w:val="20"/>
          <w:szCs w:val="20"/>
        </w:rPr>
      </w:pPr>
      <w:r w:rsidRPr="00573891">
        <w:rPr>
          <w:b/>
          <w:bCs/>
          <w:sz w:val="20"/>
          <w:szCs w:val="20"/>
        </w:rPr>
        <w:t xml:space="preserve">The </w:t>
      </w:r>
      <w:r w:rsidR="009A1498" w:rsidRPr="00573891">
        <w:rPr>
          <w:b/>
          <w:bCs/>
          <w:sz w:val="20"/>
          <w:szCs w:val="20"/>
        </w:rPr>
        <w:t>I</w:t>
      </w:r>
      <w:r w:rsidRPr="00573891">
        <w:rPr>
          <w:b/>
          <w:bCs/>
          <w:sz w:val="20"/>
          <w:szCs w:val="20"/>
        </w:rPr>
        <w:t xml:space="preserve">mportance of </w:t>
      </w:r>
      <w:r w:rsidR="009A1498" w:rsidRPr="00573891">
        <w:rPr>
          <w:b/>
          <w:bCs/>
          <w:sz w:val="20"/>
          <w:szCs w:val="20"/>
        </w:rPr>
        <w:t>T</w:t>
      </w:r>
      <w:r w:rsidRPr="00573891">
        <w:rPr>
          <w:b/>
          <w:bCs/>
          <w:sz w:val="20"/>
          <w:szCs w:val="20"/>
        </w:rPr>
        <w:t xml:space="preserve">heology : </w:t>
      </w:r>
      <w:r w:rsidR="009A1498" w:rsidRPr="00573891">
        <w:rPr>
          <w:b/>
          <w:bCs/>
          <w:sz w:val="20"/>
          <w:szCs w:val="20"/>
        </w:rPr>
        <w:t>C</w:t>
      </w:r>
      <w:r w:rsidR="003F188A" w:rsidRPr="00573891">
        <w:rPr>
          <w:b/>
          <w:bCs/>
          <w:sz w:val="20"/>
          <w:szCs w:val="20"/>
        </w:rPr>
        <w:t xml:space="preserve">larifying </w:t>
      </w:r>
      <w:r w:rsidR="009A1498" w:rsidRPr="00573891">
        <w:rPr>
          <w:b/>
          <w:bCs/>
          <w:sz w:val="20"/>
          <w:szCs w:val="20"/>
        </w:rPr>
        <w:t>F</w:t>
      </w:r>
      <w:r w:rsidRPr="00573891">
        <w:rPr>
          <w:b/>
          <w:bCs/>
          <w:sz w:val="20"/>
          <w:szCs w:val="20"/>
        </w:rPr>
        <w:t xml:space="preserve">aith </w:t>
      </w:r>
      <w:r w:rsidR="009A1498" w:rsidRPr="00573891">
        <w:rPr>
          <w:b/>
          <w:bCs/>
          <w:sz w:val="20"/>
          <w:szCs w:val="20"/>
        </w:rPr>
        <w:t>and</w:t>
      </w:r>
      <w:r w:rsidRPr="00573891">
        <w:rPr>
          <w:b/>
          <w:bCs/>
          <w:sz w:val="20"/>
          <w:szCs w:val="20"/>
        </w:rPr>
        <w:t xml:space="preserve"> </w:t>
      </w:r>
      <w:r w:rsidR="009A1498" w:rsidRPr="00573891">
        <w:rPr>
          <w:b/>
          <w:bCs/>
          <w:sz w:val="20"/>
          <w:szCs w:val="20"/>
        </w:rPr>
        <w:t>R</w:t>
      </w:r>
      <w:r w:rsidRPr="00573891">
        <w:rPr>
          <w:b/>
          <w:bCs/>
          <w:sz w:val="20"/>
          <w:szCs w:val="20"/>
        </w:rPr>
        <w:t>eason</w:t>
      </w:r>
    </w:p>
    <w:p w14:paraId="3F8BA4BA" w14:textId="4D259D6F" w:rsidR="003E4872" w:rsidRPr="003F188A" w:rsidRDefault="003E4872" w:rsidP="003F188A">
      <w:pPr>
        <w:spacing w:line="240" w:lineRule="auto"/>
        <w:rPr>
          <w:b/>
          <w:bCs/>
          <w:sz w:val="20"/>
          <w:szCs w:val="20"/>
        </w:rPr>
      </w:pPr>
      <w:r w:rsidRPr="003F188A">
        <w:rPr>
          <w:b/>
          <w:bCs/>
          <w:sz w:val="20"/>
          <w:szCs w:val="20"/>
        </w:rPr>
        <w:t>Introduction</w:t>
      </w:r>
    </w:p>
    <w:p w14:paraId="5077245C" w14:textId="2DEB287F" w:rsidR="003E4872" w:rsidRPr="003F188A" w:rsidRDefault="003E4872" w:rsidP="003F188A">
      <w:pPr>
        <w:spacing w:line="240" w:lineRule="auto"/>
        <w:rPr>
          <w:sz w:val="20"/>
          <w:szCs w:val="20"/>
        </w:rPr>
      </w:pPr>
      <w:r w:rsidRPr="003F188A">
        <w:rPr>
          <w:sz w:val="20"/>
          <w:szCs w:val="20"/>
        </w:rPr>
        <w:t xml:space="preserve">Theology, the study of the a subject where there are extensive questions about how divine it is and the enquiries to what brought us into existince. This has ultimately shaped our human thought, cultures and societies throughout history. </w:t>
      </w:r>
    </w:p>
    <w:p w14:paraId="2F245DDD" w14:textId="01E0D01C" w:rsidR="003E4872" w:rsidRPr="003F188A" w:rsidRDefault="003E4872" w:rsidP="003F188A">
      <w:pPr>
        <w:spacing w:line="240" w:lineRule="auto"/>
        <w:rPr>
          <w:sz w:val="20"/>
          <w:szCs w:val="20"/>
        </w:rPr>
      </w:pPr>
      <w:r w:rsidRPr="003F188A">
        <w:rPr>
          <w:sz w:val="20"/>
          <w:szCs w:val="20"/>
        </w:rPr>
        <w:t xml:space="preserve">Rooted in the quest to understand the divine and human purpose, theology has progressed into a rich discipline. </w:t>
      </w:r>
      <w:r w:rsidRPr="003F188A">
        <w:rPr>
          <w:sz w:val="20"/>
          <w:szCs w:val="20"/>
        </w:rPr>
        <w:t>Ancient religious texts, like the Vedas in Hinduism, the Bible in Christianity, and the Quran in Islam, act as foundational historical documents, guiding theological inquiries and laying the groundwork for intellectual, cultural, and social developments (Eliade 1959).</w:t>
      </w:r>
    </w:p>
    <w:p w14:paraId="13D064B3" w14:textId="6874DFD6" w:rsidR="003E4872" w:rsidRPr="003F188A" w:rsidRDefault="003E4872" w:rsidP="003F188A">
      <w:pPr>
        <w:spacing w:line="240" w:lineRule="auto"/>
        <w:rPr>
          <w:b/>
          <w:bCs/>
          <w:sz w:val="20"/>
          <w:szCs w:val="20"/>
        </w:rPr>
      </w:pPr>
      <w:r w:rsidRPr="003F188A">
        <w:rPr>
          <w:b/>
          <w:bCs/>
          <w:sz w:val="20"/>
          <w:szCs w:val="20"/>
        </w:rPr>
        <w:t>The Historical Significance of Theology</w:t>
      </w:r>
    </w:p>
    <w:p w14:paraId="56E42BF3" w14:textId="7476AAA4" w:rsidR="003E4872" w:rsidRPr="003F188A" w:rsidRDefault="003E4872" w:rsidP="003F188A">
      <w:pPr>
        <w:spacing w:line="240" w:lineRule="auto"/>
        <w:rPr>
          <w:sz w:val="20"/>
          <w:szCs w:val="20"/>
        </w:rPr>
      </w:pPr>
      <w:r w:rsidRPr="003F188A">
        <w:rPr>
          <w:sz w:val="20"/>
          <w:szCs w:val="20"/>
        </w:rPr>
        <w:t>To grasp theology's importance, one must journey through history, where it has been both a foundation and a catalyst for intellectual, cultural, and social developments (Pelikan 1971).</w:t>
      </w:r>
    </w:p>
    <w:p w14:paraId="45F215DB" w14:textId="733ADD3D" w:rsidR="003E4872" w:rsidRPr="003F188A" w:rsidRDefault="003E4872" w:rsidP="003F188A">
      <w:pPr>
        <w:spacing w:line="240" w:lineRule="auto"/>
        <w:rPr>
          <w:sz w:val="20"/>
          <w:szCs w:val="20"/>
        </w:rPr>
      </w:pPr>
      <w:r w:rsidRPr="003F188A">
        <w:rPr>
          <w:sz w:val="20"/>
          <w:szCs w:val="20"/>
        </w:rPr>
        <w:t xml:space="preserve">Early </w:t>
      </w:r>
      <w:r w:rsidR="00C02EFC" w:rsidRPr="003F188A">
        <w:rPr>
          <w:sz w:val="20"/>
          <w:szCs w:val="20"/>
        </w:rPr>
        <w:t>civilizations such as the ancient Greeks and Egyptians, wrestled with questions about the cosmic order, laying the foundations for later discussions about theology itself.</w:t>
      </w:r>
    </w:p>
    <w:p w14:paraId="0982E121" w14:textId="0212EF3D" w:rsidR="00C02EFC" w:rsidRPr="003F188A" w:rsidRDefault="00C02EFC" w:rsidP="003F188A">
      <w:pPr>
        <w:spacing w:line="240" w:lineRule="auto"/>
        <w:rPr>
          <w:sz w:val="20"/>
          <w:szCs w:val="20"/>
        </w:rPr>
      </w:pPr>
      <w:r w:rsidRPr="003F188A">
        <w:rPr>
          <w:sz w:val="20"/>
          <w:szCs w:val="20"/>
        </w:rPr>
        <w:t>Theological discussions found a voice in major world religions, each offering a unique view on the divine. In Christianity early Church Fathers started in theological debates to define doctrines and address heresies, leading to the Nicene Creed (Schaff 1889). That historic document was crafted during the First Council of Nicaea in 325CE. It also stands as a testament to theology’s significance in unifying and definining religious beliefs.</w:t>
      </w:r>
    </w:p>
    <w:p w14:paraId="1D62F47A" w14:textId="07F3B806" w:rsidR="00C02EFC" w:rsidRPr="003F188A" w:rsidRDefault="00C02EFC" w:rsidP="003F188A">
      <w:pPr>
        <w:spacing w:line="240" w:lineRule="auto"/>
        <w:rPr>
          <w:b/>
          <w:bCs/>
          <w:sz w:val="20"/>
          <w:szCs w:val="20"/>
        </w:rPr>
      </w:pPr>
      <w:r w:rsidRPr="003F188A">
        <w:rPr>
          <w:b/>
          <w:bCs/>
          <w:sz w:val="20"/>
          <w:szCs w:val="20"/>
        </w:rPr>
        <w:t>Theology and Understanding</w:t>
      </w:r>
    </w:p>
    <w:p w14:paraId="6AC63744" w14:textId="7581A0FC" w:rsidR="00C02EFC" w:rsidRPr="003F188A" w:rsidRDefault="00E966FF" w:rsidP="003F188A">
      <w:pPr>
        <w:spacing w:line="240" w:lineRule="auto"/>
        <w:rPr>
          <w:sz w:val="20"/>
          <w:szCs w:val="20"/>
        </w:rPr>
      </w:pPr>
      <w:r w:rsidRPr="003F188A">
        <w:rPr>
          <w:sz w:val="20"/>
          <w:szCs w:val="20"/>
        </w:rPr>
        <w:t>Theology acts as a bridge between the faith and reason, providing framework for inviduals to grapple with questions about existence,morality, and lifes purpose (McGrath 2011). It encourages critical reflection on religious beliefs, urging believers to deepen their understanding and engage in meaningful dialogue.</w:t>
      </w:r>
    </w:p>
    <w:p w14:paraId="5A259D7F" w14:textId="22FB1DF3" w:rsidR="00E966FF" w:rsidRPr="003F188A" w:rsidRDefault="00E966FF" w:rsidP="003F188A">
      <w:pPr>
        <w:spacing w:line="240" w:lineRule="auto"/>
        <w:rPr>
          <w:sz w:val="20"/>
          <w:szCs w:val="20"/>
        </w:rPr>
      </w:pPr>
      <w:r w:rsidRPr="003F188A">
        <w:rPr>
          <w:sz w:val="20"/>
          <w:szCs w:val="20"/>
        </w:rPr>
        <w:t>Moreover, thelogy plays a crucial role in intellectual growth and understanding of the world. By exploring the sections of faith and reason, theology encourages individuals to critically examine their beliefs, promoting a nuanced understanding that goes beyong mere dogma (Tillich 1951)/</w:t>
      </w:r>
    </w:p>
    <w:p w14:paraId="48296606" w14:textId="34040A6D" w:rsidR="00E966FF" w:rsidRPr="003F188A" w:rsidRDefault="00E966FF" w:rsidP="003F188A">
      <w:pPr>
        <w:spacing w:line="240" w:lineRule="auto"/>
        <w:rPr>
          <w:b/>
          <w:bCs/>
          <w:sz w:val="20"/>
          <w:szCs w:val="20"/>
        </w:rPr>
      </w:pPr>
      <w:r w:rsidRPr="003F188A">
        <w:rPr>
          <w:b/>
          <w:bCs/>
          <w:sz w:val="20"/>
          <w:szCs w:val="20"/>
        </w:rPr>
        <w:t>Theological Ethics and Morality</w:t>
      </w:r>
    </w:p>
    <w:p w14:paraId="13257D04" w14:textId="0874D570" w:rsidR="00E966FF" w:rsidRPr="003F188A" w:rsidRDefault="00E966FF" w:rsidP="003F188A">
      <w:pPr>
        <w:spacing w:line="240" w:lineRule="auto"/>
        <w:rPr>
          <w:sz w:val="20"/>
          <w:szCs w:val="20"/>
        </w:rPr>
      </w:pPr>
      <w:r w:rsidRPr="003F188A">
        <w:rPr>
          <w:sz w:val="20"/>
          <w:szCs w:val="20"/>
        </w:rPr>
        <w:t xml:space="preserve">One profound contribution of theology is shaping ethical frameworks and moral reasoning. The study of theology </w:t>
      </w:r>
      <w:r w:rsidR="006211E3" w:rsidRPr="003F188A">
        <w:rPr>
          <w:sz w:val="20"/>
          <w:szCs w:val="20"/>
        </w:rPr>
        <w:t>provides a foundation for ethical reflection, guiding individuals and comminities in navigating moral dillemmas (Kant 1785). For example, Within Christian theology, the Sermon on the Mount served as a cornerstone for ethical teachings which is influencing moral guidelines.</w:t>
      </w:r>
    </w:p>
    <w:p w14:paraId="647BA011" w14:textId="1CB23252" w:rsidR="006211E3" w:rsidRPr="003F188A" w:rsidRDefault="006211E3" w:rsidP="003F188A">
      <w:pPr>
        <w:spacing w:line="240" w:lineRule="auto"/>
        <w:rPr>
          <w:sz w:val="20"/>
          <w:szCs w:val="20"/>
        </w:rPr>
      </w:pPr>
      <w:r w:rsidRPr="003F188A">
        <w:rPr>
          <w:sz w:val="20"/>
          <w:szCs w:val="20"/>
        </w:rPr>
        <w:t>Furthermore, theology had been vital in shaping social norms and values. The Ten Commandments, rooted in the Abrahamic Religious traditions, have influenced legal and ethical systems, emphasizing the importance of ethical conduct and social responsibility (Exodus 20:1-17).</w:t>
      </w:r>
    </w:p>
    <w:p w14:paraId="0CF6B41A" w14:textId="1A59FAA4" w:rsidR="006211E3" w:rsidRPr="003F188A" w:rsidRDefault="006211E3" w:rsidP="003F188A">
      <w:pPr>
        <w:spacing w:line="240" w:lineRule="auto"/>
        <w:rPr>
          <w:b/>
          <w:bCs/>
          <w:sz w:val="20"/>
          <w:szCs w:val="20"/>
        </w:rPr>
      </w:pPr>
      <w:r w:rsidRPr="003F188A">
        <w:rPr>
          <w:b/>
          <w:bCs/>
          <w:sz w:val="20"/>
          <w:szCs w:val="20"/>
        </w:rPr>
        <w:t>Interfaith Diaglogue And Understanding</w:t>
      </w:r>
    </w:p>
    <w:p w14:paraId="27C4D872" w14:textId="4D9D2379" w:rsidR="006211E3" w:rsidRPr="003F188A" w:rsidRDefault="006211E3" w:rsidP="003F188A">
      <w:pPr>
        <w:spacing w:line="240" w:lineRule="auto"/>
        <w:rPr>
          <w:sz w:val="20"/>
          <w:szCs w:val="20"/>
        </w:rPr>
      </w:pPr>
      <w:r w:rsidRPr="003F188A">
        <w:rPr>
          <w:sz w:val="20"/>
          <w:szCs w:val="20"/>
        </w:rPr>
        <w:t>Theology acts as a catalyst for interfaith dialogue, fostering understading between different religious traditions (Hick 1987).</w:t>
      </w:r>
    </w:p>
    <w:p w14:paraId="1FF7217F" w14:textId="0205F58F" w:rsidR="006211E3" w:rsidRPr="003F188A" w:rsidRDefault="006211E3" w:rsidP="003F188A">
      <w:pPr>
        <w:spacing w:line="240" w:lineRule="auto"/>
        <w:rPr>
          <w:sz w:val="20"/>
          <w:szCs w:val="20"/>
        </w:rPr>
      </w:pPr>
      <w:r w:rsidRPr="003F188A">
        <w:rPr>
          <w:sz w:val="20"/>
          <w:szCs w:val="20"/>
        </w:rPr>
        <w:t>In a world where there are diverese beliefs and cultures, theological discussions provide a platform for mutual respect, tolerance and cooperation.</w:t>
      </w:r>
    </w:p>
    <w:p w14:paraId="51618577" w14:textId="13981DC4" w:rsidR="006211E3" w:rsidRPr="003F188A" w:rsidRDefault="006211E3" w:rsidP="003F188A">
      <w:pPr>
        <w:spacing w:line="240" w:lineRule="auto"/>
        <w:rPr>
          <w:sz w:val="20"/>
          <w:szCs w:val="20"/>
        </w:rPr>
      </w:pPr>
      <w:r w:rsidRPr="003F188A">
        <w:rPr>
          <w:sz w:val="20"/>
          <w:szCs w:val="20"/>
        </w:rPr>
        <w:t>The Parliament of the Worlds Religions, first convened in 1893, exemplifies theological discourse’s power in promoting interfaith harmony and understanding (Buckley 2000).</w:t>
      </w:r>
    </w:p>
    <w:p w14:paraId="6CFD6724" w14:textId="5FDA879D" w:rsidR="00C01A4D" w:rsidRPr="003F188A" w:rsidRDefault="003F188A" w:rsidP="003F188A">
      <w:pPr>
        <w:spacing w:line="240" w:lineRule="auto"/>
        <w:rPr>
          <w:sz w:val="20"/>
          <w:szCs w:val="20"/>
        </w:rPr>
      </w:pPr>
      <w:r w:rsidRPr="003F188A">
        <w:rPr>
          <w:sz w:val="20"/>
          <w:szCs w:val="20"/>
        </w:rPr>
        <w:t>Through theological dialogue, individuals gain insights into the shared values underpinning different faith traditions, such as unity. This interconnectedness helps get rid of some stereotypes and misconceptions, promoting a more inclusive and tolerant global society. (Knitter 1985)</w:t>
      </w:r>
    </w:p>
    <w:p w14:paraId="79F341D8" w14:textId="77777777" w:rsidR="00573891" w:rsidRDefault="00573891" w:rsidP="003F188A">
      <w:pPr>
        <w:spacing w:line="240" w:lineRule="auto"/>
        <w:rPr>
          <w:b/>
          <w:bCs/>
          <w:sz w:val="20"/>
          <w:szCs w:val="20"/>
        </w:rPr>
      </w:pPr>
    </w:p>
    <w:p w14:paraId="6C845B04" w14:textId="6C0AEB56" w:rsidR="003F188A" w:rsidRPr="003F188A" w:rsidRDefault="003F188A" w:rsidP="003F188A">
      <w:pPr>
        <w:spacing w:line="240" w:lineRule="auto"/>
        <w:rPr>
          <w:b/>
          <w:bCs/>
          <w:sz w:val="20"/>
          <w:szCs w:val="20"/>
        </w:rPr>
      </w:pPr>
      <w:r w:rsidRPr="003F188A">
        <w:rPr>
          <w:b/>
          <w:bCs/>
          <w:sz w:val="20"/>
          <w:szCs w:val="20"/>
        </w:rPr>
        <w:t>Theology and Social Justice</w:t>
      </w:r>
    </w:p>
    <w:p w14:paraId="03224BFB" w14:textId="4F691EF3" w:rsidR="003F188A" w:rsidRPr="003F188A" w:rsidRDefault="003F188A" w:rsidP="003F188A">
      <w:pPr>
        <w:spacing w:line="240" w:lineRule="auto"/>
        <w:rPr>
          <w:sz w:val="20"/>
          <w:szCs w:val="20"/>
        </w:rPr>
      </w:pPr>
      <w:r w:rsidRPr="003F188A">
        <w:rPr>
          <w:sz w:val="20"/>
          <w:szCs w:val="20"/>
        </w:rPr>
        <w:t>Theological principles often catalyze social justice movements. Theologies of liberation, rooted in Christian thought has played a pivotal role in advocating for the rights of the oppressed (Gutierrez 1973). Figures like Gustavo Gutierrez and Martin Luther King Jr. drew upon theological insights to inspire social change.</w:t>
      </w:r>
    </w:p>
    <w:p w14:paraId="24A35CB7" w14:textId="250BE0D4" w:rsidR="003F188A" w:rsidRPr="003F188A" w:rsidRDefault="003F188A" w:rsidP="003F188A">
      <w:pPr>
        <w:spacing w:line="240" w:lineRule="auto"/>
        <w:rPr>
          <w:sz w:val="20"/>
          <w:szCs w:val="20"/>
        </w:rPr>
      </w:pPr>
      <w:r w:rsidRPr="003F188A">
        <w:rPr>
          <w:sz w:val="20"/>
          <w:szCs w:val="20"/>
        </w:rPr>
        <w:t>Moreover, theological views on compassion, justice and the inherent dignity of every human contribute to human rights discourse (King 1963).</w:t>
      </w:r>
    </w:p>
    <w:p w14:paraId="0F234771" w14:textId="07AE486B" w:rsidR="003F188A" w:rsidRDefault="003F188A" w:rsidP="003F188A">
      <w:pPr>
        <w:spacing w:line="240" w:lineRule="auto"/>
        <w:rPr>
          <w:sz w:val="20"/>
          <w:szCs w:val="20"/>
        </w:rPr>
      </w:pPr>
      <w:r>
        <w:rPr>
          <w:sz w:val="20"/>
          <w:szCs w:val="20"/>
        </w:rPr>
        <w:t>Theological engagement encourages beli</w:t>
      </w:r>
      <w:r w:rsidR="00C01A4D">
        <w:rPr>
          <w:sz w:val="20"/>
          <w:szCs w:val="20"/>
        </w:rPr>
        <w:t>evers to have some sort of effort to address inequalities and promoting a more equitable society.</w:t>
      </w:r>
    </w:p>
    <w:p w14:paraId="22432996" w14:textId="42E01D8C" w:rsidR="00C01A4D" w:rsidRDefault="00C01A4D" w:rsidP="003F188A">
      <w:pPr>
        <w:spacing w:line="240" w:lineRule="auto"/>
        <w:rPr>
          <w:b/>
          <w:bCs/>
          <w:sz w:val="20"/>
          <w:szCs w:val="20"/>
        </w:rPr>
      </w:pPr>
      <w:r w:rsidRPr="00C01A4D">
        <w:rPr>
          <w:b/>
          <w:bCs/>
          <w:sz w:val="20"/>
          <w:szCs w:val="20"/>
        </w:rPr>
        <w:t>Theology in Today’s Context</w:t>
      </w:r>
    </w:p>
    <w:p w14:paraId="47EA4DE9" w14:textId="281665E9" w:rsidR="00C01A4D" w:rsidRDefault="00C01A4D" w:rsidP="003F188A">
      <w:pPr>
        <w:spacing w:line="240" w:lineRule="auto"/>
        <w:rPr>
          <w:sz w:val="20"/>
          <w:szCs w:val="20"/>
        </w:rPr>
      </w:pPr>
      <w:r>
        <w:rPr>
          <w:sz w:val="20"/>
          <w:szCs w:val="20"/>
        </w:rPr>
        <w:t xml:space="preserve">In the contemporary landscape , theology remains relevant and dynamic, engaging with issues such as environmental ethics, bioethics and the intersection of religion and science. </w:t>
      </w:r>
      <w:r w:rsidRPr="00C01A4D">
        <w:rPr>
          <w:sz w:val="20"/>
          <w:szCs w:val="20"/>
        </w:rPr>
        <w:t>Theological discussions on ecological responsibility, for instance, contribute to the broader discourse on sustainability (Berry 1988).</w:t>
      </w:r>
    </w:p>
    <w:p w14:paraId="66DE3C4B" w14:textId="5D5F3124" w:rsidR="00C01A4D" w:rsidRDefault="00C01A4D" w:rsidP="003F188A">
      <w:pPr>
        <w:spacing w:line="240" w:lineRule="auto"/>
        <w:rPr>
          <w:sz w:val="20"/>
          <w:szCs w:val="20"/>
        </w:rPr>
      </w:pPr>
      <w:r>
        <w:rPr>
          <w:sz w:val="20"/>
          <w:szCs w:val="20"/>
        </w:rPr>
        <w:t xml:space="preserve">Theology also helps navigate ethical challenges posed by progession in technology. </w:t>
      </w:r>
      <w:r w:rsidRPr="00C01A4D">
        <w:rPr>
          <w:sz w:val="20"/>
          <w:szCs w:val="20"/>
        </w:rPr>
        <w:t>Debates on issues like genetic engineering and artificial intelligence often draw upon theological insights to inform discussions on the ethical implications of these technologies (MacIntyre 1984).</w:t>
      </w:r>
    </w:p>
    <w:p w14:paraId="258A9230" w14:textId="6AE13391" w:rsidR="00C01A4D" w:rsidRDefault="009A1498" w:rsidP="003F188A">
      <w:pPr>
        <w:spacing w:line="240" w:lineRule="auto"/>
        <w:rPr>
          <w:b/>
          <w:bCs/>
          <w:sz w:val="20"/>
          <w:szCs w:val="20"/>
        </w:rPr>
      </w:pPr>
      <w:r w:rsidRPr="009A1498">
        <w:rPr>
          <w:b/>
          <w:bCs/>
          <w:sz w:val="20"/>
          <w:szCs w:val="20"/>
        </w:rPr>
        <w:t>Conclusion</w:t>
      </w:r>
    </w:p>
    <w:p w14:paraId="5260FE1B" w14:textId="2970187F" w:rsidR="009A1498" w:rsidRDefault="009A1498" w:rsidP="003F188A">
      <w:pPr>
        <w:spacing w:line="240" w:lineRule="auto"/>
        <w:rPr>
          <w:sz w:val="20"/>
          <w:szCs w:val="20"/>
        </w:rPr>
      </w:pPr>
      <w:r>
        <w:rPr>
          <w:sz w:val="20"/>
          <w:szCs w:val="20"/>
        </w:rPr>
        <w:t>In conclusion, theology stands as a discipline of importance. From historical documents like the Nicene Creed to contemporary discussions on social justice and environmental ethics, theology remains a dynamic force which contributes to the richness and complexity of human thought.</w:t>
      </w:r>
    </w:p>
    <w:p w14:paraId="61445BE2" w14:textId="230E6ABA" w:rsidR="009A1498" w:rsidRDefault="009A1498" w:rsidP="003F188A">
      <w:pPr>
        <w:spacing w:line="240" w:lineRule="auto"/>
        <w:rPr>
          <w:sz w:val="20"/>
          <w:szCs w:val="20"/>
        </w:rPr>
      </w:pPr>
      <w:r>
        <w:rPr>
          <w:sz w:val="20"/>
          <w:szCs w:val="20"/>
        </w:rPr>
        <w:t>Theology serves as a bridge between different traditions, promoting interfaith dialogue and understanding in our diverse world. As we live on, humans are still shaping the world via their own religious beliefs or traditions. The importance of theology as a dicipline remains, as it offers a guiding light for those who are exploring the profound mysteries of life and also its meaning.</w:t>
      </w:r>
    </w:p>
    <w:p w14:paraId="20261742" w14:textId="77777777" w:rsidR="009A1498" w:rsidRPr="009A1498" w:rsidRDefault="009A1498" w:rsidP="00573891">
      <w:pPr>
        <w:spacing w:after="120" w:line="240" w:lineRule="auto"/>
        <w:rPr>
          <w:sz w:val="20"/>
          <w:szCs w:val="20"/>
        </w:rPr>
      </w:pPr>
      <w:r w:rsidRPr="009A1498">
        <w:rPr>
          <w:b/>
          <w:bCs/>
          <w:sz w:val="20"/>
          <w:szCs w:val="20"/>
        </w:rPr>
        <w:t>References</w:t>
      </w:r>
    </w:p>
    <w:p w14:paraId="7056F286" w14:textId="77777777" w:rsidR="009A1498" w:rsidRPr="009A1498" w:rsidRDefault="009A1498" w:rsidP="00573891">
      <w:pPr>
        <w:numPr>
          <w:ilvl w:val="0"/>
          <w:numId w:val="1"/>
        </w:numPr>
        <w:spacing w:after="120" w:line="240" w:lineRule="auto"/>
        <w:rPr>
          <w:sz w:val="20"/>
          <w:szCs w:val="20"/>
        </w:rPr>
      </w:pPr>
      <w:r w:rsidRPr="009A1498">
        <w:rPr>
          <w:sz w:val="20"/>
          <w:szCs w:val="20"/>
        </w:rPr>
        <w:t xml:space="preserve">Berry, T. (1988). </w:t>
      </w:r>
      <w:r w:rsidRPr="009A1498">
        <w:rPr>
          <w:i/>
          <w:iCs/>
          <w:sz w:val="20"/>
          <w:szCs w:val="20"/>
        </w:rPr>
        <w:t>The Dream of the Earth</w:t>
      </w:r>
      <w:r w:rsidRPr="009A1498">
        <w:rPr>
          <w:sz w:val="20"/>
          <w:szCs w:val="20"/>
        </w:rPr>
        <w:t>. Sierra Club Books.</w:t>
      </w:r>
    </w:p>
    <w:p w14:paraId="52A2FDAF" w14:textId="77777777" w:rsidR="009A1498" w:rsidRPr="009A1498" w:rsidRDefault="009A1498" w:rsidP="00573891">
      <w:pPr>
        <w:numPr>
          <w:ilvl w:val="0"/>
          <w:numId w:val="1"/>
        </w:numPr>
        <w:spacing w:after="120" w:line="240" w:lineRule="auto"/>
        <w:rPr>
          <w:sz w:val="20"/>
          <w:szCs w:val="20"/>
        </w:rPr>
      </w:pPr>
      <w:r w:rsidRPr="009A1498">
        <w:rPr>
          <w:sz w:val="20"/>
          <w:szCs w:val="20"/>
        </w:rPr>
        <w:t xml:space="preserve">Buckley, J. M. (2000). </w:t>
      </w:r>
      <w:r w:rsidRPr="009A1498">
        <w:rPr>
          <w:i/>
          <w:iCs/>
          <w:sz w:val="20"/>
          <w:szCs w:val="20"/>
        </w:rPr>
        <w:t>The Parliament of Man: The Past, Present, and Future of the United Nations</w:t>
      </w:r>
      <w:r w:rsidRPr="009A1498">
        <w:rPr>
          <w:sz w:val="20"/>
          <w:szCs w:val="20"/>
        </w:rPr>
        <w:t>. Random House.</w:t>
      </w:r>
    </w:p>
    <w:p w14:paraId="51EAF7EB" w14:textId="77777777" w:rsidR="009A1498" w:rsidRPr="009A1498" w:rsidRDefault="009A1498" w:rsidP="00573891">
      <w:pPr>
        <w:numPr>
          <w:ilvl w:val="0"/>
          <w:numId w:val="1"/>
        </w:numPr>
        <w:spacing w:after="120" w:line="240" w:lineRule="auto"/>
        <w:rPr>
          <w:sz w:val="20"/>
          <w:szCs w:val="20"/>
        </w:rPr>
      </w:pPr>
      <w:r w:rsidRPr="009A1498">
        <w:rPr>
          <w:sz w:val="20"/>
          <w:szCs w:val="20"/>
        </w:rPr>
        <w:t xml:space="preserve">Eliade, M. (1959). </w:t>
      </w:r>
      <w:r w:rsidRPr="009A1498">
        <w:rPr>
          <w:i/>
          <w:iCs/>
          <w:sz w:val="20"/>
          <w:szCs w:val="20"/>
        </w:rPr>
        <w:t>The Sacred and the Profane: The Nature of Religion</w:t>
      </w:r>
      <w:r w:rsidRPr="009A1498">
        <w:rPr>
          <w:sz w:val="20"/>
          <w:szCs w:val="20"/>
        </w:rPr>
        <w:t>. Harcourt, Brace &amp; World.</w:t>
      </w:r>
    </w:p>
    <w:p w14:paraId="3E35C7F1" w14:textId="77777777" w:rsidR="009A1498" w:rsidRPr="009A1498" w:rsidRDefault="009A1498" w:rsidP="00573891">
      <w:pPr>
        <w:numPr>
          <w:ilvl w:val="0"/>
          <w:numId w:val="1"/>
        </w:numPr>
        <w:spacing w:after="120" w:line="240" w:lineRule="auto"/>
        <w:rPr>
          <w:sz w:val="20"/>
          <w:szCs w:val="20"/>
        </w:rPr>
      </w:pPr>
      <w:r w:rsidRPr="009A1498">
        <w:rPr>
          <w:sz w:val="20"/>
          <w:szCs w:val="20"/>
        </w:rPr>
        <w:t xml:space="preserve">Gutiérrez, G. (1973). </w:t>
      </w:r>
      <w:r w:rsidRPr="009A1498">
        <w:rPr>
          <w:i/>
          <w:iCs/>
          <w:sz w:val="20"/>
          <w:szCs w:val="20"/>
        </w:rPr>
        <w:t>A Theology of Liberation: History, Politics, and Salvation</w:t>
      </w:r>
      <w:r w:rsidRPr="009A1498">
        <w:rPr>
          <w:sz w:val="20"/>
          <w:szCs w:val="20"/>
        </w:rPr>
        <w:t>. Orbis Books.</w:t>
      </w:r>
    </w:p>
    <w:p w14:paraId="30442CA9" w14:textId="77777777" w:rsidR="009A1498" w:rsidRPr="009A1498" w:rsidRDefault="009A1498" w:rsidP="00573891">
      <w:pPr>
        <w:numPr>
          <w:ilvl w:val="0"/>
          <w:numId w:val="1"/>
        </w:numPr>
        <w:spacing w:after="120" w:line="240" w:lineRule="auto"/>
        <w:rPr>
          <w:sz w:val="20"/>
          <w:szCs w:val="20"/>
        </w:rPr>
      </w:pPr>
      <w:r w:rsidRPr="009A1498">
        <w:rPr>
          <w:sz w:val="20"/>
          <w:szCs w:val="20"/>
        </w:rPr>
        <w:t xml:space="preserve">Hick, J. (1987). </w:t>
      </w:r>
      <w:r w:rsidRPr="009A1498">
        <w:rPr>
          <w:i/>
          <w:iCs/>
          <w:sz w:val="20"/>
          <w:szCs w:val="20"/>
        </w:rPr>
        <w:t>An Interpretation of Religion: Human Responses to the Transcendent</w:t>
      </w:r>
      <w:r w:rsidRPr="009A1498">
        <w:rPr>
          <w:sz w:val="20"/>
          <w:szCs w:val="20"/>
        </w:rPr>
        <w:t>. Palgrave Macmillan.</w:t>
      </w:r>
    </w:p>
    <w:p w14:paraId="42722D81" w14:textId="77777777" w:rsidR="009A1498" w:rsidRPr="009A1498" w:rsidRDefault="009A1498" w:rsidP="00573891">
      <w:pPr>
        <w:numPr>
          <w:ilvl w:val="0"/>
          <w:numId w:val="1"/>
        </w:numPr>
        <w:spacing w:after="120" w:line="240" w:lineRule="auto"/>
        <w:rPr>
          <w:sz w:val="20"/>
          <w:szCs w:val="20"/>
        </w:rPr>
      </w:pPr>
      <w:r w:rsidRPr="009A1498">
        <w:rPr>
          <w:sz w:val="20"/>
          <w:szCs w:val="20"/>
        </w:rPr>
        <w:t xml:space="preserve">Kant, I. (1785). </w:t>
      </w:r>
      <w:r w:rsidRPr="009A1498">
        <w:rPr>
          <w:i/>
          <w:iCs/>
          <w:sz w:val="20"/>
          <w:szCs w:val="20"/>
        </w:rPr>
        <w:t>Groundwork of the Metaphysics of Morals</w:t>
      </w:r>
      <w:r w:rsidRPr="009A1498">
        <w:rPr>
          <w:sz w:val="20"/>
          <w:szCs w:val="20"/>
        </w:rPr>
        <w:t>. Cambridge University Press.</w:t>
      </w:r>
    </w:p>
    <w:p w14:paraId="31488D19" w14:textId="31946B01" w:rsidR="009A1498" w:rsidRPr="009A1498" w:rsidRDefault="009A1498" w:rsidP="00573891">
      <w:pPr>
        <w:numPr>
          <w:ilvl w:val="0"/>
          <w:numId w:val="1"/>
        </w:numPr>
        <w:spacing w:after="120" w:line="240" w:lineRule="auto"/>
        <w:rPr>
          <w:sz w:val="20"/>
          <w:szCs w:val="20"/>
        </w:rPr>
      </w:pPr>
      <w:r w:rsidRPr="009A1498">
        <w:rPr>
          <w:sz w:val="20"/>
          <w:szCs w:val="20"/>
        </w:rPr>
        <w:t xml:space="preserve">King, M. L. Jr. (1963). </w:t>
      </w:r>
      <w:r w:rsidRPr="009A1498">
        <w:rPr>
          <w:i/>
          <w:iCs/>
          <w:sz w:val="20"/>
          <w:szCs w:val="20"/>
        </w:rPr>
        <w:t>Letter from Birmingham Jail</w:t>
      </w:r>
      <w:r w:rsidRPr="009A1498">
        <w:rPr>
          <w:sz w:val="20"/>
          <w:szCs w:val="20"/>
        </w:rPr>
        <w:t>. Retrieved from https://www.africa.upenn.edu/Articles_Gen/Letter_Birmingham.html</w:t>
      </w:r>
    </w:p>
    <w:p w14:paraId="4759CCC0" w14:textId="77777777" w:rsidR="009A1498" w:rsidRPr="009A1498" w:rsidRDefault="009A1498" w:rsidP="00573891">
      <w:pPr>
        <w:numPr>
          <w:ilvl w:val="0"/>
          <w:numId w:val="1"/>
        </w:numPr>
        <w:spacing w:after="120" w:line="240" w:lineRule="auto"/>
        <w:rPr>
          <w:sz w:val="20"/>
          <w:szCs w:val="20"/>
        </w:rPr>
      </w:pPr>
      <w:r w:rsidRPr="009A1498">
        <w:rPr>
          <w:sz w:val="20"/>
          <w:szCs w:val="20"/>
        </w:rPr>
        <w:t xml:space="preserve">Knitter, P. F. (1985). </w:t>
      </w:r>
      <w:r w:rsidRPr="009A1498">
        <w:rPr>
          <w:i/>
          <w:iCs/>
          <w:sz w:val="20"/>
          <w:szCs w:val="20"/>
        </w:rPr>
        <w:t>No Other Name? A Critical Survey of Christian Attitudes toward the World Religions</w:t>
      </w:r>
      <w:r w:rsidRPr="009A1498">
        <w:rPr>
          <w:sz w:val="20"/>
          <w:szCs w:val="20"/>
        </w:rPr>
        <w:t>. Orbis Books.</w:t>
      </w:r>
    </w:p>
    <w:p w14:paraId="5B10C554" w14:textId="77777777" w:rsidR="009A1498" w:rsidRPr="009A1498" w:rsidRDefault="009A1498" w:rsidP="00573891">
      <w:pPr>
        <w:numPr>
          <w:ilvl w:val="0"/>
          <w:numId w:val="1"/>
        </w:numPr>
        <w:spacing w:after="120" w:line="240" w:lineRule="auto"/>
        <w:rPr>
          <w:sz w:val="20"/>
          <w:szCs w:val="20"/>
        </w:rPr>
      </w:pPr>
      <w:r w:rsidRPr="009A1498">
        <w:rPr>
          <w:sz w:val="20"/>
          <w:szCs w:val="20"/>
        </w:rPr>
        <w:t xml:space="preserve">MacIntyre, A. (1984). </w:t>
      </w:r>
      <w:r w:rsidRPr="009A1498">
        <w:rPr>
          <w:i/>
          <w:iCs/>
          <w:sz w:val="20"/>
          <w:szCs w:val="20"/>
        </w:rPr>
        <w:t>After Virtue: A Study in Moral Theory</w:t>
      </w:r>
      <w:r w:rsidRPr="009A1498">
        <w:rPr>
          <w:sz w:val="20"/>
          <w:szCs w:val="20"/>
        </w:rPr>
        <w:t>. University of Notre Dame Press.</w:t>
      </w:r>
    </w:p>
    <w:p w14:paraId="2D6F10B7" w14:textId="77777777" w:rsidR="009A1498" w:rsidRPr="009A1498" w:rsidRDefault="009A1498" w:rsidP="00573891">
      <w:pPr>
        <w:numPr>
          <w:ilvl w:val="0"/>
          <w:numId w:val="1"/>
        </w:numPr>
        <w:spacing w:after="120" w:line="240" w:lineRule="auto"/>
        <w:rPr>
          <w:sz w:val="20"/>
          <w:szCs w:val="20"/>
        </w:rPr>
      </w:pPr>
      <w:r w:rsidRPr="009A1498">
        <w:rPr>
          <w:sz w:val="20"/>
          <w:szCs w:val="20"/>
        </w:rPr>
        <w:t xml:space="preserve">McGrath, A. E. (2011). </w:t>
      </w:r>
      <w:r w:rsidRPr="009A1498">
        <w:rPr>
          <w:i/>
          <w:iCs/>
          <w:sz w:val="20"/>
          <w:szCs w:val="20"/>
        </w:rPr>
        <w:t>Christian Theology: An Introduction</w:t>
      </w:r>
      <w:r w:rsidRPr="009A1498">
        <w:rPr>
          <w:sz w:val="20"/>
          <w:szCs w:val="20"/>
        </w:rPr>
        <w:t>. Wiley.</w:t>
      </w:r>
    </w:p>
    <w:p w14:paraId="18E11739" w14:textId="77777777" w:rsidR="009A1498" w:rsidRPr="009A1498" w:rsidRDefault="009A1498" w:rsidP="00573891">
      <w:pPr>
        <w:numPr>
          <w:ilvl w:val="0"/>
          <w:numId w:val="1"/>
        </w:numPr>
        <w:spacing w:after="120" w:line="240" w:lineRule="auto"/>
        <w:rPr>
          <w:sz w:val="20"/>
          <w:szCs w:val="20"/>
        </w:rPr>
      </w:pPr>
      <w:r w:rsidRPr="009A1498">
        <w:rPr>
          <w:sz w:val="20"/>
          <w:szCs w:val="20"/>
        </w:rPr>
        <w:t xml:space="preserve">Pelikan, J. (1971). </w:t>
      </w:r>
      <w:r w:rsidRPr="009A1498">
        <w:rPr>
          <w:i/>
          <w:iCs/>
          <w:sz w:val="20"/>
          <w:szCs w:val="20"/>
        </w:rPr>
        <w:t>The Christian Tradition: A History of the Development of Doctrine, Vol. 1</w:t>
      </w:r>
      <w:r w:rsidRPr="009A1498">
        <w:rPr>
          <w:sz w:val="20"/>
          <w:szCs w:val="20"/>
        </w:rPr>
        <w:t>. University of Chicago Press.</w:t>
      </w:r>
    </w:p>
    <w:p w14:paraId="0E4497EA" w14:textId="77777777" w:rsidR="009A1498" w:rsidRPr="009A1498" w:rsidRDefault="009A1498" w:rsidP="00573891">
      <w:pPr>
        <w:numPr>
          <w:ilvl w:val="0"/>
          <w:numId w:val="1"/>
        </w:numPr>
        <w:spacing w:after="120" w:line="240" w:lineRule="auto"/>
        <w:rPr>
          <w:sz w:val="20"/>
          <w:szCs w:val="20"/>
        </w:rPr>
      </w:pPr>
      <w:r w:rsidRPr="009A1498">
        <w:rPr>
          <w:sz w:val="20"/>
          <w:szCs w:val="20"/>
        </w:rPr>
        <w:t xml:space="preserve">Schaff, P. (1889). </w:t>
      </w:r>
      <w:r w:rsidRPr="009A1498">
        <w:rPr>
          <w:i/>
          <w:iCs/>
          <w:sz w:val="20"/>
          <w:szCs w:val="20"/>
        </w:rPr>
        <w:t>The Nicene and Post-Nicene Fathers: Second Series, Vol. 14</w:t>
      </w:r>
      <w:r w:rsidRPr="009A1498">
        <w:rPr>
          <w:sz w:val="20"/>
          <w:szCs w:val="20"/>
        </w:rPr>
        <w:t>. Christian Literature Company.</w:t>
      </w:r>
    </w:p>
    <w:p w14:paraId="44A08070" w14:textId="5354A0D0" w:rsidR="009A1498" w:rsidRPr="009A1498" w:rsidRDefault="009A1498" w:rsidP="00573891">
      <w:pPr>
        <w:numPr>
          <w:ilvl w:val="0"/>
          <w:numId w:val="1"/>
        </w:numPr>
        <w:spacing w:after="120" w:line="240" w:lineRule="auto"/>
        <w:rPr>
          <w:sz w:val="20"/>
          <w:szCs w:val="20"/>
        </w:rPr>
      </w:pPr>
      <w:r w:rsidRPr="009A1498">
        <w:rPr>
          <w:sz w:val="20"/>
          <w:szCs w:val="20"/>
        </w:rPr>
        <w:t xml:space="preserve">Tillich, P. (1951). </w:t>
      </w:r>
      <w:r w:rsidRPr="009A1498">
        <w:rPr>
          <w:i/>
          <w:iCs/>
          <w:sz w:val="20"/>
          <w:szCs w:val="20"/>
        </w:rPr>
        <w:t>Systematic Theology, Vol. 1</w:t>
      </w:r>
      <w:r w:rsidRPr="009A1498">
        <w:rPr>
          <w:sz w:val="20"/>
          <w:szCs w:val="20"/>
        </w:rPr>
        <w:t>. University of Chicago Press.</w:t>
      </w:r>
    </w:p>
    <w:sectPr w:rsidR="009A1498" w:rsidRPr="009A1498" w:rsidSect="00573891">
      <w:headerReference w:type="default" r:id="rId8"/>
      <w:pgSz w:w="11906" w:h="16838"/>
      <w:pgMar w:top="993" w:right="1440" w:bottom="1440" w:left="1440"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EEB0E" w14:textId="77777777" w:rsidR="0096775C" w:rsidRDefault="0096775C" w:rsidP="003E4872">
      <w:pPr>
        <w:spacing w:after="0" w:line="240" w:lineRule="auto"/>
      </w:pPr>
      <w:r>
        <w:separator/>
      </w:r>
    </w:p>
  </w:endnote>
  <w:endnote w:type="continuationSeparator" w:id="0">
    <w:p w14:paraId="34B36FE4" w14:textId="77777777" w:rsidR="0096775C" w:rsidRDefault="0096775C" w:rsidP="003E4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95D67" w14:textId="77777777" w:rsidR="0096775C" w:rsidRDefault="0096775C" w:rsidP="003E4872">
      <w:pPr>
        <w:spacing w:after="0" w:line="240" w:lineRule="auto"/>
      </w:pPr>
      <w:r>
        <w:separator/>
      </w:r>
    </w:p>
  </w:footnote>
  <w:footnote w:type="continuationSeparator" w:id="0">
    <w:p w14:paraId="1A723FC4" w14:textId="77777777" w:rsidR="0096775C" w:rsidRDefault="0096775C" w:rsidP="003E4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6782F" w14:textId="3B2AF42D" w:rsidR="003E4872" w:rsidRDefault="003E4872">
    <w:pPr>
      <w:pStyle w:val="Header"/>
    </w:pPr>
    <w:r>
      <w:t>Martin Sugar</w:t>
    </w:r>
  </w:p>
  <w:p w14:paraId="175B20BF" w14:textId="0DC5141D" w:rsidR="00573891" w:rsidRDefault="00573891">
    <w:pPr>
      <w:pStyle w:val="Header"/>
    </w:pPr>
    <w:r>
      <w:t>Student ID : 2318660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07A21"/>
    <w:multiLevelType w:val="multilevel"/>
    <w:tmpl w:val="528E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7790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872"/>
    <w:rsid w:val="000825F2"/>
    <w:rsid w:val="003E4872"/>
    <w:rsid w:val="003F188A"/>
    <w:rsid w:val="00500E83"/>
    <w:rsid w:val="00573891"/>
    <w:rsid w:val="006211E3"/>
    <w:rsid w:val="008567E5"/>
    <w:rsid w:val="0096775C"/>
    <w:rsid w:val="009A1498"/>
    <w:rsid w:val="00B32D33"/>
    <w:rsid w:val="00C01A4D"/>
    <w:rsid w:val="00C02EFC"/>
    <w:rsid w:val="00E96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DAB80"/>
  <w15:chartTrackingRefBased/>
  <w15:docId w15:val="{28FD0A32-03A2-4D0A-A156-EBA2A5623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4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872"/>
  </w:style>
  <w:style w:type="paragraph" w:styleId="Footer">
    <w:name w:val="footer"/>
    <w:basedOn w:val="Normal"/>
    <w:link w:val="FooterChar"/>
    <w:uiPriority w:val="99"/>
    <w:unhideWhenUsed/>
    <w:rsid w:val="003E4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872"/>
  </w:style>
  <w:style w:type="paragraph" w:styleId="FootnoteText">
    <w:name w:val="footnote text"/>
    <w:basedOn w:val="Normal"/>
    <w:link w:val="FootnoteTextChar"/>
    <w:uiPriority w:val="99"/>
    <w:semiHidden/>
    <w:unhideWhenUsed/>
    <w:rsid w:val="00B32D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2D33"/>
    <w:rPr>
      <w:sz w:val="20"/>
      <w:szCs w:val="20"/>
    </w:rPr>
  </w:style>
  <w:style w:type="character" w:styleId="FootnoteReference">
    <w:name w:val="footnote reference"/>
    <w:basedOn w:val="DefaultParagraphFont"/>
    <w:uiPriority w:val="99"/>
    <w:semiHidden/>
    <w:unhideWhenUsed/>
    <w:rsid w:val="00B32D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030030">
      <w:bodyDiv w:val="1"/>
      <w:marLeft w:val="0"/>
      <w:marRight w:val="0"/>
      <w:marTop w:val="0"/>
      <w:marBottom w:val="0"/>
      <w:divBdr>
        <w:top w:val="none" w:sz="0" w:space="0" w:color="auto"/>
        <w:left w:val="none" w:sz="0" w:space="0" w:color="auto"/>
        <w:bottom w:val="none" w:sz="0" w:space="0" w:color="auto"/>
        <w:right w:val="none" w:sz="0" w:space="0" w:color="auto"/>
      </w:divBdr>
    </w:div>
    <w:div w:id="62268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765EA-5914-48EF-9E84-4A3EB7BB8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2</Pages>
  <Words>1022</Words>
  <Characters>5828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Sugar</dc:creator>
  <cp:keywords/>
  <dc:description/>
  <cp:lastModifiedBy>Martin Sugar</cp:lastModifiedBy>
  <cp:revision>6</cp:revision>
  <dcterms:created xsi:type="dcterms:W3CDTF">2023-11-22T17:40:00Z</dcterms:created>
  <dcterms:modified xsi:type="dcterms:W3CDTF">2023-11-22T23:07:00Z</dcterms:modified>
</cp:coreProperties>
</file>