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B329A" w:rsidRPr="00230F35" w14:paraId="432854B0" w14:textId="77777777" w:rsidTr="001B2B90">
        <w:trPr>
          <w:trHeight w:val="614"/>
        </w:trPr>
        <w:tc>
          <w:tcPr>
            <w:tcW w:w="8856" w:type="dxa"/>
            <w:gridSpan w:val="5"/>
          </w:tcPr>
          <w:p w14:paraId="5CE7C974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B329A" w:rsidRPr="00230F35" w14:paraId="1A739ABD" w14:textId="77777777" w:rsidTr="001B2B90">
        <w:trPr>
          <w:trHeight w:val="718"/>
        </w:trPr>
        <w:tc>
          <w:tcPr>
            <w:tcW w:w="8856" w:type="dxa"/>
            <w:gridSpan w:val="5"/>
          </w:tcPr>
          <w:p w14:paraId="7D45ACD7" w14:textId="77777777" w:rsidR="006B329A" w:rsidRPr="00846CAB" w:rsidRDefault="006B329A" w:rsidP="001B2B90">
            <w:pPr>
              <w:pStyle w:val="NormalWeb"/>
              <w:spacing w:before="0" w:beforeAutospacing="0" w:after="0" w:afterAutospacing="0"/>
              <w:ind w:right="34"/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</w:t>
            </w:r>
            <w:r>
              <w:t>Karen Brereton</w:t>
            </w:r>
          </w:p>
          <w:p w14:paraId="7504AA31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01FDD4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1807878@student.uwstd.ac.uk</w:t>
            </w:r>
          </w:p>
        </w:tc>
      </w:tr>
      <w:tr w:rsidR="006B329A" w:rsidRPr="00230F35" w14:paraId="02B4E357" w14:textId="77777777" w:rsidTr="001B2B90">
        <w:trPr>
          <w:trHeight w:val="849"/>
        </w:trPr>
        <w:tc>
          <w:tcPr>
            <w:tcW w:w="4788" w:type="dxa"/>
          </w:tcPr>
          <w:p w14:paraId="60040DA4" w14:textId="0CF5EAFD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Pr="00846CAB">
              <w:t>HPCA700</w:t>
            </w:r>
            <w:r w:rsidR="00815C5E">
              <w:t>2</w:t>
            </w:r>
          </w:p>
          <w:p w14:paraId="168C2346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931EDFA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</w:t>
            </w:r>
          </w:p>
          <w:p w14:paraId="2B83567B" w14:textId="6399B8D8" w:rsidR="006B329A" w:rsidRPr="00846CAB" w:rsidRDefault="00815C5E" w:rsidP="001B2B90">
            <w:pPr>
              <w:pStyle w:val="NormalWeb"/>
              <w:spacing w:before="0" w:beforeAutospacing="0" w:after="0" w:afterAutospacing="0"/>
              <w:ind w:right="34"/>
            </w:pPr>
            <w:r>
              <w:t xml:space="preserve">Researching </w:t>
            </w:r>
          </w:p>
          <w:p w14:paraId="68996B2C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0B1638E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10451FFF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46E93235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B37FA69" w14:textId="77777777" w:rsidR="006B329A" w:rsidRPr="00846CAB" w:rsidRDefault="006B329A" w:rsidP="001B2B90">
            <w:pPr>
              <w:pStyle w:val="NormalWeb"/>
              <w:spacing w:before="0" w:beforeAutospacing="0" w:after="0" w:afterAutospacing="0"/>
              <w:ind w:right="34"/>
            </w:pPr>
            <w:r w:rsidRPr="00846CAB">
              <w:t>1807878</w:t>
            </w:r>
          </w:p>
        </w:tc>
        <w:tc>
          <w:tcPr>
            <w:tcW w:w="1802" w:type="dxa"/>
          </w:tcPr>
          <w:p w14:paraId="2D8E8236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4F261307" w14:textId="77777777" w:rsidR="006B329A" w:rsidRPr="00846CAB" w:rsidRDefault="006B329A" w:rsidP="001B2B90">
            <w:pPr>
              <w:pStyle w:val="NormalWeb"/>
              <w:spacing w:before="0" w:beforeAutospacing="0" w:after="0" w:afterAutospacing="0"/>
              <w:ind w:right="34"/>
            </w:pPr>
            <w:r w:rsidRPr="00846CAB">
              <w:t>No</w:t>
            </w:r>
          </w:p>
        </w:tc>
      </w:tr>
      <w:tr w:rsidR="006B329A" w:rsidRPr="00230F35" w14:paraId="29F00AA5" w14:textId="77777777" w:rsidTr="001B2B90">
        <w:trPr>
          <w:trHeight w:val="1139"/>
        </w:trPr>
        <w:tc>
          <w:tcPr>
            <w:tcW w:w="8856" w:type="dxa"/>
            <w:gridSpan w:val="5"/>
          </w:tcPr>
          <w:p w14:paraId="70823461" w14:textId="70A814E3" w:rsidR="006B329A" w:rsidRPr="00846CAB" w:rsidRDefault="006B329A" w:rsidP="001B2B90">
            <w:pPr>
              <w:pStyle w:val="NormalWeb"/>
              <w:spacing w:before="0" w:beforeAutospacing="0" w:after="0" w:afterAutospacing="0"/>
              <w:ind w:right="34"/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5451EC">
              <w:t xml:space="preserve"> Compare and contrast the methodologies used in two research papers</w:t>
            </w:r>
          </w:p>
          <w:p w14:paraId="4E205AC9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A47B101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B5E40FD" w14:textId="3120DA45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602DF9">
              <w:rPr>
                <w:rFonts w:ascii="Arial" w:hAnsi="Arial" w:cs="Arial"/>
                <w:sz w:val="22"/>
                <w:szCs w:val="22"/>
              </w:rPr>
              <w:t xml:space="preserve">Monday, </w:t>
            </w:r>
            <w:r w:rsidR="00A72DF6">
              <w:rPr>
                <w:rFonts w:ascii="Arial" w:hAnsi="Arial" w:cs="Arial"/>
                <w:sz w:val="22"/>
                <w:szCs w:val="22"/>
              </w:rPr>
              <w:t>11</w:t>
            </w:r>
            <w:r w:rsidR="00A72DF6" w:rsidRPr="00A72DF6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A72DF6">
              <w:rPr>
                <w:rFonts w:ascii="Arial" w:hAnsi="Arial" w:cs="Arial"/>
                <w:sz w:val="22"/>
                <w:szCs w:val="22"/>
              </w:rPr>
              <w:t xml:space="preserve"> November 2019</w:t>
            </w:r>
          </w:p>
        </w:tc>
      </w:tr>
      <w:tr w:rsidR="006B329A" w:rsidRPr="00230F35" w14:paraId="239A4C91" w14:textId="77777777" w:rsidTr="001B2B9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8D52285" w14:textId="77777777" w:rsidR="006B329A" w:rsidRPr="00230F35" w:rsidRDefault="006B329A" w:rsidP="001B2B9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845185">
              <w:rPr>
                <w:rFonts w:ascii="Arial" w:hAnsi="Arial" w:cs="Arial"/>
              </w:rPr>
            </w:r>
            <w:r w:rsidR="0084518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845185">
              <w:rPr>
                <w:rFonts w:ascii="Arial" w:hAnsi="Arial" w:cs="Arial"/>
              </w:rPr>
            </w:r>
            <w:r w:rsidR="0084518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845185">
              <w:rPr>
                <w:rFonts w:ascii="Arial" w:hAnsi="Arial" w:cs="Arial"/>
              </w:rPr>
            </w:r>
            <w:r w:rsidR="0084518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845185">
              <w:rPr>
                <w:rFonts w:ascii="Arial" w:hAnsi="Arial" w:cs="Arial"/>
              </w:rPr>
            </w:r>
            <w:r w:rsidR="0084518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845185">
              <w:rPr>
                <w:rFonts w:ascii="Arial" w:hAnsi="Arial" w:cs="Arial"/>
              </w:rPr>
            </w:r>
            <w:r w:rsidR="0084518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845185">
              <w:rPr>
                <w:rFonts w:ascii="Arial" w:hAnsi="Arial" w:cs="Arial"/>
              </w:rPr>
            </w:r>
            <w:r w:rsidR="0084518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6B329A" w:rsidRPr="00230F35" w14:paraId="7C0BB872" w14:textId="77777777" w:rsidTr="001B2B9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1782114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899E445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</w:t>
            </w:r>
            <w:r w:rsidRPr="00846CAB">
              <w:rPr>
                <w:rFonts w:ascii="Viner Hand ITC" w:hAnsi="Viner Hand ITC" w:cs="Arial"/>
                <w:sz w:val="22"/>
                <w:szCs w:val="22"/>
              </w:rPr>
              <w:t>Karen Brereton</w:t>
            </w:r>
          </w:p>
          <w:p w14:paraId="32D6E30A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√</w:t>
            </w:r>
          </w:p>
          <w:p w14:paraId="78D0C468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6B329A" w:rsidRPr="00230F35" w14:paraId="48EA4DE5" w14:textId="77777777" w:rsidTr="001B2B90">
        <w:trPr>
          <w:trHeight w:val="3972"/>
        </w:trPr>
        <w:tc>
          <w:tcPr>
            <w:tcW w:w="8856" w:type="dxa"/>
            <w:gridSpan w:val="5"/>
          </w:tcPr>
          <w:p w14:paraId="68AFF88E" w14:textId="77777777" w:rsidR="006B329A" w:rsidRDefault="006B329A" w:rsidP="001B2B90">
            <w:pPr>
              <w:rPr>
                <w:rFonts w:ascii="Arial" w:hAnsi="Arial"/>
                <w:b/>
              </w:rPr>
            </w:pPr>
          </w:p>
          <w:p w14:paraId="41DF4544" w14:textId="77777777" w:rsidR="006B329A" w:rsidRPr="00116CE6" w:rsidRDefault="006B329A" w:rsidP="001B2B90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B329A" w:rsidRPr="00116CE6" w14:paraId="6B11F7FC" w14:textId="77777777" w:rsidTr="001B2B90">
              <w:tc>
                <w:tcPr>
                  <w:tcW w:w="6970" w:type="dxa"/>
                </w:tcPr>
                <w:p w14:paraId="2D7107D6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446772E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E5702C3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6B329A" w:rsidRPr="00116CE6" w14:paraId="58AF6820" w14:textId="77777777" w:rsidTr="001B2B90">
              <w:tc>
                <w:tcPr>
                  <w:tcW w:w="6970" w:type="dxa"/>
                </w:tcPr>
                <w:p w14:paraId="2B637635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1BAAC3E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16E89F6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6B329A" w:rsidRPr="00116CE6" w14:paraId="4B509213" w14:textId="77777777" w:rsidTr="001B2B90">
              <w:tc>
                <w:tcPr>
                  <w:tcW w:w="6970" w:type="dxa"/>
                </w:tcPr>
                <w:p w14:paraId="5C3A7195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92458CA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126F1A4C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6B329A" w:rsidRPr="00116CE6" w14:paraId="5CC0CD09" w14:textId="77777777" w:rsidTr="001B2B90">
              <w:tc>
                <w:tcPr>
                  <w:tcW w:w="6970" w:type="dxa"/>
                </w:tcPr>
                <w:p w14:paraId="6D00D324" w14:textId="77777777" w:rsidR="006B329A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3B11007" w14:textId="77777777" w:rsidR="006B329A" w:rsidRPr="00022345" w:rsidRDefault="006B329A" w:rsidP="001B2B90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4AC0B170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D63E7CF" w14:textId="77777777" w:rsidR="006B329A" w:rsidRPr="00116CE6" w:rsidRDefault="006B329A" w:rsidP="001B2B90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B86AE21" w14:textId="77777777" w:rsidR="006B329A" w:rsidRDefault="006B329A" w:rsidP="001B2B9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8D31C5B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5F385FB" w14:textId="77777777" w:rsidR="006B329A" w:rsidRDefault="006B329A" w:rsidP="001B2B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A67CD7E" w14:textId="77777777" w:rsidR="006B329A" w:rsidRDefault="006B329A" w:rsidP="001B2B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B433669" w14:textId="77777777" w:rsidR="006B329A" w:rsidRDefault="006B329A" w:rsidP="001B2B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C8B399B" w14:textId="77777777" w:rsidR="006B329A" w:rsidRDefault="006B329A" w:rsidP="001B2B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42DB2AB" w14:textId="77777777" w:rsidR="006B329A" w:rsidRDefault="006B329A" w:rsidP="001B2B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82C2F45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521E7283" w14:textId="77777777" w:rsidR="006B329A" w:rsidRDefault="006B329A" w:rsidP="001B2B9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751BDC96" w14:textId="77777777" w:rsidR="006B329A" w:rsidRPr="00001C3B" w:rsidRDefault="006B329A" w:rsidP="001B2B9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B329A" w:rsidRPr="00230F35" w14:paraId="1C0699F7" w14:textId="77777777" w:rsidTr="001B2B90">
        <w:trPr>
          <w:trHeight w:val="492"/>
        </w:trPr>
        <w:tc>
          <w:tcPr>
            <w:tcW w:w="6768" w:type="dxa"/>
            <w:gridSpan w:val="3"/>
          </w:tcPr>
          <w:p w14:paraId="5FBB1724" w14:textId="77777777" w:rsidR="006B329A" w:rsidRPr="00230F35" w:rsidRDefault="006B329A" w:rsidP="001B2B9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2773AED3" w14:textId="77777777" w:rsidR="006B329A" w:rsidRPr="00230F35" w:rsidRDefault="006B329A" w:rsidP="001B2B90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B329A" w:rsidRPr="002F467C" w14:paraId="7069C62C" w14:textId="77777777" w:rsidTr="001B2B90">
        <w:tc>
          <w:tcPr>
            <w:tcW w:w="8856" w:type="dxa"/>
            <w:gridSpan w:val="5"/>
          </w:tcPr>
          <w:p w14:paraId="444D4CE1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48B3DC3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CCD3C81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896F275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1E06B4A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80C83B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8E4AD0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D8DD11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A57DEF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ADD32D5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F3FCA1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2F9205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018204" w14:textId="77777777" w:rsidR="006B329A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E58FC6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C95ADF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B002D6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B329A" w:rsidRPr="002F467C" w14:paraId="7EA4DB5D" w14:textId="77777777" w:rsidTr="001B2B90">
        <w:trPr>
          <w:trHeight w:val="720"/>
        </w:trPr>
        <w:tc>
          <w:tcPr>
            <w:tcW w:w="5211" w:type="dxa"/>
            <w:gridSpan w:val="2"/>
          </w:tcPr>
          <w:p w14:paraId="24E47EB2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CDD3E1D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B329A" w:rsidRPr="002F467C" w14:paraId="1EC488BA" w14:textId="77777777" w:rsidTr="001B2B90">
        <w:trPr>
          <w:trHeight w:val="720"/>
        </w:trPr>
        <w:tc>
          <w:tcPr>
            <w:tcW w:w="8856" w:type="dxa"/>
            <w:gridSpan w:val="5"/>
          </w:tcPr>
          <w:p w14:paraId="1580704E" w14:textId="77777777" w:rsidR="006B329A" w:rsidRPr="00B34964" w:rsidRDefault="006B329A" w:rsidP="001B2B90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7B611B00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55D7D1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4560D8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A0F1DE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6BC2B8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19C3FD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880B51F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B15BE6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1F6724" w14:textId="77777777" w:rsidR="006B329A" w:rsidRPr="00230F35" w:rsidRDefault="006B329A" w:rsidP="001B2B90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B329A" w:rsidRPr="002F467C" w14:paraId="70665B83" w14:textId="77777777" w:rsidTr="001B2B90">
        <w:trPr>
          <w:trHeight w:val="720"/>
        </w:trPr>
        <w:tc>
          <w:tcPr>
            <w:tcW w:w="5211" w:type="dxa"/>
            <w:gridSpan w:val="2"/>
          </w:tcPr>
          <w:p w14:paraId="74BE0755" w14:textId="77777777" w:rsidR="006B329A" w:rsidRPr="00230F35" w:rsidRDefault="006B329A" w:rsidP="001B2B9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92C37D3" w14:textId="77777777" w:rsidR="006B329A" w:rsidRPr="00230F35" w:rsidRDefault="006B329A" w:rsidP="001B2B9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21D1A3D5" w14:textId="77777777" w:rsidR="006B329A" w:rsidRDefault="006B329A" w:rsidP="006B329A">
      <w:pPr>
        <w:pStyle w:val="Heading3"/>
        <w:jc w:val="both"/>
        <w:rPr>
          <w:color w:val="auto"/>
        </w:rPr>
      </w:pPr>
    </w:p>
    <w:p w14:paraId="0286E3F2" w14:textId="77777777" w:rsidR="006B329A" w:rsidRDefault="006B329A" w:rsidP="006B329A">
      <w:pPr>
        <w:rPr>
          <w:rFonts w:ascii="Arial" w:hAnsi="Arial" w:cs="Arial"/>
          <w:b/>
          <w:sz w:val="20"/>
          <w:szCs w:val="20"/>
        </w:rPr>
      </w:pPr>
    </w:p>
    <w:p w14:paraId="66026A9F" w14:textId="77777777" w:rsidR="00E00854" w:rsidRDefault="00E00854" w:rsidP="00E00854">
      <w:pPr>
        <w:pStyle w:val="Default"/>
      </w:pPr>
    </w:p>
    <w:p w14:paraId="53FF1544" w14:textId="77777777" w:rsidR="008B3828" w:rsidRDefault="008B3828" w:rsidP="00784716">
      <w:pPr>
        <w:pStyle w:val="Default"/>
        <w:rPr>
          <w:rFonts w:ascii="Arial" w:hAnsi="Arial" w:cs="Arial"/>
          <w:b/>
          <w:sz w:val="22"/>
          <w:szCs w:val="22"/>
        </w:rPr>
      </w:pPr>
    </w:p>
    <w:p w14:paraId="4E7A0888" w14:textId="77777777" w:rsidR="008B3828" w:rsidRDefault="008B3828" w:rsidP="00784716">
      <w:pPr>
        <w:pStyle w:val="Default"/>
        <w:rPr>
          <w:rFonts w:ascii="Arial" w:hAnsi="Arial" w:cs="Arial"/>
          <w:b/>
          <w:sz w:val="22"/>
          <w:szCs w:val="22"/>
        </w:rPr>
      </w:pPr>
    </w:p>
    <w:p w14:paraId="722194CE" w14:textId="77777777" w:rsidR="008B3828" w:rsidRDefault="008B3828" w:rsidP="00784716">
      <w:pPr>
        <w:pStyle w:val="Default"/>
        <w:rPr>
          <w:rFonts w:ascii="Arial" w:hAnsi="Arial" w:cs="Arial"/>
          <w:b/>
          <w:sz w:val="22"/>
          <w:szCs w:val="22"/>
        </w:rPr>
      </w:pPr>
    </w:p>
    <w:p w14:paraId="5CB3E80E" w14:textId="5E29FF08" w:rsidR="008346DD" w:rsidRPr="009376BB" w:rsidRDefault="008B3828" w:rsidP="00784716">
      <w:pPr>
        <w:pStyle w:val="Defaul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 CRITICAL COMPARISON OF TWO SECONDARY SOURCES</w:t>
      </w:r>
    </w:p>
    <w:p w14:paraId="7CDA4AF5" w14:textId="77777777" w:rsidR="00E00854" w:rsidRPr="000A1331" w:rsidRDefault="00E00854" w:rsidP="00E00854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14:paraId="5D7A8C18" w14:textId="165C50A1" w:rsidR="00E00854" w:rsidRDefault="00E00854" w:rsidP="00E00854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0A1331">
        <w:rPr>
          <w:rFonts w:ascii="Times New Roman" w:hAnsi="Times New Roman" w:cs="Times New Roman"/>
          <w:b/>
          <w:sz w:val="24"/>
          <w:szCs w:val="24"/>
        </w:rPr>
        <w:t xml:space="preserve">Word count: </w:t>
      </w:r>
      <w:r w:rsidR="00561629">
        <w:rPr>
          <w:rFonts w:ascii="Times New Roman" w:hAnsi="Times New Roman" w:cs="Times New Roman"/>
          <w:b/>
          <w:sz w:val="24"/>
          <w:szCs w:val="24"/>
        </w:rPr>
        <w:t>1</w:t>
      </w:r>
      <w:r w:rsidR="0002251D">
        <w:rPr>
          <w:rFonts w:ascii="Times New Roman" w:hAnsi="Times New Roman" w:cs="Times New Roman"/>
          <w:b/>
          <w:sz w:val="24"/>
          <w:szCs w:val="24"/>
        </w:rPr>
        <w:t>0</w:t>
      </w:r>
      <w:r w:rsidR="007C5BB4">
        <w:rPr>
          <w:rFonts w:ascii="Times New Roman" w:hAnsi="Times New Roman" w:cs="Times New Roman"/>
          <w:b/>
          <w:sz w:val="24"/>
          <w:szCs w:val="24"/>
        </w:rPr>
        <w:t>39</w:t>
      </w:r>
    </w:p>
    <w:p w14:paraId="48A6353C" w14:textId="2B550814" w:rsidR="00784716" w:rsidRDefault="00784716" w:rsidP="00E00854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14:paraId="4D8A2378" w14:textId="00DDB907" w:rsidR="00CF1D94" w:rsidRPr="001E3650" w:rsidRDefault="00D10A8E" w:rsidP="001E3650">
      <w:pPr>
        <w:spacing w:after="0" w:line="360" w:lineRule="auto"/>
        <w:jc w:val="center"/>
        <w:rPr>
          <w:rFonts w:ascii="Arial" w:hAnsi="Arial" w:cs="Arial"/>
          <w:b/>
          <w:bCs/>
          <w:i/>
          <w:iCs/>
        </w:rPr>
      </w:pPr>
      <w:bookmarkStart w:id="6" w:name="_Hlk23768145"/>
      <w:r w:rsidRPr="002B7C74">
        <w:rPr>
          <w:rFonts w:ascii="Arial" w:hAnsi="Arial" w:cs="Arial"/>
          <w:b/>
          <w:bCs/>
          <w:i/>
          <w:iCs/>
        </w:rPr>
        <w:t>Introduction</w:t>
      </w:r>
    </w:p>
    <w:p w14:paraId="72FD85D3" w14:textId="77777777" w:rsidR="001E3650" w:rsidRDefault="001E3650" w:rsidP="001E3650">
      <w:pPr>
        <w:spacing w:after="0" w:line="360" w:lineRule="auto"/>
        <w:rPr>
          <w:rFonts w:ascii="Arial" w:eastAsia="Times New Roman" w:hAnsi="Arial" w:cs="Arial"/>
          <w:color w:val="201F1E"/>
          <w:lang w:eastAsia="en-GB"/>
        </w:rPr>
      </w:pPr>
      <w:r w:rsidRPr="002B7C74">
        <w:rPr>
          <w:rFonts w:ascii="Arial" w:eastAsia="Times New Roman" w:hAnsi="Arial" w:cs="Arial"/>
          <w:color w:val="201F1E"/>
          <w:lang w:eastAsia="en-GB"/>
        </w:rPr>
        <w:t>The purpose of this essay is to compare and contrast</w:t>
      </w:r>
      <w:r>
        <w:rPr>
          <w:rFonts w:ascii="Arial" w:eastAsia="Times New Roman" w:hAnsi="Arial" w:cs="Arial"/>
          <w:color w:val="201F1E"/>
          <w:lang w:eastAsia="en-GB"/>
        </w:rPr>
        <w:t xml:space="preserve"> two research papers.   The first paper 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‘Inconsistency of Belief among Roman Catholic Girls: Concerning Religion, Astrology, Reincarnation’ </w:t>
      </w:r>
      <w:r>
        <w:rPr>
          <w:rFonts w:ascii="Arial" w:eastAsia="Times New Roman" w:hAnsi="Arial" w:cs="Arial"/>
          <w:color w:val="201F1E"/>
          <w:lang w:eastAsia="en-GB"/>
        </w:rPr>
        <w:t xml:space="preserve">was published by T L Brinks in </w:t>
      </w:r>
      <w:r w:rsidRPr="002B7C74">
        <w:rPr>
          <w:rFonts w:ascii="Arial" w:eastAsia="Times New Roman" w:hAnsi="Arial" w:cs="Arial"/>
          <w:color w:val="201F1E"/>
          <w:lang w:eastAsia="en-GB"/>
        </w:rPr>
        <w:t>1978</w:t>
      </w:r>
      <w:r>
        <w:rPr>
          <w:rFonts w:ascii="Arial" w:eastAsia="Times New Roman" w:hAnsi="Arial" w:cs="Arial"/>
          <w:color w:val="201F1E"/>
          <w:lang w:eastAsia="en-GB"/>
        </w:rPr>
        <w:t>.</w:t>
      </w:r>
      <w:r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"/>
      </w:r>
      <w:r>
        <w:rPr>
          <w:rStyle w:val="FootnoteReference"/>
          <w:rFonts w:ascii="Arial" w:eastAsia="Times New Roman" w:hAnsi="Arial" w:cs="Arial"/>
          <w:color w:val="201F1E"/>
          <w:lang w:eastAsia="en-GB"/>
        </w:rPr>
        <w:t xml:space="preserve">. </w:t>
      </w:r>
      <w:r>
        <w:rPr>
          <w:rFonts w:ascii="Arial" w:eastAsia="Times New Roman" w:hAnsi="Arial" w:cs="Arial"/>
          <w:color w:val="201F1E"/>
          <w:lang w:eastAsia="en-GB"/>
        </w:rPr>
        <w:t xml:space="preserve">   The second paper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‘If I knew You were Coming I’d Have Baked a Cake’ </w:t>
      </w:r>
      <w:r>
        <w:rPr>
          <w:rFonts w:ascii="Arial" w:eastAsia="Times New Roman" w:hAnsi="Arial" w:cs="Arial"/>
          <w:color w:val="201F1E"/>
          <w:lang w:eastAsia="en-GB"/>
        </w:rPr>
        <w:t>was published by Gillian Bennett in 1995.</w:t>
      </w:r>
      <w:r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2"/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  In comparing the two papers, </w:t>
      </w:r>
      <w:r>
        <w:rPr>
          <w:rFonts w:ascii="Arial" w:eastAsia="Times New Roman" w:hAnsi="Arial" w:cs="Arial"/>
          <w:color w:val="201F1E"/>
          <w:lang w:eastAsia="en-GB"/>
        </w:rPr>
        <w:t>the essay will follow three core themes (i) structure (ii) methodology and (iii) ethics</w:t>
      </w:r>
    </w:p>
    <w:p w14:paraId="5EC925FE" w14:textId="1C9349EE" w:rsidR="001E3650" w:rsidRDefault="001E3650" w:rsidP="001E3650">
      <w:pPr>
        <w:spacing w:after="0" w:line="360" w:lineRule="auto"/>
        <w:rPr>
          <w:rFonts w:ascii="Arial" w:eastAsia="Times New Roman" w:hAnsi="Arial" w:cs="Arial"/>
          <w:color w:val="201F1E"/>
          <w:lang w:eastAsia="en-GB"/>
        </w:rPr>
      </w:pPr>
      <w:r>
        <w:rPr>
          <w:rFonts w:ascii="Arial" w:eastAsia="Times New Roman" w:hAnsi="Arial" w:cs="Arial"/>
          <w:color w:val="201F1E"/>
          <w:lang w:eastAsia="en-GB"/>
        </w:rPr>
        <w:t xml:space="preserve">The essay will also be supported by other secondary sources.   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</w:t>
      </w:r>
      <w:r>
        <w:rPr>
          <w:rFonts w:ascii="Arial" w:eastAsia="Times New Roman" w:hAnsi="Arial" w:cs="Arial"/>
          <w:color w:val="201F1E"/>
          <w:lang w:eastAsia="en-GB"/>
        </w:rPr>
        <w:t xml:space="preserve">  </w:t>
      </w:r>
    </w:p>
    <w:p w14:paraId="782364C4" w14:textId="77777777" w:rsidR="001E3650" w:rsidRPr="001E3650" w:rsidRDefault="001E3650" w:rsidP="001E3650">
      <w:pPr>
        <w:spacing w:after="0" w:line="360" w:lineRule="auto"/>
        <w:rPr>
          <w:rFonts w:ascii="Arial" w:eastAsia="Times New Roman" w:hAnsi="Arial" w:cs="Arial"/>
          <w:color w:val="201F1E"/>
          <w:lang w:eastAsia="en-GB"/>
        </w:rPr>
      </w:pPr>
    </w:p>
    <w:p w14:paraId="7625635B" w14:textId="055E92B2" w:rsidR="000B0875" w:rsidRPr="002B7C74" w:rsidRDefault="000B0875" w:rsidP="000856B2">
      <w:pPr>
        <w:shd w:val="clear" w:color="auto" w:fill="FFFFFF"/>
        <w:spacing w:after="0" w:line="360" w:lineRule="auto"/>
        <w:jc w:val="center"/>
        <w:textAlignment w:val="baseline"/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</w:pPr>
      <w:r w:rsidRPr="002B7C74"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  <w:t>Structure</w:t>
      </w:r>
    </w:p>
    <w:p w14:paraId="6260412D" w14:textId="39D1D976" w:rsidR="008A13DD" w:rsidRDefault="00E81A17" w:rsidP="000434A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  <w:r w:rsidRPr="002B7C74">
        <w:rPr>
          <w:rFonts w:ascii="Arial" w:eastAsia="Times New Roman" w:hAnsi="Arial" w:cs="Arial"/>
          <w:color w:val="201F1E"/>
          <w:lang w:eastAsia="en-GB"/>
        </w:rPr>
        <w:t>The central aim of Brink’s paper was to test his hypothesis that belief in the Catholic doctrine is inconsistent with beliefs in astrology and reincarnation.</w:t>
      </w:r>
      <w:r w:rsidR="00C40D80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3"/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  </w:t>
      </w:r>
      <w:r w:rsidR="00530A78" w:rsidRPr="002B7C74">
        <w:rPr>
          <w:rFonts w:ascii="Arial" w:eastAsia="Times New Roman" w:hAnsi="Arial" w:cs="Arial"/>
          <w:color w:val="201F1E"/>
          <w:lang w:eastAsia="en-GB"/>
        </w:rPr>
        <w:t xml:space="preserve">Brink </w:t>
      </w:r>
      <w:r w:rsidR="00424237" w:rsidRPr="002B7C74">
        <w:rPr>
          <w:rFonts w:ascii="Arial" w:eastAsia="Times New Roman" w:hAnsi="Arial" w:cs="Arial"/>
          <w:color w:val="201F1E"/>
          <w:lang w:eastAsia="en-GB"/>
        </w:rPr>
        <w:t>begins with an abstract,</w:t>
      </w:r>
      <w:r w:rsidR="000856B2" w:rsidRPr="002B7C74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>revealing</w:t>
      </w:r>
      <w:r w:rsidR="00424237" w:rsidRPr="002473A4">
        <w:rPr>
          <w:rFonts w:ascii="Arial" w:eastAsia="Times New Roman" w:hAnsi="Arial" w:cs="Arial"/>
          <w:color w:val="201F1E"/>
          <w:lang w:eastAsia="en-GB"/>
        </w:rPr>
        <w:t xml:space="preserve"> an inconsistency in cognitive theories.</w:t>
      </w:r>
      <w:r w:rsidR="00C40D80" w:rsidRPr="002473A4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4"/>
      </w:r>
      <w:r w:rsidR="00424237" w:rsidRPr="002473A4">
        <w:rPr>
          <w:rFonts w:ascii="Arial" w:eastAsia="Times New Roman" w:hAnsi="Arial" w:cs="Arial"/>
          <w:color w:val="201F1E"/>
          <w:lang w:eastAsia="en-GB"/>
        </w:rPr>
        <w:t xml:space="preserve">  This </w:t>
      </w:r>
      <w:r w:rsidR="00CF1D94" w:rsidRPr="002473A4">
        <w:rPr>
          <w:rFonts w:ascii="Arial" w:eastAsia="Times New Roman" w:hAnsi="Arial" w:cs="Arial"/>
          <w:color w:val="201F1E"/>
          <w:lang w:eastAsia="en-GB"/>
        </w:rPr>
        <w:t>highlights a controversy</w:t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 xml:space="preserve"> in the field of study </w:t>
      </w:r>
      <w:r w:rsidR="00424237" w:rsidRPr="002473A4">
        <w:rPr>
          <w:rFonts w:ascii="Arial" w:eastAsia="Times New Roman" w:hAnsi="Arial" w:cs="Arial"/>
          <w:color w:val="201F1E"/>
          <w:lang w:eastAsia="en-GB"/>
        </w:rPr>
        <w:t>a</w:t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>nd</w:t>
      </w:r>
      <w:r w:rsidR="00424237" w:rsidRPr="002473A4">
        <w:rPr>
          <w:rFonts w:ascii="Arial" w:eastAsia="Times New Roman" w:hAnsi="Arial" w:cs="Arial"/>
          <w:color w:val="201F1E"/>
          <w:lang w:eastAsia="en-GB"/>
        </w:rPr>
        <w:t xml:space="preserve"> Brink cites other authors</w:t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 xml:space="preserve"> as an underlying structure</w:t>
      </w:r>
      <w:r w:rsidR="00424237" w:rsidRPr="002473A4">
        <w:rPr>
          <w:rFonts w:ascii="Arial" w:eastAsia="Times New Roman" w:hAnsi="Arial" w:cs="Arial"/>
          <w:color w:val="201F1E"/>
          <w:lang w:eastAsia="en-GB"/>
        </w:rPr>
        <w:t>.</w:t>
      </w:r>
      <w:r w:rsidR="00C40D80" w:rsidRPr="002473A4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5"/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Pr="002473A4">
        <w:rPr>
          <w:rFonts w:ascii="Arial" w:eastAsia="Times New Roman" w:hAnsi="Arial" w:cs="Arial"/>
          <w:color w:val="201F1E"/>
          <w:lang w:eastAsia="en-GB"/>
        </w:rPr>
        <w:t xml:space="preserve">The objective of Bennett’s study was to </w:t>
      </w:r>
      <w:r w:rsidR="007043AF" w:rsidRPr="002473A4">
        <w:rPr>
          <w:rFonts w:ascii="Arial" w:eastAsia="Times New Roman" w:hAnsi="Arial" w:cs="Arial"/>
          <w:color w:val="201F1E"/>
          <w:lang w:eastAsia="en-GB"/>
        </w:rPr>
        <w:t>explore</w:t>
      </w:r>
      <w:r w:rsidRPr="002473A4">
        <w:rPr>
          <w:rFonts w:ascii="Arial" w:eastAsia="Times New Roman" w:hAnsi="Arial" w:cs="Arial"/>
          <w:color w:val="201F1E"/>
          <w:lang w:eastAsia="en-GB"/>
        </w:rPr>
        <w:t xml:space="preserve"> amongst elderly women experiences of ‘foreknowledge of the future’</w:t>
      </w:r>
      <w:r w:rsidR="00557E2A" w:rsidRPr="002473A4">
        <w:rPr>
          <w:rFonts w:ascii="Arial" w:eastAsia="Times New Roman" w:hAnsi="Arial" w:cs="Arial"/>
          <w:color w:val="201F1E"/>
          <w:lang w:eastAsia="en-GB"/>
        </w:rPr>
        <w:t xml:space="preserve"> and </w:t>
      </w:r>
      <w:r w:rsidR="002473A4" w:rsidRPr="002473A4">
        <w:rPr>
          <w:rFonts w:ascii="Arial" w:eastAsia="Times New Roman" w:hAnsi="Arial" w:cs="Arial"/>
          <w:color w:val="201F1E"/>
          <w:lang w:eastAsia="en-GB"/>
        </w:rPr>
        <w:t>Bennett</w:t>
      </w:r>
      <w:r w:rsidR="00557E2A" w:rsidRPr="002473A4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>establishes the context</w:t>
      </w:r>
      <w:r w:rsidR="00010A95" w:rsidRPr="002473A4">
        <w:rPr>
          <w:rFonts w:ascii="Arial" w:eastAsia="Times New Roman" w:hAnsi="Arial" w:cs="Arial"/>
          <w:color w:val="201F1E"/>
          <w:lang w:eastAsia="en-GB"/>
        </w:rPr>
        <w:t xml:space="preserve"> well</w:t>
      </w:r>
      <w:r w:rsidR="000856B2" w:rsidRPr="002473A4">
        <w:rPr>
          <w:rFonts w:ascii="Arial" w:eastAsia="Times New Roman" w:hAnsi="Arial" w:cs="Arial"/>
          <w:color w:val="201F1E"/>
          <w:lang w:eastAsia="en-GB"/>
        </w:rPr>
        <w:t xml:space="preserve">.  </w:t>
      </w:r>
      <w:r w:rsidR="00882126" w:rsidRPr="002473A4">
        <w:rPr>
          <w:rFonts w:ascii="Arial" w:eastAsia="Times New Roman" w:hAnsi="Arial" w:cs="Arial"/>
          <w:color w:val="201F1E"/>
          <w:lang w:eastAsia="en-GB"/>
        </w:rPr>
        <w:t xml:space="preserve"> Bennett </w:t>
      </w:r>
      <w:r w:rsidR="00557E2A" w:rsidRPr="002473A4">
        <w:rPr>
          <w:rFonts w:ascii="Arial" w:eastAsia="Times New Roman" w:hAnsi="Arial" w:cs="Arial"/>
          <w:color w:val="201F1E"/>
          <w:lang w:eastAsia="en-GB"/>
        </w:rPr>
        <w:t xml:space="preserve">also </w:t>
      </w:r>
      <w:r w:rsidR="00882126" w:rsidRPr="002473A4">
        <w:rPr>
          <w:rFonts w:ascii="Arial" w:eastAsia="Times New Roman" w:hAnsi="Arial" w:cs="Arial"/>
          <w:color w:val="201F1E"/>
          <w:lang w:eastAsia="en-GB"/>
        </w:rPr>
        <w:t xml:space="preserve">provides a full literature review, including a historical perspective, </w:t>
      </w:r>
      <w:r w:rsidR="002473A4">
        <w:rPr>
          <w:rFonts w:ascii="Arial" w:eastAsia="Times New Roman" w:hAnsi="Arial" w:cs="Arial"/>
          <w:color w:val="201F1E"/>
          <w:lang w:eastAsia="en-GB"/>
        </w:rPr>
        <w:t>showing</w:t>
      </w:r>
      <w:r w:rsidR="00882126" w:rsidRPr="002473A4">
        <w:rPr>
          <w:rFonts w:ascii="Arial" w:eastAsia="Times New Roman" w:hAnsi="Arial" w:cs="Arial"/>
          <w:color w:val="201F1E"/>
          <w:lang w:eastAsia="en-GB"/>
        </w:rPr>
        <w:t xml:space="preserve"> evidence of profound reading </w:t>
      </w:r>
      <w:r w:rsidR="002473A4">
        <w:rPr>
          <w:rFonts w:ascii="Arial" w:eastAsia="Times New Roman" w:hAnsi="Arial" w:cs="Arial"/>
          <w:color w:val="201F1E"/>
          <w:lang w:eastAsia="en-GB"/>
        </w:rPr>
        <w:t>whilst</w:t>
      </w:r>
      <w:r w:rsidR="00882126" w:rsidRPr="002473A4">
        <w:rPr>
          <w:rFonts w:ascii="Arial" w:eastAsia="Times New Roman" w:hAnsi="Arial" w:cs="Arial"/>
          <w:color w:val="201F1E"/>
          <w:lang w:eastAsia="en-GB"/>
        </w:rPr>
        <w:t xml:space="preserve"> acknowledg</w:t>
      </w:r>
      <w:r w:rsidR="002473A4">
        <w:rPr>
          <w:rFonts w:ascii="Arial" w:eastAsia="Times New Roman" w:hAnsi="Arial" w:cs="Arial"/>
          <w:color w:val="201F1E"/>
          <w:lang w:eastAsia="en-GB"/>
        </w:rPr>
        <w:t>ing</w:t>
      </w:r>
      <w:r w:rsidR="00882126" w:rsidRPr="002473A4">
        <w:rPr>
          <w:rFonts w:ascii="Arial" w:eastAsia="Times New Roman" w:hAnsi="Arial" w:cs="Arial"/>
          <w:color w:val="201F1E"/>
          <w:lang w:eastAsia="en-GB"/>
        </w:rPr>
        <w:t xml:space="preserve"> her sources.</w:t>
      </w:r>
      <w:r w:rsidR="003341ED" w:rsidRPr="002473A4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6"/>
      </w:r>
      <w:r w:rsidR="00882126" w:rsidRPr="002473A4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0F46AB">
        <w:rPr>
          <w:rFonts w:ascii="Arial" w:eastAsia="Times New Roman" w:hAnsi="Arial" w:cs="Arial"/>
          <w:color w:val="201F1E"/>
          <w:lang w:eastAsia="en-GB"/>
        </w:rPr>
        <w:t>Conversely</w:t>
      </w:r>
      <w:r w:rsidR="003F6D35" w:rsidRPr="002B7C74">
        <w:rPr>
          <w:rFonts w:ascii="Arial" w:eastAsia="Times New Roman" w:hAnsi="Arial" w:cs="Arial"/>
          <w:color w:val="201F1E"/>
          <w:lang w:eastAsia="en-GB"/>
        </w:rPr>
        <w:t>, Brink fails to define astrolog</w:t>
      </w:r>
      <w:r w:rsidR="007F4104">
        <w:rPr>
          <w:rFonts w:ascii="Arial" w:eastAsia="Times New Roman" w:hAnsi="Arial" w:cs="Arial"/>
          <w:color w:val="201F1E"/>
          <w:lang w:eastAsia="en-GB"/>
        </w:rPr>
        <w:t xml:space="preserve">y, </w:t>
      </w:r>
      <w:r w:rsidR="003F6D35" w:rsidRPr="002B7C74">
        <w:rPr>
          <w:rFonts w:ascii="Arial" w:eastAsia="Times New Roman" w:hAnsi="Arial" w:cs="Arial"/>
          <w:color w:val="201F1E"/>
          <w:lang w:eastAsia="en-GB"/>
        </w:rPr>
        <w:t>reincarnation</w:t>
      </w:r>
      <w:r w:rsidR="007F4104">
        <w:rPr>
          <w:rFonts w:ascii="Arial" w:eastAsia="Times New Roman" w:hAnsi="Arial" w:cs="Arial"/>
          <w:color w:val="201F1E"/>
          <w:lang w:eastAsia="en-GB"/>
        </w:rPr>
        <w:t xml:space="preserve"> or Catholicism</w:t>
      </w:r>
      <w:r w:rsidR="003F6D35" w:rsidRPr="002B7C74">
        <w:rPr>
          <w:rFonts w:ascii="Arial" w:eastAsia="Times New Roman" w:hAnsi="Arial" w:cs="Arial"/>
          <w:color w:val="201F1E"/>
          <w:lang w:eastAsia="en-GB"/>
        </w:rPr>
        <w:t xml:space="preserve"> and</w:t>
      </w:r>
      <w:r w:rsidR="00D83111">
        <w:rPr>
          <w:rFonts w:ascii="Arial" w:eastAsia="Times New Roman" w:hAnsi="Arial" w:cs="Arial"/>
          <w:color w:val="201F1E"/>
          <w:lang w:eastAsia="en-GB"/>
        </w:rPr>
        <w:t xml:space="preserve">, furthermore, </w:t>
      </w:r>
      <w:r w:rsidR="000F46AB">
        <w:rPr>
          <w:rFonts w:ascii="Arial" w:eastAsia="Times New Roman" w:hAnsi="Arial" w:cs="Arial"/>
          <w:color w:val="201F1E"/>
          <w:lang w:eastAsia="en-GB"/>
        </w:rPr>
        <w:t>the</w:t>
      </w:r>
      <w:r w:rsidR="003F6D35" w:rsidRPr="002B7C74">
        <w:rPr>
          <w:rFonts w:ascii="Arial" w:eastAsia="Times New Roman" w:hAnsi="Arial" w:cs="Arial"/>
          <w:color w:val="201F1E"/>
          <w:lang w:eastAsia="en-GB"/>
        </w:rPr>
        <w:t xml:space="preserve"> bibliography around these </w:t>
      </w:r>
      <w:r w:rsidR="003F6D35" w:rsidRPr="006B031D">
        <w:rPr>
          <w:rFonts w:ascii="Arial" w:eastAsia="Times New Roman" w:hAnsi="Arial" w:cs="Arial"/>
          <w:color w:val="201F1E"/>
          <w:lang w:eastAsia="en-GB"/>
        </w:rPr>
        <w:t xml:space="preserve">subjects </w:t>
      </w:r>
      <w:r w:rsidR="000E02C8" w:rsidRPr="006B031D">
        <w:rPr>
          <w:rFonts w:ascii="Arial" w:eastAsia="Times New Roman" w:hAnsi="Arial" w:cs="Arial"/>
          <w:color w:val="201F1E"/>
          <w:lang w:eastAsia="en-GB"/>
        </w:rPr>
        <w:t>is</w:t>
      </w:r>
      <w:r w:rsidR="000F46AB">
        <w:rPr>
          <w:rFonts w:ascii="Arial" w:eastAsia="Times New Roman" w:hAnsi="Arial" w:cs="Arial"/>
          <w:color w:val="201F1E"/>
          <w:lang w:eastAsia="en-GB"/>
        </w:rPr>
        <w:t xml:space="preserve"> deficient</w:t>
      </w:r>
      <w:r w:rsidR="003F6D35" w:rsidRPr="006B031D">
        <w:rPr>
          <w:rFonts w:ascii="Arial" w:eastAsia="Times New Roman" w:hAnsi="Arial" w:cs="Arial"/>
          <w:color w:val="201F1E"/>
          <w:lang w:eastAsia="en-GB"/>
        </w:rPr>
        <w:t xml:space="preserve">.  </w:t>
      </w:r>
      <w:r w:rsidR="008A13DD" w:rsidRPr="002B7C74">
        <w:rPr>
          <w:rFonts w:ascii="Arial" w:eastAsia="Times New Roman" w:hAnsi="Arial" w:cs="Arial"/>
          <w:color w:val="201F1E"/>
          <w:lang w:eastAsia="en-GB"/>
        </w:rPr>
        <w:t>Bell</w:t>
      </w:r>
      <w:r w:rsidR="0044264A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8A13DD" w:rsidRPr="002B7C74">
        <w:rPr>
          <w:rFonts w:ascii="Arial" w:eastAsia="Times New Roman" w:hAnsi="Arial" w:cs="Arial"/>
          <w:color w:val="201F1E"/>
          <w:lang w:eastAsia="en-GB"/>
        </w:rPr>
        <w:t>states that evidence of r</w:t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>eading will always be required in any research and</w:t>
      </w:r>
      <w:r w:rsidR="00D83111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>should include a critical review.</w:t>
      </w:r>
      <w:r w:rsidR="008A13DD" w:rsidRPr="0044264A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7"/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 xml:space="preserve">   Brink </w:t>
      </w:r>
      <w:r w:rsidR="0044264A">
        <w:rPr>
          <w:rFonts w:ascii="Arial" w:eastAsia="Times New Roman" w:hAnsi="Arial" w:cs="Arial"/>
          <w:color w:val="201F1E"/>
          <w:lang w:eastAsia="en-GB"/>
        </w:rPr>
        <w:t>fails to</w:t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 xml:space="preserve"> critique the assumptions</w:t>
      </w:r>
      <w:r w:rsidR="003F6D35" w:rsidRPr="0044264A">
        <w:rPr>
          <w:rFonts w:ascii="Arial" w:eastAsia="Times New Roman" w:hAnsi="Arial" w:cs="Arial"/>
          <w:color w:val="201F1E"/>
          <w:lang w:eastAsia="en-GB"/>
        </w:rPr>
        <w:t xml:space="preserve"> in his hypothesis</w:t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 xml:space="preserve"> but </w:t>
      </w:r>
      <w:r w:rsidR="0044264A">
        <w:rPr>
          <w:rFonts w:ascii="Arial" w:eastAsia="Times New Roman" w:hAnsi="Arial" w:cs="Arial"/>
          <w:color w:val="201F1E"/>
          <w:lang w:eastAsia="en-GB"/>
        </w:rPr>
        <w:t xml:space="preserve">rather </w:t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 xml:space="preserve">accepts all three </w:t>
      </w:r>
      <w:r w:rsidR="0044264A">
        <w:rPr>
          <w:rFonts w:ascii="Arial" w:eastAsia="Times New Roman" w:hAnsi="Arial" w:cs="Arial"/>
          <w:color w:val="201F1E"/>
          <w:lang w:eastAsia="en-GB"/>
        </w:rPr>
        <w:t>beliefs as</w:t>
      </w:r>
      <w:r w:rsidR="008A13DD" w:rsidRPr="0044264A">
        <w:rPr>
          <w:rFonts w:ascii="Arial" w:eastAsia="Times New Roman" w:hAnsi="Arial" w:cs="Arial"/>
          <w:color w:val="201F1E"/>
          <w:lang w:eastAsia="en-GB"/>
        </w:rPr>
        <w:t xml:space="preserve"> mutually exclusive.  This</w:t>
      </w:r>
      <w:r w:rsidR="008A13DD" w:rsidRPr="002B7C74">
        <w:rPr>
          <w:rFonts w:ascii="Arial" w:eastAsia="Times New Roman" w:hAnsi="Arial" w:cs="Arial"/>
          <w:color w:val="201F1E"/>
          <w:lang w:eastAsia="en-GB"/>
        </w:rPr>
        <w:t xml:space="preserve"> is </w:t>
      </w:r>
      <w:r w:rsidR="001E1F52">
        <w:rPr>
          <w:rFonts w:ascii="Arial" w:eastAsia="Times New Roman" w:hAnsi="Arial" w:cs="Arial"/>
          <w:color w:val="201F1E"/>
          <w:lang w:eastAsia="en-GB"/>
        </w:rPr>
        <w:t>suggestive</w:t>
      </w:r>
      <w:r w:rsidR="008A13DD" w:rsidRPr="002B7C74">
        <w:rPr>
          <w:rFonts w:ascii="Arial" w:eastAsia="Times New Roman" w:hAnsi="Arial" w:cs="Arial"/>
          <w:color w:val="201F1E"/>
          <w:lang w:eastAsia="en-GB"/>
        </w:rPr>
        <w:t xml:space="preserve"> of Bell’s</w:t>
      </w:r>
      <w:r w:rsidR="002473A4">
        <w:rPr>
          <w:rFonts w:ascii="Arial" w:eastAsia="Times New Roman" w:hAnsi="Arial" w:cs="Arial"/>
          <w:color w:val="201F1E"/>
          <w:lang w:eastAsia="en-GB"/>
        </w:rPr>
        <w:t xml:space="preserve"> analogy of the</w:t>
      </w:r>
      <w:r w:rsidR="008A13DD" w:rsidRPr="002B7C74">
        <w:rPr>
          <w:rFonts w:ascii="Arial" w:eastAsia="Times New Roman" w:hAnsi="Arial" w:cs="Arial"/>
          <w:color w:val="201F1E"/>
          <w:lang w:eastAsia="en-GB"/>
        </w:rPr>
        <w:t xml:space="preserve"> ‘furniture sale catalogue’ </w:t>
      </w:r>
      <w:r w:rsidR="002473A4">
        <w:rPr>
          <w:rFonts w:ascii="Arial" w:eastAsia="Times New Roman" w:hAnsi="Arial" w:cs="Arial"/>
          <w:color w:val="201F1E"/>
          <w:lang w:eastAsia="en-GB"/>
        </w:rPr>
        <w:t xml:space="preserve">where </w:t>
      </w:r>
      <w:r w:rsidR="008A13DD" w:rsidRPr="002B7C74">
        <w:rPr>
          <w:rFonts w:ascii="Arial" w:eastAsia="Times New Roman" w:hAnsi="Arial" w:cs="Arial"/>
          <w:color w:val="201F1E"/>
          <w:lang w:eastAsia="en-GB"/>
        </w:rPr>
        <w:t>a researcher sets out the facts without providing evidence</w:t>
      </w:r>
      <w:r w:rsidR="00FA06D7" w:rsidRPr="002B7C74">
        <w:rPr>
          <w:rFonts w:ascii="Arial" w:eastAsia="Times New Roman" w:hAnsi="Arial" w:cs="Arial"/>
          <w:color w:val="201F1E"/>
          <w:lang w:eastAsia="en-GB"/>
        </w:rPr>
        <w:t xml:space="preserve">, </w:t>
      </w:r>
      <w:r w:rsidR="00010A95" w:rsidRPr="002B7C74">
        <w:rPr>
          <w:rFonts w:ascii="Arial" w:eastAsia="Times New Roman" w:hAnsi="Arial" w:cs="Arial"/>
          <w:color w:val="201F1E"/>
          <w:lang w:eastAsia="en-GB"/>
        </w:rPr>
        <w:t>highlight</w:t>
      </w:r>
      <w:r w:rsidR="00FA06D7" w:rsidRPr="002B7C74">
        <w:rPr>
          <w:rFonts w:ascii="Arial" w:eastAsia="Times New Roman" w:hAnsi="Arial" w:cs="Arial"/>
          <w:color w:val="201F1E"/>
          <w:lang w:eastAsia="en-GB"/>
        </w:rPr>
        <w:t>ing</w:t>
      </w:r>
      <w:r w:rsidR="007043AF" w:rsidRPr="002B7C74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0F46AB">
        <w:rPr>
          <w:rFonts w:ascii="Arial" w:eastAsia="Times New Roman" w:hAnsi="Arial" w:cs="Arial"/>
          <w:color w:val="201F1E"/>
          <w:lang w:eastAsia="en-GB"/>
        </w:rPr>
        <w:t>the limitations</w:t>
      </w:r>
      <w:r w:rsidR="007043AF" w:rsidRPr="002B7C74">
        <w:rPr>
          <w:rFonts w:ascii="Arial" w:eastAsia="Times New Roman" w:hAnsi="Arial" w:cs="Arial"/>
          <w:color w:val="201F1E"/>
          <w:lang w:eastAsia="en-GB"/>
        </w:rPr>
        <w:t xml:space="preserve"> in Brink’s structure.</w:t>
      </w:r>
      <w:r w:rsidR="00FA06D7" w:rsidRPr="002B7C74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8"/>
      </w:r>
      <w:r w:rsidR="007043AF" w:rsidRPr="002B7C74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="00A074C0">
        <w:rPr>
          <w:rFonts w:ascii="Arial" w:eastAsia="Times New Roman" w:hAnsi="Arial" w:cs="Arial"/>
          <w:color w:val="201F1E"/>
          <w:lang w:eastAsia="en-GB"/>
        </w:rPr>
        <w:t xml:space="preserve"> </w:t>
      </w:r>
    </w:p>
    <w:p w14:paraId="476C0FC4" w14:textId="17A5A5E7" w:rsidR="00D05176" w:rsidRDefault="00D05176" w:rsidP="000434A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</w:p>
    <w:p w14:paraId="776CEC46" w14:textId="52B61149" w:rsidR="008A13DD" w:rsidRPr="002B7C74" w:rsidRDefault="008A13DD" w:rsidP="006B031D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</w:p>
    <w:p w14:paraId="495B0003" w14:textId="3C1EEF7A" w:rsidR="00394FE7" w:rsidRPr="00A31BD0" w:rsidRDefault="000B0875" w:rsidP="00A31BD0">
      <w:pPr>
        <w:shd w:val="clear" w:color="auto" w:fill="FFFFFF"/>
        <w:spacing w:after="0" w:line="360" w:lineRule="auto"/>
        <w:jc w:val="center"/>
        <w:textAlignment w:val="baseline"/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</w:pPr>
      <w:r w:rsidRPr="002B7C74"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  <w:lastRenderedPageBreak/>
        <w:t>Methodology</w:t>
      </w:r>
      <w:bookmarkStart w:id="7" w:name="_Hlk41889263"/>
    </w:p>
    <w:p w14:paraId="2C275C1F" w14:textId="7DB48FE0" w:rsidR="00B97CDC" w:rsidRPr="00E15DD9" w:rsidRDefault="00394FE7" w:rsidP="00B97CDC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  <w:r w:rsidRPr="002B7C74">
        <w:rPr>
          <w:rFonts w:ascii="Arial" w:eastAsia="Times New Roman" w:hAnsi="Arial" w:cs="Arial"/>
          <w:color w:val="201F1E"/>
          <w:lang w:eastAsia="en-GB"/>
        </w:rPr>
        <w:t>In testing his hypothesis, a quantitative approach was employed by Brink, reflecting his deductive method</w:t>
      </w:r>
      <w:r w:rsidRPr="000508E1">
        <w:rPr>
          <w:rFonts w:ascii="Arial" w:eastAsia="Times New Roman" w:hAnsi="Arial" w:cs="Arial"/>
          <w:color w:val="201F1E"/>
          <w:lang w:eastAsia="en-GB"/>
        </w:rPr>
        <w:t>.  Brink collected data by administering a questionnaire to 227 adolescent girls during a religion class</w:t>
      </w:r>
      <w:r w:rsidRPr="000508E1">
        <w:rPr>
          <w:rFonts w:ascii="Arial" w:eastAsia="Times New Roman" w:hAnsi="Arial" w:cs="Arial"/>
          <w:lang w:eastAsia="en-GB"/>
        </w:rPr>
        <w:t xml:space="preserve">.   Conversely, Bennett’s </w:t>
      </w:r>
      <w:r w:rsidRPr="000508E1">
        <w:rPr>
          <w:rFonts w:ascii="Arial" w:eastAsia="Times New Roman" w:hAnsi="Arial" w:cs="Arial"/>
          <w:color w:val="201F1E"/>
          <w:lang w:eastAsia="en-GB"/>
        </w:rPr>
        <w:t xml:space="preserve">inductive and qualitative approach aimed to obtain rich detail by delving deeper into the issues.  Hennink </w:t>
      </w:r>
      <w:r w:rsidR="005B765B">
        <w:rPr>
          <w:rFonts w:ascii="Arial" w:eastAsia="Times New Roman" w:hAnsi="Arial" w:cs="Arial"/>
          <w:color w:val="201F1E"/>
          <w:lang w:eastAsia="en-GB"/>
        </w:rPr>
        <w:t>and others</w:t>
      </w:r>
      <w:r w:rsidRPr="000508E1">
        <w:rPr>
          <w:rFonts w:ascii="Arial" w:eastAsia="Times New Roman" w:hAnsi="Arial" w:cs="Arial"/>
          <w:color w:val="201F1E"/>
          <w:lang w:eastAsia="en-GB"/>
        </w:rPr>
        <w:t xml:space="preserve"> cite Geertz in stating that qualitative data </w:t>
      </w:r>
      <w:r w:rsidRPr="00EA3C4D">
        <w:rPr>
          <w:rFonts w:ascii="Arial" w:eastAsia="Times New Roman" w:hAnsi="Arial" w:cs="Arial"/>
          <w:color w:val="201F1E"/>
          <w:lang w:eastAsia="en-GB"/>
        </w:rPr>
        <w:t>involves making a ‘thick description’.</w:t>
      </w:r>
      <w:r w:rsidRPr="00EA3C4D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9"/>
      </w:r>
      <w:r w:rsidRPr="00EA3C4D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="001F33D3" w:rsidRPr="00EA3C4D">
        <w:rPr>
          <w:rFonts w:ascii="Arial" w:eastAsia="Times New Roman" w:hAnsi="Arial" w:cs="Arial"/>
          <w:color w:val="201F1E"/>
          <w:lang w:eastAsia="en-GB"/>
        </w:rPr>
        <w:t xml:space="preserve">Brink might have added greater depth to his research had he </w:t>
      </w:r>
      <w:r w:rsidR="001F33D3" w:rsidRPr="007365BC">
        <w:rPr>
          <w:rFonts w:ascii="Arial" w:eastAsia="Times New Roman" w:hAnsi="Arial" w:cs="Arial"/>
          <w:color w:val="201F1E"/>
          <w:lang w:eastAsia="en-GB"/>
        </w:rPr>
        <w:t>added a text box.</w:t>
      </w:r>
      <w:r w:rsidR="007365BC" w:rsidRPr="007365BC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="001F33D3" w:rsidRPr="007365BC">
        <w:rPr>
          <w:rFonts w:ascii="Arial" w:eastAsia="Times New Roman" w:hAnsi="Arial" w:cs="Arial"/>
          <w:color w:val="201F1E"/>
          <w:lang w:eastAsia="en-GB"/>
        </w:rPr>
        <w:t xml:space="preserve">Brink’s bias towards Catholicism may have </w:t>
      </w:r>
      <w:r w:rsidR="007365BC" w:rsidRPr="007365BC">
        <w:rPr>
          <w:rFonts w:ascii="Arial" w:eastAsia="Times New Roman" w:hAnsi="Arial" w:cs="Arial"/>
          <w:color w:val="201F1E"/>
          <w:lang w:eastAsia="en-GB"/>
        </w:rPr>
        <w:t>influenced</w:t>
      </w:r>
      <w:r w:rsidR="001F33D3" w:rsidRPr="007365BC">
        <w:rPr>
          <w:rFonts w:ascii="Arial" w:eastAsia="Times New Roman" w:hAnsi="Arial" w:cs="Arial"/>
          <w:color w:val="201F1E"/>
          <w:lang w:eastAsia="en-GB"/>
        </w:rPr>
        <w:t xml:space="preserve"> his questions</w:t>
      </w:r>
      <w:r w:rsidR="007365BC">
        <w:rPr>
          <w:rFonts w:ascii="Arial" w:eastAsia="Times New Roman" w:hAnsi="Arial" w:cs="Arial"/>
          <w:color w:val="201F1E"/>
          <w:lang w:eastAsia="en-GB"/>
        </w:rPr>
        <w:t xml:space="preserve">, whereas </w:t>
      </w:r>
      <w:r w:rsidR="001F33D3" w:rsidRPr="007365BC">
        <w:rPr>
          <w:rFonts w:ascii="Arial" w:eastAsia="Times New Roman" w:hAnsi="Arial" w:cs="Arial"/>
          <w:color w:val="201F1E"/>
          <w:lang w:eastAsia="en-GB"/>
        </w:rPr>
        <w:t xml:space="preserve">Bell </w:t>
      </w:r>
      <w:r w:rsidR="007365BC" w:rsidRPr="007365BC">
        <w:rPr>
          <w:rFonts w:ascii="Arial" w:eastAsia="Times New Roman" w:hAnsi="Arial" w:cs="Arial"/>
          <w:color w:val="201F1E"/>
          <w:lang w:eastAsia="en-GB"/>
        </w:rPr>
        <w:t>advises</w:t>
      </w:r>
      <w:r w:rsidR="001F33D3" w:rsidRPr="007365BC">
        <w:rPr>
          <w:rFonts w:ascii="Arial" w:eastAsia="Times New Roman" w:hAnsi="Arial" w:cs="Arial"/>
          <w:color w:val="201F1E"/>
          <w:lang w:eastAsia="en-GB"/>
        </w:rPr>
        <w:t xml:space="preserve"> returning to the hypothesis when designing questionnaires.</w:t>
      </w:r>
      <w:r w:rsidR="001F33D3" w:rsidRPr="007365BC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0"/>
      </w:r>
      <w:r w:rsidR="001F33D3" w:rsidRPr="007365BC">
        <w:rPr>
          <w:rStyle w:val="FootnoteReference"/>
          <w:rFonts w:ascii="Arial" w:eastAsia="Times New Roman" w:hAnsi="Arial" w:cs="Arial"/>
          <w:color w:val="201F1E"/>
          <w:lang w:eastAsia="en-GB"/>
        </w:rPr>
        <w:t xml:space="preserve"> </w:t>
      </w:r>
      <w:r w:rsidR="001F33D3" w:rsidRPr="007365BC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Pr="000508E1">
        <w:rPr>
          <w:rFonts w:ascii="Arial" w:eastAsia="Times New Roman" w:hAnsi="Arial" w:cs="Arial"/>
          <w:color w:val="201F1E"/>
          <w:lang w:eastAsia="en-GB"/>
        </w:rPr>
        <w:t>Brink’s research failed to confirm his hypothesis and he notes cultural influences as a factor.</w:t>
      </w:r>
      <w:r w:rsidRPr="000508E1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1"/>
      </w:r>
      <w:r w:rsidRPr="000508E1">
        <w:rPr>
          <w:rFonts w:ascii="Times New Roman" w:eastAsia="Times New Roman" w:hAnsi="Times New Roman" w:cs="Times New Roman"/>
          <w:color w:val="201F1E"/>
          <w:sz w:val="24"/>
          <w:szCs w:val="24"/>
          <w:lang w:eastAsia="en-GB"/>
        </w:rPr>
        <w:t xml:space="preserve">  </w:t>
      </w:r>
      <w:r w:rsidRPr="000508E1">
        <w:rPr>
          <w:rFonts w:ascii="Arial" w:eastAsia="Times New Roman" w:hAnsi="Arial" w:cs="Arial"/>
          <w:color w:val="201F1E"/>
          <w:lang w:eastAsia="en-GB"/>
        </w:rPr>
        <w:t>Bryman states that quantitative research often conceptualized as having a logical structure is invariably messy as it tends to involve hunches.</w:t>
      </w:r>
      <w:r w:rsidRPr="000508E1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2"/>
      </w:r>
      <w:r w:rsidRPr="000508E1">
        <w:rPr>
          <w:rStyle w:val="FootnoteReference"/>
          <w:rFonts w:ascii="Arial" w:eastAsia="Times New Roman" w:hAnsi="Arial" w:cs="Arial"/>
          <w:color w:val="201F1E"/>
          <w:lang w:eastAsia="en-GB"/>
        </w:rPr>
        <w:t xml:space="preserve"> </w:t>
      </w:r>
      <w:r w:rsidRPr="000508E1">
        <w:rPr>
          <w:rFonts w:ascii="Arial" w:eastAsia="Times New Roman" w:hAnsi="Arial" w:cs="Arial"/>
          <w:color w:val="201F1E"/>
          <w:lang w:eastAsia="en-GB"/>
        </w:rPr>
        <w:t xml:space="preserve"> Brink was clearly an outsider with regards astrology</w:t>
      </w:r>
      <w:r w:rsidR="00CE30A4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0F46AB">
        <w:rPr>
          <w:rFonts w:ascii="Arial" w:eastAsia="Times New Roman" w:hAnsi="Arial" w:cs="Arial"/>
          <w:color w:val="201F1E"/>
          <w:lang w:eastAsia="en-GB"/>
        </w:rPr>
        <w:t xml:space="preserve">as </w:t>
      </w:r>
      <w:r w:rsidR="00CE30A4">
        <w:rPr>
          <w:rFonts w:ascii="Arial" w:eastAsia="Times New Roman" w:hAnsi="Arial" w:cs="Arial"/>
          <w:color w:val="201F1E"/>
          <w:lang w:eastAsia="en-GB"/>
        </w:rPr>
        <w:t>observed in</w:t>
      </w:r>
      <w:r w:rsidR="00F47DD9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7365BC">
        <w:rPr>
          <w:rFonts w:ascii="Arial" w:eastAsia="Times New Roman" w:hAnsi="Arial" w:cs="Arial"/>
          <w:color w:val="201F1E"/>
          <w:lang w:eastAsia="en-GB"/>
        </w:rPr>
        <w:t>the</w:t>
      </w:r>
      <w:r w:rsidR="00CE30A4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F47DD9">
        <w:rPr>
          <w:rFonts w:ascii="Arial" w:eastAsia="Times New Roman" w:hAnsi="Arial" w:cs="Arial"/>
          <w:color w:val="201F1E"/>
          <w:lang w:eastAsia="en-GB"/>
        </w:rPr>
        <w:t>assumptions</w:t>
      </w:r>
      <w:r w:rsidR="00D0022F">
        <w:rPr>
          <w:rFonts w:ascii="Arial" w:eastAsia="Times New Roman" w:hAnsi="Arial" w:cs="Arial"/>
          <w:color w:val="201F1E"/>
          <w:lang w:eastAsia="en-GB"/>
        </w:rPr>
        <w:t xml:space="preserve"> made</w:t>
      </w:r>
      <w:r w:rsidR="007365BC">
        <w:rPr>
          <w:rFonts w:ascii="Arial" w:eastAsia="Times New Roman" w:hAnsi="Arial" w:cs="Arial"/>
          <w:color w:val="201F1E"/>
          <w:lang w:eastAsia="en-GB"/>
        </w:rPr>
        <w:t xml:space="preserve">.  </w:t>
      </w:r>
      <w:bookmarkStart w:id="8" w:name="_Hlk41928775"/>
      <w:r w:rsidR="00B97CDC">
        <w:rPr>
          <w:rFonts w:ascii="Arial" w:eastAsia="Times New Roman" w:hAnsi="Arial" w:cs="Arial"/>
          <w:color w:val="201F1E"/>
          <w:lang w:eastAsia="en-GB"/>
        </w:rPr>
        <w:t xml:space="preserve">Morris </w:t>
      </w:r>
      <w:r w:rsidR="005B765B">
        <w:rPr>
          <w:rFonts w:ascii="Arial" w:eastAsia="Times New Roman" w:hAnsi="Arial" w:cs="Arial"/>
          <w:color w:val="201F1E"/>
          <w:lang w:eastAsia="en-GB"/>
        </w:rPr>
        <w:t>and others</w:t>
      </w:r>
      <w:r w:rsidR="00B97CDC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 xml:space="preserve">would describe Brink’s outsider/etic perspective as </w:t>
      </w:r>
      <w:r w:rsidR="0002251D">
        <w:rPr>
          <w:rFonts w:ascii="Arial" w:eastAsia="Times New Roman" w:hAnsi="Arial" w:cs="Arial"/>
          <w:color w:val="201F1E"/>
          <w:lang w:eastAsia="en-GB"/>
        </w:rPr>
        <w:t>‘</w:t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>behaviour described from a vantage external to the culture</w:t>
      </w:r>
      <w:r w:rsidR="0002251D">
        <w:rPr>
          <w:rFonts w:ascii="Arial" w:eastAsia="Times New Roman" w:hAnsi="Arial" w:cs="Arial"/>
          <w:color w:val="201F1E"/>
          <w:lang w:eastAsia="en-GB"/>
        </w:rPr>
        <w:t>’</w:t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>.</w:t>
      </w:r>
      <w:r w:rsidR="00B97CDC" w:rsidRPr="00B97CDC"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3"/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 xml:space="preserve"> Conversely, Bennett’s </w:t>
      </w:r>
      <w:r w:rsidR="009841B3">
        <w:rPr>
          <w:rFonts w:ascii="Arial" w:eastAsia="Times New Roman" w:hAnsi="Arial" w:cs="Arial"/>
          <w:color w:val="201F1E"/>
          <w:lang w:eastAsia="en-GB"/>
        </w:rPr>
        <w:t>relationship to the gatekeeper allowed</w:t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 xml:space="preserve"> her </w:t>
      </w:r>
      <w:r w:rsidR="000F46AB">
        <w:rPr>
          <w:rFonts w:ascii="Arial" w:eastAsia="Times New Roman" w:hAnsi="Arial" w:cs="Arial"/>
          <w:color w:val="201F1E"/>
          <w:lang w:eastAsia="en-GB"/>
        </w:rPr>
        <w:t xml:space="preserve">to take </w:t>
      </w:r>
      <w:r w:rsidR="00B97CDC" w:rsidRPr="00B97CDC">
        <w:rPr>
          <w:rFonts w:ascii="Arial" w:eastAsia="Times New Roman" w:hAnsi="Arial" w:cs="Arial"/>
          <w:color w:val="201F1E"/>
          <w:lang w:eastAsia="en-GB"/>
        </w:rPr>
        <w:t>an insider/emic perspective.</w:t>
      </w:r>
      <w:r w:rsidR="00B97CDC">
        <w:rPr>
          <w:rFonts w:ascii="Arial" w:eastAsia="Times New Roman" w:hAnsi="Arial" w:cs="Arial"/>
          <w:color w:val="201F1E"/>
          <w:lang w:eastAsia="en-GB"/>
        </w:rPr>
        <w:t xml:space="preserve">  </w:t>
      </w:r>
    </w:p>
    <w:bookmarkEnd w:id="8"/>
    <w:p w14:paraId="574C824A" w14:textId="5E5F9EFF" w:rsidR="008D0889" w:rsidRDefault="008D0889" w:rsidP="00394FE7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</w:p>
    <w:p w14:paraId="2C70DA70" w14:textId="3506E394" w:rsidR="008D0889" w:rsidRPr="002B7C74" w:rsidRDefault="008D0889" w:rsidP="008D0889">
      <w:pPr>
        <w:shd w:val="clear" w:color="auto" w:fill="FFFFFF"/>
        <w:spacing w:after="0" w:line="360" w:lineRule="auto"/>
        <w:jc w:val="center"/>
        <w:textAlignment w:val="baseline"/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</w:pPr>
      <w:r w:rsidRPr="002B7C74"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  <w:t>Ethic</w:t>
      </w:r>
      <w:r w:rsidR="001610AB"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  <w:t>s</w:t>
      </w:r>
    </w:p>
    <w:p w14:paraId="0078D73A" w14:textId="7AEAD736" w:rsidR="008D0889" w:rsidRDefault="008D0889" w:rsidP="008D0889">
      <w:pPr>
        <w:spacing w:after="0" w:line="360" w:lineRule="auto"/>
      </w:pPr>
      <w:r w:rsidRPr="002B7C74">
        <w:rPr>
          <w:rFonts w:ascii="Arial" w:eastAsia="Times New Roman" w:hAnsi="Arial" w:cs="Arial"/>
          <w:color w:val="201F1E"/>
          <w:lang w:eastAsia="en-GB"/>
        </w:rPr>
        <w:t xml:space="preserve">A major issue with Bennett’s work is the ethical issues surrounding the methodology </w:t>
      </w:r>
      <w:r>
        <w:rPr>
          <w:rFonts w:ascii="Arial" w:eastAsia="Times New Roman" w:hAnsi="Arial" w:cs="Arial"/>
          <w:color w:val="201F1E"/>
          <w:lang w:eastAsia="en-GB"/>
        </w:rPr>
        <w:t>rendering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the validity of her </w:t>
      </w:r>
      <w:r w:rsidR="00C66A7F">
        <w:rPr>
          <w:rFonts w:ascii="Arial" w:eastAsia="Times New Roman" w:hAnsi="Arial" w:cs="Arial"/>
          <w:color w:val="201F1E"/>
          <w:lang w:eastAsia="en-GB"/>
        </w:rPr>
        <w:t>results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open to criticism.   Using her father as gatekeeper, Bennett recruited participants from his</w:t>
      </w:r>
      <w:r w:rsidR="00E55B30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clinic, interviewing them whilst they were undergoing treatment.  </w:t>
      </w:r>
      <w:r>
        <w:rPr>
          <w:rFonts w:ascii="Arial" w:eastAsia="Times New Roman" w:hAnsi="Arial" w:cs="Arial"/>
          <w:color w:val="201F1E"/>
          <w:lang w:eastAsia="en-GB"/>
        </w:rPr>
        <w:t xml:space="preserve">The primary informants were over 60 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and Bennett </w:t>
      </w:r>
      <w:r w:rsidR="00E55B30">
        <w:rPr>
          <w:rFonts w:ascii="Arial" w:eastAsia="Times New Roman" w:hAnsi="Arial" w:cs="Arial"/>
          <w:color w:val="201F1E"/>
          <w:lang w:eastAsia="en-GB"/>
        </w:rPr>
        <w:t>attained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</w:t>
      </w:r>
      <w:r>
        <w:rPr>
          <w:rFonts w:ascii="Arial" w:eastAsia="Times New Roman" w:hAnsi="Arial" w:cs="Arial"/>
          <w:color w:val="201F1E"/>
          <w:lang w:eastAsia="en-GB"/>
        </w:rPr>
        <w:t xml:space="preserve">additional </w:t>
      </w:r>
      <w:r w:rsidRPr="002B7C74">
        <w:rPr>
          <w:rFonts w:ascii="Arial" w:eastAsia="Times New Roman" w:hAnsi="Arial" w:cs="Arial"/>
          <w:color w:val="201F1E"/>
          <w:lang w:eastAsia="en-GB"/>
        </w:rPr>
        <w:t>demographic information from her fathe</w:t>
      </w:r>
      <w:r w:rsidR="00E55B30">
        <w:rPr>
          <w:rFonts w:ascii="Arial" w:eastAsia="Times New Roman" w:hAnsi="Arial" w:cs="Arial"/>
          <w:color w:val="201F1E"/>
          <w:lang w:eastAsia="en-GB"/>
        </w:rPr>
        <w:t>r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.   </w:t>
      </w:r>
      <w:r>
        <w:rPr>
          <w:rFonts w:ascii="Arial" w:eastAsia="Times New Roman" w:hAnsi="Arial" w:cs="Arial"/>
          <w:color w:val="201F1E"/>
          <w:lang w:eastAsia="en-GB"/>
        </w:rPr>
        <w:t>Bell states that</w:t>
      </w:r>
      <w:r w:rsidR="00C66A7F">
        <w:rPr>
          <w:rFonts w:ascii="Arial" w:eastAsia="Times New Roman" w:hAnsi="Arial" w:cs="Arial"/>
          <w:color w:val="201F1E"/>
          <w:lang w:eastAsia="en-GB"/>
        </w:rPr>
        <w:t>,</w:t>
      </w:r>
      <w:r>
        <w:rPr>
          <w:rFonts w:ascii="Arial" w:eastAsia="Times New Roman" w:hAnsi="Arial" w:cs="Arial"/>
          <w:color w:val="201F1E"/>
          <w:lang w:eastAsia="en-GB"/>
        </w:rPr>
        <w:t xml:space="preserve"> even as an insider, researchers are still required to co</w:t>
      </w:r>
      <w:r w:rsidR="000F46AB">
        <w:rPr>
          <w:rFonts w:ascii="Arial" w:eastAsia="Times New Roman" w:hAnsi="Arial" w:cs="Arial"/>
          <w:color w:val="201F1E"/>
          <w:lang w:eastAsia="en-GB"/>
        </w:rPr>
        <w:t>mply</w:t>
      </w:r>
      <w:r>
        <w:rPr>
          <w:rFonts w:ascii="Arial" w:eastAsia="Times New Roman" w:hAnsi="Arial" w:cs="Arial"/>
          <w:color w:val="201F1E"/>
          <w:lang w:eastAsia="en-GB"/>
        </w:rPr>
        <w:t xml:space="preserve"> with ethical principles.</w:t>
      </w:r>
      <w:r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4"/>
      </w:r>
      <w:r>
        <w:rPr>
          <w:rFonts w:ascii="Arial" w:eastAsia="Times New Roman" w:hAnsi="Arial" w:cs="Arial"/>
          <w:color w:val="201F1E"/>
          <w:lang w:eastAsia="en-GB"/>
        </w:rPr>
        <w:t xml:space="preserve">   </w:t>
      </w:r>
      <w:r w:rsidRPr="002B7C74">
        <w:rPr>
          <w:rFonts w:ascii="Arial" w:eastAsia="Times New Roman" w:hAnsi="Arial" w:cs="Arial"/>
          <w:color w:val="201F1E"/>
          <w:lang w:eastAsia="en-GB"/>
        </w:rPr>
        <w:t>H</w:t>
      </w:r>
      <w:r>
        <w:rPr>
          <w:rFonts w:ascii="Arial" w:eastAsia="Times New Roman" w:hAnsi="Arial" w:cs="Arial"/>
          <w:color w:val="201F1E"/>
          <w:lang w:eastAsia="en-GB"/>
        </w:rPr>
        <w:t xml:space="preserve">ennink et al </w:t>
      </w:r>
      <w:r w:rsidRPr="002B7C74">
        <w:rPr>
          <w:rFonts w:ascii="Arial" w:eastAsia="Times New Roman" w:hAnsi="Arial" w:cs="Arial"/>
          <w:color w:val="201F1E"/>
          <w:lang w:eastAsia="en-GB"/>
        </w:rPr>
        <w:t>advise that researchers need to ensure the approach to research does not exploit the study population.</w:t>
      </w:r>
      <w:r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5"/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 </w:t>
      </w:r>
      <w:r w:rsidR="00E55B30">
        <w:rPr>
          <w:rFonts w:ascii="Arial" w:eastAsia="Times New Roman" w:hAnsi="Arial" w:cs="Arial"/>
          <w:color w:val="201F1E"/>
          <w:lang w:eastAsia="en-GB"/>
        </w:rPr>
        <w:t>I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nformed consent was </w:t>
      </w:r>
      <w:r w:rsidR="00E55B30">
        <w:rPr>
          <w:rFonts w:ascii="Arial" w:eastAsia="Times New Roman" w:hAnsi="Arial" w:cs="Arial"/>
          <w:color w:val="201F1E"/>
          <w:lang w:eastAsia="en-GB"/>
        </w:rPr>
        <w:t xml:space="preserve">not </w:t>
      </w:r>
      <w:r w:rsidRPr="002B7C74">
        <w:rPr>
          <w:rFonts w:ascii="Arial" w:eastAsia="Times New Roman" w:hAnsi="Arial" w:cs="Arial"/>
          <w:color w:val="201F1E"/>
          <w:lang w:eastAsia="en-GB"/>
        </w:rPr>
        <w:t>obtained beforehand in either study</w:t>
      </w:r>
      <w:r>
        <w:rPr>
          <w:rFonts w:ascii="Arial" w:eastAsia="Times New Roman" w:hAnsi="Arial" w:cs="Arial"/>
          <w:color w:val="201F1E"/>
          <w:lang w:eastAsia="en-GB"/>
        </w:rPr>
        <w:t>, suggesting the</w:t>
      </w:r>
      <w:r w:rsidR="00C560C8">
        <w:rPr>
          <w:rFonts w:ascii="Arial" w:eastAsia="Times New Roman" w:hAnsi="Arial" w:cs="Arial"/>
          <w:color w:val="201F1E"/>
          <w:lang w:eastAsia="en-GB"/>
        </w:rPr>
        <w:t>re</w:t>
      </w:r>
      <w:r>
        <w:rPr>
          <w:rFonts w:ascii="Arial" w:eastAsia="Times New Roman" w:hAnsi="Arial" w:cs="Arial"/>
          <w:color w:val="201F1E"/>
          <w:lang w:eastAsia="en-GB"/>
        </w:rPr>
        <w:t xml:space="preserve"> may have been coerc</w:t>
      </w:r>
      <w:r w:rsidR="00C560C8">
        <w:rPr>
          <w:rFonts w:ascii="Arial" w:eastAsia="Times New Roman" w:hAnsi="Arial" w:cs="Arial"/>
          <w:color w:val="201F1E"/>
          <w:lang w:eastAsia="en-GB"/>
        </w:rPr>
        <w:t>ion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.  </w:t>
      </w:r>
      <w:r>
        <w:rPr>
          <w:rFonts w:ascii="Arial" w:eastAsia="Times New Roman" w:hAnsi="Arial" w:cs="Arial"/>
          <w:color w:val="201F1E"/>
          <w:lang w:eastAsia="en-GB"/>
        </w:rPr>
        <w:t>Certainly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, Brink’s questionnaire </w:t>
      </w:r>
      <w:r w:rsidR="00C66A7F">
        <w:rPr>
          <w:rFonts w:ascii="Arial" w:eastAsia="Times New Roman" w:hAnsi="Arial" w:cs="Arial"/>
          <w:color w:val="201F1E"/>
          <w:lang w:eastAsia="en-GB"/>
        </w:rPr>
        <w:t>appeared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mandatory, with the teacher present.  With regards positionality, H</w:t>
      </w:r>
      <w:r>
        <w:rPr>
          <w:rFonts w:ascii="Arial" w:eastAsia="Times New Roman" w:hAnsi="Arial" w:cs="Arial"/>
          <w:color w:val="201F1E"/>
          <w:lang w:eastAsia="en-GB"/>
        </w:rPr>
        <w:t xml:space="preserve">ennink et al </w:t>
      </w:r>
      <w:r w:rsidRPr="002B7C74">
        <w:rPr>
          <w:rFonts w:ascii="Arial" w:eastAsia="Times New Roman" w:hAnsi="Arial" w:cs="Arial"/>
          <w:color w:val="201F1E"/>
          <w:lang w:eastAsia="en-GB"/>
        </w:rPr>
        <w:t>state how the researcher presents themselves in terms of role can influence the study population.</w:t>
      </w:r>
      <w:r>
        <w:rPr>
          <w:rStyle w:val="FootnoteReference"/>
          <w:rFonts w:ascii="Arial" w:eastAsia="Times New Roman" w:hAnsi="Arial" w:cs="Arial"/>
          <w:color w:val="201F1E"/>
          <w:lang w:eastAsia="en-GB"/>
        </w:rPr>
        <w:footnoteReference w:id="16"/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 </w:t>
      </w:r>
      <w:bookmarkStart w:id="9" w:name="_Hlk41922125"/>
      <w:r w:rsidRPr="002B7C74">
        <w:rPr>
          <w:rFonts w:ascii="Arial" w:eastAsia="Times New Roman" w:hAnsi="Arial" w:cs="Arial"/>
          <w:color w:val="201F1E"/>
          <w:lang w:eastAsia="en-GB"/>
        </w:rPr>
        <w:t xml:space="preserve">In </w:t>
      </w:r>
      <w:r>
        <w:rPr>
          <w:rFonts w:ascii="Arial" w:eastAsia="Times New Roman" w:hAnsi="Arial" w:cs="Arial"/>
          <w:color w:val="201F1E"/>
          <w:lang w:eastAsia="en-GB"/>
        </w:rPr>
        <w:t>Bennett’s study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, the situation </w:t>
      </w:r>
      <w:r>
        <w:rPr>
          <w:rFonts w:ascii="Arial" w:eastAsia="Times New Roman" w:hAnsi="Arial" w:cs="Arial"/>
          <w:color w:val="201F1E"/>
          <w:lang w:eastAsia="en-GB"/>
        </w:rPr>
        <w:t>was likely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 disempowering for the participants </w:t>
      </w:r>
      <w:r>
        <w:rPr>
          <w:rFonts w:ascii="Arial" w:eastAsia="Times New Roman" w:hAnsi="Arial" w:cs="Arial"/>
          <w:color w:val="201F1E"/>
          <w:lang w:eastAsia="en-GB"/>
        </w:rPr>
        <w:t xml:space="preserve">being 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interviewed in front of </w:t>
      </w:r>
      <w:r>
        <w:rPr>
          <w:rFonts w:ascii="Arial" w:eastAsia="Times New Roman" w:hAnsi="Arial" w:cs="Arial"/>
          <w:color w:val="201F1E"/>
          <w:lang w:eastAsia="en-GB"/>
        </w:rPr>
        <w:t>a ma</w:t>
      </w:r>
      <w:r w:rsidR="00C66A7F">
        <w:rPr>
          <w:rFonts w:ascii="Arial" w:eastAsia="Times New Roman" w:hAnsi="Arial" w:cs="Arial"/>
          <w:color w:val="201F1E"/>
          <w:lang w:eastAsia="en-GB"/>
        </w:rPr>
        <w:t>le</w:t>
      </w:r>
      <w:r w:rsidR="008A2715">
        <w:rPr>
          <w:rFonts w:ascii="Arial" w:eastAsia="Times New Roman" w:hAnsi="Arial" w:cs="Arial"/>
          <w:color w:val="201F1E"/>
          <w:lang w:eastAsia="en-GB"/>
        </w:rPr>
        <w:t xml:space="preserve"> and may have affected their candidness</w:t>
      </w:r>
      <w:r w:rsidRPr="002B7C74">
        <w:rPr>
          <w:rFonts w:ascii="Arial" w:eastAsia="Times New Roman" w:hAnsi="Arial" w:cs="Arial"/>
          <w:color w:val="201F1E"/>
          <w:lang w:eastAsia="en-GB"/>
        </w:rPr>
        <w:t xml:space="preserve">.   </w:t>
      </w:r>
      <w:bookmarkEnd w:id="9"/>
      <w:r>
        <w:rPr>
          <w:rFonts w:ascii="Arial" w:eastAsia="Times New Roman" w:hAnsi="Arial" w:cs="Arial"/>
          <w:color w:val="201F1E"/>
          <w:lang w:eastAsia="en-GB"/>
        </w:rPr>
        <w:t>As Bennett fails to provide any conscious self-reflection, it might be presumed she was unaware</w:t>
      </w:r>
      <w:r w:rsidR="001E1F52">
        <w:rPr>
          <w:rFonts w:ascii="Arial" w:eastAsia="Times New Roman" w:hAnsi="Arial" w:cs="Arial"/>
          <w:color w:val="201F1E"/>
          <w:lang w:eastAsia="en-GB"/>
        </w:rPr>
        <w:t xml:space="preserve"> to </w:t>
      </w:r>
      <w:r w:rsidR="001E1F52">
        <w:rPr>
          <w:rFonts w:ascii="Arial" w:eastAsia="Times New Roman" w:hAnsi="Arial" w:cs="Arial"/>
          <w:color w:val="201F1E"/>
          <w:lang w:eastAsia="en-GB"/>
        </w:rPr>
        <w:lastRenderedPageBreak/>
        <w:t>any</w:t>
      </w:r>
      <w:r w:rsidR="00C66A7F">
        <w:rPr>
          <w:rFonts w:ascii="Arial" w:eastAsia="Times New Roman" w:hAnsi="Arial" w:cs="Arial"/>
          <w:color w:val="201F1E"/>
          <w:lang w:eastAsia="en-GB"/>
        </w:rPr>
        <w:t xml:space="preserve"> </w:t>
      </w:r>
      <w:r>
        <w:rPr>
          <w:rFonts w:ascii="Arial" w:eastAsia="Times New Roman" w:hAnsi="Arial" w:cs="Arial"/>
          <w:color w:val="201F1E"/>
          <w:lang w:eastAsia="en-GB"/>
        </w:rPr>
        <w:t xml:space="preserve">power dynamics involved.  Similarly, Brink omits any self-reflection which might have given him some awareness of the wider social context of his study.   </w:t>
      </w:r>
    </w:p>
    <w:bookmarkEnd w:id="7"/>
    <w:p w14:paraId="53D2F09D" w14:textId="77777777" w:rsidR="00F47DD9" w:rsidRPr="00EE00DD" w:rsidRDefault="00F47DD9" w:rsidP="00F633FC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</w:p>
    <w:p w14:paraId="224C43AF" w14:textId="57F46E6A" w:rsidR="00234F8F" w:rsidRPr="00561629" w:rsidRDefault="008039A6" w:rsidP="00561629">
      <w:pPr>
        <w:shd w:val="clear" w:color="auto" w:fill="FFFFFF"/>
        <w:spacing w:after="0" w:line="360" w:lineRule="auto"/>
        <w:jc w:val="center"/>
        <w:textAlignment w:val="baseline"/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</w:pPr>
      <w:r w:rsidRPr="00EE00DD">
        <w:rPr>
          <w:rFonts w:ascii="Arial" w:eastAsia="Times New Roman" w:hAnsi="Arial" w:cs="Arial"/>
          <w:b/>
          <w:bCs/>
          <w:i/>
          <w:iCs/>
          <w:color w:val="201F1E"/>
          <w:lang w:eastAsia="en-GB"/>
        </w:rPr>
        <w:t>Conclusion</w:t>
      </w:r>
    </w:p>
    <w:p w14:paraId="5C24CAC6" w14:textId="60A9038C" w:rsidR="006B3379" w:rsidRDefault="00234F8F" w:rsidP="006B3379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201F1E"/>
          <w:lang w:eastAsia="en-GB"/>
        </w:rPr>
      </w:pPr>
      <w:r w:rsidRPr="00EE00DD">
        <w:rPr>
          <w:rFonts w:ascii="Arial" w:eastAsia="Times New Roman" w:hAnsi="Arial" w:cs="Arial"/>
          <w:color w:val="201F1E"/>
          <w:lang w:eastAsia="en-GB"/>
        </w:rPr>
        <w:t xml:space="preserve">This essay has compared and critically contrasted Brink’s and Bennett’s </w:t>
      </w:r>
      <w:r>
        <w:rPr>
          <w:rFonts w:ascii="Arial" w:eastAsia="Times New Roman" w:hAnsi="Arial" w:cs="Arial"/>
          <w:color w:val="201F1E"/>
          <w:lang w:eastAsia="en-GB"/>
        </w:rPr>
        <w:t>research papers</w:t>
      </w:r>
      <w:r w:rsidR="00713547">
        <w:rPr>
          <w:rFonts w:ascii="Arial" w:eastAsia="Times New Roman" w:hAnsi="Arial" w:cs="Arial"/>
          <w:color w:val="201F1E"/>
          <w:lang w:eastAsia="en-GB"/>
        </w:rPr>
        <w:t xml:space="preserve">.  </w:t>
      </w:r>
      <w:r>
        <w:rPr>
          <w:rFonts w:ascii="Arial" w:eastAsia="Times New Roman" w:hAnsi="Arial" w:cs="Arial"/>
          <w:color w:val="201F1E"/>
          <w:lang w:eastAsia="en-GB"/>
        </w:rPr>
        <w:t xml:space="preserve">Regards Bennett, the findings in her study </w:t>
      </w:r>
      <w:r w:rsidR="00E16E98">
        <w:rPr>
          <w:rFonts w:ascii="Arial" w:eastAsia="Times New Roman" w:hAnsi="Arial" w:cs="Arial"/>
          <w:color w:val="201F1E"/>
          <w:lang w:eastAsia="en-GB"/>
        </w:rPr>
        <w:t>show</w:t>
      </w:r>
      <w:r>
        <w:rPr>
          <w:rFonts w:ascii="Arial" w:eastAsia="Times New Roman" w:hAnsi="Arial" w:cs="Arial"/>
          <w:color w:val="201F1E"/>
          <w:lang w:eastAsia="en-GB"/>
        </w:rPr>
        <w:t xml:space="preserve"> ethical concerns surrounding her methodology, </w:t>
      </w:r>
      <w:r w:rsidR="00D0022F">
        <w:rPr>
          <w:rFonts w:ascii="Arial" w:eastAsia="Times New Roman" w:hAnsi="Arial" w:cs="Arial"/>
          <w:color w:val="201F1E"/>
          <w:lang w:eastAsia="en-GB"/>
        </w:rPr>
        <w:t>undermining</w:t>
      </w:r>
      <w:r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D0022F">
        <w:rPr>
          <w:rFonts w:ascii="Arial" w:eastAsia="Times New Roman" w:hAnsi="Arial" w:cs="Arial"/>
          <w:color w:val="201F1E"/>
          <w:lang w:eastAsia="en-GB"/>
        </w:rPr>
        <w:t>both</w:t>
      </w:r>
      <w:r>
        <w:rPr>
          <w:rFonts w:ascii="Arial" w:eastAsia="Times New Roman" w:hAnsi="Arial" w:cs="Arial"/>
          <w:color w:val="201F1E"/>
          <w:lang w:eastAsia="en-GB"/>
        </w:rPr>
        <w:t xml:space="preserve"> validity and quality of her data.  </w:t>
      </w:r>
      <w:r w:rsidR="00D05176">
        <w:rPr>
          <w:rFonts w:ascii="Arial" w:eastAsia="Times New Roman" w:hAnsi="Arial" w:cs="Arial"/>
          <w:color w:val="201F1E"/>
          <w:lang w:eastAsia="en-GB"/>
        </w:rPr>
        <w:t>Moreover, t</w:t>
      </w:r>
      <w:r>
        <w:rPr>
          <w:rFonts w:ascii="Arial" w:eastAsia="Times New Roman" w:hAnsi="Arial" w:cs="Arial"/>
          <w:color w:val="201F1E"/>
          <w:lang w:eastAsia="en-GB"/>
        </w:rPr>
        <w:t xml:space="preserve">he lack of self-reflection in her paper suggests </w:t>
      </w:r>
      <w:r w:rsidR="00D0022F">
        <w:rPr>
          <w:rFonts w:ascii="Arial" w:eastAsia="Times New Roman" w:hAnsi="Arial" w:cs="Arial"/>
          <w:color w:val="201F1E"/>
          <w:lang w:eastAsia="en-GB"/>
        </w:rPr>
        <w:t>obliviousness</w:t>
      </w:r>
      <w:r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D0022F">
        <w:rPr>
          <w:rFonts w:ascii="Arial" w:eastAsia="Times New Roman" w:hAnsi="Arial" w:cs="Arial"/>
          <w:color w:val="201F1E"/>
          <w:lang w:eastAsia="en-GB"/>
        </w:rPr>
        <w:t>to</w:t>
      </w:r>
      <w:r>
        <w:rPr>
          <w:rFonts w:ascii="Arial" w:eastAsia="Times New Roman" w:hAnsi="Arial" w:cs="Arial"/>
          <w:color w:val="201F1E"/>
          <w:lang w:eastAsia="en-GB"/>
        </w:rPr>
        <w:t xml:space="preserve"> the ethics involved</w:t>
      </w:r>
      <w:r w:rsidR="000F46AB">
        <w:rPr>
          <w:rFonts w:ascii="Arial" w:eastAsia="Times New Roman" w:hAnsi="Arial" w:cs="Arial"/>
          <w:color w:val="201F1E"/>
          <w:lang w:eastAsia="en-GB"/>
        </w:rPr>
        <w:t xml:space="preserve">, thereby </w:t>
      </w:r>
      <w:r w:rsidR="00D83111">
        <w:rPr>
          <w:rFonts w:ascii="Arial" w:eastAsia="Times New Roman" w:hAnsi="Arial" w:cs="Arial"/>
          <w:color w:val="201F1E"/>
          <w:lang w:eastAsia="en-GB"/>
        </w:rPr>
        <w:t>questioning</w:t>
      </w:r>
      <w:r w:rsidR="00D0022F">
        <w:rPr>
          <w:rFonts w:ascii="Arial" w:eastAsia="Times New Roman" w:hAnsi="Arial" w:cs="Arial"/>
          <w:color w:val="201F1E"/>
          <w:lang w:eastAsia="en-GB"/>
        </w:rPr>
        <w:t xml:space="preserve"> </w:t>
      </w:r>
      <w:r w:rsidR="00D63491">
        <w:rPr>
          <w:rFonts w:ascii="Arial" w:eastAsia="Times New Roman" w:hAnsi="Arial" w:cs="Arial"/>
          <w:color w:val="201F1E"/>
          <w:lang w:eastAsia="en-GB"/>
        </w:rPr>
        <w:t>Bennett’s</w:t>
      </w:r>
      <w:r w:rsidR="00D0022F">
        <w:rPr>
          <w:rFonts w:ascii="Arial" w:eastAsia="Times New Roman" w:hAnsi="Arial" w:cs="Arial"/>
          <w:color w:val="201F1E"/>
          <w:lang w:eastAsia="en-GB"/>
        </w:rPr>
        <w:t xml:space="preserve"> integrity</w:t>
      </w:r>
      <w:r>
        <w:rPr>
          <w:rFonts w:ascii="Arial" w:eastAsia="Times New Roman" w:hAnsi="Arial" w:cs="Arial"/>
          <w:color w:val="201F1E"/>
          <w:lang w:eastAsia="en-GB"/>
        </w:rPr>
        <w:t xml:space="preserve">.  This was a major weakness to Bennett’s paper as it was difficult to separate her methodology from the ethics </w:t>
      </w:r>
      <w:r w:rsidR="00D63491">
        <w:rPr>
          <w:rFonts w:ascii="Arial" w:eastAsia="Times New Roman" w:hAnsi="Arial" w:cs="Arial"/>
          <w:color w:val="201F1E"/>
          <w:lang w:eastAsia="en-GB"/>
        </w:rPr>
        <w:t>uncovered</w:t>
      </w:r>
      <w:r>
        <w:rPr>
          <w:rFonts w:ascii="Arial" w:eastAsia="Times New Roman" w:hAnsi="Arial" w:cs="Arial"/>
          <w:color w:val="201F1E"/>
          <w:lang w:eastAsia="en-GB"/>
        </w:rPr>
        <w:t xml:space="preserve">.   The strength of Bennett’s paper was in its </w:t>
      </w:r>
      <w:r w:rsidR="00D63491">
        <w:rPr>
          <w:rFonts w:ascii="Arial" w:eastAsia="Times New Roman" w:hAnsi="Arial" w:cs="Arial"/>
          <w:color w:val="201F1E"/>
          <w:lang w:eastAsia="en-GB"/>
        </w:rPr>
        <w:t xml:space="preserve">clear </w:t>
      </w:r>
      <w:r>
        <w:rPr>
          <w:rFonts w:ascii="Arial" w:eastAsia="Times New Roman" w:hAnsi="Arial" w:cs="Arial"/>
          <w:color w:val="201F1E"/>
          <w:lang w:eastAsia="en-GB"/>
        </w:rPr>
        <w:t xml:space="preserve">structure </w:t>
      </w:r>
      <w:r w:rsidR="00D63491">
        <w:rPr>
          <w:rFonts w:ascii="Arial" w:eastAsia="Times New Roman" w:hAnsi="Arial" w:cs="Arial"/>
          <w:color w:val="201F1E"/>
          <w:lang w:eastAsia="en-GB"/>
        </w:rPr>
        <w:t>and t</w:t>
      </w:r>
      <w:r>
        <w:rPr>
          <w:rFonts w:ascii="Arial" w:eastAsia="Times New Roman" w:hAnsi="Arial" w:cs="Arial"/>
          <w:color w:val="201F1E"/>
          <w:lang w:eastAsia="en-GB"/>
        </w:rPr>
        <w:t xml:space="preserve">he literature review </w:t>
      </w:r>
      <w:r w:rsidR="00D63491">
        <w:rPr>
          <w:rFonts w:ascii="Arial" w:eastAsia="Times New Roman" w:hAnsi="Arial" w:cs="Arial"/>
          <w:color w:val="201F1E"/>
          <w:lang w:eastAsia="en-GB"/>
        </w:rPr>
        <w:t xml:space="preserve">which </w:t>
      </w:r>
      <w:r>
        <w:rPr>
          <w:rFonts w:ascii="Arial" w:eastAsia="Times New Roman" w:hAnsi="Arial" w:cs="Arial"/>
          <w:color w:val="201F1E"/>
          <w:lang w:eastAsia="en-GB"/>
        </w:rPr>
        <w:t xml:space="preserve">gave context and history. </w:t>
      </w:r>
      <w:r w:rsidR="006B3379">
        <w:rPr>
          <w:rFonts w:ascii="Arial" w:eastAsia="Times New Roman" w:hAnsi="Arial" w:cs="Arial"/>
          <w:color w:val="201F1E"/>
          <w:lang w:eastAsia="en-GB"/>
        </w:rPr>
        <w:t>Regards Brink’s paper, there were ma</w:t>
      </w:r>
      <w:r w:rsidR="004506EA">
        <w:rPr>
          <w:rFonts w:ascii="Arial" w:eastAsia="Times New Roman" w:hAnsi="Arial" w:cs="Arial"/>
          <w:color w:val="201F1E"/>
          <w:lang w:eastAsia="en-GB"/>
        </w:rPr>
        <w:t>n</w:t>
      </w:r>
      <w:r w:rsidR="006B3379">
        <w:rPr>
          <w:rFonts w:ascii="Arial" w:eastAsia="Times New Roman" w:hAnsi="Arial" w:cs="Arial"/>
          <w:color w:val="201F1E"/>
          <w:lang w:eastAsia="en-GB"/>
        </w:rPr>
        <w:t xml:space="preserve">y limitations.  Firstly, Brink’s paper showed a lack of literature review on astrology and reincarnation which was a major </w:t>
      </w:r>
      <w:r w:rsidR="00D83111">
        <w:rPr>
          <w:rFonts w:ascii="Arial" w:eastAsia="Times New Roman" w:hAnsi="Arial" w:cs="Arial"/>
          <w:color w:val="201F1E"/>
          <w:lang w:eastAsia="en-GB"/>
        </w:rPr>
        <w:t>failing</w:t>
      </w:r>
      <w:r w:rsidR="006B3379">
        <w:rPr>
          <w:rFonts w:ascii="Arial" w:eastAsia="Times New Roman" w:hAnsi="Arial" w:cs="Arial"/>
          <w:color w:val="201F1E"/>
          <w:lang w:eastAsia="en-GB"/>
        </w:rPr>
        <w:t>.  The absence of literature probably contributed to the false assumptions a</w:t>
      </w:r>
      <w:r w:rsidR="00D83111">
        <w:rPr>
          <w:rFonts w:ascii="Arial" w:eastAsia="Times New Roman" w:hAnsi="Arial" w:cs="Arial"/>
          <w:color w:val="201F1E"/>
          <w:lang w:eastAsia="en-GB"/>
        </w:rPr>
        <w:t>round</w:t>
      </w:r>
      <w:r w:rsidR="006B3379">
        <w:rPr>
          <w:rFonts w:ascii="Arial" w:eastAsia="Times New Roman" w:hAnsi="Arial" w:cs="Arial"/>
          <w:color w:val="201F1E"/>
          <w:lang w:eastAsia="en-GB"/>
        </w:rPr>
        <w:t xml:space="preserve"> his hypothesis.  Secondly, Brink’s methodology was too structured, preventing him </w:t>
      </w:r>
      <w:r w:rsidR="004506EA">
        <w:rPr>
          <w:rFonts w:ascii="Arial" w:eastAsia="Times New Roman" w:hAnsi="Arial" w:cs="Arial"/>
          <w:color w:val="201F1E"/>
          <w:lang w:eastAsia="en-GB"/>
        </w:rPr>
        <w:t>exploring</w:t>
      </w:r>
      <w:r w:rsidR="006B3379">
        <w:rPr>
          <w:rFonts w:ascii="Arial" w:eastAsia="Times New Roman" w:hAnsi="Arial" w:cs="Arial"/>
          <w:color w:val="201F1E"/>
          <w:lang w:eastAsia="en-GB"/>
        </w:rPr>
        <w:t xml:space="preserve"> his hypothesis in-depth.   Had his methodology been more flexible by using text boxes or a mixed methods approach, Brink may have obtained richer data, towards a thicker description.  Thirdly, as in the Bennett paper, there was an absence of any self-reflection.  Overall, there were many </w:t>
      </w:r>
      <w:r w:rsidR="004506EA">
        <w:rPr>
          <w:rFonts w:ascii="Arial" w:eastAsia="Times New Roman" w:hAnsi="Arial" w:cs="Arial"/>
          <w:color w:val="201F1E"/>
          <w:lang w:eastAsia="en-GB"/>
        </w:rPr>
        <w:t>factors</w:t>
      </w:r>
      <w:r w:rsidR="006B3379">
        <w:rPr>
          <w:rFonts w:ascii="Arial" w:eastAsia="Times New Roman" w:hAnsi="Arial" w:cs="Arial"/>
          <w:color w:val="201F1E"/>
          <w:lang w:eastAsia="en-GB"/>
        </w:rPr>
        <w:t xml:space="preserve"> contributing to the failure of Brink’s hypothesis which he </w:t>
      </w:r>
      <w:r w:rsidR="004506EA">
        <w:rPr>
          <w:rFonts w:ascii="Arial" w:eastAsia="Times New Roman" w:hAnsi="Arial" w:cs="Arial"/>
          <w:color w:val="201F1E"/>
          <w:lang w:eastAsia="en-GB"/>
        </w:rPr>
        <w:t>himself blamed on</w:t>
      </w:r>
      <w:r w:rsidR="00E55B30">
        <w:rPr>
          <w:rFonts w:ascii="Arial" w:eastAsia="Times New Roman" w:hAnsi="Arial" w:cs="Arial"/>
          <w:color w:val="201F1E"/>
          <w:lang w:eastAsia="en-GB"/>
        </w:rPr>
        <w:t xml:space="preserve"> the</w:t>
      </w:r>
      <w:r w:rsidR="006B3379">
        <w:rPr>
          <w:rFonts w:ascii="Arial" w:eastAsia="Times New Roman" w:hAnsi="Arial" w:cs="Arial"/>
          <w:color w:val="201F1E"/>
          <w:lang w:eastAsia="en-GB"/>
        </w:rPr>
        <w:t xml:space="preserve"> cultural influences</w:t>
      </w:r>
      <w:r w:rsidR="00E55B30">
        <w:rPr>
          <w:rFonts w:ascii="Arial" w:eastAsia="Times New Roman" w:hAnsi="Arial" w:cs="Arial"/>
          <w:color w:val="201F1E"/>
          <w:lang w:eastAsia="en-GB"/>
        </w:rPr>
        <w:t xml:space="preserve"> on adolescent girls</w:t>
      </w:r>
      <w:r w:rsidR="006B3379">
        <w:rPr>
          <w:rFonts w:ascii="Arial" w:eastAsia="Times New Roman" w:hAnsi="Arial" w:cs="Arial"/>
          <w:color w:val="201F1E"/>
          <w:lang w:eastAsia="en-GB"/>
        </w:rPr>
        <w:t>.</w:t>
      </w:r>
    </w:p>
    <w:bookmarkEnd w:id="6"/>
    <w:p w14:paraId="69D40E08" w14:textId="77777777" w:rsidR="001230F6" w:rsidRPr="001230F6" w:rsidRDefault="001230F6" w:rsidP="001230F6">
      <w:pPr>
        <w:spacing w:after="0" w:line="360" w:lineRule="auto"/>
        <w:rPr>
          <w:rFonts w:ascii="Arial" w:hAnsi="Arial" w:cs="Arial"/>
        </w:rPr>
      </w:pPr>
    </w:p>
    <w:p w14:paraId="1062B46A" w14:textId="60F3A355" w:rsidR="005B53FD" w:rsidRPr="006B6D48" w:rsidRDefault="005B53FD" w:rsidP="00F437B9">
      <w:pPr>
        <w:jc w:val="center"/>
        <w:rPr>
          <w:rFonts w:ascii="Arial" w:hAnsi="Arial" w:cs="Arial"/>
          <w:b/>
          <w:i/>
          <w:iCs/>
        </w:rPr>
      </w:pPr>
      <w:r w:rsidRPr="006B6D48">
        <w:rPr>
          <w:rFonts w:ascii="Arial" w:hAnsi="Arial" w:cs="Arial"/>
          <w:b/>
          <w:i/>
          <w:iCs/>
        </w:rPr>
        <w:t>Bibliography</w:t>
      </w:r>
    </w:p>
    <w:p w14:paraId="6084F042" w14:textId="037BCD72" w:rsidR="000B4EAB" w:rsidRPr="00FA5E10" w:rsidRDefault="00874446" w:rsidP="002238F4">
      <w:pPr>
        <w:spacing w:after="0" w:line="240" w:lineRule="auto"/>
        <w:rPr>
          <w:rFonts w:ascii="Arial" w:hAnsi="Arial" w:cs="Arial"/>
          <w:color w:val="201F1E"/>
          <w:bdr w:val="none" w:sz="0" w:space="0" w:color="auto" w:frame="1"/>
          <w:shd w:val="clear" w:color="auto" w:fill="FFFFFF"/>
        </w:rPr>
      </w:pPr>
      <w:r w:rsidRPr="00F437B9">
        <w:rPr>
          <w:rFonts w:ascii="Segoe UI" w:hAnsi="Segoe UI" w:cs="Segoe UI"/>
          <w:color w:val="201F1E"/>
          <w:bdr w:val="none" w:sz="0" w:space="0" w:color="auto" w:frame="1"/>
          <w:shd w:val="clear" w:color="auto" w:fill="FFFFFF"/>
        </w:rPr>
        <w:br/>
      </w:r>
      <w:r w:rsidR="000B4EAB">
        <w:rPr>
          <w:rFonts w:ascii="Arial" w:hAnsi="Arial" w:cs="Arial"/>
        </w:rPr>
        <w:t xml:space="preserve">Bell, Judith, </w:t>
      </w:r>
      <w:r w:rsidR="000B4EAB" w:rsidRPr="000B4EAB">
        <w:rPr>
          <w:rFonts w:ascii="Arial" w:hAnsi="Arial" w:cs="Arial"/>
          <w:i/>
          <w:iCs/>
        </w:rPr>
        <w:t>Doing Your Research Project: A Guide for First-time Researchers in Education, Health and Social Science</w:t>
      </w:r>
      <w:r w:rsidR="000B4EAB">
        <w:rPr>
          <w:rFonts w:ascii="Arial" w:hAnsi="Arial" w:cs="Arial"/>
        </w:rPr>
        <w:t>.  The McGraw Hill Companies, Fifth Edition 2010 [</w:t>
      </w:r>
      <w:r w:rsidR="00FA5E10">
        <w:rPr>
          <w:rFonts w:ascii="Arial" w:hAnsi="Arial" w:cs="Arial"/>
        </w:rPr>
        <w:t xml:space="preserve">1987].  </w:t>
      </w:r>
      <w:r w:rsidR="000B4EAB">
        <w:rPr>
          <w:rFonts w:ascii="Arial" w:hAnsi="Arial" w:cs="Arial"/>
        </w:rPr>
        <w:t xml:space="preserve">  </w:t>
      </w:r>
    </w:p>
    <w:p w14:paraId="1A8C01DE" w14:textId="08305188" w:rsidR="000B4EAB" w:rsidRDefault="000B4EAB" w:rsidP="002238F4">
      <w:pPr>
        <w:spacing w:after="0" w:line="240" w:lineRule="auto"/>
        <w:rPr>
          <w:rFonts w:ascii="Arial" w:hAnsi="Arial" w:cs="Arial"/>
        </w:rPr>
      </w:pPr>
    </w:p>
    <w:p w14:paraId="60E2FE21" w14:textId="7F3C2D2C" w:rsidR="00271C0C" w:rsidRPr="00271C0C" w:rsidRDefault="00271C0C" w:rsidP="002238F4">
      <w:pPr>
        <w:spacing w:after="0" w:line="240" w:lineRule="auto"/>
        <w:rPr>
          <w:rFonts w:ascii="Arial" w:hAnsi="Arial" w:cs="Arial"/>
        </w:rPr>
      </w:pPr>
    </w:p>
    <w:p w14:paraId="15D46EA0" w14:textId="1DA9C985" w:rsidR="00271C0C" w:rsidRPr="00D05176" w:rsidRDefault="00271C0C" w:rsidP="00271C0C">
      <w:pPr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  <w:r w:rsidRPr="00D05176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>Bennett, Gillian. "'If I Knew You Were Coming I'd Have Baked You a Cake'.</w:t>
      </w:r>
      <w:r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  </w:t>
      </w:r>
      <w:r w:rsidRPr="00D05176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The Folklore of Foreknowledge in a Neighborhood Group.". In </w:t>
      </w:r>
      <w:r w:rsidRPr="00D05176">
        <w:rPr>
          <w:rFonts w:ascii="Arial" w:eastAsia="Times New Roman" w:hAnsi="Arial" w:cs="Arial"/>
          <w:i/>
          <w:iCs/>
          <w:bdr w:val="none" w:sz="0" w:space="0" w:color="auto" w:frame="1"/>
          <w:shd w:val="clear" w:color="auto" w:fill="FFFFFF"/>
          <w:lang w:eastAsia="en-GB"/>
        </w:rPr>
        <w:t>Out of the Ordinary: Folklore and the Supernatural</w:t>
      </w:r>
      <w:r w:rsidRPr="00D05176"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>, edited by Barbara Walker, 122-42. Logan, Utah: Utah University Press</w:t>
      </w:r>
      <w:r>
        <w:rPr>
          <w:rFonts w:ascii="Arial" w:eastAsia="Times New Roman" w:hAnsi="Arial" w:cs="Arial"/>
          <w:bdr w:val="none" w:sz="0" w:space="0" w:color="auto" w:frame="1"/>
          <w:shd w:val="clear" w:color="auto" w:fill="FFFFFF"/>
          <w:lang w:eastAsia="en-GB"/>
        </w:rPr>
        <w:t xml:space="preserve"> (1995), pp 122-142.</w:t>
      </w:r>
      <w:r w:rsidRPr="00D05176">
        <w:rPr>
          <w:rFonts w:ascii="Arial" w:eastAsia="Times New Roman" w:hAnsi="Arial" w:cs="Arial"/>
          <w:lang w:eastAsia="en-GB"/>
        </w:rPr>
        <w:t xml:space="preserve"> </w:t>
      </w:r>
    </w:p>
    <w:p w14:paraId="7743945E" w14:textId="769FDCF8" w:rsidR="000B4EAB" w:rsidRPr="00271C0C" w:rsidRDefault="000B4EAB" w:rsidP="002238F4">
      <w:pPr>
        <w:spacing w:after="0" w:line="240" w:lineRule="auto"/>
        <w:rPr>
          <w:rFonts w:ascii="Arial" w:hAnsi="Arial" w:cs="Arial"/>
        </w:rPr>
      </w:pPr>
    </w:p>
    <w:p w14:paraId="18F7966D" w14:textId="77777777" w:rsidR="00BF36A2" w:rsidRPr="00271C0C" w:rsidRDefault="000B4EAB" w:rsidP="000B4EAB">
      <w:pPr>
        <w:spacing w:after="0" w:line="240" w:lineRule="auto"/>
        <w:rPr>
          <w:rFonts w:ascii="Arial" w:hAnsi="Arial" w:cs="Arial"/>
        </w:rPr>
      </w:pPr>
      <w:r w:rsidRPr="00271C0C">
        <w:rPr>
          <w:rFonts w:ascii="Arial" w:hAnsi="Arial" w:cs="Arial"/>
        </w:rPr>
        <w:t xml:space="preserve">Brink, T L, ‘Inconsistency of Belief among Roman Catholic Girls: Concerning Religion, Astrology, Reincarnation’, </w:t>
      </w:r>
      <w:r w:rsidRPr="00271C0C">
        <w:rPr>
          <w:rFonts w:ascii="Arial" w:hAnsi="Arial" w:cs="Arial"/>
          <w:i/>
          <w:iCs/>
        </w:rPr>
        <w:t>Review of Religious Research</w:t>
      </w:r>
      <w:r w:rsidRPr="00271C0C">
        <w:rPr>
          <w:rFonts w:ascii="Arial" w:hAnsi="Arial" w:cs="Arial"/>
        </w:rPr>
        <w:t xml:space="preserve">, Vol 20, No 1 (1978), pp 82-85. </w:t>
      </w:r>
    </w:p>
    <w:p w14:paraId="1117C0F5" w14:textId="77777777" w:rsidR="00BF36A2" w:rsidRDefault="00BF36A2" w:rsidP="000B4EAB">
      <w:pPr>
        <w:spacing w:after="0" w:line="240" w:lineRule="auto"/>
        <w:rPr>
          <w:rFonts w:ascii="Arial" w:hAnsi="Arial" w:cs="Arial"/>
        </w:rPr>
      </w:pPr>
    </w:p>
    <w:p w14:paraId="0ECF2442" w14:textId="7BC19D89" w:rsidR="000B4EAB" w:rsidRDefault="00BF36A2" w:rsidP="000B4EAB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Bryman, Alan, </w:t>
      </w:r>
      <w:r w:rsidRPr="00BF36A2">
        <w:rPr>
          <w:rFonts w:ascii="Arial" w:hAnsi="Arial" w:cs="Arial"/>
          <w:i/>
          <w:iCs/>
        </w:rPr>
        <w:t>Quantity and Quality in Social Research</w:t>
      </w:r>
      <w:r>
        <w:rPr>
          <w:rFonts w:ascii="Arial" w:hAnsi="Arial" w:cs="Arial"/>
        </w:rPr>
        <w:t>.   Routledge, 1988.</w:t>
      </w:r>
      <w:r w:rsidR="000B4EAB">
        <w:rPr>
          <w:rFonts w:ascii="Arial" w:hAnsi="Arial" w:cs="Arial"/>
        </w:rPr>
        <w:t xml:space="preserve">  </w:t>
      </w:r>
    </w:p>
    <w:p w14:paraId="16C2823B" w14:textId="3F0ABF5D" w:rsidR="00BF36A2" w:rsidRDefault="00BF36A2" w:rsidP="000B4EAB">
      <w:pPr>
        <w:spacing w:after="0" w:line="240" w:lineRule="auto"/>
        <w:rPr>
          <w:rFonts w:ascii="Arial" w:hAnsi="Arial" w:cs="Arial"/>
        </w:rPr>
      </w:pPr>
    </w:p>
    <w:p w14:paraId="1A5C39E4" w14:textId="61C6D619" w:rsidR="00BF36A2" w:rsidRDefault="00BF36A2" w:rsidP="000B4EAB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Hennink, Monique, Hutter, Inge and Bailey, Ajay, </w:t>
      </w:r>
      <w:r w:rsidRPr="00BF36A2">
        <w:rPr>
          <w:rFonts w:ascii="Arial" w:hAnsi="Arial" w:cs="Arial"/>
          <w:i/>
          <w:iCs/>
        </w:rPr>
        <w:t>Qualitative Research Methods</w:t>
      </w:r>
      <w:r>
        <w:rPr>
          <w:rFonts w:ascii="Arial" w:hAnsi="Arial" w:cs="Arial"/>
        </w:rPr>
        <w:t>.   Sage, 2011.</w:t>
      </w:r>
    </w:p>
    <w:p w14:paraId="24106A1B" w14:textId="24C34C4D" w:rsidR="00A96824" w:rsidRDefault="00A96824" w:rsidP="000B4EAB">
      <w:pPr>
        <w:spacing w:after="0" w:line="240" w:lineRule="auto"/>
        <w:rPr>
          <w:rFonts w:ascii="Arial" w:hAnsi="Arial" w:cs="Arial"/>
        </w:rPr>
      </w:pPr>
    </w:p>
    <w:p w14:paraId="7352EC2D" w14:textId="3E53A450" w:rsidR="00A96824" w:rsidRDefault="00A96824" w:rsidP="000B4EAB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Morris, Michael W, Leung, Kwok, Ames, Daniel and Lickel, Brian, </w:t>
      </w:r>
      <w:r w:rsidRPr="003341ED">
        <w:rPr>
          <w:rFonts w:ascii="Arial" w:hAnsi="Arial" w:cs="Arial"/>
        </w:rPr>
        <w:t>Views from Inside and Outside: Integrating Emic and Etic Insights about Culture and Justice</w:t>
      </w:r>
      <w:r>
        <w:rPr>
          <w:rFonts w:ascii="Arial" w:hAnsi="Arial" w:cs="Arial"/>
        </w:rPr>
        <w:t xml:space="preserve">, </w:t>
      </w:r>
      <w:r w:rsidRPr="003341ED">
        <w:rPr>
          <w:rFonts w:ascii="Arial" w:hAnsi="Arial" w:cs="Arial"/>
          <w:i/>
          <w:iCs/>
        </w:rPr>
        <w:t>The Academy of Management Review,</w:t>
      </w:r>
      <w:r>
        <w:rPr>
          <w:rFonts w:ascii="Arial" w:hAnsi="Arial" w:cs="Arial"/>
        </w:rPr>
        <w:t xml:space="preserve"> Vol 24, No 4 (1999), pp. 781-796.  </w:t>
      </w:r>
    </w:p>
    <w:p w14:paraId="100D1D95" w14:textId="6234A44F" w:rsidR="00A96824" w:rsidRDefault="00A96824" w:rsidP="000B4EAB">
      <w:pPr>
        <w:spacing w:after="0" w:line="240" w:lineRule="auto"/>
        <w:rPr>
          <w:rFonts w:ascii="Arial" w:hAnsi="Arial" w:cs="Arial"/>
        </w:rPr>
      </w:pPr>
    </w:p>
    <w:p w14:paraId="6DED1BFD" w14:textId="36AB32B5" w:rsidR="000B4EAB" w:rsidRDefault="000B4EAB" w:rsidP="002238F4">
      <w:pPr>
        <w:spacing w:after="0" w:line="240" w:lineRule="auto"/>
        <w:rPr>
          <w:rFonts w:ascii="Arial" w:hAnsi="Arial" w:cs="Arial"/>
          <w:b/>
        </w:rPr>
      </w:pPr>
    </w:p>
    <w:p w14:paraId="60C51C06" w14:textId="77777777" w:rsidR="000B4EAB" w:rsidRPr="00C17FED" w:rsidRDefault="000B4EAB" w:rsidP="002238F4">
      <w:pPr>
        <w:spacing w:after="0" w:line="240" w:lineRule="auto"/>
        <w:rPr>
          <w:rFonts w:ascii="Arial" w:hAnsi="Arial" w:cs="Arial"/>
          <w:b/>
        </w:rPr>
      </w:pPr>
    </w:p>
    <w:sectPr w:rsidR="000B4EAB" w:rsidRPr="00C17FED" w:rsidSect="00B21BBB">
      <w:headerReference w:type="default" r:id="rId8"/>
      <w:footerReference w:type="default" r:id="rId9"/>
      <w:pgSz w:w="11906" w:h="16838" w:code="9"/>
      <w:pgMar w:top="1123" w:right="1134" w:bottom="403" w:left="1440" w:header="720" w:footer="720" w:gutter="0"/>
      <w:cols w:space="720"/>
      <w:noEndnote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51E4D9" w14:textId="77777777" w:rsidR="00845185" w:rsidRDefault="00845185" w:rsidP="00B27306">
      <w:pPr>
        <w:spacing w:after="0" w:line="240" w:lineRule="auto"/>
      </w:pPr>
      <w:r>
        <w:separator/>
      </w:r>
    </w:p>
  </w:endnote>
  <w:endnote w:type="continuationSeparator" w:id="0">
    <w:p w14:paraId="25EDB9E2" w14:textId="77777777" w:rsidR="00845185" w:rsidRDefault="00845185" w:rsidP="00B273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iner Hand ITC">
    <w:panose1 w:val="03070502030502020203"/>
    <w:charset w:val="00"/>
    <w:family w:val="script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1FDCF1" w14:textId="5E60A841" w:rsidR="001B2B90" w:rsidRDefault="001B2B90">
    <w:pPr>
      <w:pStyle w:val="Footer"/>
      <w:jc w:val="right"/>
    </w:pPr>
  </w:p>
  <w:p w14:paraId="3A312A1C" w14:textId="77777777" w:rsidR="001B2B90" w:rsidRDefault="001B2B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7BE042" w14:textId="77777777" w:rsidR="00845185" w:rsidRDefault="00845185" w:rsidP="00B27306">
      <w:pPr>
        <w:spacing w:after="0" w:line="240" w:lineRule="auto"/>
      </w:pPr>
      <w:r>
        <w:separator/>
      </w:r>
    </w:p>
  </w:footnote>
  <w:footnote w:type="continuationSeparator" w:id="0">
    <w:p w14:paraId="0ACC24D7" w14:textId="77777777" w:rsidR="00845185" w:rsidRDefault="00845185" w:rsidP="00B27306">
      <w:pPr>
        <w:spacing w:after="0" w:line="240" w:lineRule="auto"/>
      </w:pPr>
      <w:r>
        <w:continuationSeparator/>
      </w:r>
    </w:p>
  </w:footnote>
  <w:footnote w:id="1">
    <w:p w14:paraId="491E2162" w14:textId="77777777" w:rsidR="001E3650" w:rsidRDefault="001E3650" w:rsidP="001E3650">
      <w:pPr>
        <w:pStyle w:val="FootnoteText"/>
      </w:pPr>
      <w:r>
        <w:rPr>
          <w:rStyle w:val="FootnoteReference"/>
        </w:rPr>
        <w:footnoteRef/>
      </w:r>
      <w:r>
        <w:t xml:space="preserve"> T L Brink, ‘Inconsistency of Belief among Roman Catholic Girls: Concerning Religion, Astrology, Reincarnation’, Review of Religious Research, Vol 20, No 1 (1978), [hereafter Brink], pp 82-85.  </w:t>
      </w:r>
    </w:p>
  </w:footnote>
  <w:footnote w:id="2">
    <w:p w14:paraId="23F37895" w14:textId="06F53D0E" w:rsidR="001E3650" w:rsidRDefault="001E3650" w:rsidP="001E3650">
      <w:pPr>
        <w:pStyle w:val="FootnoteText"/>
      </w:pPr>
      <w:r>
        <w:rPr>
          <w:rStyle w:val="FootnoteReference"/>
        </w:rPr>
        <w:footnoteRef/>
      </w:r>
      <w:r>
        <w:t xml:space="preserve"> Gillian Bennett</w:t>
      </w:r>
      <w:r w:rsidR="00271C0C">
        <w:t>, “If I Knew You Were Coming I’d have Baked You a Cake.  The Folklore of Foreknowledge in a Neighbourhood Group”.  In Out of the Ordinary: Folklore and the Supernatural, edited by Barbara Walker. Logan, Utah.  Utah University Press (1995), [hereafter Bennett], pp 122-42.</w:t>
      </w:r>
    </w:p>
  </w:footnote>
  <w:footnote w:id="3">
    <w:p w14:paraId="2FCE1A92" w14:textId="21B2E04E" w:rsidR="003341ED" w:rsidRDefault="00C40D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41ED">
        <w:t>Brink, p.</w:t>
      </w:r>
      <w:r w:rsidR="000100CE">
        <w:t xml:space="preserve"> </w:t>
      </w:r>
      <w:r w:rsidR="003341ED">
        <w:t>82.</w:t>
      </w:r>
    </w:p>
  </w:footnote>
  <w:footnote w:id="4">
    <w:p w14:paraId="52D9F8FC" w14:textId="61E4CDAA" w:rsidR="00C40D80" w:rsidRDefault="00C40D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41ED">
        <w:t>Brink, p.</w:t>
      </w:r>
      <w:r w:rsidR="000100CE">
        <w:t xml:space="preserve"> </w:t>
      </w:r>
      <w:r w:rsidR="003341ED">
        <w:t xml:space="preserve">82. </w:t>
      </w:r>
    </w:p>
  </w:footnote>
  <w:footnote w:id="5">
    <w:p w14:paraId="14D65C37" w14:textId="088E9B34" w:rsidR="00C40D80" w:rsidRDefault="00C40D8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41ED">
        <w:t>Brink, p.</w:t>
      </w:r>
      <w:r w:rsidR="000100CE">
        <w:t xml:space="preserve"> </w:t>
      </w:r>
      <w:r w:rsidR="003341ED">
        <w:t>82.</w:t>
      </w:r>
    </w:p>
  </w:footnote>
  <w:footnote w:id="6">
    <w:p w14:paraId="283FAE5E" w14:textId="1C79D289" w:rsidR="003341ED" w:rsidRDefault="003341ED">
      <w:pPr>
        <w:pStyle w:val="FootnoteText"/>
      </w:pPr>
      <w:r>
        <w:rPr>
          <w:rStyle w:val="FootnoteReference"/>
        </w:rPr>
        <w:footnoteRef/>
      </w:r>
      <w:r>
        <w:t xml:space="preserve"> Bennett, p.</w:t>
      </w:r>
      <w:r w:rsidR="000100CE">
        <w:t xml:space="preserve"> 123.</w:t>
      </w:r>
    </w:p>
  </w:footnote>
  <w:footnote w:id="7">
    <w:p w14:paraId="2799F55E" w14:textId="5987EF86" w:rsidR="008A13DD" w:rsidRDefault="008A13DD" w:rsidP="008A13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41ED">
        <w:t>Judith Bell, Doing Your Research Project: A Guide for First</w:t>
      </w:r>
      <w:r w:rsidR="005177DA">
        <w:t>-time Researchers in Education, Health and Social Science.  The McGraw Hill Companies, Fifth Edition 2010 [1987], [hereafter Bell], p.</w:t>
      </w:r>
      <w:r w:rsidR="000100CE">
        <w:t xml:space="preserve"> </w:t>
      </w:r>
      <w:r w:rsidR="005177DA">
        <w:t>104.</w:t>
      </w:r>
    </w:p>
  </w:footnote>
  <w:footnote w:id="8">
    <w:p w14:paraId="1708A0D5" w14:textId="6653D93D" w:rsidR="00FA06D7" w:rsidRDefault="00FA06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4264A">
        <w:t>Bell, p.</w:t>
      </w:r>
      <w:r w:rsidR="000100CE">
        <w:t xml:space="preserve"> </w:t>
      </w:r>
      <w:r w:rsidR="0044264A">
        <w:t>104.</w:t>
      </w:r>
    </w:p>
  </w:footnote>
  <w:footnote w:id="9">
    <w:p w14:paraId="0C5DA33D" w14:textId="39C1EF3F" w:rsidR="00394FE7" w:rsidRDefault="00394FE7" w:rsidP="00394F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738B">
        <w:t>Moniq</w:t>
      </w:r>
      <w:r w:rsidR="00CE738B">
        <w:tab/>
        <w:t>ue Hennink, Inge Hutter and Ajay Bailey, Qualitative Research Methods. Sage, 2011, [Hereafter Hennink et al], p.</w:t>
      </w:r>
      <w:r w:rsidR="000100CE">
        <w:t xml:space="preserve"> </w:t>
      </w:r>
      <w:r w:rsidR="00CE738B">
        <w:t>238.</w:t>
      </w:r>
    </w:p>
  </w:footnote>
  <w:footnote w:id="10">
    <w:p w14:paraId="64A5E45A" w14:textId="77777777" w:rsidR="001F33D3" w:rsidRDefault="001F33D3" w:rsidP="001F33D3">
      <w:pPr>
        <w:pStyle w:val="FootnoteText"/>
      </w:pPr>
      <w:r>
        <w:rPr>
          <w:rStyle w:val="FootnoteReference"/>
        </w:rPr>
        <w:footnoteRef/>
      </w:r>
      <w:r>
        <w:t xml:space="preserve"> Bell, p. 140.  </w:t>
      </w:r>
    </w:p>
  </w:footnote>
  <w:footnote w:id="11">
    <w:p w14:paraId="7F4C21D0" w14:textId="7C160228" w:rsidR="00394FE7" w:rsidRDefault="00394FE7" w:rsidP="00394FE7">
      <w:pPr>
        <w:pStyle w:val="FootnoteText"/>
      </w:pPr>
      <w:r>
        <w:rPr>
          <w:rStyle w:val="FootnoteReference"/>
        </w:rPr>
        <w:footnoteRef/>
      </w:r>
      <w:r>
        <w:t xml:space="preserve"> Brink, p.</w:t>
      </w:r>
      <w:r w:rsidR="00A31BD0">
        <w:t xml:space="preserve"> 84.</w:t>
      </w:r>
    </w:p>
  </w:footnote>
  <w:footnote w:id="12">
    <w:p w14:paraId="26BA33C8" w14:textId="77777777" w:rsidR="00394FE7" w:rsidRDefault="00394FE7" w:rsidP="00394FE7">
      <w:pPr>
        <w:pStyle w:val="FootnoteText"/>
      </w:pPr>
      <w:r>
        <w:rPr>
          <w:rStyle w:val="FootnoteReference"/>
        </w:rPr>
        <w:footnoteRef/>
      </w:r>
      <w:r>
        <w:t xml:space="preserve"> Alan Bryman, Quantity and Quality in Social Research.  Routledge, 1988, p.18.</w:t>
      </w:r>
    </w:p>
  </w:footnote>
  <w:footnote w:id="13">
    <w:p w14:paraId="395C0626" w14:textId="77777777" w:rsidR="00B97CDC" w:rsidRDefault="00B97CDC" w:rsidP="00B97CDC">
      <w:pPr>
        <w:pStyle w:val="FootnoteText"/>
      </w:pPr>
      <w:r>
        <w:rPr>
          <w:rStyle w:val="FootnoteReference"/>
        </w:rPr>
        <w:footnoteRef/>
      </w:r>
      <w:r>
        <w:t xml:space="preserve"> Michael W Morris, Kwok Leung, Daniel Ames and Brian Lickel, Views from Inside and Outside: Integrating Emic and Etic Insights about Culture and Justice, The Academy of Management Review, Vol 24, No 4, 1999, p.783.   </w:t>
      </w:r>
    </w:p>
  </w:footnote>
  <w:footnote w:id="14">
    <w:p w14:paraId="36E58C0F" w14:textId="1A7C28A8" w:rsidR="008D0889" w:rsidRDefault="008D0889" w:rsidP="008D0889">
      <w:pPr>
        <w:pStyle w:val="FootnoteText"/>
      </w:pPr>
      <w:r>
        <w:rPr>
          <w:rStyle w:val="FootnoteReference"/>
        </w:rPr>
        <w:footnoteRef/>
      </w:r>
      <w:r>
        <w:t xml:space="preserve"> Bell, p.</w:t>
      </w:r>
      <w:r w:rsidR="000100CE">
        <w:t xml:space="preserve"> </w:t>
      </w:r>
      <w:r>
        <w:t>53.</w:t>
      </w:r>
    </w:p>
  </w:footnote>
  <w:footnote w:id="15">
    <w:p w14:paraId="1F3AF9F0" w14:textId="2830770B" w:rsidR="008D0889" w:rsidRDefault="008D0889" w:rsidP="008D08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738B">
        <w:t>Hennink et al</w:t>
      </w:r>
      <w:r>
        <w:t>, p.</w:t>
      </w:r>
      <w:r w:rsidR="000100CE">
        <w:t xml:space="preserve"> </w:t>
      </w:r>
      <w:r>
        <w:t>65.</w:t>
      </w:r>
    </w:p>
  </w:footnote>
  <w:footnote w:id="16">
    <w:p w14:paraId="34932D00" w14:textId="77777777" w:rsidR="008D0889" w:rsidRDefault="008D0889" w:rsidP="008D0889">
      <w:pPr>
        <w:pStyle w:val="FootnoteText"/>
      </w:pPr>
      <w:r>
        <w:rPr>
          <w:rStyle w:val="FootnoteReference"/>
        </w:rPr>
        <w:footnoteRef/>
      </w:r>
      <w:r>
        <w:t xml:space="preserve"> Hennink et al, p.122.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313F17" w14:textId="77777777" w:rsidR="001B2B90" w:rsidRDefault="001B2B90" w:rsidP="002046D1">
    <w:pPr>
      <w:pStyle w:val="Header"/>
    </w:pPr>
    <w:r>
      <w:rPr>
        <w:b/>
        <w:bCs/>
        <w:sz w:val="24"/>
        <w:szCs w:val="24"/>
      </w:rPr>
      <w:t>Karen Brereton</w:t>
    </w:r>
    <w:r>
      <w:ptab w:relativeTo="margin" w:alignment="center" w:leader="none"/>
    </w:r>
    <w:r>
      <w:rPr>
        <w:b/>
        <w:bCs/>
        <w:sz w:val="24"/>
        <w:szCs w:val="24"/>
      </w:rPr>
      <w:t>1807878</w:t>
    </w:r>
    <w:r>
      <w:ptab w:relativeTo="margin" w:alignment="right" w:leader="none"/>
    </w:r>
    <w:r>
      <w:t xml:space="preserve">Page </w:t>
    </w:r>
    <w:r>
      <w:rPr>
        <w:b/>
        <w:bCs/>
        <w:sz w:val="24"/>
        <w:szCs w:val="24"/>
      </w:rPr>
      <w:fldChar w:fldCharType="begin"/>
    </w:r>
    <w:r>
      <w:rPr>
        <w:b/>
        <w:bCs/>
      </w:rPr>
      <w:instrText xml:space="preserve"> PAGE </w:instrText>
    </w:r>
    <w:r>
      <w:rPr>
        <w:b/>
        <w:bCs/>
        <w:sz w:val="24"/>
        <w:szCs w:val="24"/>
      </w:rPr>
      <w:fldChar w:fldCharType="separate"/>
    </w:r>
    <w:r>
      <w:rPr>
        <w:b/>
        <w:bCs/>
        <w:sz w:val="24"/>
        <w:szCs w:val="24"/>
      </w:rPr>
      <w:t>1</w:t>
    </w:r>
    <w:r>
      <w:rPr>
        <w:b/>
        <w:bCs/>
        <w:sz w:val="24"/>
        <w:szCs w:val="24"/>
      </w:rPr>
      <w:fldChar w:fldCharType="end"/>
    </w:r>
    <w:r>
      <w:t xml:space="preserve"> of </w:t>
    </w:r>
    <w:r>
      <w:rPr>
        <w:b/>
        <w:bCs/>
        <w:sz w:val="24"/>
        <w:szCs w:val="24"/>
      </w:rPr>
      <w:fldChar w:fldCharType="begin"/>
    </w:r>
    <w:r>
      <w:rPr>
        <w:b/>
        <w:bCs/>
      </w:rPr>
      <w:instrText xml:space="preserve"> NUMPAGES  </w:instrText>
    </w:r>
    <w:r>
      <w:rPr>
        <w:b/>
        <w:bCs/>
        <w:sz w:val="24"/>
        <w:szCs w:val="24"/>
      </w:rPr>
      <w:fldChar w:fldCharType="separate"/>
    </w:r>
    <w:r>
      <w:rPr>
        <w:b/>
        <w:bCs/>
        <w:sz w:val="24"/>
        <w:szCs w:val="24"/>
      </w:rPr>
      <w:t>8</w:t>
    </w:r>
    <w:r>
      <w:rPr>
        <w:b/>
        <w:bCs/>
        <w:sz w:val="24"/>
        <w:szCs w:val="24"/>
      </w:rPr>
      <w:fldChar w:fldCharType="end"/>
    </w:r>
    <w:r>
      <w:rPr>
        <w:b/>
        <w:bCs/>
        <w:sz w:val="24"/>
        <w:szCs w:val="24"/>
      </w:rPr>
      <w:t xml:space="preserve"> </w:t>
    </w:r>
  </w:p>
  <w:p w14:paraId="3EF6C139" w14:textId="129228BB" w:rsidR="001B2B90" w:rsidRDefault="001B2B90">
    <w:pPr>
      <w:pStyle w:val="Header"/>
    </w:pPr>
    <w:r>
      <w:ptab w:relativeTo="margin" w:alignment="right" w:leader="none"/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8F83F989"/>
    <w:multiLevelType w:val="hybridMultilevel"/>
    <w:tmpl w:val="8F45FBE9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EDA65EC"/>
    <w:multiLevelType w:val="hybridMultilevel"/>
    <w:tmpl w:val="DCA0A1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B41339B"/>
    <w:multiLevelType w:val="hybridMultilevel"/>
    <w:tmpl w:val="20E0B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F625E0"/>
    <w:multiLevelType w:val="hybridMultilevel"/>
    <w:tmpl w:val="9168CB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612B80"/>
    <w:multiLevelType w:val="hybridMultilevel"/>
    <w:tmpl w:val="15FE07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F44507"/>
    <w:multiLevelType w:val="hybridMultilevel"/>
    <w:tmpl w:val="9C9CA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893D84"/>
    <w:multiLevelType w:val="hybridMultilevel"/>
    <w:tmpl w:val="6AA268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4541663"/>
    <w:multiLevelType w:val="hybridMultilevel"/>
    <w:tmpl w:val="69DA4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E31046D"/>
    <w:multiLevelType w:val="hybridMultilevel"/>
    <w:tmpl w:val="00DEA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7"/>
  </w:num>
  <w:num w:numId="4">
    <w:abstractNumId w:val="4"/>
  </w:num>
  <w:num w:numId="5">
    <w:abstractNumId w:val="6"/>
  </w:num>
  <w:num w:numId="6">
    <w:abstractNumId w:val="8"/>
  </w:num>
  <w:num w:numId="7">
    <w:abstractNumId w:val="1"/>
  </w:num>
  <w:num w:numId="8">
    <w:abstractNumId w:val="3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854"/>
    <w:rsid w:val="0000000F"/>
    <w:rsid w:val="000100CE"/>
    <w:rsid w:val="00010A95"/>
    <w:rsid w:val="00015C8C"/>
    <w:rsid w:val="000160DB"/>
    <w:rsid w:val="00017636"/>
    <w:rsid w:val="0002251D"/>
    <w:rsid w:val="00027494"/>
    <w:rsid w:val="0003078B"/>
    <w:rsid w:val="000359FE"/>
    <w:rsid w:val="000434A0"/>
    <w:rsid w:val="000440A7"/>
    <w:rsid w:val="0005164E"/>
    <w:rsid w:val="00054C8A"/>
    <w:rsid w:val="00064954"/>
    <w:rsid w:val="00064F3F"/>
    <w:rsid w:val="000653A3"/>
    <w:rsid w:val="00070B06"/>
    <w:rsid w:val="00070F11"/>
    <w:rsid w:val="0007342E"/>
    <w:rsid w:val="00075438"/>
    <w:rsid w:val="0007608B"/>
    <w:rsid w:val="00080D06"/>
    <w:rsid w:val="000856B2"/>
    <w:rsid w:val="00087221"/>
    <w:rsid w:val="0008739A"/>
    <w:rsid w:val="00090EC5"/>
    <w:rsid w:val="000A06B6"/>
    <w:rsid w:val="000A0D01"/>
    <w:rsid w:val="000A2229"/>
    <w:rsid w:val="000A5A68"/>
    <w:rsid w:val="000A7547"/>
    <w:rsid w:val="000B0875"/>
    <w:rsid w:val="000B4EAB"/>
    <w:rsid w:val="000B5768"/>
    <w:rsid w:val="000C0DAE"/>
    <w:rsid w:val="000C128C"/>
    <w:rsid w:val="000C6BBD"/>
    <w:rsid w:val="000C6E53"/>
    <w:rsid w:val="000E02C8"/>
    <w:rsid w:val="000E345E"/>
    <w:rsid w:val="000E562C"/>
    <w:rsid w:val="000E5F0C"/>
    <w:rsid w:val="000F46AB"/>
    <w:rsid w:val="000F5DF8"/>
    <w:rsid w:val="000F6440"/>
    <w:rsid w:val="000F7F4E"/>
    <w:rsid w:val="00110391"/>
    <w:rsid w:val="00114C30"/>
    <w:rsid w:val="0011501E"/>
    <w:rsid w:val="00116C23"/>
    <w:rsid w:val="001230F6"/>
    <w:rsid w:val="001350D5"/>
    <w:rsid w:val="00135CE5"/>
    <w:rsid w:val="00136249"/>
    <w:rsid w:val="00142456"/>
    <w:rsid w:val="00143D42"/>
    <w:rsid w:val="00143E14"/>
    <w:rsid w:val="001474AF"/>
    <w:rsid w:val="001610AB"/>
    <w:rsid w:val="00163E19"/>
    <w:rsid w:val="00172566"/>
    <w:rsid w:val="0017351E"/>
    <w:rsid w:val="00175035"/>
    <w:rsid w:val="00176C23"/>
    <w:rsid w:val="00177E64"/>
    <w:rsid w:val="00183237"/>
    <w:rsid w:val="001843FD"/>
    <w:rsid w:val="00184697"/>
    <w:rsid w:val="00194FB9"/>
    <w:rsid w:val="001A01C4"/>
    <w:rsid w:val="001A3578"/>
    <w:rsid w:val="001A7362"/>
    <w:rsid w:val="001B22A3"/>
    <w:rsid w:val="001B2B90"/>
    <w:rsid w:val="001C00DE"/>
    <w:rsid w:val="001C17C1"/>
    <w:rsid w:val="001D2812"/>
    <w:rsid w:val="001E1F52"/>
    <w:rsid w:val="001E3650"/>
    <w:rsid w:val="001E7776"/>
    <w:rsid w:val="001F17E1"/>
    <w:rsid w:val="001F2AE9"/>
    <w:rsid w:val="001F33D3"/>
    <w:rsid w:val="001F39A7"/>
    <w:rsid w:val="002007BE"/>
    <w:rsid w:val="002011AB"/>
    <w:rsid w:val="00203406"/>
    <w:rsid w:val="002046D1"/>
    <w:rsid w:val="00204DD1"/>
    <w:rsid w:val="00207883"/>
    <w:rsid w:val="00211BBB"/>
    <w:rsid w:val="00223464"/>
    <w:rsid w:val="002236DF"/>
    <w:rsid w:val="002238F4"/>
    <w:rsid w:val="00223AE3"/>
    <w:rsid w:val="00223EFB"/>
    <w:rsid w:val="002300AD"/>
    <w:rsid w:val="0023487E"/>
    <w:rsid w:val="00234F8F"/>
    <w:rsid w:val="00244426"/>
    <w:rsid w:val="002473A4"/>
    <w:rsid w:val="0025059D"/>
    <w:rsid w:val="00250CEA"/>
    <w:rsid w:val="002550A1"/>
    <w:rsid w:val="0025636D"/>
    <w:rsid w:val="002600C9"/>
    <w:rsid w:val="00267A8E"/>
    <w:rsid w:val="0027055B"/>
    <w:rsid w:val="00271C0C"/>
    <w:rsid w:val="0027436E"/>
    <w:rsid w:val="002768D6"/>
    <w:rsid w:val="0029734B"/>
    <w:rsid w:val="00297375"/>
    <w:rsid w:val="002973B0"/>
    <w:rsid w:val="002A0430"/>
    <w:rsid w:val="002A07F3"/>
    <w:rsid w:val="002A0837"/>
    <w:rsid w:val="002A20D5"/>
    <w:rsid w:val="002A2C9C"/>
    <w:rsid w:val="002B390C"/>
    <w:rsid w:val="002B71F6"/>
    <w:rsid w:val="002B7C74"/>
    <w:rsid w:val="002C555E"/>
    <w:rsid w:val="002D0933"/>
    <w:rsid w:val="002D133C"/>
    <w:rsid w:val="002D2A1B"/>
    <w:rsid w:val="002E2F14"/>
    <w:rsid w:val="002E5CBE"/>
    <w:rsid w:val="002F035D"/>
    <w:rsid w:val="002F03E6"/>
    <w:rsid w:val="002F04AB"/>
    <w:rsid w:val="002F0FCB"/>
    <w:rsid w:val="0030034C"/>
    <w:rsid w:val="00300950"/>
    <w:rsid w:val="00307972"/>
    <w:rsid w:val="003114A8"/>
    <w:rsid w:val="00311A41"/>
    <w:rsid w:val="00317FC1"/>
    <w:rsid w:val="00324B55"/>
    <w:rsid w:val="00327E06"/>
    <w:rsid w:val="0033085C"/>
    <w:rsid w:val="003319F2"/>
    <w:rsid w:val="00331F8D"/>
    <w:rsid w:val="003341ED"/>
    <w:rsid w:val="0033617B"/>
    <w:rsid w:val="003369C6"/>
    <w:rsid w:val="00336CB3"/>
    <w:rsid w:val="0034064C"/>
    <w:rsid w:val="00342A70"/>
    <w:rsid w:val="00342EEA"/>
    <w:rsid w:val="00346B11"/>
    <w:rsid w:val="0034714A"/>
    <w:rsid w:val="003478F1"/>
    <w:rsid w:val="0035131B"/>
    <w:rsid w:val="00354239"/>
    <w:rsid w:val="003542DC"/>
    <w:rsid w:val="00354947"/>
    <w:rsid w:val="00355DF9"/>
    <w:rsid w:val="0035701F"/>
    <w:rsid w:val="00360FC4"/>
    <w:rsid w:val="00365225"/>
    <w:rsid w:val="00365EE0"/>
    <w:rsid w:val="00372DD3"/>
    <w:rsid w:val="00377C3D"/>
    <w:rsid w:val="00377D02"/>
    <w:rsid w:val="00377D09"/>
    <w:rsid w:val="00380CA7"/>
    <w:rsid w:val="00382854"/>
    <w:rsid w:val="003848CB"/>
    <w:rsid w:val="003850EE"/>
    <w:rsid w:val="00387B49"/>
    <w:rsid w:val="003903CC"/>
    <w:rsid w:val="00391EF9"/>
    <w:rsid w:val="0039211F"/>
    <w:rsid w:val="00393852"/>
    <w:rsid w:val="00393F46"/>
    <w:rsid w:val="003940D7"/>
    <w:rsid w:val="00394FE7"/>
    <w:rsid w:val="00395ABB"/>
    <w:rsid w:val="003972B9"/>
    <w:rsid w:val="003B03F1"/>
    <w:rsid w:val="003B0E50"/>
    <w:rsid w:val="003B288E"/>
    <w:rsid w:val="003B55EC"/>
    <w:rsid w:val="003B6084"/>
    <w:rsid w:val="003B7E0E"/>
    <w:rsid w:val="003C51F8"/>
    <w:rsid w:val="003C5B50"/>
    <w:rsid w:val="003D1E2A"/>
    <w:rsid w:val="003D5EA0"/>
    <w:rsid w:val="003E11C2"/>
    <w:rsid w:val="003E1A98"/>
    <w:rsid w:val="003E1B4D"/>
    <w:rsid w:val="003E4669"/>
    <w:rsid w:val="003E5D1E"/>
    <w:rsid w:val="003F6D35"/>
    <w:rsid w:val="004110A4"/>
    <w:rsid w:val="00412729"/>
    <w:rsid w:val="0041337A"/>
    <w:rsid w:val="00413705"/>
    <w:rsid w:val="00413CE7"/>
    <w:rsid w:val="00413D05"/>
    <w:rsid w:val="004204D1"/>
    <w:rsid w:val="00422522"/>
    <w:rsid w:val="00424237"/>
    <w:rsid w:val="0042462B"/>
    <w:rsid w:val="0043175B"/>
    <w:rsid w:val="00434F24"/>
    <w:rsid w:val="004360CA"/>
    <w:rsid w:val="0044070F"/>
    <w:rsid w:val="0044264A"/>
    <w:rsid w:val="00442A35"/>
    <w:rsid w:val="00443A91"/>
    <w:rsid w:val="004450A0"/>
    <w:rsid w:val="004506EA"/>
    <w:rsid w:val="00451F7A"/>
    <w:rsid w:val="00456C77"/>
    <w:rsid w:val="004574E8"/>
    <w:rsid w:val="00460C27"/>
    <w:rsid w:val="004610B9"/>
    <w:rsid w:val="004638CA"/>
    <w:rsid w:val="00466CA2"/>
    <w:rsid w:val="004734E4"/>
    <w:rsid w:val="00480790"/>
    <w:rsid w:val="0048115A"/>
    <w:rsid w:val="004823A2"/>
    <w:rsid w:val="00486AFD"/>
    <w:rsid w:val="00486F52"/>
    <w:rsid w:val="00497284"/>
    <w:rsid w:val="004A64E2"/>
    <w:rsid w:val="004B0615"/>
    <w:rsid w:val="004B5E8D"/>
    <w:rsid w:val="004C0086"/>
    <w:rsid w:val="004C6D36"/>
    <w:rsid w:val="004C7300"/>
    <w:rsid w:val="004C7E97"/>
    <w:rsid w:val="004D217C"/>
    <w:rsid w:val="004D52B2"/>
    <w:rsid w:val="004D6664"/>
    <w:rsid w:val="004E4D17"/>
    <w:rsid w:val="004E5EE7"/>
    <w:rsid w:val="004E5F1D"/>
    <w:rsid w:val="004F2867"/>
    <w:rsid w:val="004F65A1"/>
    <w:rsid w:val="004F6FF1"/>
    <w:rsid w:val="00501440"/>
    <w:rsid w:val="00507792"/>
    <w:rsid w:val="00516AF8"/>
    <w:rsid w:val="005174C1"/>
    <w:rsid w:val="005177DA"/>
    <w:rsid w:val="005215ED"/>
    <w:rsid w:val="0052173E"/>
    <w:rsid w:val="0052605E"/>
    <w:rsid w:val="00527368"/>
    <w:rsid w:val="00527E23"/>
    <w:rsid w:val="00530A78"/>
    <w:rsid w:val="005317A6"/>
    <w:rsid w:val="005334E3"/>
    <w:rsid w:val="005355FF"/>
    <w:rsid w:val="0053724A"/>
    <w:rsid w:val="0054039B"/>
    <w:rsid w:val="005429DF"/>
    <w:rsid w:val="005451EC"/>
    <w:rsid w:val="00554173"/>
    <w:rsid w:val="0055644B"/>
    <w:rsid w:val="00556A66"/>
    <w:rsid w:val="00557E2A"/>
    <w:rsid w:val="00561629"/>
    <w:rsid w:val="00561BBD"/>
    <w:rsid w:val="0056223B"/>
    <w:rsid w:val="00562B85"/>
    <w:rsid w:val="00565CB2"/>
    <w:rsid w:val="005669AB"/>
    <w:rsid w:val="00572130"/>
    <w:rsid w:val="00576C68"/>
    <w:rsid w:val="0057703C"/>
    <w:rsid w:val="005809FC"/>
    <w:rsid w:val="00581011"/>
    <w:rsid w:val="00582EDF"/>
    <w:rsid w:val="0059330B"/>
    <w:rsid w:val="00593BB6"/>
    <w:rsid w:val="00597335"/>
    <w:rsid w:val="00597B25"/>
    <w:rsid w:val="005A1B45"/>
    <w:rsid w:val="005A2D4A"/>
    <w:rsid w:val="005A2E91"/>
    <w:rsid w:val="005B0D76"/>
    <w:rsid w:val="005B2032"/>
    <w:rsid w:val="005B394A"/>
    <w:rsid w:val="005B53FD"/>
    <w:rsid w:val="005B6976"/>
    <w:rsid w:val="005B765B"/>
    <w:rsid w:val="005D0B49"/>
    <w:rsid w:val="005D1314"/>
    <w:rsid w:val="005D29DE"/>
    <w:rsid w:val="005D2A01"/>
    <w:rsid w:val="005D2B4A"/>
    <w:rsid w:val="005D5BC2"/>
    <w:rsid w:val="005E6837"/>
    <w:rsid w:val="005F0804"/>
    <w:rsid w:val="005F3E88"/>
    <w:rsid w:val="005F5166"/>
    <w:rsid w:val="005F7C70"/>
    <w:rsid w:val="00600C1A"/>
    <w:rsid w:val="00602DF9"/>
    <w:rsid w:val="00606F04"/>
    <w:rsid w:val="0061172B"/>
    <w:rsid w:val="006238E3"/>
    <w:rsid w:val="00626555"/>
    <w:rsid w:val="00631FAB"/>
    <w:rsid w:val="00633065"/>
    <w:rsid w:val="00634734"/>
    <w:rsid w:val="00634854"/>
    <w:rsid w:val="006357C2"/>
    <w:rsid w:val="0063600F"/>
    <w:rsid w:val="00636E49"/>
    <w:rsid w:val="00640227"/>
    <w:rsid w:val="006413F2"/>
    <w:rsid w:val="006463E3"/>
    <w:rsid w:val="0064774C"/>
    <w:rsid w:val="0065107B"/>
    <w:rsid w:val="00654CD0"/>
    <w:rsid w:val="0065529B"/>
    <w:rsid w:val="0066754F"/>
    <w:rsid w:val="0067611F"/>
    <w:rsid w:val="00677FDE"/>
    <w:rsid w:val="0068248B"/>
    <w:rsid w:val="00687B0D"/>
    <w:rsid w:val="006906CB"/>
    <w:rsid w:val="00693AC9"/>
    <w:rsid w:val="0069542A"/>
    <w:rsid w:val="006A676C"/>
    <w:rsid w:val="006B031D"/>
    <w:rsid w:val="006B329A"/>
    <w:rsid w:val="006B3379"/>
    <w:rsid w:val="006B57A7"/>
    <w:rsid w:val="006B6D48"/>
    <w:rsid w:val="006C4FB4"/>
    <w:rsid w:val="006D0918"/>
    <w:rsid w:val="006D61D6"/>
    <w:rsid w:val="006E33EC"/>
    <w:rsid w:val="006E3F55"/>
    <w:rsid w:val="006E4637"/>
    <w:rsid w:val="006E7624"/>
    <w:rsid w:val="006F34D4"/>
    <w:rsid w:val="00701263"/>
    <w:rsid w:val="00703661"/>
    <w:rsid w:val="007043AF"/>
    <w:rsid w:val="007047A3"/>
    <w:rsid w:val="00704849"/>
    <w:rsid w:val="0070535F"/>
    <w:rsid w:val="00705C52"/>
    <w:rsid w:val="00710703"/>
    <w:rsid w:val="00713547"/>
    <w:rsid w:val="00713B7A"/>
    <w:rsid w:val="00714FF7"/>
    <w:rsid w:val="00717B0A"/>
    <w:rsid w:val="00723675"/>
    <w:rsid w:val="00725353"/>
    <w:rsid w:val="0072556E"/>
    <w:rsid w:val="007272D7"/>
    <w:rsid w:val="00730B3F"/>
    <w:rsid w:val="00730E2A"/>
    <w:rsid w:val="00731877"/>
    <w:rsid w:val="00731E83"/>
    <w:rsid w:val="007339FA"/>
    <w:rsid w:val="007365BC"/>
    <w:rsid w:val="00736961"/>
    <w:rsid w:val="0073752A"/>
    <w:rsid w:val="00740FD5"/>
    <w:rsid w:val="00741657"/>
    <w:rsid w:val="007446DE"/>
    <w:rsid w:val="00750282"/>
    <w:rsid w:val="007503E8"/>
    <w:rsid w:val="00750D97"/>
    <w:rsid w:val="007540F5"/>
    <w:rsid w:val="00760C7F"/>
    <w:rsid w:val="00762836"/>
    <w:rsid w:val="00764331"/>
    <w:rsid w:val="00770E3F"/>
    <w:rsid w:val="00774AF4"/>
    <w:rsid w:val="00777AFA"/>
    <w:rsid w:val="00783C8F"/>
    <w:rsid w:val="00784716"/>
    <w:rsid w:val="00784B92"/>
    <w:rsid w:val="00785ACC"/>
    <w:rsid w:val="007861B1"/>
    <w:rsid w:val="0078735F"/>
    <w:rsid w:val="00790C04"/>
    <w:rsid w:val="007917C9"/>
    <w:rsid w:val="007928C5"/>
    <w:rsid w:val="007A1520"/>
    <w:rsid w:val="007A3048"/>
    <w:rsid w:val="007B15E9"/>
    <w:rsid w:val="007B228A"/>
    <w:rsid w:val="007B3858"/>
    <w:rsid w:val="007C11E9"/>
    <w:rsid w:val="007C5BB4"/>
    <w:rsid w:val="007C64ED"/>
    <w:rsid w:val="007D476D"/>
    <w:rsid w:val="007E3DA6"/>
    <w:rsid w:val="007E471E"/>
    <w:rsid w:val="007F227A"/>
    <w:rsid w:val="007F4104"/>
    <w:rsid w:val="007F565A"/>
    <w:rsid w:val="007F6F0C"/>
    <w:rsid w:val="008039A6"/>
    <w:rsid w:val="00803F7E"/>
    <w:rsid w:val="00815C5E"/>
    <w:rsid w:val="00821F57"/>
    <w:rsid w:val="0082228A"/>
    <w:rsid w:val="00825933"/>
    <w:rsid w:val="00825EB3"/>
    <w:rsid w:val="00827AFF"/>
    <w:rsid w:val="00830073"/>
    <w:rsid w:val="00831921"/>
    <w:rsid w:val="008330ED"/>
    <w:rsid w:val="008346DD"/>
    <w:rsid w:val="00835265"/>
    <w:rsid w:val="00841A62"/>
    <w:rsid w:val="00841A8E"/>
    <w:rsid w:val="00842A84"/>
    <w:rsid w:val="00845185"/>
    <w:rsid w:val="00846FB8"/>
    <w:rsid w:val="0084780A"/>
    <w:rsid w:val="00856128"/>
    <w:rsid w:val="00861A05"/>
    <w:rsid w:val="008628E5"/>
    <w:rsid w:val="00866B2E"/>
    <w:rsid w:val="00872AAB"/>
    <w:rsid w:val="00874446"/>
    <w:rsid w:val="008768AF"/>
    <w:rsid w:val="008820AC"/>
    <w:rsid w:val="00882126"/>
    <w:rsid w:val="0088569C"/>
    <w:rsid w:val="008866B5"/>
    <w:rsid w:val="008915C0"/>
    <w:rsid w:val="00891C94"/>
    <w:rsid w:val="00891D9E"/>
    <w:rsid w:val="00892A51"/>
    <w:rsid w:val="008935E2"/>
    <w:rsid w:val="00894E27"/>
    <w:rsid w:val="00897A8C"/>
    <w:rsid w:val="008A004A"/>
    <w:rsid w:val="008A013A"/>
    <w:rsid w:val="008A13DD"/>
    <w:rsid w:val="008A2715"/>
    <w:rsid w:val="008B3828"/>
    <w:rsid w:val="008B4C8B"/>
    <w:rsid w:val="008B58F9"/>
    <w:rsid w:val="008B593A"/>
    <w:rsid w:val="008C0DB6"/>
    <w:rsid w:val="008C4BDB"/>
    <w:rsid w:val="008C523A"/>
    <w:rsid w:val="008C5C47"/>
    <w:rsid w:val="008D0889"/>
    <w:rsid w:val="008D0AF4"/>
    <w:rsid w:val="008D0EC1"/>
    <w:rsid w:val="008D3227"/>
    <w:rsid w:val="008E146F"/>
    <w:rsid w:val="008E63DB"/>
    <w:rsid w:val="008F37DC"/>
    <w:rsid w:val="008F66BB"/>
    <w:rsid w:val="008F7868"/>
    <w:rsid w:val="00900564"/>
    <w:rsid w:val="009029B3"/>
    <w:rsid w:val="00904740"/>
    <w:rsid w:val="00907610"/>
    <w:rsid w:val="009146E6"/>
    <w:rsid w:val="00914D8B"/>
    <w:rsid w:val="00915186"/>
    <w:rsid w:val="00915A3F"/>
    <w:rsid w:val="009166C5"/>
    <w:rsid w:val="009176D1"/>
    <w:rsid w:val="009228CE"/>
    <w:rsid w:val="00923354"/>
    <w:rsid w:val="00924EAF"/>
    <w:rsid w:val="0092543B"/>
    <w:rsid w:val="009277E6"/>
    <w:rsid w:val="00932434"/>
    <w:rsid w:val="00934272"/>
    <w:rsid w:val="0093650B"/>
    <w:rsid w:val="009376BB"/>
    <w:rsid w:val="00940186"/>
    <w:rsid w:val="00944A1A"/>
    <w:rsid w:val="00945F21"/>
    <w:rsid w:val="009471C3"/>
    <w:rsid w:val="00950156"/>
    <w:rsid w:val="009558C7"/>
    <w:rsid w:val="00963971"/>
    <w:rsid w:val="00965248"/>
    <w:rsid w:val="00965DAE"/>
    <w:rsid w:val="00974E5D"/>
    <w:rsid w:val="00981E23"/>
    <w:rsid w:val="00981E4F"/>
    <w:rsid w:val="00983F62"/>
    <w:rsid w:val="0098400F"/>
    <w:rsid w:val="009841B3"/>
    <w:rsid w:val="00984C33"/>
    <w:rsid w:val="00987124"/>
    <w:rsid w:val="00995350"/>
    <w:rsid w:val="00995760"/>
    <w:rsid w:val="00997634"/>
    <w:rsid w:val="009A4439"/>
    <w:rsid w:val="009B115D"/>
    <w:rsid w:val="009B286C"/>
    <w:rsid w:val="009B7160"/>
    <w:rsid w:val="009C0627"/>
    <w:rsid w:val="009C267F"/>
    <w:rsid w:val="009C2766"/>
    <w:rsid w:val="009C5135"/>
    <w:rsid w:val="009D04A1"/>
    <w:rsid w:val="009D2EBA"/>
    <w:rsid w:val="009D31CE"/>
    <w:rsid w:val="009D387C"/>
    <w:rsid w:val="009E0779"/>
    <w:rsid w:val="009E2457"/>
    <w:rsid w:val="009E3E92"/>
    <w:rsid w:val="009E4C8B"/>
    <w:rsid w:val="009E7680"/>
    <w:rsid w:val="009F09BC"/>
    <w:rsid w:val="009F2DA0"/>
    <w:rsid w:val="009F4E26"/>
    <w:rsid w:val="009F698F"/>
    <w:rsid w:val="00A02D7F"/>
    <w:rsid w:val="00A0507D"/>
    <w:rsid w:val="00A074C0"/>
    <w:rsid w:val="00A0758C"/>
    <w:rsid w:val="00A12965"/>
    <w:rsid w:val="00A146C3"/>
    <w:rsid w:val="00A15BA0"/>
    <w:rsid w:val="00A178AF"/>
    <w:rsid w:val="00A17AF6"/>
    <w:rsid w:val="00A21237"/>
    <w:rsid w:val="00A217FA"/>
    <w:rsid w:val="00A21BB6"/>
    <w:rsid w:val="00A24500"/>
    <w:rsid w:val="00A270BC"/>
    <w:rsid w:val="00A3013A"/>
    <w:rsid w:val="00A31252"/>
    <w:rsid w:val="00A31A54"/>
    <w:rsid w:val="00A31BD0"/>
    <w:rsid w:val="00A365D8"/>
    <w:rsid w:val="00A426D7"/>
    <w:rsid w:val="00A448BD"/>
    <w:rsid w:val="00A474C9"/>
    <w:rsid w:val="00A522D1"/>
    <w:rsid w:val="00A539CD"/>
    <w:rsid w:val="00A53C4D"/>
    <w:rsid w:val="00A63AE6"/>
    <w:rsid w:val="00A66348"/>
    <w:rsid w:val="00A6747D"/>
    <w:rsid w:val="00A67E11"/>
    <w:rsid w:val="00A705B6"/>
    <w:rsid w:val="00A7072E"/>
    <w:rsid w:val="00A72DF6"/>
    <w:rsid w:val="00A753EC"/>
    <w:rsid w:val="00A836AC"/>
    <w:rsid w:val="00A84012"/>
    <w:rsid w:val="00A844F2"/>
    <w:rsid w:val="00A87D0F"/>
    <w:rsid w:val="00A9217E"/>
    <w:rsid w:val="00A96824"/>
    <w:rsid w:val="00AA7182"/>
    <w:rsid w:val="00AB5EA2"/>
    <w:rsid w:val="00AC4FA7"/>
    <w:rsid w:val="00AC56AC"/>
    <w:rsid w:val="00AC6F13"/>
    <w:rsid w:val="00AD447E"/>
    <w:rsid w:val="00AE1D31"/>
    <w:rsid w:val="00AE2BD5"/>
    <w:rsid w:val="00AE3657"/>
    <w:rsid w:val="00AE3FDE"/>
    <w:rsid w:val="00AE5D2B"/>
    <w:rsid w:val="00AF1177"/>
    <w:rsid w:val="00AF1811"/>
    <w:rsid w:val="00AF181B"/>
    <w:rsid w:val="00AF61A8"/>
    <w:rsid w:val="00AF685A"/>
    <w:rsid w:val="00AF7406"/>
    <w:rsid w:val="00B00BA5"/>
    <w:rsid w:val="00B01354"/>
    <w:rsid w:val="00B01931"/>
    <w:rsid w:val="00B02DBA"/>
    <w:rsid w:val="00B03EBD"/>
    <w:rsid w:val="00B06C78"/>
    <w:rsid w:val="00B14351"/>
    <w:rsid w:val="00B20465"/>
    <w:rsid w:val="00B214A9"/>
    <w:rsid w:val="00B21BBB"/>
    <w:rsid w:val="00B24711"/>
    <w:rsid w:val="00B249C4"/>
    <w:rsid w:val="00B25BB7"/>
    <w:rsid w:val="00B271BE"/>
    <w:rsid w:val="00B27306"/>
    <w:rsid w:val="00B27687"/>
    <w:rsid w:val="00B304D8"/>
    <w:rsid w:val="00B404BF"/>
    <w:rsid w:val="00B5083B"/>
    <w:rsid w:val="00B66071"/>
    <w:rsid w:val="00B66FD9"/>
    <w:rsid w:val="00B70707"/>
    <w:rsid w:val="00B83FC0"/>
    <w:rsid w:val="00B84A63"/>
    <w:rsid w:val="00B85D95"/>
    <w:rsid w:val="00B87D7C"/>
    <w:rsid w:val="00B91A97"/>
    <w:rsid w:val="00B946DA"/>
    <w:rsid w:val="00B95321"/>
    <w:rsid w:val="00B97CDC"/>
    <w:rsid w:val="00BA616E"/>
    <w:rsid w:val="00BA7BFB"/>
    <w:rsid w:val="00BB1254"/>
    <w:rsid w:val="00BB7362"/>
    <w:rsid w:val="00BB7E97"/>
    <w:rsid w:val="00BC047E"/>
    <w:rsid w:val="00BC0E65"/>
    <w:rsid w:val="00BC12F7"/>
    <w:rsid w:val="00BC351C"/>
    <w:rsid w:val="00BC4C6E"/>
    <w:rsid w:val="00BC673A"/>
    <w:rsid w:val="00BD6879"/>
    <w:rsid w:val="00BE01C1"/>
    <w:rsid w:val="00BE0AFE"/>
    <w:rsid w:val="00BE25E1"/>
    <w:rsid w:val="00BE26E9"/>
    <w:rsid w:val="00BF2BE4"/>
    <w:rsid w:val="00BF31DE"/>
    <w:rsid w:val="00BF36A2"/>
    <w:rsid w:val="00BF76C9"/>
    <w:rsid w:val="00C1209D"/>
    <w:rsid w:val="00C171CE"/>
    <w:rsid w:val="00C172F8"/>
    <w:rsid w:val="00C17FED"/>
    <w:rsid w:val="00C2023A"/>
    <w:rsid w:val="00C2130D"/>
    <w:rsid w:val="00C232B2"/>
    <w:rsid w:val="00C2547B"/>
    <w:rsid w:val="00C334F4"/>
    <w:rsid w:val="00C40D80"/>
    <w:rsid w:val="00C4328E"/>
    <w:rsid w:val="00C472DE"/>
    <w:rsid w:val="00C47B6A"/>
    <w:rsid w:val="00C53519"/>
    <w:rsid w:val="00C560C8"/>
    <w:rsid w:val="00C6134D"/>
    <w:rsid w:val="00C62ACE"/>
    <w:rsid w:val="00C66A7F"/>
    <w:rsid w:val="00C706F6"/>
    <w:rsid w:val="00C741C9"/>
    <w:rsid w:val="00C74977"/>
    <w:rsid w:val="00C76AD4"/>
    <w:rsid w:val="00C77897"/>
    <w:rsid w:val="00C85B04"/>
    <w:rsid w:val="00C90C74"/>
    <w:rsid w:val="00C91873"/>
    <w:rsid w:val="00C96B0D"/>
    <w:rsid w:val="00C97A84"/>
    <w:rsid w:val="00CA3C7D"/>
    <w:rsid w:val="00CA5B7D"/>
    <w:rsid w:val="00CA7424"/>
    <w:rsid w:val="00CA79A8"/>
    <w:rsid w:val="00CB4A70"/>
    <w:rsid w:val="00CC165E"/>
    <w:rsid w:val="00CC4C78"/>
    <w:rsid w:val="00CC4FAC"/>
    <w:rsid w:val="00CC5637"/>
    <w:rsid w:val="00CC6BF2"/>
    <w:rsid w:val="00CD2DAF"/>
    <w:rsid w:val="00CD3E51"/>
    <w:rsid w:val="00CD5AD4"/>
    <w:rsid w:val="00CD662F"/>
    <w:rsid w:val="00CD682D"/>
    <w:rsid w:val="00CE15D4"/>
    <w:rsid w:val="00CE30A4"/>
    <w:rsid w:val="00CE5534"/>
    <w:rsid w:val="00CE738B"/>
    <w:rsid w:val="00CF1D94"/>
    <w:rsid w:val="00CF2A51"/>
    <w:rsid w:val="00CF704F"/>
    <w:rsid w:val="00CF7458"/>
    <w:rsid w:val="00CF7852"/>
    <w:rsid w:val="00D0022F"/>
    <w:rsid w:val="00D011F1"/>
    <w:rsid w:val="00D02560"/>
    <w:rsid w:val="00D05176"/>
    <w:rsid w:val="00D06AD3"/>
    <w:rsid w:val="00D10A8E"/>
    <w:rsid w:val="00D122EE"/>
    <w:rsid w:val="00D129AC"/>
    <w:rsid w:val="00D153EB"/>
    <w:rsid w:val="00D17776"/>
    <w:rsid w:val="00D20C39"/>
    <w:rsid w:val="00D21D91"/>
    <w:rsid w:val="00D2234F"/>
    <w:rsid w:val="00D24A32"/>
    <w:rsid w:val="00D25C9F"/>
    <w:rsid w:val="00D26969"/>
    <w:rsid w:val="00D304EE"/>
    <w:rsid w:val="00D3099D"/>
    <w:rsid w:val="00D352B8"/>
    <w:rsid w:val="00D45985"/>
    <w:rsid w:val="00D46031"/>
    <w:rsid w:val="00D55C02"/>
    <w:rsid w:val="00D55DC6"/>
    <w:rsid w:val="00D5785F"/>
    <w:rsid w:val="00D57D9B"/>
    <w:rsid w:val="00D63491"/>
    <w:rsid w:val="00D6508B"/>
    <w:rsid w:val="00D66376"/>
    <w:rsid w:val="00D706D1"/>
    <w:rsid w:val="00D73679"/>
    <w:rsid w:val="00D7412C"/>
    <w:rsid w:val="00D809A5"/>
    <w:rsid w:val="00D81D9F"/>
    <w:rsid w:val="00D83024"/>
    <w:rsid w:val="00D83111"/>
    <w:rsid w:val="00D8390F"/>
    <w:rsid w:val="00D85E23"/>
    <w:rsid w:val="00D95117"/>
    <w:rsid w:val="00D96BAB"/>
    <w:rsid w:val="00D96FCC"/>
    <w:rsid w:val="00DA2609"/>
    <w:rsid w:val="00DA3F8E"/>
    <w:rsid w:val="00DB2C29"/>
    <w:rsid w:val="00DB410A"/>
    <w:rsid w:val="00DB4A15"/>
    <w:rsid w:val="00DB5FB7"/>
    <w:rsid w:val="00DC0DAE"/>
    <w:rsid w:val="00DC26D4"/>
    <w:rsid w:val="00DC685F"/>
    <w:rsid w:val="00DD07C4"/>
    <w:rsid w:val="00DD32FE"/>
    <w:rsid w:val="00DD3CB9"/>
    <w:rsid w:val="00DE0594"/>
    <w:rsid w:val="00DE061C"/>
    <w:rsid w:val="00DE0963"/>
    <w:rsid w:val="00DE22B4"/>
    <w:rsid w:val="00DF1B70"/>
    <w:rsid w:val="00DF67E9"/>
    <w:rsid w:val="00E00854"/>
    <w:rsid w:val="00E15391"/>
    <w:rsid w:val="00E158FB"/>
    <w:rsid w:val="00E1622F"/>
    <w:rsid w:val="00E163C2"/>
    <w:rsid w:val="00E16E98"/>
    <w:rsid w:val="00E17A57"/>
    <w:rsid w:val="00E17C4B"/>
    <w:rsid w:val="00E2131D"/>
    <w:rsid w:val="00E26B32"/>
    <w:rsid w:val="00E27126"/>
    <w:rsid w:val="00E3394A"/>
    <w:rsid w:val="00E35C70"/>
    <w:rsid w:val="00E36D9E"/>
    <w:rsid w:val="00E471F1"/>
    <w:rsid w:val="00E55132"/>
    <w:rsid w:val="00E55B30"/>
    <w:rsid w:val="00E5669A"/>
    <w:rsid w:val="00E56CB3"/>
    <w:rsid w:val="00E56DE4"/>
    <w:rsid w:val="00E57B18"/>
    <w:rsid w:val="00E61DA4"/>
    <w:rsid w:val="00E62B16"/>
    <w:rsid w:val="00E63A9A"/>
    <w:rsid w:val="00E64FF0"/>
    <w:rsid w:val="00E655EA"/>
    <w:rsid w:val="00E65DEE"/>
    <w:rsid w:val="00E70185"/>
    <w:rsid w:val="00E70E39"/>
    <w:rsid w:val="00E71C3B"/>
    <w:rsid w:val="00E77F0B"/>
    <w:rsid w:val="00E80B0C"/>
    <w:rsid w:val="00E81A17"/>
    <w:rsid w:val="00E82F9E"/>
    <w:rsid w:val="00E83C0F"/>
    <w:rsid w:val="00E869E0"/>
    <w:rsid w:val="00E9067B"/>
    <w:rsid w:val="00E94D27"/>
    <w:rsid w:val="00EA0065"/>
    <w:rsid w:val="00EA065B"/>
    <w:rsid w:val="00EA16BA"/>
    <w:rsid w:val="00EA3C4D"/>
    <w:rsid w:val="00EA4CC0"/>
    <w:rsid w:val="00EA5EB2"/>
    <w:rsid w:val="00EB59E3"/>
    <w:rsid w:val="00EC16C6"/>
    <w:rsid w:val="00EC47F1"/>
    <w:rsid w:val="00EE00DD"/>
    <w:rsid w:val="00EE106E"/>
    <w:rsid w:val="00EE2DBE"/>
    <w:rsid w:val="00EE3AA8"/>
    <w:rsid w:val="00EE55BB"/>
    <w:rsid w:val="00EE6A5B"/>
    <w:rsid w:val="00EE7BCF"/>
    <w:rsid w:val="00EF0231"/>
    <w:rsid w:val="00EF115D"/>
    <w:rsid w:val="00EF6E50"/>
    <w:rsid w:val="00F01C31"/>
    <w:rsid w:val="00F02113"/>
    <w:rsid w:val="00F02C7A"/>
    <w:rsid w:val="00F0702A"/>
    <w:rsid w:val="00F1086C"/>
    <w:rsid w:val="00F14E4B"/>
    <w:rsid w:val="00F17868"/>
    <w:rsid w:val="00F22CF9"/>
    <w:rsid w:val="00F24FC8"/>
    <w:rsid w:val="00F3139C"/>
    <w:rsid w:val="00F33E28"/>
    <w:rsid w:val="00F35CEC"/>
    <w:rsid w:val="00F4342B"/>
    <w:rsid w:val="00F437B9"/>
    <w:rsid w:val="00F4427B"/>
    <w:rsid w:val="00F47DD9"/>
    <w:rsid w:val="00F47F02"/>
    <w:rsid w:val="00F509EE"/>
    <w:rsid w:val="00F50D6A"/>
    <w:rsid w:val="00F50EDC"/>
    <w:rsid w:val="00F51AA5"/>
    <w:rsid w:val="00F60DFC"/>
    <w:rsid w:val="00F60F1C"/>
    <w:rsid w:val="00F62CCF"/>
    <w:rsid w:val="00F633FC"/>
    <w:rsid w:val="00F72CFE"/>
    <w:rsid w:val="00F76CC9"/>
    <w:rsid w:val="00F8767B"/>
    <w:rsid w:val="00F93583"/>
    <w:rsid w:val="00F95C6A"/>
    <w:rsid w:val="00F96289"/>
    <w:rsid w:val="00FA06D7"/>
    <w:rsid w:val="00FA2264"/>
    <w:rsid w:val="00FA5E10"/>
    <w:rsid w:val="00FB223F"/>
    <w:rsid w:val="00FB3538"/>
    <w:rsid w:val="00FB3DD7"/>
    <w:rsid w:val="00FB7309"/>
    <w:rsid w:val="00FC0AA7"/>
    <w:rsid w:val="00FC1E75"/>
    <w:rsid w:val="00FC2DF8"/>
    <w:rsid w:val="00FC5367"/>
    <w:rsid w:val="00FD383A"/>
    <w:rsid w:val="00FD4ED1"/>
    <w:rsid w:val="00FE00FD"/>
    <w:rsid w:val="00FE0BCF"/>
    <w:rsid w:val="00FE5E7B"/>
    <w:rsid w:val="00FE7B03"/>
    <w:rsid w:val="00FF2A2B"/>
    <w:rsid w:val="00FF43BF"/>
    <w:rsid w:val="00FF7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B8780"/>
  <w15:chartTrackingRefBased/>
  <w15:docId w15:val="{F2378F75-5F40-49BF-824F-28B66DCA7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0854"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B329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E00854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ListParagraph">
    <w:name w:val="List Paragraph"/>
    <w:basedOn w:val="Normal"/>
    <w:uiPriority w:val="34"/>
    <w:qFormat/>
    <w:rsid w:val="00F4427B"/>
    <w:pPr>
      <w:ind w:left="720"/>
      <w:contextualSpacing/>
    </w:pPr>
  </w:style>
  <w:style w:type="table" w:styleId="TableGrid">
    <w:name w:val="Table Grid"/>
    <w:basedOn w:val="TableNormal"/>
    <w:uiPriority w:val="39"/>
    <w:rsid w:val="00E83C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6F34D4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1B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1BB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27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7306"/>
  </w:style>
  <w:style w:type="paragraph" w:styleId="Footer">
    <w:name w:val="footer"/>
    <w:basedOn w:val="Normal"/>
    <w:link w:val="FooterChar"/>
    <w:uiPriority w:val="99"/>
    <w:unhideWhenUsed/>
    <w:rsid w:val="00B27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7306"/>
  </w:style>
  <w:style w:type="character" w:styleId="Emphasis">
    <w:name w:val="Emphasis"/>
    <w:basedOn w:val="DefaultParagraphFont"/>
    <w:uiPriority w:val="20"/>
    <w:qFormat/>
    <w:rsid w:val="00E17A57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D2EB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D2EB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D2EBA"/>
    <w:rPr>
      <w:vertAlign w:val="superscript"/>
    </w:rPr>
  </w:style>
  <w:style w:type="character" w:customStyle="1" w:styleId="st">
    <w:name w:val="st"/>
    <w:basedOn w:val="DefaultParagraphFont"/>
    <w:rsid w:val="00CC165E"/>
  </w:style>
  <w:style w:type="character" w:customStyle="1" w:styleId="Heading3Char">
    <w:name w:val="Heading 3 Char"/>
    <w:basedOn w:val="DefaultParagraphFont"/>
    <w:link w:val="Heading3"/>
    <w:uiPriority w:val="9"/>
    <w:rsid w:val="006B329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nhideWhenUsed/>
    <w:rsid w:val="006B32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376BB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376BB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69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860234">
          <w:blockQuote w:val="1"/>
          <w:marLeft w:val="75"/>
          <w:marRight w:val="0"/>
          <w:marTop w:val="45"/>
          <w:marBottom w:val="100"/>
          <w:divBdr>
            <w:top w:val="none" w:sz="0" w:space="0" w:color="auto"/>
            <w:left w:val="single" w:sz="6" w:space="8" w:color="CCCCCC"/>
            <w:bottom w:val="none" w:sz="0" w:space="0" w:color="auto"/>
            <w:right w:val="none" w:sz="0" w:space="0" w:color="auto"/>
          </w:divBdr>
          <w:divsChild>
            <w:div w:id="171137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045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796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1048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13858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56910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41668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76088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5058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185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70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25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33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32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222853">
          <w:blockQuote w:val="1"/>
          <w:marLeft w:val="75"/>
          <w:marRight w:val="0"/>
          <w:marTop w:val="45"/>
          <w:marBottom w:val="100"/>
          <w:divBdr>
            <w:top w:val="none" w:sz="0" w:space="0" w:color="auto"/>
            <w:left w:val="single" w:sz="6" w:space="8" w:color="CCCCCC"/>
            <w:bottom w:val="none" w:sz="0" w:space="0" w:color="auto"/>
            <w:right w:val="none" w:sz="0" w:space="0" w:color="auto"/>
          </w:divBdr>
          <w:divsChild>
            <w:div w:id="20841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766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48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9828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27932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4844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11307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403074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990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9D5BE1-CE83-4D59-99E0-C21ADD2FD5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5264</TotalTime>
  <Pages>5</Pages>
  <Words>1241</Words>
  <Characters>7075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Brereton Karen</dc:creator>
  <cp:keywords/>
  <dc:description/>
  <cp:lastModifiedBy>Alice-Clementine Kamthunzi</cp:lastModifiedBy>
  <cp:revision>589</cp:revision>
  <cp:lastPrinted>2019-11-05T15:04:00Z</cp:lastPrinted>
  <dcterms:created xsi:type="dcterms:W3CDTF">2020-05-16T14:59:00Z</dcterms:created>
  <dcterms:modified xsi:type="dcterms:W3CDTF">2020-06-01T20:33:00Z</dcterms:modified>
</cp:coreProperties>
</file>