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9E810" w14:textId="77777777" w:rsidR="001566AD" w:rsidRDefault="001566AD" w:rsidP="001566AD">
      <w:pPr>
        <w:jc w:val="center"/>
        <w:rPr>
          <w:rFonts w:ascii="Arial" w:hAnsi="Arial" w:cs="Arial"/>
          <w:b/>
          <w:bCs/>
        </w:rPr>
      </w:pPr>
    </w:p>
    <w:p w14:paraId="0501E85D" w14:textId="77777777" w:rsidR="001566AD" w:rsidRDefault="001566AD" w:rsidP="001566AD">
      <w:pPr>
        <w:jc w:val="center"/>
        <w:rPr>
          <w:rFonts w:ascii="Arial" w:hAnsi="Arial" w:cs="Arial"/>
          <w:b/>
          <w:bCs/>
        </w:rPr>
      </w:pPr>
    </w:p>
    <w:p w14:paraId="54CBF162" w14:textId="77777777" w:rsidR="001566AD" w:rsidRDefault="001566AD" w:rsidP="001566AD">
      <w:pPr>
        <w:jc w:val="center"/>
        <w:rPr>
          <w:rFonts w:ascii="Arial" w:hAnsi="Arial" w:cs="Arial"/>
          <w:b/>
          <w:bCs/>
        </w:rPr>
      </w:pPr>
    </w:p>
    <w:p w14:paraId="01CBF8D6" w14:textId="77777777" w:rsidR="001566AD" w:rsidRDefault="001566AD" w:rsidP="001566AD">
      <w:pPr>
        <w:jc w:val="center"/>
        <w:rPr>
          <w:rFonts w:ascii="Arial" w:hAnsi="Arial" w:cs="Arial"/>
          <w:b/>
          <w:bCs/>
        </w:rPr>
      </w:pPr>
    </w:p>
    <w:p w14:paraId="2408BF39" w14:textId="77777777" w:rsidR="001566AD" w:rsidRDefault="001566AD" w:rsidP="001566AD">
      <w:pPr>
        <w:jc w:val="center"/>
        <w:rPr>
          <w:rFonts w:ascii="Arial" w:hAnsi="Arial" w:cs="Arial"/>
          <w:b/>
          <w:bCs/>
        </w:rPr>
      </w:pPr>
    </w:p>
    <w:p w14:paraId="5BCE6787" w14:textId="77777777" w:rsidR="001566AD" w:rsidRDefault="001566AD" w:rsidP="001566AD">
      <w:pPr>
        <w:jc w:val="center"/>
        <w:rPr>
          <w:rFonts w:ascii="Arial" w:hAnsi="Arial" w:cs="Arial"/>
          <w:b/>
          <w:bCs/>
        </w:rPr>
      </w:pPr>
    </w:p>
    <w:p w14:paraId="2F8F8F6A" w14:textId="77777777" w:rsidR="001566AD" w:rsidRDefault="001566AD" w:rsidP="001566AD">
      <w:pPr>
        <w:jc w:val="center"/>
        <w:rPr>
          <w:rFonts w:ascii="Arial" w:hAnsi="Arial" w:cs="Arial"/>
          <w:b/>
          <w:bCs/>
        </w:rPr>
      </w:pPr>
    </w:p>
    <w:p w14:paraId="02364F0A" w14:textId="186681D5" w:rsidR="001566AD" w:rsidRPr="00DC52A2" w:rsidRDefault="001566AD" w:rsidP="00DC52A2">
      <w:pPr>
        <w:pStyle w:val="Heading3"/>
        <w:jc w:val="center"/>
        <w:rPr>
          <w:rFonts w:ascii="Arial" w:hAnsi="Arial" w:cs="Arial"/>
          <w:b/>
          <w:bCs/>
          <w:color w:val="auto"/>
          <w:sz w:val="22"/>
          <w:szCs w:val="22"/>
        </w:rPr>
      </w:pPr>
      <w:bookmarkStart w:id="0" w:name="_Toc225115268"/>
      <w:r w:rsidRPr="00DC52A2">
        <w:rPr>
          <w:rFonts w:ascii="Arial" w:hAnsi="Arial" w:cs="Arial"/>
          <w:b/>
          <w:bCs/>
          <w:color w:val="auto"/>
          <w:sz w:val="22"/>
          <w:szCs w:val="22"/>
        </w:rPr>
        <w:t>A Critical Examination of Complex Post-Traumatic Stress Disorder in ICD-11: Classification, Diagnosis, Treatment and Contemporary Debates</w:t>
      </w:r>
      <w:bookmarkEnd w:id="0"/>
    </w:p>
    <w:p w14:paraId="539C0D6F" w14:textId="77777777" w:rsidR="001566AD" w:rsidRDefault="001566AD" w:rsidP="001566AD">
      <w:pPr>
        <w:jc w:val="center"/>
        <w:rPr>
          <w:rFonts w:ascii="Arial" w:hAnsi="Arial" w:cs="Arial"/>
          <w:b/>
          <w:bCs/>
        </w:rPr>
      </w:pPr>
    </w:p>
    <w:p w14:paraId="2117CA8E" w14:textId="6F02A5B5" w:rsidR="001566AD" w:rsidRDefault="001566AD" w:rsidP="001566AD">
      <w:pPr>
        <w:jc w:val="center"/>
        <w:rPr>
          <w:rFonts w:ascii="Arial" w:hAnsi="Arial" w:cs="Arial"/>
          <w:b/>
          <w:bCs/>
        </w:rPr>
      </w:pPr>
      <w:r w:rsidRPr="001566AD">
        <w:rPr>
          <w:rFonts w:ascii="Arial" w:hAnsi="Arial" w:cs="Arial"/>
          <w:b/>
          <w:bCs/>
        </w:rPr>
        <w:t xml:space="preserve">Student Name: </w:t>
      </w:r>
      <w:r>
        <w:rPr>
          <w:rFonts w:ascii="Arial" w:hAnsi="Arial" w:cs="Arial"/>
          <w:b/>
          <w:bCs/>
        </w:rPr>
        <w:t>Hajira Zaman</w:t>
      </w:r>
    </w:p>
    <w:p w14:paraId="204E192F" w14:textId="6F28F231" w:rsidR="001566AD" w:rsidRDefault="001566AD" w:rsidP="001566AD">
      <w:pPr>
        <w:jc w:val="center"/>
        <w:rPr>
          <w:rFonts w:ascii="Arial" w:hAnsi="Arial" w:cs="Arial"/>
          <w:b/>
          <w:bCs/>
        </w:rPr>
      </w:pPr>
      <w:r w:rsidRPr="001566AD">
        <w:rPr>
          <w:rFonts w:ascii="Arial" w:hAnsi="Arial" w:cs="Arial"/>
          <w:b/>
          <w:bCs/>
        </w:rPr>
        <w:t xml:space="preserve">Student Number: </w:t>
      </w:r>
      <w:r>
        <w:rPr>
          <w:rFonts w:ascii="Arial" w:hAnsi="Arial" w:cs="Arial"/>
          <w:b/>
          <w:bCs/>
        </w:rPr>
        <w:t>2325688</w:t>
      </w:r>
    </w:p>
    <w:p w14:paraId="06C3ECF1" w14:textId="68C8F1FB" w:rsidR="001566AD" w:rsidRDefault="001566AD" w:rsidP="001566AD">
      <w:pPr>
        <w:jc w:val="center"/>
        <w:rPr>
          <w:rFonts w:ascii="Arial" w:hAnsi="Arial" w:cs="Arial"/>
          <w:b/>
          <w:bCs/>
        </w:rPr>
      </w:pPr>
      <w:r>
        <w:rPr>
          <w:rFonts w:ascii="Arial" w:hAnsi="Arial" w:cs="Arial"/>
          <w:b/>
          <w:bCs/>
        </w:rPr>
        <w:t>Lecturer: Neale Haddon</w:t>
      </w:r>
    </w:p>
    <w:p w14:paraId="17118742" w14:textId="0F6AB308" w:rsidR="001566AD" w:rsidRDefault="001566AD" w:rsidP="001566AD">
      <w:pPr>
        <w:jc w:val="center"/>
        <w:rPr>
          <w:rFonts w:ascii="Arial" w:hAnsi="Arial" w:cs="Arial"/>
          <w:b/>
          <w:bCs/>
        </w:rPr>
      </w:pPr>
      <w:r w:rsidRPr="001566AD">
        <w:rPr>
          <w:rFonts w:ascii="Arial" w:hAnsi="Arial" w:cs="Arial"/>
          <w:b/>
          <w:bCs/>
        </w:rPr>
        <w:t>Module Code: BMHP6029 Psychological Classifications and Provisions</w:t>
      </w:r>
    </w:p>
    <w:p w14:paraId="08A1E88F" w14:textId="77777777" w:rsidR="00DC52A2" w:rsidRPr="00DC52A2" w:rsidRDefault="001566AD">
      <w:pPr>
        <w:rPr>
          <w:rFonts w:ascii="Arial" w:hAnsi="Arial" w:cs="Arial"/>
          <w:b/>
          <w:bCs/>
        </w:rPr>
      </w:pPr>
      <w:r w:rsidRPr="00DC52A2">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621989624"/>
        <w:docPartObj>
          <w:docPartGallery w:val="Table of Contents"/>
          <w:docPartUnique/>
        </w:docPartObj>
      </w:sdtPr>
      <w:sdtEndPr>
        <w:rPr>
          <w:b/>
          <w:bCs/>
          <w:noProof/>
        </w:rPr>
      </w:sdtEndPr>
      <w:sdtContent>
        <w:p w14:paraId="466378B6" w14:textId="071FE3EB" w:rsidR="00DC52A2" w:rsidRDefault="00DC52A2">
          <w:pPr>
            <w:pStyle w:val="TOCHeading"/>
            <w:rPr>
              <w:b/>
              <w:bCs/>
              <w:color w:val="auto"/>
            </w:rPr>
          </w:pPr>
          <w:r w:rsidRPr="00DC52A2">
            <w:rPr>
              <w:b/>
              <w:bCs/>
              <w:color w:val="auto"/>
            </w:rPr>
            <w:t>Contents</w:t>
          </w:r>
        </w:p>
        <w:p w14:paraId="3DC14A73" w14:textId="0CBF3FE2" w:rsidR="00ED7245" w:rsidRDefault="00DC52A2" w:rsidP="00ED7245">
          <w:pPr>
            <w:pStyle w:val="TOC3"/>
            <w:tabs>
              <w:tab w:val="right" w:leader="dot" w:pos="9344"/>
            </w:tabs>
            <w:ind w:left="0"/>
            <w:rPr>
              <w:rFonts w:cstheme="minorBidi"/>
              <w:noProof/>
              <w:kern w:val="2"/>
              <w:sz w:val="24"/>
              <w:szCs w:val="24"/>
              <w:lang w:val="en-GB" w:eastAsia="en-GB"/>
              <w14:ligatures w14:val="standardContextual"/>
            </w:rPr>
          </w:pPr>
          <w:r w:rsidRPr="00DC52A2">
            <w:rPr>
              <w:b/>
              <w:bCs/>
            </w:rPr>
            <w:fldChar w:fldCharType="begin"/>
          </w:r>
          <w:r w:rsidRPr="00DC52A2">
            <w:rPr>
              <w:b/>
              <w:bCs/>
            </w:rPr>
            <w:instrText xml:space="preserve"> TOC \o "1-3" \h \z \u </w:instrText>
          </w:r>
          <w:r w:rsidRPr="00DC52A2">
            <w:rPr>
              <w:b/>
              <w:bCs/>
            </w:rPr>
            <w:fldChar w:fldCharType="separate"/>
          </w:r>
        </w:p>
        <w:p w14:paraId="3B520328" w14:textId="0C00B96B"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69" w:history="1">
            <w:r w:rsidRPr="006F154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_Toc225115269 \h </w:instrText>
            </w:r>
            <w:r>
              <w:rPr>
                <w:noProof/>
                <w:webHidden/>
              </w:rPr>
            </w:r>
            <w:r>
              <w:rPr>
                <w:noProof/>
                <w:webHidden/>
              </w:rPr>
              <w:fldChar w:fldCharType="separate"/>
            </w:r>
            <w:r>
              <w:rPr>
                <w:noProof/>
                <w:webHidden/>
              </w:rPr>
              <w:t>3</w:t>
            </w:r>
            <w:r>
              <w:rPr>
                <w:noProof/>
                <w:webHidden/>
              </w:rPr>
              <w:fldChar w:fldCharType="end"/>
            </w:r>
          </w:hyperlink>
        </w:p>
        <w:p w14:paraId="544FE627" w14:textId="35E34622"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0" w:history="1">
            <w:r w:rsidRPr="006F1543">
              <w:rPr>
                <w:rStyle w:val="Hyperlink"/>
                <w:rFonts w:ascii="Arial" w:hAnsi="Arial" w:cs="Arial"/>
                <w:b/>
                <w:bCs/>
                <w:noProof/>
              </w:rPr>
              <w:t>Classification and Diagnosis in ICD-11</w:t>
            </w:r>
            <w:r>
              <w:rPr>
                <w:noProof/>
                <w:webHidden/>
              </w:rPr>
              <w:tab/>
            </w:r>
            <w:r>
              <w:rPr>
                <w:noProof/>
                <w:webHidden/>
              </w:rPr>
              <w:fldChar w:fldCharType="begin"/>
            </w:r>
            <w:r>
              <w:rPr>
                <w:noProof/>
                <w:webHidden/>
              </w:rPr>
              <w:instrText xml:space="preserve"> PAGEREF _Toc225115270 \h </w:instrText>
            </w:r>
            <w:r>
              <w:rPr>
                <w:noProof/>
                <w:webHidden/>
              </w:rPr>
            </w:r>
            <w:r>
              <w:rPr>
                <w:noProof/>
                <w:webHidden/>
              </w:rPr>
              <w:fldChar w:fldCharType="separate"/>
            </w:r>
            <w:r>
              <w:rPr>
                <w:noProof/>
                <w:webHidden/>
              </w:rPr>
              <w:t>3</w:t>
            </w:r>
            <w:r>
              <w:rPr>
                <w:noProof/>
                <w:webHidden/>
              </w:rPr>
              <w:fldChar w:fldCharType="end"/>
            </w:r>
          </w:hyperlink>
        </w:p>
        <w:p w14:paraId="183D5118" w14:textId="6C8B81A7"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1" w:history="1">
            <w:r w:rsidRPr="006F1543">
              <w:rPr>
                <w:rStyle w:val="Hyperlink"/>
                <w:rFonts w:ascii="Arial" w:hAnsi="Arial" w:cs="Arial"/>
                <w:b/>
                <w:bCs/>
                <w:noProof/>
              </w:rPr>
              <w:t>Treatment and Rehabilitation</w:t>
            </w:r>
            <w:r>
              <w:rPr>
                <w:noProof/>
                <w:webHidden/>
              </w:rPr>
              <w:tab/>
            </w:r>
            <w:r>
              <w:rPr>
                <w:noProof/>
                <w:webHidden/>
              </w:rPr>
              <w:fldChar w:fldCharType="begin"/>
            </w:r>
            <w:r>
              <w:rPr>
                <w:noProof/>
                <w:webHidden/>
              </w:rPr>
              <w:instrText xml:space="preserve"> PAGEREF _Toc225115271 \h </w:instrText>
            </w:r>
            <w:r>
              <w:rPr>
                <w:noProof/>
                <w:webHidden/>
              </w:rPr>
            </w:r>
            <w:r>
              <w:rPr>
                <w:noProof/>
                <w:webHidden/>
              </w:rPr>
              <w:fldChar w:fldCharType="separate"/>
            </w:r>
            <w:r>
              <w:rPr>
                <w:noProof/>
                <w:webHidden/>
              </w:rPr>
              <w:t>4</w:t>
            </w:r>
            <w:r>
              <w:rPr>
                <w:noProof/>
                <w:webHidden/>
              </w:rPr>
              <w:fldChar w:fldCharType="end"/>
            </w:r>
          </w:hyperlink>
        </w:p>
        <w:p w14:paraId="035CC0EB" w14:textId="141AAE97"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2" w:history="1">
            <w:r w:rsidRPr="006F1543">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_Toc225115272 \h </w:instrText>
            </w:r>
            <w:r>
              <w:rPr>
                <w:noProof/>
                <w:webHidden/>
              </w:rPr>
            </w:r>
            <w:r>
              <w:rPr>
                <w:noProof/>
                <w:webHidden/>
              </w:rPr>
              <w:fldChar w:fldCharType="separate"/>
            </w:r>
            <w:r>
              <w:rPr>
                <w:noProof/>
                <w:webHidden/>
              </w:rPr>
              <w:t>5</w:t>
            </w:r>
            <w:r>
              <w:rPr>
                <w:noProof/>
                <w:webHidden/>
              </w:rPr>
              <w:fldChar w:fldCharType="end"/>
            </w:r>
          </w:hyperlink>
        </w:p>
        <w:p w14:paraId="18619785" w14:textId="0214D8F6"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3" w:history="1">
            <w:r w:rsidRPr="006F1543">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_Toc225115273 \h </w:instrText>
            </w:r>
            <w:r>
              <w:rPr>
                <w:noProof/>
                <w:webHidden/>
              </w:rPr>
            </w:r>
            <w:r>
              <w:rPr>
                <w:noProof/>
                <w:webHidden/>
              </w:rPr>
              <w:fldChar w:fldCharType="separate"/>
            </w:r>
            <w:r>
              <w:rPr>
                <w:noProof/>
                <w:webHidden/>
              </w:rPr>
              <w:t>7</w:t>
            </w:r>
            <w:r>
              <w:rPr>
                <w:noProof/>
                <w:webHidden/>
              </w:rPr>
              <w:fldChar w:fldCharType="end"/>
            </w:r>
          </w:hyperlink>
        </w:p>
        <w:p w14:paraId="72FE79DE" w14:textId="0538FA16"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4" w:history="1">
            <w:r w:rsidRPr="006F154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_Toc225115274 \h </w:instrText>
            </w:r>
            <w:r>
              <w:rPr>
                <w:noProof/>
                <w:webHidden/>
              </w:rPr>
            </w:r>
            <w:r>
              <w:rPr>
                <w:noProof/>
                <w:webHidden/>
              </w:rPr>
              <w:fldChar w:fldCharType="separate"/>
            </w:r>
            <w:r>
              <w:rPr>
                <w:noProof/>
                <w:webHidden/>
              </w:rPr>
              <w:t>8</w:t>
            </w:r>
            <w:r>
              <w:rPr>
                <w:noProof/>
                <w:webHidden/>
              </w:rPr>
              <w:fldChar w:fldCharType="end"/>
            </w:r>
          </w:hyperlink>
        </w:p>
        <w:p w14:paraId="27962E77" w14:textId="013BED14" w:rsidR="00ED7245" w:rsidRDefault="00ED7245">
          <w:pPr>
            <w:pStyle w:val="TOC1"/>
            <w:tabs>
              <w:tab w:val="right" w:leader="dot" w:pos="9344"/>
            </w:tabs>
            <w:rPr>
              <w:rFonts w:cstheme="minorBidi"/>
              <w:noProof/>
              <w:kern w:val="2"/>
              <w:sz w:val="24"/>
              <w:szCs w:val="24"/>
              <w:lang w:val="en-GB" w:eastAsia="en-GB"/>
              <w14:ligatures w14:val="standardContextual"/>
            </w:rPr>
          </w:pPr>
          <w:hyperlink w:anchor="_Toc225115275" w:history="1">
            <w:r w:rsidRPr="006F1543">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_Toc225115275 \h </w:instrText>
            </w:r>
            <w:r>
              <w:rPr>
                <w:noProof/>
                <w:webHidden/>
              </w:rPr>
            </w:r>
            <w:r>
              <w:rPr>
                <w:noProof/>
                <w:webHidden/>
              </w:rPr>
              <w:fldChar w:fldCharType="separate"/>
            </w:r>
            <w:r>
              <w:rPr>
                <w:noProof/>
                <w:webHidden/>
              </w:rPr>
              <w:t>10</w:t>
            </w:r>
            <w:r>
              <w:rPr>
                <w:noProof/>
                <w:webHidden/>
              </w:rPr>
              <w:fldChar w:fldCharType="end"/>
            </w:r>
          </w:hyperlink>
        </w:p>
        <w:p w14:paraId="711AB1E2" w14:textId="47814599" w:rsidR="00DC52A2" w:rsidRDefault="00DC52A2">
          <w:r w:rsidRPr="00DC52A2">
            <w:rPr>
              <w:b/>
              <w:bCs/>
              <w:noProof/>
            </w:rPr>
            <w:fldChar w:fldCharType="end"/>
          </w:r>
        </w:p>
      </w:sdtContent>
    </w:sdt>
    <w:p w14:paraId="039D0489" w14:textId="4F79A453" w:rsidR="003C7DBB" w:rsidRDefault="003C7DBB">
      <w:pPr>
        <w:rPr>
          <w:rFonts w:ascii="Arial" w:hAnsi="Arial" w:cs="Arial"/>
          <w:b/>
          <w:bCs/>
        </w:rPr>
      </w:pPr>
      <w:r>
        <w:rPr>
          <w:rFonts w:ascii="Arial" w:hAnsi="Arial" w:cs="Arial"/>
          <w:b/>
          <w:bCs/>
        </w:rPr>
        <w:br w:type="page"/>
      </w:r>
    </w:p>
    <w:p w14:paraId="35899657" w14:textId="2DC811D8" w:rsidR="00ED7245" w:rsidRPr="005E4D81" w:rsidRDefault="003C7DBB" w:rsidP="00ED7245">
      <w:pPr>
        <w:spacing w:before="100" w:beforeAutospacing="1" w:after="100" w:afterAutospacing="1" w:line="360" w:lineRule="auto"/>
        <w:jc w:val="center"/>
        <w:rPr>
          <w:rFonts w:ascii="Arial" w:hAnsi="Arial" w:cs="Arial"/>
        </w:rPr>
      </w:pPr>
      <w:r w:rsidRPr="003C7DBB">
        <w:rPr>
          <w:rFonts w:ascii="Arial" w:hAnsi="Arial" w:cs="Arial"/>
          <w:b/>
          <w:bCs/>
        </w:rPr>
        <w:lastRenderedPageBreak/>
        <w:t>A Critical Examination of Complex Post-Traumatic Stress Disorder in ICD-11: Classification, Diagnosis, Treatment and Contemporary Debates</w:t>
      </w:r>
    </w:p>
    <w:p w14:paraId="7A596723" w14:textId="77777777" w:rsidR="00ED7245" w:rsidRDefault="00ED7245" w:rsidP="00ED7245">
      <w:pPr>
        <w:pStyle w:val="Heading1"/>
        <w:jc w:val="both"/>
        <w:rPr>
          <w:rFonts w:ascii="Arial" w:hAnsi="Arial" w:cs="Arial"/>
          <w:b/>
          <w:bCs/>
          <w:color w:val="auto"/>
          <w:sz w:val="22"/>
          <w:szCs w:val="22"/>
        </w:rPr>
      </w:pPr>
      <w:bookmarkStart w:id="1" w:name="_Toc225115269"/>
      <w:r w:rsidRPr="005E4D81">
        <w:rPr>
          <w:rFonts w:ascii="Arial" w:hAnsi="Arial" w:cs="Arial"/>
          <w:b/>
          <w:bCs/>
          <w:color w:val="auto"/>
          <w:sz w:val="22"/>
          <w:szCs w:val="22"/>
        </w:rPr>
        <w:t>Introduction</w:t>
      </w:r>
      <w:bookmarkEnd w:id="1"/>
    </w:p>
    <w:p w14:paraId="535F32B1" w14:textId="77777777" w:rsidR="00ED7245" w:rsidRPr="00ED7245" w:rsidRDefault="00ED7245" w:rsidP="00ED7245"/>
    <w:p w14:paraId="0DE8A93A" w14:textId="65DEC212" w:rsidR="00ED7245" w:rsidRPr="005E4D81" w:rsidRDefault="00ED7245" w:rsidP="00ED7245">
      <w:pPr>
        <w:spacing w:after="100" w:afterAutospacing="1" w:line="360" w:lineRule="auto"/>
        <w:jc w:val="both"/>
        <w:rPr>
          <w:rFonts w:ascii="Arial" w:hAnsi="Arial" w:cs="Arial"/>
        </w:rPr>
      </w:pPr>
      <w:r w:rsidRPr="005E4D81">
        <w:rPr>
          <w:rFonts w:ascii="Arial" w:hAnsi="Arial" w:cs="Arial"/>
        </w:rPr>
        <w:t>The introduction of Complex Post-Traumatic Stress Disorder (C-PTSD) as a distinct diagnostic entity in the International Classification of Diseases 11th Revision (ICD-11) represents one of the most significant developments in trauma-related mental health classification in recent decades (Stubley, Chipp and Buszewicz, 2025). Coded as 6B41 in ICD-11, this condition captures the psychological sequelae of prolonged, repetitive trauma that extends beyond the diagnostic boundaries of standard PTSD, incorporating instabilities in self-organisation including emotional dysregulation, adverse self-concept and disturbed relationships (World Health Organization, 2024). The classification acknowledges that certain traumatic experiences, particularly those of an interpersonal nature occurring during developmentally sensitive periods, produce a clinical presentation that requires distinct therapeutic approaches (Tyrer, 2023). This report provides a critical examination of C-PTSD in ICD-11, analysing its classification framework, diagnostic processes, evidence-based treatments and rehabilitation measures, while exploring current debates surrounding its distinction from PTSD and personality disorders, the implications of neurodivergence, and the classification influence changes on UK mental health policy and practice. The analysis draws upon contemporary UK academic literature, National Institute for Health and Care Excellence (NICE) guidelines and NHS implementation frameworks to provide a comprehensive evaluation of how this classification operates within the current healthcare landscape.</w:t>
      </w:r>
    </w:p>
    <w:p w14:paraId="31B0C1FB" w14:textId="77777777" w:rsidR="00ED7245" w:rsidRDefault="00ED7245" w:rsidP="00ED7245">
      <w:pPr>
        <w:pStyle w:val="Heading1"/>
        <w:jc w:val="both"/>
        <w:rPr>
          <w:rFonts w:ascii="Arial" w:hAnsi="Arial" w:cs="Arial"/>
          <w:b/>
          <w:bCs/>
          <w:color w:val="auto"/>
          <w:sz w:val="22"/>
          <w:szCs w:val="22"/>
        </w:rPr>
      </w:pPr>
      <w:bookmarkStart w:id="2" w:name="_Toc225115270"/>
      <w:r w:rsidRPr="005E4D81">
        <w:rPr>
          <w:rFonts w:ascii="Arial" w:hAnsi="Arial" w:cs="Arial"/>
          <w:b/>
          <w:bCs/>
          <w:color w:val="auto"/>
          <w:sz w:val="22"/>
          <w:szCs w:val="22"/>
        </w:rPr>
        <w:t>Classification and Diagnosis in ICD-11</w:t>
      </w:r>
      <w:bookmarkEnd w:id="2"/>
    </w:p>
    <w:p w14:paraId="0A25C40C" w14:textId="77777777" w:rsidR="00ED7245" w:rsidRPr="00ED7245" w:rsidRDefault="00ED7245" w:rsidP="00ED7245">
      <w:pPr>
        <w:jc w:val="both"/>
      </w:pPr>
    </w:p>
    <w:p w14:paraId="781B60D6" w14:textId="6662CE34" w:rsidR="00ED7245" w:rsidRPr="005E4D81" w:rsidRDefault="00ED7245" w:rsidP="00ED7245">
      <w:pPr>
        <w:spacing w:after="100" w:afterAutospacing="1" w:line="360" w:lineRule="auto"/>
        <w:jc w:val="both"/>
        <w:rPr>
          <w:rFonts w:ascii="Arial" w:hAnsi="Arial" w:cs="Arial"/>
        </w:rPr>
      </w:pPr>
      <w:r w:rsidRPr="005E4D81">
        <w:rPr>
          <w:rFonts w:ascii="Arial" w:hAnsi="Arial" w:cs="Arial"/>
        </w:rPr>
        <w:t xml:space="preserve">ICD-11 reconceptualises trauma-related disorders through a dimensional lens that distinguishes between PTSD (6B40) and C-PTSD (6B41) based on the presence of core PTSD symptoms alongside additional disturbances in self-organisation (Reed et al., 2019). The classification system, as detailed in WHO's Clinical Descriptions and Diagnostic Requirements (2024), specifies that C-PTSD requires all diagnostic requirements for PTSD to be met, including re-experiencing, avoidance and hyperarousal symptoms, whilst additionally requiring severe and persistent disturbances in self-organisation that have been present for at least several months. These disturbances encompass three domains: affective dysregulation, characterised by sharp emotional sense or emotional disorienting; negative self-concept, involving insistent principles about oneself as contracted, conquered or insignificant; and disturbances in relationships, </w:t>
      </w:r>
      <w:r w:rsidRPr="005E4D81">
        <w:rPr>
          <w:rFonts w:ascii="Arial" w:hAnsi="Arial" w:cs="Arial"/>
        </w:rPr>
        <w:lastRenderedPageBreak/>
        <w:t>manifesting as difficulties in sustaining interpersonal connections or avoidance of intimacy (World Health Organization, 2024).</w:t>
      </w:r>
    </w:p>
    <w:p w14:paraId="4CCB35CD" w14:textId="1ADB33E6" w:rsidR="00ED7245" w:rsidRPr="005E4D81" w:rsidRDefault="00ED7245" w:rsidP="00ED7245">
      <w:pPr>
        <w:spacing w:after="100" w:afterAutospacing="1" w:line="360" w:lineRule="auto"/>
        <w:jc w:val="both"/>
        <w:rPr>
          <w:rFonts w:ascii="Arial" w:hAnsi="Arial" w:cs="Arial"/>
        </w:rPr>
      </w:pPr>
      <w:r w:rsidRPr="005E4D81">
        <w:rPr>
          <w:rFonts w:ascii="Arial" w:hAnsi="Arial" w:cs="Arial"/>
        </w:rPr>
        <w:t>The diagnostic language employed in ICD-11 reflects a deliberate shift towards clinical utility and global applicability. Unlike DSM-5, which includes C-PTSD only as a sub-type within its PTSD criteria, ICD-11 establishes C-PTSD as a genealogical finding to PTSD under the parent category of Disorders Specifically Associated with Stress (Tyrer, 2023). This structural arrangement acknowledges that whilst both conditions share aetiological foundations in trauma exposure, they represent distinct phenotypic expressions requiring differential treatment approaches. The classification explicitly recognises that C-PTSD typically, though not exclusively, develops following traumatic events of an interpersonal nature, particularly those that are extended or repetitive and from which escape is challenging or impossible (Stubley, Chipp and Buszewicz, 2025). This specification carries significant implications for identifying at-risk populations, including survivors of childhood abuse, domestic violence, human trafficking and torture.</w:t>
      </w:r>
    </w:p>
    <w:p w14:paraId="4EAB1135" w14:textId="2114B2D9" w:rsidR="00ED7245" w:rsidRPr="005E4D81" w:rsidRDefault="00ED7245" w:rsidP="00ED7245">
      <w:pPr>
        <w:spacing w:after="100" w:afterAutospacing="1" w:line="360" w:lineRule="auto"/>
        <w:jc w:val="both"/>
        <w:rPr>
          <w:rFonts w:ascii="Arial" w:hAnsi="Arial" w:cs="Arial"/>
        </w:rPr>
      </w:pPr>
      <w:r w:rsidRPr="005E4D81">
        <w:rPr>
          <w:rFonts w:ascii="Arial" w:hAnsi="Arial" w:cs="Arial"/>
        </w:rPr>
        <w:t>The diagnostic process for C-PTSD in UK clinical settings typically involves structured clinical interviews supplemented by validated screening instruments such as the International Trauma Questionnaire (</w:t>
      </w:r>
      <w:proofErr w:type="spellStart"/>
      <w:r w:rsidRPr="005E4D81">
        <w:rPr>
          <w:rFonts w:ascii="Arial" w:hAnsi="Arial" w:cs="Arial"/>
        </w:rPr>
        <w:t>ITQ</w:t>
      </w:r>
      <w:proofErr w:type="spellEnd"/>
      <w:r w:rsidRPr="005E4D81">
        <w:rPr>
          <w:rFonts w:ascii="Arial" w:hAnsi="Arial" w:cs="Arial"/>
        </w:rPr>
        <w:t>), which has been specifically developed to assess ICD-11 PTSD and C-PTSD criteria (Shevlin et al., 2022). However, the dimensional nature of ICD-11 classification introduces complexity into diagnostic decision-making. Healthcare professionals are required to evaluate not only the existence or non-existence of symptoms but also their intensity and functional implications, necessitating advanced clinical judgment that can be difficult to standardize across various service environments (Jantzi and Moulin, 2025). Furthermore, the high comorbidity between C-PTSD and other ICD-11 categories, particularly depressive disorders (6A7) and generalised anxiety disorder (6A05), necessitates careful differential diagnosis to ensure appropriate treatment pathways are activated.</w:t>
      </w:r>
    </w:p>
    <w:p w14:paraId="13C000DD" w14:textId="77777777" w:rsidR="00ED7245" w:rsidRDefault="00ED7245" w:rsidP="00ED7245">
      <w:pPr>
        <w:pStyle w:val="Heading1"/>
        <w:jc w:val="both"/>
        <w:rPr>
          <w:rFonts w:ascii="Arial" w:hAnsi="Arial" w:cs="Arial"/>
          <w:b/>
          <w:bCs/>
          <w:color w:val="auto"/>
          <w:sz w:val="22"/>
          <w:szCs w:val="22"/>
        </w:rPr>
      </w:pPr>
      <w:bookmarkStart w:id="3" w:name="_Toc225115271"/>
      <w:r w:rsidRPr="005E4D81">
        <w:rPr>
          <w:rFonts w:ascii="Arial" w:hAnsi="Arial" w:cs="Arial"/>
          <w:b/>
          <w:bCs/>
          <w:color w:val="auto"/>
          <w:sz w:val="22"/>
          <w:szCs w:val="22"/>
        </w:rPr>
        <w:t>Treatment and Rehabilitation</w:t>
      </w:r>
      <w:bookmarkEnd w:id="3"/>
    </w:p>
    <w:p w14:paraId="42FDBA27" w14:textId="77777777" w:rsidR="00ED7245" w:rsidRPr="00ED7245" w:rsidRDefault="00ED7245" w:rsidP="00ED7245">
      <w:pPr>
        <w:jc w:val="both"/>
      </w:pPr>
    </w:p>
    <w:p w14:paraId="09CE74EE" w14:textId="4988D308" w:rsidR="00ED7245" w:rsidRPr="005E4D81" w:rsidRDefault="00ED7245" w:rsidP="00ED7245">
      <w:pPr>
        <w:spacing w:after="100" w:afterAutospacing="1" w:line="360" w:lineRule="auto"/>
        <w:jc w:val="both"/>
        <w:rPr>
          <w:rFonts w:ascii="Arial" w:hAnsi="Arial" w:cs="Arial"/>
        </w:rPr>
      </w:pPr>
      <w:r w:rsidRPr="005E4D81">
        <w:rPr>
          <w:rFonts w:ascii="Arial" w:hAnsi="Arial" w:cs="Arial"/>
        </w:rPr>
        <w:t xml:space="preserve">The treatment landscape for C-PTSD in the UK is shaped fundamentally by NICE guidelines and NHS England implementation frameworks that increasingly recognise the limitations of standard PTSD protocols for complex presentations. The NICE Guideline NG222 (2022) advocates for the use of trauma-focused cognitive behavioural therapy (TF-CBT) or eye movement desensitisation and reprocessing (EMDR) as primary interventions for PTSD. However, it clearly recognizes that these methods might need to be modified for complex PTSD (C-PTSD), especially in terms of the order in which trauma processing and stabilization phases are conducted. The guideline emphasises that for individuals with complex presentations, extended treatment courses and </w:t>
      </w:r>
      <w:r w:rsidRPr="005E4D81">
        <w:rPr>
          <w:rFonts w:ascii="Arial" w:hAnsi="Arial" w:cs="Arial"/>
        </w:rPr>
        <w:lastRenderedPageBreak/>
        <w:t>phased approaches that address affect regulation and interpersonal functioning prior to trauma processing may be necessary (National Institute for Health and Care Excellence, 2022).</w:t>
      </w:r>
    </w:p>
    <w:p w14:paraId="5361F077" w14:textId="3CBA1372" w:rsidR="00ED7245" w:rsidRPr="005E4D81" w:rsidRDefault="00ED7245" w:rsidP="00ED7245">
      <w:pPr>
        <w:spacing w:after="100" w:afterAutospacing="1" w:line="360" w:lineRule="auto"/>
        <w:jc w:val="both"/>
        <w:rPr>
          <w:rFonts w:ascii="Arial" w:hAnsi="Arial" w:cs="Arial"/>
        </w:rPr>
      </w:pPr>
      <w:r w:rsidRPr="005E4D81">
        <w:rPr>
          <w:rFonts w:ascii="Arial" w:hAnsi="Arial" w:cs="Arial"/>
        </w:rPr>
        <w:t>NHS England's Psychological Therapies for Severe Mental Health Problems: Implementation Guidance 2024 provides critical insight into the operational realities of C-PTSD treatment within UK healthcare systems. The guidance recommends allocating 30% of community mental health therapy capacity to complex presentations including PTSD, depression and anxiety disorders, whilst acknowledging significant workforce constraints that limit service accessibility (NHS England, 2024). Specifically, the guidance notes that only 5% of current community mental health therapy capacity is allocated to PTSD treatments, creating a substantial gap between evidence-based recommendations and service delivery realities. This resource limitation is particularly problematic for C-PTSD given that recommended treatment durations often exceed standard protocol lengths, with phased interventions potentially requiring 12-24 months of therapeutic engagement (Stubley, Chipp and Buszewicz, 2025).</w:t>
      </w:r>
    </w:p>
    <w:p w14:paraId="581994A9" w14:textId="388E0DF4" w:rsidR="00ED7245" w:rsidRPr="005E4D81" w:rsidRDefault="00ED7245" w:rsidP="00ED7245">
      <w:pPr>
        <w:spacing w:after="100" w:afterAutospacing="1" w:line="360" w:lineRule="auto"/>
        <w:jc w:val="both"/>
        <w:rPr>
          <w:rFonts w:ascii="Arial" w:hAnsi="Arial" w:cs="Arial"/>
        </w:rPr>
      </w:pPr>
      <w:r w:rsidRPr="005E4D81">
        <w:rPr>
          <w:rFonts w:ascii="Arial" w:hAnsi="Arial" w:cs="Arial"/>
        </w:rPr>
        <w:t>Rehabilitation measures for C-PTSD extend beyond individual psychotherapy to encompass psychosocial interventions that address the functional impairments characteristic of the disorder. ICD-11's classification emphasises disturbances in relationships and self-concept as core features, necessitating rehabilitation approaches that target social functioning and identity reconstruction. In UK practice, this often involves multi-disciplinary working incorporating social prescribing, peer support and vocational rehabilitation, aligned with the NHS Long Term Plan's assurance to personalised care and community-based provision (NHS England, 2019). However, the effectiveness of these rehabilitation measures remains under-evaluated, with limited UK-specific research examining long-term functional outcomes for C-PTSD populations.</w:t>
      </w:r>
    </w:p>
    <w:p w14:paraId="1DECD19C" w14:textId="6BC325CD" w:rsidR="00ED7245" w:rsidRPr="005E4D81" w:rsidRDefault="00ED7245" w:rsidP="00ED7245">
      <w:pPr>
        <w:spacing w:after="100" w:afterAutospacing="1" w:line="360" w:lineRule="auto"/>
        <w:jc w:val="both"/>
        <w:rPr>
          <w:rFonts w:ascii="Arial" w:hAnsi="Arial" w:cs="Arial"/>
        </w:rPr>
      </w:pPr>
      <w:r w:rsidRPr="005E4D81">
        <w:rPr>
          <w:rFonts w:ascii="Arial" w:hAnsi="Arial" w:cs="Arial"/>
        </w:rPr>
        <w:t>The limitations of current treatment approaches are increasingly recognised within academic literature. Transdiagnostic psychological treatments, which target underlying processes such as emotion dysregulation and negative self-beliefs across diagnostic categories, show promise for C-PTSD given its symptomatic overlap with mood and anxiety disorders (Newby et al., 2015; Dalgleish et al., 2020). Nevertheless, the evidence base for C-PTSD-specific interventions remains less developed than for standard PTSD, reflecting the relative novelty of this diagnostic category and the methodological challenges of researching complex, comorbid presentations. Furthermore, access inequalities persist, with individuals from deprived areas, ethnic minority backgrounds and those with neurodevelopmental conditions facing particular barriers to accessing appropriate trauma-focused interventions (Care Quality Commission, 2025).</w:t>
      </w:r>
    </w:p>
    <w:p w14:paraId="2131FFCD" w14:textId="77777777" w:rsidR="00ED7245" w:rsidRDefault="00ED7245" w:rsidP="00ED7245">
      <w:pPr>
        <w:pStyle w:val="Heading1"/>
        <w:jc w:val="both"/>
        <w:rPr>
          <w:rFonts w:ascii="Arial" w:hAnsi="Arial" w:cs="Arial"/>
          <w:b/>
          <w:bCs/>
          <w:color w:val="auto"/>
          <w:sz w:val="22"/>
          <w:szCs w:val="22"/>
        </w:rPr>
      </w:pPr>
      <w:bookmarkStart w:id="4" w:name="_Toc225115272"/>
      <w:r w:rsidRPr="005E4D81">
        <w:rPr>
          <w:rFonts w:ascii="Arial" w:hAnsi="Arial" w:cs="Arial"/>
          <w:b/>
          <w:bCs/>
          <w:color w:val="auto"/>
          <w:sz w:val="22"/>
          <w:szCs w:val="22"/>
        </w:rPr>
        <w:t>Current Debates and Emerging Issues</w:t>
      </w:r>
      <w:bookmarkEnd w:id="4"/>
    </w:p>
    <w:p w14:paraId="7A3559CE" w14:textId="77777777" w:rsidR="00ED7245" w:rsidRPr="00ED7245" w:rsidRDefault="00ED7245" w:rsidP="00ED7245">
      <w:pPr>
        <w:jc w:val="both"/>
      </w:pPr>
    </w:p>
    <w:p w14:paraId="29570FAE" w14:textId="3256D9CD" w:rsidR="00ED7245" w:rsidRPr="005E4D81" w:rsidRDefault="00ED7245" w:rsidP="00ED7245">
      <w:pPr>
        <w:spacing w:after="100" w:afterAutospacing="1" w:line="360" w:lineRule="auto"/>
        <w:jc w:val="both"/>
        <w:rPr>
          <w:rFonts w:ascii="Arial" w:hAnsi="Arial" w:cs="Arial"/>
        </w:rPr>
      </w:pPr>
      <w:r w:rsidRPr="005E4D81">
        <w:rPr>
          <w:rFonts w:ascii="Arial" w:hAnsi="Arial" w:cs="Arial"/>
        </w:rPr>
        <w:lastRenderedPageBreak/>
        <w:t>The classification of C-PTSD in ICD-11 sits at the intersection of several contentious debates within contemporary mental health discourse, particularly regarding the boundaries between trauma-related disorders, personality pathology and neurodivergence. A significant debate concerns the distinction between C-PTSD and Borderline Personality Disorder (BPD), coded as 6D10.5 in ICD-11. Both conditions share features of affective dysregulation, interpersonal difficulties and self-concept disturbances, leading to diagnostic confusion and debates about whether they represent distinct entities or overlapping phenotypic expressions of developmental trauma (Mulder and Tyrer, 2019). ICD-11's dimensional approach to personality disorder classification, which assesses severity of personality disturbance alongside trait domains, potentially offers a framework for clarifying this relationship, yet clinical practice continues to struggle with differential diagnosis (Jantzi and Moulin, 2025).</w:t>
      </w:r>
    </w:p>
    <w:p w14:paraId="290E6415" w14:textId="4D3982AC" w:rsidR="00ED7245" w:rsidRPr="005E4D81" w:rsidRDefault="00ED7245" w:rsidP="00ED7245">
      <w:pPr>
        <w:spacing w:after="100" w:afterAutospacing="1" w:line="360" w:lineRule="auto"/>
        <w:jc w:val="both"/>
        <w:rPr>
          <w:rFonts w:ascii="Arial" w:hAnsi="Arial" w:cs="Arial"/>
        </w:rPr>
      </w:pPr>
      <w:r w:rsidRPr="005E4D81">
        <w:rPr>
          <w:rFonts w:ascii="Arial" w:hAnsi="Arial" w:cs="Arial"/>
        </w:rPr>
        <w:t>The role of neurodivergence in classifying and treating C-PTSD is gaining importance. People with autism and ADHD often experience higher trauma exposure and may show symptoms that overlap with their neurodevelopmental traits, leading to diagnostic difficulties (</w:t>
      </w:r>
      <w:proofErr w:type="spellStart"/>
      <w:r w:rsidRPr="005E4D81">
        <w:rPr>
          <w:rFonts w:ascii="Arial" w:hAnsi="Arial" w:cs="Arial"/>
        </w:rPr>
        <w:t>Tebartz</w:t>
      </w:r>
      <w:proofErr w:type="spellEnd"/>
      <w:r w:rsidRPr="005E4D81">
        <w:rPr>
          <w:rFonts w:ascii="Arial" w:hAnsi="Arial" w:cs="Arial"/>
        </w:rPr>
        <w:t xml:space="preserve"> van Elst, Riedel and </w:t>
      </w:r>
      <w:proofErr w:type="spellStart"/>
      <w:r w:rsidRPr="005E4D81">
        <w:rPr>
          <w:rFonts w:ascii="Arial" w:hAnsi="Arial" w:cs="Arial"/>
        </w:rPr>
        <w:t>Biscaldi</w:t>
      </w:r>
      <w:proofErr w:type="spellEnd"/>
      <w:r w:rsidRPr="005E4D81">
        <w:rPr>
          <w:rFonts w:ascii="Arial" w:hAnsi="Arial" w:cs="Arial"/>
        </w:rPr>
        <w:t>-Schäfer, 2025). The ICD-11 classification of neurodevelopmental disorders as distinct from mental, behavioural and neurodevelopmental disorders in Chapter 6 reflects growing recognition that neurodivergence represents variation rather than pathology, yet this creates tensions when autistic individuals develop C-PTSD following trauma. The Mental Health Act 2025 reforms (Mental Health Bill 2025) explicitly address these classification boundaries, prohibiting detention under Section 3 (Mental Health Act 1983) for autistic individuals without co-occurring mental health conditions, reflecting policy-level recognition that neurodevelopmental differences should not be pathologized as mental disorders (UK Government, 2024; NHS Confederation, 2024).</w:t>
      </w:r>
    </w:p>
    <w:p w14:paraId="43EC822D" w14:textId="07687412" w:rsidR="00ED7245" w:rsidRPr="005E4D81" w:rsidRDefault="00ED7245" w:rsidP="00ED7245">
      <w:pPr>
        <w:spacing w:after="100" w:afterAutospacing="1" w:line="360" w:lineRule="auto"/>
        <w:jc w:val="both"/>
        <w:rPr>
          <w:rFonts w:ascii="Arial" w:hAnsi="Arial" w:cs="Arial"/>
        </w:rPr>
      </w:pPr>
      <w:r w:rsidRPr="005E4D81">
        <w:rPr>
          <w:rFonts w:ascii="Arial" w:hAnsi="Arial" w:cs="Arial"/>
        </w:rPr>
        <w:t>Racial disparities in C-PTSD recognition and treatment constitute a further critical debate. The Care Quality Commission's monitoring of the Mental Health Act in 2024-2025 reveals that detention rates for Black or Black British individuals remain 3.6 times higher than for White individuals in the most deprived areas, with similar disparities evident in community treatment orders (Mental Health Act 2007) (Care Quality Commission, 2025). These patterns suggest that trauma-related distress in minority ethnic communities may be pathologized and subjected to coercive intervention rather than receiving appropriate trauma-informed care. The classification of C-PTSD, with its emphasis on interpersonal trauma origins, offers potential for reframing these presentations within trauma-informed frameworks, yet implementation remains inconsistent across UK services.</w:t>
      </w:r>
    </w:p>
    <w:p w14:paraId="492364F6" w14:textId="259605C7" w:rsidR="00ED7245" w:rsidRPr="005E4D81" w:rsidRDefault="00ED7245" w:rsidP="00ED7245">
      <w:pPr>
        <w:spacing w:after="100" w:afterAutospacing="1" w:line="360" w:lineRule="auto"/>
        <w:jc w:val="both"/>
        <w:rPr>
          <w:rFonts w:ascii="Arial" w:hAnsi="Arial" w:cs="Arial"/>
        </w:rPr>
      </w:pPr>
      <w:r w:rsidRPr="005E4D81">
        <w:rPr>
          <w:rFonts w:ascii="Arial" w:hAnsi="Arial" w:cs="Arial"/>
        </w:rPr>
        <w:t xml:space="preserve">The dimensional versus categorical classification debate continues to influence C-PTSD conceptualisation. ICD-11's adoption of dimensional severity qualifiers for PTSD and C-PTSD </w:t>
      </w:r>
      <w:r w:rsidRPr="005E4D81">
        <w:rPr>
          <w:rFonts w:ascii="Arial" w:hAnsi="Arial" w:cs="Arial"/>
        </w:rPr>
        <w:lastRenderedPageBreak/>
        <w:t>represents a significant departure from categorical approaches, yet clinical and administrative systems often retain binary conceptualisations of disorder presence or absence (Reed et al., 2019). This creates tensions between classification theory and practice, particularly regarding eligibility criteria for services and benefits that may require categorical diagnostic thresholds. Furthermore, the global applicability of C-PTSD criteria, developed primarily within Western trauma research traditions, has been questioned regarding cross-cultural validity and the potential for over-pathologizing culturally normative responses to adversity (Robles et al., 2025).</w:t>
      </w:r>
    </w:p>
    <w:p w14:paraId="08309351" w14:textId="482DF17C" w:rsidR="00ED7245" w:rsidRPr="005E4D81" w:rsidRDefault="00ED7245" w:rsidP="00ED7245">
      <w:pPr>
        <w:spacing w:after="100" w:afterAutospacing="1" w:line="360" w:lineRule="auto"/>
        <w:jc w:val="both"/>
        <w:rPr>
          <w:rFonts w:ascii="Arial" w:hAnsi="Arial" w:cs="Arial"/>
        </w:rPr>
      </w:pPr>
      <w:r w:rsidRPr="005E4D81">
        <w:rPr>
          <w:rFonts w:ascii="Arial" w:hAnsi="Arial" w:cs="Arial"/>
        </w:rPr>
        <w:t>A further emerging debate concerns the gendered dimensions of C-PTSD classification and service provision. Epidemiological evidence suggests that whilst PTSD shows relatively equal gender distribution, C-PTSD demonstrates higher prevalence amongst women, likely reflecting the gendered nature of interpersonal violence and childhood abuse (Shevlin et al., 2022). This gender disparity raises critical questions about whether current diagnostic criteria adequately capture male presentations of complex trauma, particularly given societal norms that may discourage emotional expression and help-seeking amongst men. Additionally, the high rates of C-PTSD amongst care-experienced individuals and individuals involved with the criminal justice system suggest that current service configurations, which often require self-referral or primary care navigation, may systematically exclude those with the most complex needs who lack stable accommodation or consistent healthcare relationships.</w:t>
      </w:r>
    </w:p>
    <w:p w14:paraId="4A903835" w14:textId="77777777" w:rsidR="00ED7245" w:rsidRDefault="00ED7245" w:rsidP="00ED7245">
      <w:pPr>
        <w:pStyle w:val="Heading1"/>
        <w:jc w:val="both"/>
        <w:rPr>
          <w:rFonts w:ascii="Arial" w:hAnsi="Arial" w:cs="Arial"/>
          <w:b/>
          <w:bCs/>
          <w:color w:val="auto"/>
          <w:sz w:val="22"/>
          <w:szCs w:val="22"/>
        </w:rPr>
      </w:pPr>
      <w:bookmarkStart w:id="5" w:name="_Toc225115273"/>
      <w:r w:rsidRPr="005E4D81">
        <w:rPr>
          <w:rFonts w:ascii="Arial" w:hAnsi="Arial" w:cs="Arial"/>
          <w:b/>
          <w:bCs/>
          <w:color w:val="auto"/>
          <w:sz w:val="22"/>
          <w:szCs w:val="22"/>
        </w:rPr>
        <w:t>Recommendations</w:t>
      </w:r>
      <w:bookmarkEnd w:id="5"/>
    </w:p>
    <w:p w14:paraId="2395E2E3" w14:textId="77777777" w:rsidR="00ED7245" w:rsidRPr="00ED7245" w:rsidRDefault="00ED7245" w:rsidP="00ED7245">
      <w:pPr>
        <w:jc w:val="both"/>
      </w:pPr>
    </w:p>
    <w:p w14:paraId="543A428E" w14:textId="25DDC8FA" w:rsidR="00ED7245" w:rsidRPr="005E4D81" w:rsidRDefault="00ED7245" w:rsidP="00ED7245">
      <w:pPr>
        <w:spacing w:after="100" w:afterAutospacing="1" w:line="360" w:lineRule="auto"/>
        <w:jc w:val="both"/>
        <w:rPr>
          <w:rFonts w:ascii="Arial" w:hAnsi="Arial" w:cs="Arial"/>
        </w:rPr>
      </w:pPr>
      <w:r w:rsidRPr="005E4D81">
        <w:rPr>
          <w:rFonts w:ascii="Arial" w:hAnsi="Arial" w:cs="Arial"/>
        </w:rPr>
        <w:t>Based upon the critical analysis presented, several recommendations emerge for improving the classification, diagnosis, treatment and rehabilitation of C-PTSD within UK mental health systems. Firstly, regarding classification refinement, there is a need for enhanced guidance on distinguishing C-PTSD from personality disorder presentations, potentially through the development of structured clinical assessment tools that assess trauma history alongside personality functioning. The ICD-11's dimensional personality disorder severity scale offers a framework for this differentiation, yet requires operationalisation within UK clinical guidelines.</w:t>
      </w:r>
    </w:p>
    <w:p w14:paraId="699ED93E" w14:textId="7B53DAF8" w:rsidR="00ED7245" w:rsidRPr="005E4D81" w:rsidRDefault="00ED7245" w:rsidP="00ED7245">
      <w:pPr>
        <w:spacing w:after="100" w:afterAutospacing="1" w:line="360" w:lineRule="auto"/>
        <w:jc w:val="both"/>
        <w:rPr>
          <w:rFonts w:ascii="Arial" w:hAnsi="Arial" w:cs="Arial"/>
        </w:rPr>
      </w:pPr>
      <w:r w:rsidRPr="005E4D81">
        <w:rPr>
          <w:rFonts w:ascii="Arial" w:hAnsi="Arial" w:cs="Arial"/>
        </w:rPr>
        <w:t xml:space="preserve">NHS England should mandate regular trauma screenings in community mental health services to ensure complex PTSD (C-PTSD) is identified in cases currently </w:t>
      </w:r>
      <w:r w:rsidR="0076063B" w:rsidRPr="005E4D81">
        <w:rPr>
          <w:rFonts w:ascii="Arial" w:hAnsi="Arial" w:cs="Arial"/>
        </w:rPr>
        <w:t>labelled</w:t>
      </w:r>
      <w:r w:rsidRPr="005E4D81">
        <w:rPr>
          <w:rFonts w:ascii="Arial" w:hAnsi="Arial" w:cs="Arial"/>
        </w:rPr>
        <w:t xml:space="preserve"> as depression or anxiety disorders. Shevlin et al. (2022) show that the ICD-11 classification of mixed depressive and anxiety disorders is often clinical, occurring more frequently than isolated cases, highlighting a significant under-identification of trauma-related issues. Implementing the </w:t>
      </w:r>
      <w:proofErr w:type="spellStart"/>
      <w:r w:rsidRPr="005E4D81">
        <w:rPr>
          <w:rFonts w:ascii="Arial" w:hAnsi="Arial" w:cs="Arial"/>
        </w:rPr>
        <w:t>ITQ</w:t>
      </w:r>
      <w:proofErr w:type="spellEnd"/>
      <w:r w:rsidRPr="005E4D81">
        <w:rPr>
          <w:rFonts w:ascii="Arial" w:hAnsi="Arial" w:cs="Arial"/>
        </w:rPr>
        <w:t xml:space="preserve"> or similar validated tools in standard assessments could address this diagnostic gap.</w:t>
      </w:r>
    </w:p>
    <w:p w14:paraId="590EB810" w14:textId="23302918" w:rsidR="00ED7245" w:rsidRPr="005E4D81" w:rsidRDefault="00ED7245" w:rsidP="00ED7245">
      <w:pPr>
        <w:spacing w:after="100" w:afterAutospacing="1" w:line="360" w:lineRule="auto"/>
        <w:jc w:val="both"/>
        <w:rPr>
          <w:rFonts w:ascii="Arial" w:hAnsi="Arial" w:cs="Arial"/>
        </w:rPr>
      </w:pPr>
      <w:r w:rsidRPr="005E4D81">
        <w:rPr>
          <w:rFonts w:ascii="Arial" w:hAnsi="Arial" w:cs="Arial"/>
        </w:rPr>
        <w:lastRenderedPageBreak/>
        <w:t>Treatment recommendations centre on resolving the capacity-constraint crisis identified in NHS England's 2024 guidance. The recommended 30% therapy capacity allocation for complex presentations including PTSD must be urgently implemented, with specific provision for extended treatment courses required for C-PTSD. Additionally, investment in transdiagnostic intervention development and evaluation is recommended, given the high comorbidity between C-PTSD and other conditions and the potential efficiency gains from targeting underlying psychological processes rather than diagnostic categories (Dalgleish et al., 2020).</w:t>
      </w:r>
    </w:p>
    <w:p w14:paraId="49B76211" w14:textId="1B1CC6CB" w:rsidR="00ED7245" w:rsidRPr="005E4D81" w:rsidRDefault="00ED7245" w:rsidP="00ED7245">
      <w:pPr>
        <w:spacing w:after="100" w:afterAutospacing="1" w:line="360" w:lineRule="auto"/>
        <w:jc w:val="both"/>
        <w:rPr>
          <w:rFonts w:ascii="Arial" w:hAnsi="Arial" w:cs="Arial"/>
        </w:rPr>
      </w:pPr>
      <w:r w:rsidRPr="005E4D81">
        <w:rPr>
          <w:rFonts w:ascii="Arial" w:hAnsi="Arial" w:cs="Arial"/>
        </w:rPr>
        <w:t>For rehabilitation, multi-agency care models should be developed that integrate psychological therapy with social care (Mental Capacity Act 2005), housing support and vocational services, addressing the functional impairments that characterise C-PTSD. The Local Government Association's (2025) implementation guidance for the Mental Health Act 2025 provides a framework for such integration, emphasising community-based alternatives to hospitalisation that align with C-PTSD rehabilitation needs. Furthermore, gender-sensitive service pathways should be developed that recognise the differential prevalence and presentation of C-PTSD amongst men and women, ensuring that male survivors of complex trauma are not overlooked within service configurations that may inadvertently privilege female help-seeking patterns.</w:t>
      </w:r>
    </w:p>
    <w:p w14:paraId="1B78871E" w14:textId="3A031457" w:rsidR="00ED7245" w:rsidRPr="005E4D81" w:rsidRDefault="00ED7245" w:rsidP="00ED7245">
      <w:pPr>
        <w:spacing w:after="100" w:afterAutospacing="1" w:line="360" w:lineRule="auto"/>
        <w:jc w:val="both"/>
        <w:rPr>
          <w:rFonts w:ascii="Arial" w:hAnsi="Arial" w:cs="Arial"/>
        </w:rPr>
      </w:pPr>
      <w:r w:rsidRPr="005E4D81">
        <w:rPr>
          <w:rFonts w:ascii="Arial" w:hAnsi="Arial" w:cs="Arial"/>
        </w:rPr>
        <w:t>Policy implications centre on ensuring that Mental Health Act 2025 reforms regarding autism and learning disability are extended to ensure appropriate recognition of C-PTSD in neurodivergent individuals, preventing inappropriate detention and ensuring trauma-informed approaches. Furthermore, addressing racial disparities in detention and community treatment requires explicit attention to cultural competence in C-PTSD assessment and the development of culturally adapted trauma interventions. NHS England should establish C-PTSD-specific quality indicators within the Community Mental Health Framework to drive accountability for trauma-informed care implementation.</w:t>
      </w:r>
    </w:p>
    <w:p w14:paraId="79E4569F" w14:textId="77777777" w:rsidR="00ED7245" w:rsidRDefault="00ED7245" w:rsidP="00ED7245">
      <w:pPr>
        <w:pStyle w:val="Heading1"/>
        <w:jc w:val="both"/>
        <w:rPr>
          <w:rFonts w:ascii="Arial" w:hAnsi="Arial" w:cs="Arial"/>
          <w:b/>
          <w:bCs/>
          <w:color w:val="auto"/>
          <w:sz w:val="22"/>
          <w:szCs w:val="22"/>
        </w:rPr>
      </w:pPr>
      <w:bookmarkStart w:id="6" w:name="_Toc225115274"/>
      <w:r w:rsidRPr="005E4D81">
        <w:rPr>
          <w:rFonts w:ascii="Arial" w:hAnsi="Arial" w:cs="Arial"/>
          <w:b/>
          <w:bCs/>
          <w:color w:val="auto"/>
          <w:sz w:val="22"/>
          <w:szCs w:val="22"/>
        </w:rPr>
        <w:t>Conclusion</w:t>
      </w:r>
      <w:bookmarkEnd w:id="6"/>
    </w:p>
    <w:p w14:paraId="5ECA89FE" w14:textId="77777777" w:rsidR="00ED7245" w:rsidRPr="00ED7245" w:rsidRDefault="00ED7245" w:rsidP="00ED7245">
      <w:pPr>
        <w:jc w:val="both"/>
      </w:pPr>
    </w:p>
    <w:p w14:paraId="47DC11F7" w14:textId="77777777" w:rsidR="00ED7245" w:rsidRPr="005E4D81" w:rsidRDefault="00ED7245" w:rsidP="00ED7245">
      <w:pPr>
        <w:spacing w:after="100" w:afterAutospacing="1" w:line="360" w:lineRule="auto"/>
        <w:jc w:val="both"/>
        <w:rPr>
          <w:rFonts w:ascii="Arial" w:hAnsi="Arial" w:cs="Arial"/>
        </w:rPr>
      </w:pPr>
      <w:r w:rsidRPr="005E4D81">
        <w:rPr>
          <w:rFonts w:ascii="Arial" w:hAnsi="Arial" w:cs="Arial"/>
        </w:rPr>
        <w:t xml:space="preserve">The classification of C-PTSD in ICD-11 represents a significant advancement in recognising the psychological consequences of complex trauma, yet its implementation within UK mental health systems remains partial and contested. This report has demonstrated that whilst the classification framework provides a robust foundation for distinguishing C-PTSD from PTSD and personality disorders, diagnostic practice requires enhanced standardisation and trauma-informed screening. Treatment availability is critically constrained by workforce limitations that NHS England guidance acknowledges yet has not resolved. Current debates regarding neurodivergence, racial disparities and dimensional classification reflect broader tensions in mental health practice between medical model and psychosocial conceptualisations of distress. The Mental Health Act </w:t>
      </w:r>
      <w:r w:rsidRPr="005E4D81">
        <w:rPr>
          <w:rFonts w:ascii="Arial" w:hAnsi="Arial" w:cs="Arial"/>
        </w:rPr>
        <w:lastRenderedPageBreak/>
        <w:t>2025 reforms offer opportunities for aligning classification with rights-based approaches, yet require substantial investment in community alternatives to realise their potential. Achieving the full benefits of ICD-11's C-PTSD classification will require sustained attention to these implementation challenges, ensuring that diagnostic recognition translates into accessible, effective and equitable care for survivors of complex trauma.</w:t>
      </w:r>
    </w:p>
    <w:p w14:paraId="60AA027A" w14:textId="77777777" w:rsidR="00ED7245" w:rsidRPr="005E4D81" w:rsidRDefault="00ED7245" w:rsidP="00ED7245">
      <w:pPr>
        <w:spacing w:after="100" w:afterAutospacing="1" w:line="360" w:lineRule="auto"/>
        <w:jc w:val="both"/>
        <w:rPr>
          <w:rFonts w:ascii="Arial" w:hAnsi="Arial" w:cs="Arial"/>
        </w:rPr>
      </w:pPr>
    </w:p>
    <w:p w14:paraId="67D18FB7" w14:textId="77777777" w:rsidR="00ED7245" w:rsidRDefault="00ED7245" w:rsidP="00ED7245">
      <w:pPr>
        <w:jc w:val="both"/>
        <w:rPr>
          <w:rFonts w:ascii="Arial" w:eastAsiaTheme="majorEastAsia" w:hAnsi="Arial" w:cs="Arial"/>
          <w:b/>
          <w:bCs/>
        </w:rPr>
      </w:pPr>
      <w:r>
        <w:rPr>
          <w:rFonts w:ascii="Arial" w:hAnsi="Arial" w:cs="Arial"/>
          <w:b/>
          <w:bCs/>
        </w:rPr>
        <w:br w:type="page"/>
      </w:r>
    </w:p>
    <w:p w14:paraId="752DE2AD" w14:textId="770722DE" w:rsidR="00ED7245" w:rsidRPr="005E4D81" w:rsidRDefault="00ED7245" w:rsidP="00ED7245">
      <w:pPr>
        <w:pStyle w:val="Heading1"/>
        <w:rPr>
          <w:rFonts w:ascii="Arial" w:hAnsi="Arial" w:cs="Arial"/>
          <w:b/>
          <w:bCs/>
          <w:color w:val="auto"/>
          <w:sz w:val="22"/>
          <w:szCs w:val="22"/>
        </w:rPr>
      </w:pPr>
      <w:bookmarkStart w:id="7" w:name="_Toc225115275"/>
      <w:r w:rsidRPr="005E4D81">
        <w:rPr>
          <w:rFonts w:ascii="Arial" w:hAnsi="Arial" w:cs="Arial"/>
          <w:b/>
          <w:bCs/>
          <w:color w:val="auto"/>
          <w:sz w:val="22"/>
          <w:szCs w:val="22"/>
        </w:rPr>
        <w:lastRenderedPageBreak/>
        <w:t>Reference List</w:t>
      </w:r>
      <w:bookmarkEnd w:id="7"/>
    </w:p>
    <w:p w14:paraId="7C5DF750"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 xml:space="preserve">Andrews, D.A., Bonta, J. and </w:t>
      </w:r>
      <w:proofErr w:type="spellStart"/>
      <w:r w:rsidRPr="005E4D81">
        <w:rPr>
          <w:rFonts w:ascii="Arial" w:hAnsi="Arial" w:cs="Arial"/>
        </w:rPr>
        <w:t>Wormith</w:t>
      </w:r>
      <w:proofErr w:type="spellEnd"/>
      <w:r w:rsidRPr="005E4D81">
        <w:rPr>
          <w:rFonts w:ascii="Arial" w:hAnsi="Arial" w:cs="Arial"/>
        </w:rPr>
        <w:t>, J.S. (2011) 'The risk-need-responsivity (</w:t>
      </w:r>
      <w:proofErr w:type="spellStart"/>
      <w:r w:rsidRPr="005E4D81">
        <w:rPr>
          <w:rFonts w:ascii="Arial" w:hAnsi="Arial" w:cs="Arial"/>
        </w:rPr>
        <w:t>RNR</w:t>
      </w:r>
      <w:proofErr w:type="spellEnd"/>
      <w:r w:rsidRPr="005E4D81">
        <w:rPr>
          <w:rFonts w:ascii="Arial" w:hAnsi="Arial" w:cs="Arial"/>
        </w:rPr>
        <w:t xml:space="preserve">) model: Does adding the good lives model contribute to effective crime prevention?', Criminal Justice and </w:t>
      </w:r>
      <w:proofErr w:type="spellStart"/>
      <w:r w:rsidRPr="005E4D81">
        <w:rPr>
          <w:rFonts w:ascii="Arial" w:hAnsi="Arial" w:cs="Arial"/>
        </w:rPr>
        <w:t>Behavior</w:t>
      </w:r>
      <w:proofErr w:type="spellEnd"/>
      <w:r w:rsidRPr="005E4D81">
        <w:rPr>
          <w:rFonts w:ascii="Arial" w:hAnsi="Arial" w:cs="Arial"/>
        </w:rPr>
        <w:t>, 38(8), pp. 735-755.</w:t>
      </w:r>
    </w:p>
    <w:p w14:paraId="3BE5AAA1"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Care Quality Commission (2025) Monitoring the Mental Health Act in 2024 to 2025. London: CQC. Available at: https://assets.publishing.service.gov.uk/media/697a3384c23c8fa26650dee5/cqc-monitoring-the-mental-health-act-in-2024-to-2025.pdf (Accessed: 8 March 2026).</w:t>
      </w:r>
    </w:p>
    <w:p w14:paraId="74CFB1FC"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Dalgleish, T. et al. (2020) 'Transdiagnostic approaches to mental health problems: Current status and future directions', Journal of Consulting and Clinical Psychology, 88(3), pp. 179-195.</w:t>
      </w:r>
    </w:p>
    <w:p w14:paraId="5EEC0608"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Evans, S.C. et al. (2021) 'Diagnostic classification of irritability and oppositionality in youth: A global field study comparing ICD-11 with ICD-10 and DSM-5', Journal of Child Psychology and Psychiatry, 62(3), pp. 303-312.</w:t>
      </w:r>
    </w:p>
    <w:p w14:paraId="1FB059EB"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Frances, A.J. and Nardo, J.M. (2013) 'ICD-11 should not repeat the mistakes made by DSM-5', The British Journal of Psychiatry, 203(1), pp. 1-2.</w:t>
      </w:r>
    </w:p>
    <w:p w14:paraId="4B764D42" w14:textId="77777777" w:rsidR="00ED7245" w:rsidRPr="005E4D81" w:rsidRDefault="00ED7245" w:rsidP="00ED7245">
      <w:pPr>
        <w:spacing w:after="100" w:afterAutospacing="1" w:line="360" w:lineRule="auto"/>
        <w:rPr>
          <w:rFonts w:ascii="Arial" w:hAnsi="Arial" w:cs="Arial"/>
        </w:rPr>
      </w:pPr>
      <w:proofErr w:type="spellStart"/>
      <w:r w:rsidRPr="005E4D81">
        <w:rPr>
          <w:rFonts w:ascii="Arial" w:hAnsi="Arial" w:cs="Arial"/>
        </w:rPr>
        <w:t>Garralda</w:t>
      </w:r>
      <w:proofErr w:type="spellEnd"/>
      <w:r w:rsidRPr="005E4D81">
        <w:rPr>
          <w:rFonts w:ascii="Arial" w:hAnsi="Arial" w:cs="Arial"/>
        </w:rPr>
        <w:t xml:space="preserve">, M.E. (2025) 'Child and adolescent psychiatric disorders and ICD-11', The British Journal of Psychiatry, 226(4), pp. 200-202. </w:t>
      </w:r>
      <w:proofErr w:type="spellStart"/>
      <w:r w:rsidRPr="005E4D81">
        <w:rPr>
          <w:rFonts w:ascii="Arial" w:hAnsi="Arial" w:cs="Arial"/>
        </w:rPr>
        <w:t>doi</w:t>
      </w:r>
      <w:proofErr w:type="spellEnd"/>
      <w:r w:rsidRPr="005E4D81">
        <w:rPr>
          <w:rFonts w:ascii="Arial" w:hAnsi="Arial" w:cs="Arial"/>
        </w:rPr>
        <w:t>: 10.1192/bjp.2024.200.</w:t>
      </w:r>
    </w:p>
    <w:p w14:paraId="147EC25C"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 xml:space="preserve">Jantzi, C. and Moulin, V. (2025) 'The new ICD-11 diagnosis of personality disorder in forensic psychiatry', Frontiers in Psychiatry, 16, p. 1630512. </w:t>
      </w:r>
      <w:proofErr w:type="spellStart"/>
      <w:r w:rsidRPr="005E4D81">
        <w:rPr>
          <w:rFonts w:ascii="Arial" w:hAnsi="Arial" w:cs="Arial"/>
        </w:rPr>
        <w:t>doi</w:t>
      </w:r>
      <w:proofErr w:type="spellEnd"/>
      <w:r w:rsidRPr="005E4D81">
        <w:rPr>
          <w:rFonts w:ascii="Arial" w:hAnsi="Arial" w:cs="Arial"/>
        </w:rPr>
        <w:t>: 10.3389/fpsyt.2025.1630512.</w:t>
      </w:r>
    </w:p>
    <w:p w14:paraId="5DF2EDAE"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Local Government Association (2025) Get in on the Act: Mental Health Act 2025. London: LGA. Available at: https://www.local.gov.uk/publications/get-act-mental-health-act-2025 (Accessed: 9 March 2026).</w:t>
      </w:r>
    </w:p>
    <w:p w14:paraId="4B951722"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Mental Capacity Act 2005, c. 9. London: HMSO.</w:t>
      </w:r>
    </w:p>
    <w:p w14:paraId="31A554E9"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Mental Health Act 1983, c. 20. London: HMSO.</w:t>
      </w:r>
    </w:p>
    <w:p w14:paraId="2EB73527"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Mental Health Act 2007, c. 12. London: HMSO.</w:t>
      </w:r>
    </w:p>
    <w:p w14:paraId="457EF016"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Mental Health Bill 2025. London: UK Parliament.</w:t>
      </w:r>
    </w:p>
    <w:p w14:paraId="31CD4A71"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Mulder, R. and Tyrer, P. (2019) 'The ICD-11 classification of personality disorders: A critical review', Personality and Mental Health, 13(3), pp. 115-123.</w:t>
      </w:r>
    </w:p>
    <w:p w14:paraId="2BADB1B6"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lastRenderedPageBreak/>
        <w:t>National Institute for Health and Care Excellence (2019) Depression in children and young people: identification and management, NICE Guideline [NG134]. London: NICE. Available at: https://www.nice.org.uk/guidance/ng134 (Accessed: 9 March 2026).</w:t>
      </w:r>
    </w:p>
    <w:p w14:paraId="418752BB"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National Institute for Health and Care Excellence (2022) Depression in adults: treatment and management, NICE Guideline [NG222]. London: NICE. Available at: https://www.nice.org.uk/guidance/ng222 (Accessed: 9 March 2026).</w:t>
      </w:r>
    </w:p>
    <w:p w14:paraId="7F7DB1F0"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Newby, J.M. et al. (2015) 'Systematic review and meta-analysis of transdiagnostic psychological treatments for anxiety and depressive disorders in adulthood', Clinical Psychology Review, 40, pp. 91-110.</w:t>
      </w:r>
    </w:p>
    <w:p w14:paraId="14203482"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NHS Confederation (2024) Mental health bill 2024: what you need to know. London: NHS Confederation. Available at: https://www.nhsconfed.org/publications/mental-health-bill-2024 (Accessed: 9 March 2026).</w:t>
      </w:r>
    </w:p>
    <w:p w14:paraId="328B1D7E"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NHS England (2019) NHS Mental Health Implementation Plan 2019/20 – 2023/24. London: NHS England. Available at: https://www.england.nhs.uk/wp-content/uploads/2022/07/nhs-mental-health-implementation-plan-2019-20-2023-24.pdf (Accessed: 10 March 2026).</w:t>
      </w:r>
    </w:p>
    <w:p w14:paraId="1DF74271"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NHS England (2024) Psychological therapies for severe mental health problems: Implementation guidance 2024. London: NHS England. Available at: https://www.england.nhs.uk/long-read/implementation-guidance-2024-psychological-therapies-for-severe-mental-health-problems/ (Accessed: 10 March 2026).</w:t>
      </w:r>
    </w:p>
    <w:p w14:paraId="31BCB075"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Reed, G.M. et al. (2019) 'Innovations and changes in the ICD-11 classification of mental, behavioural and neurodevelopmental disorders', World Psychiatry, 18(1), pp. 3-19.</w:t>
      </w:r>
    </w:p>
    <w:p w14:paraId="2ECA5651"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 xml:space="preserve">Robles, R. et al. (2025) 'Increasing readiness to implement the ICD-11 classification of mental disorders', Psychiatry International, 6(4), p. 129. </w:t>
      </w:r>
      <w:proofErr w:type="spellStart"/>
      <w:r w:rsidRPr="005E4D81">
        <w:rPr>
          <w:rFonts w:ascii="Arial" w:hAnsi="Arial" w:cs="Arial"/>
        </w:rPr>
        <w:t>doi</w:t>
      </w:r>
      <w:proofErr w:type="spellEnd"/>
      <w:r w:rsidRPr="005E4D81">
        <w:rPr>
          <w:rFonts w:ascii="Arial" w:hAnsi="Arial" w:cs="Arial"/>
        </w:rPr>
        <w:t>: 10.3390/psychiatryint6040129.</w:t>
      </w:r>
    </w:p>
    <w:p w14:paraId="235E24CA"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 xml:space="preserve">Shevlin, M. et al. (2022) 'ICD-11 "mixed depressive and anxiety disorder" is clinical rather than sub-clinical and more common than anxiety and depression in the general population', British Journal of Clinical Psychology, 61, pp. 18-36. </w:t>
      </w:r>
      <w:proofErr w:type="spellStart"/>
      <w:r w:rsidRPr="005E4D81">
        <w:rPr>
          <w:rFonts w:ascii="Arial" w:hAnsi="Arial" w:cs="Arial"/>
        </w:rPr>
        <w:t>doi</w:t>
      </w:r>
      <w:proofErr w:type="spellEnd"/>
      <w:r w:rsidRPr="005E4D81">
        <w:rPr>
          <w:rFonts w:ascii="Arial" w:hAnsi="Arial" w:cs="Arial"/>
        </w:rPr>
        <w:t>: 10.1111/bjc.12321.</w:t>
      </w:r>
    </w:p>
    <w:p w14:paraId="6DB6182C"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 xml:space="preserve">Stubley, J., Chipp, B. and Buszewicz, M. (2025) 'Diagnosis and management of complex post-traumatic stress disorder (C-PTSD)', BMJ, 388, p. e079458. </w:t>
      </w:r>
      <w:proofErr w:type="spellStart"/>
      <w:r w:rsidRPr="005E4D81">
        <w:rPr>
          <w:rFonts w:ascii="Arial" w:hAnsi="Arial" w:cs="Arial"/>
        </w:rPr>
        <w:t>doi</w:t>
      </w:r>
      <w:proofErr w:type="spellEnd"/>
      <w:r w:rsidRPr="005E4D81">
        <w:rPr>
          <w:rFonts w:ascii="Arial" w:hAnsi="Arial" w:cs="Arial"/>
        </w:rPr>
        <w:t>: 10.1136/bmj-2024-079458.</w:t>
      </w:r>
    </w:p>
    <w:p w14:paraId="7DCA3210" w14:textId="77777777" w:rsidR="00ED7245" w:rsidRPr="005E4D81" w:rsidRDefault="00ED7245" w:rsidP="00ED7245">
      <w:pPr>
        <w:spacing w:after="100" w:afterAutospacing="1" w:line="360" w:lineRule="auto"/>
        <w:rPr>
          <w:rFonts w:ascii="Arial" w:hAnsi="Arial" w:cs="Arial"/>
        </w:rPr>
      </w:pPr>
      <w:proofErr w:type="spellStart"/>
      <w:r w:rsidRPr="005E4D81">
        <w:rPr>
          <w:rFonts w:ascii="Arial" w:hAnsi="Arial" w:cs="Arial"/>
        </w:rPr>
        <w:t>Tebartz</w:t>
      </w:r>
      <w:proofErr w:type="spellEnd"/>
      <w:r w:rsidRPr="005E4D81">
        <w:rPr>
          <w:rFonts w:ascii="Arial" w:hAnsi="Arial" w:cs="Arial"/>
        </w:rPr>
        <w:t xml:space="preserve"> van Elst, L., Riedel, A. and </w:t>
      </w:r>
      <w:proofErr w:type="spellStart"/>
      <w:r w:rsidRPr="005E4D81">
        <w:rPr>
          <w:rFonts w:ascii="Arial" w:hAnsi="Arial" w:cs="Arial"/>
        </w:rPr>
        <w:t>Biscaldi</w:t>
      </w:r>
      <w:proofErr w:type="spellEnd"/>
      <w:r w:rsidRPr="005E4D81">
        <w:rPr>
          <w:rFonts w:ascii="Arial" w:hAnsi="Arial" w:cs="Arial"/>
        </w:rPr>
        <w:t xml:space="preserve">-Schäfer, M. (2025) 'The reclassification of neurodevelopmental disorders in ICD-11', Der </w:t>
      </w:r>
      <w:proofErr w:type="spellStart"/>
      <w:r w:rsidRPr="005E4D81">
        <w:rPr>
          <w:rFonts w:ascii="Arial" w:hAnsi="Arial" w:cs="Arial"/>
        </w:rPr>
        <w:t>Nervenarzt</w:t>
      </w:r>
      <w:proofErr w:type="spellEnd"/>
      <w:r w:rsidRPr="005E4D81">
        <w:rPr>
          <w:rFonts w:ascii="Arial" w:hAnsi="Arial" w:cs="Arial"/>
        </w:rPr>
        <w:t xml:space="preserve">. </w:t>
      </w:r>
      <w:proofErr w:type="spellStart"/>
      <w:r w:rsidRPr="005E4D81">
        <w:rPr>
          <w:rFonts w:ascii="Arial" w:hAnsi="Arial" w:cs="Arial"/>
        </w:rPr>
        <w:t>doi</w:t>
      </w:r>
      <w:proofErr w:type="spellEnd"/>
      <w:r w:rsidRPr="005E4D81">
        <w:rPr>
          <w:rFonts w:ascii="Arial" w:hAnsi="Arial" w:cs="Arial"/>
        </w:rPr>
        <w:t>: 10.1007/s00115-024-01633-5.</w:t>
      </w:r>
    </w:p>
    <w:p w14:paraId="50EF872C"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lastRenderedPageBreak/>
        <w:t>Tyrer, P. (2023) 'Personality disorders', in Tyrer, P. (ed.) Making Sense of the ICD-11: For Mental Health Professionals. Cambridge: Cambridge University Press, pp. 62-75.</w:t>
      </w:r>
    </w:p>
    <w:p w14:paraId="10218A77"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UK Government (2024) Mental Health Bill [HL], House of Lords Debates, 25 November. Available at: https://hansard.parliament.uk/lords/2024-11-25/debates/042DF1AA-9585-4791-96A3-F3074D15AF5D/Debate (Accessed: 11 March 2026).</w:t>
      </w:r>
    </w:p>
    <w:p w14:paraId="71C9A4C9"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World Health Organization (2019) International Classification of Diseases 11th Revision. Geneva: WHO. Available at: https://icd.who.int/browse11/l-m/en (Accessed: 9 March 2026).</w:t>
      </w:r>
    </w:p>
    <w:p w14:paraId="5FC39DA4" w14:textId="77777777" w:rsidR="00ED7245" w:rsidRPr="005E4D81" w:rsidRDefault="00ED7245" w:rsidP="00ED7245">
      <w:pPr>
        <w:spacing w:after="100" w:afterAutospacing="1" w:line="360" w:lineRule="auto"/>
        <w:rPr>
          <w:rFonts w:ascii="Arial" w:hAnsi="Arial" w:cs="Arial"/>
        </w:rPr>
      </w:pPr>
      <w:r w:rsidRPr="005E4D81">
        <w:rPr>
          <w:rFonts w:ascii="Arial" w:hAnsi="Arial" w:cs="Arial"/>
        </w:rPr>
        <w:t>World Health Organization (2024) Clinical Descriptions and Diagnostic Requirements for ICD-11 Mental, Behavioural, and Neurodevelopmental Disorders. Geneva: WHO.</w:t>
      </w:r>
    </w:p>
    <w:p w14:paraId="50800DD9" w14:textId="1DEA0334" w:rsidR="00784E90" w:rsidRPr="001566AD" w:rsidRDefault="00784E90" w:rsidP="009E2AE9">
      <w:pPr>
        <w:spacing w:before="100" w:beforeAutospacing="1" w:after="100" w:afterAutospacing="1" w:line="360" w:lineRule="auto"/>
        <w:rPr>
          <w:rFonts w:ascii="Arial" w:hAnsi="Arial" w:cs="Arial"/>
        </w:rPr>
      </w:pPr>
    </w:p>
    <w:sectPr w:rsidR="00784E90" w:rsidRPr="001566AD" w:rsidSect="003C7DBB">
      <w:footerReference w:type="default" r:id="rId7"/>
      <w:pgSz w:w="11906" w:h="16838" w:code="9"/>
      <w:pgMar w:top="1276" w:right="1276" w:bottom="1276" w:left="1276" w:header="567" w:footer="567"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2D35B" w14:textId="77777777" w:rsidR="000C3AEF" w:rsidRDefault="000C3AEF" w:rsidP="009E2AE9">
      <w:pPr>
        <w:spacing w:after="0" w:line="240" w:lineRule="auto"/>
      </w:pPr>
      <w:r>
        <w:separator/>
      </w:r>
    </w:p>
  </w:endnote>
  <w:endnote w:type="continuationSeparator" w:id="0">
    <w:p w14:paraId="3C6D3A2A" w14:textId="77777777" w:rsidR="000C3AEF" w:rsidRDefault="000C3AEF" w:rsidP="009E2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606216"/>
      <w:docPartObj>
        <w:docPartGallery w:val="Page Numbers (Bottom of Page)"/>
        <w:docPartUnique/>
      </w:docPartObj>
    </w:sdtPr>
    <w:sdtEndPr>
      <w:rPr>
        <w:b/>
        <w:bCs/>
        <w:noProof/>
      </w:rPr>
    </w:sdtEndPr>
    <w:sdtContent>
      <w:p w14:paraId="1E31D1C5" w14:textId="2C75A0F1" w:rsidR="009E2AE9" w:rsidRPr="009E2AE9" w:rsidRDefault="009E2AE9">
        <w:pPr>
          <w:pStyle w:val="Footer"/>
          <w:jc w:val="right"/>
          <w:rPr>
            <w:b/>
            <w:bCs/>
          </w:rPr>
        </w:pPr>
        <w:r w:rsidRPr="009E2AE9">
          <w:rPr>
            <w:b/>
            <w:bCs/>
          </w:rPr>
          <w:fldChar w:fldCharType="begin"/>
        </w:r>
        <w:r w:rsidRPr="009E2AE9">
          <w:rPr>
            <w:b/>
            <w:bCs/>
          </w:rPr>
          <w:instrText xml:space="preserve"> PAGE   \* MERGEFORMAT </w:instrText>
        </w:r>
        <w:r w:rsidRPr="009E2AE9">
          <w:rPr>
            <w:b/>
            <w:bCs/>
          </w:rPr>
          <w:fldChar w:fldCharType="separate"/>
        </w:r>
        <w:r w:rsidRPr="009E2AE9">
          <w:rPr>
            <w:b/>
            <w:bCs/>
            <w:noProof/>
          </w:rPr>
          <w:t>2</w:t>
        </w:r>
        <w:r w:rsidRPr="009E2AE9">
          <w:rPr>
            <w:b/>
            <w:bCs/>
            <w:noProof/>
          </w:rPr>
          <w:fldChar w:fldCharType="end"/>
        </w:r>
      </w:p>
    </w:sdtContent>
  </w:sdt>
  <w:p w14:paraId="784523E5" w14:textId="77777777" w:rsidR="009E2AE9" w:rsidRDefault="009E2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B39B6" w14:textId="77777777" w:rsidR="000C3AEF" w:rsidRDefault="000C3AEF" w:rsidP="009E2AE9">
      <w:pPr>
        <w:spacing w:after="0" w:line="240" w:lineRule="auto"/>
      </w:pPr>
      <w:r>
        <w:separator/>
      </w:r>
    </w:p>
  </w:footnote>
  <w:footnote w:type="continuationSeparator" w:id="0">
    <w:p w14:paraId="49DEB0E3" w14:textId="77777777" w:rsidR="000C3AEF" w:rsidRDefault="000C3AEF" w:rsidP="009E2A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6AD"/>
    <w:rsid w:val="00024B89"/>
    <w:rsid w:val="000C3AEF"/>
    <w:rsid w:val="00131C30"/>
    <w:rsid w:val="001566AD"/>
    <w:rsid w:val="00274A82"/>
    <w:rsid w:val="002D51A2"/>
    <w:rsid w:val="00397B6E"/>
    <w:rsid w:val="003C7DBB"/>
    <w:rsid w:val="00621097"/>
    <w:rsid w:val="006C7515"/>
    <w:rsid w:val="006E1632"/>
    <w:rsid w:val="0076063B"/>
    <w:rsid w:val="00766178"/>
    <w:rsid w:val="00784E90"/>
    <w:rsid w:val="00903770"/>
    <w:rsid w:val="0096125E"/>
    <w:rsid w:val="009E2AE9"/>
    <w:rsid w:val="00A20348"/>
    <w:rsid w:val="00AB3603"/>
    <w:rsid w:val="00B169F4"/>
    <w:rsid w:val="00B235C8"/>
    <w:rsid w:val="00BC2ADA"/>
    <w:rsid w:val="00CB6669"/>
    <w:rsid w:val="00DC52A2"/>
    <w:rsid w:val="00DF1BE4"/>
    <w:rsid w:val="00E053A8"/>
    <w:rsid w:val="00ED7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A9EE7"/>
  <w15:chartTrackingRefBased/>
  <w15:docId w15:val="{A3183B01-89CB-4D2F-80E4-D46A220C6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6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566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566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66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66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6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6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566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566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66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66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66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6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6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6AD"/>
    <w:rPr>
      <w:rFonts w:eastAsiaTheme="majorEastAsia" w:cstheme="majorBidi"/>
      <w:color w:val="272727" w:themeColor="text1" w:themeTint="D8"/>
    </w:rPr>
  </w:style>
  <w:style w:type="paragraph" w:styleId="Title">
    <w:name w:val="Title"/>
    <w:basedOn w:val="Normal"/>
    <w:next w:val="Normal"/>
    <w:link w:val="TitleChar"/>
    <w:uiPriority w:val="10"/>
    <w:qFormat/>
    <w:rsid w:val="00156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6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6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6AD"/>
    <w:pPr>
      <w:spacing w:before="160"/>
      <w:jc w:val="center"/>
    </w:pPr>
    <w:rPr>
      <w:i/>
      <w:iCs/>
      <w:color w:val="404040" w:themeColor="text1" w:themeTint="BF"/>
    </w:rPr>
  </w:style>
  <w:style w:type="character" w:customStyle="1" w:styleId="QuoteChar">
    <w:name w:val="Quote Char"/>
    <w:basedOn w:val="DefaultParagraphFont"/>
    <w:link w:val="Quote"/>
    <w:uiPriority w:val="29"/>
    <w:rsid w:val="001566AD"/>
    <w:rPr>
      <w:i/>
      <w:iCs/>
      <w:color w:val="404040" w:themeColor="text1" w:themeTint="BF"/>
    </w:rPr>
  </w:style>
  <w:style w:type="paragraph" w:styleId="ListParagraph">
    <w:name w:val="List Paragraph"/>
    <w:basedOn w:val="Normal"/>
    <w:uiPriority w:val="34"/>
    <w:qFormat/>
    <w:rsid w:val="001566AD"/>
    <w:pPr>
      <w:ind w:left="720"/>
      <w:contextualSpacing/>
    </w:pPr>
  </w:style>
  <w:style w:type="character" w:styleId="IntenseEmphasis">
    <w:name w:val="Intense Emphasis"/>
    <w:basedOn w:val="DefaultParagraphFont"/>
    <w:uiPriority w:val="21"/>
    <w:qFormat/>
    <w:rsid w:val="001566AD"/>
    <w:rPr>
      <w:i/>
      <w:iCs/>
      <w:color w:val="2F5496" w:themeColor="accent1" w:themeShade="BF"/>
    </w:rPr>
  </w:style>
  <w:style w:type="paragraph" w:styleId="IntenseQuote">
    <w:name w:val="Intense Quote"/>
    <w:basedOn w:val="Normal"/>
    <w:next w:val="Normal"/>
    <w:link w:val="IntenseQuoteChar"/>
    <w:uiPriority w:val="30"/>
    <w:qFormat/>
    <w:rsid w:val="001566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66AD"/>
    <w:rPr>
      <w:i/>
      <w:iCs/>
      <w:color w:val="2F5496" w:themeColor="accent1" w:themeShade="BF"/>
    </w:rPr>
  </w:style>
  <w:style w:type="character" w:styleId="IntenseReference">
    <w:name w:val="Intense Reference"/>
    <w:basedOn w:val="DefaultParagraphFont"/>
    <w:uiPriority w:val="32"/>
    <w:qFormat/>
    <w:rsid w:val="001566AD"/>
    <w:rPr>
      <w:b/>
      <w:bCs/>
      <w:smallCaps/>
      <w:color w:val="2F5496" w:themeColor="accent1" w:themeShade="BF"/>
      <w:spacing w:val="5"/>
    </w:rPr>
  </w:style>
  <w:style w:type="character" w:styleId="Hyperlink">
    <w:name w:val="Hyperlink"/>
    <w:basedOn w:val="DefaultParagraphFont"/>
    <w:uiPriority w:val="99"/>
    <w:unhideWhenUsed/>
    <w:rsid w:val="001566AD"/>
    <w:rPr>
      <w:color w:val="0563C1" w:themeColor="hyperlink"/>
      <w:u w:val="single"/>
    </w:rPr>
  </w:style>
  <w:style w:type="character" w:styleId="UnresolvedMention">
    <w:name w:val="Unresolved Mention"/>
    <w:basedOn w:val="DefaultParagraphFont"/>
    <w:uiPriority w:val="99"/>
    <w:semiHidden/>
    <w:unhideWhenUsed/>
    <w:rsid w:val="001566AD"/>
    <w:rPr>
      <w:color w:val="605E5C"/>
      <w:shd w:val="clear" w:color="auto" w:fill="E1DFDD"/>
    </w:rPr>
  </w:style>
  <w:style w:type="paragraph" w:styleId="Header">
    <w:name w:val="header"/>
    <w:basedOn w:val="Normal"/>
    <w:link w:val="HeaderChar"/>
    <w:uiPriority w:val="99"/>
    <w:unhideWhenUsed/>
    <w:rsid w:val="009E2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AE9"/>
  </w:style>
  <w:style w:type="paragraph" w:styleId="Footer">
    <w:name w:val="footer"/>
    <w:basedOn w:val="Normal"/>
    <w:link w:val="FooterChar"/>
    <w:uiPriority w:val="99"/>
    <w:unhideWhenUsed/>
    <w:rsid w:val="009E2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AE9"/>
  </w:style>
  <w:style w:type="paragraph" w:styleId="TOCHeading">
    <w:name w:val="TOC Heading"/>
    <w:basedOn w:val="Heading1"/>
    <w:next w:val="Normal"/>
    <w:uiPriority w:val="39"/>
    <w:unhideWhenUsed/>
    <w:qFormat/>
    <w:rsid w:val="00DC52A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C52A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C52A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C52A2"/>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0FA2C-DF1A-4FD2-8230-05CF590D5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12</Pages>
  <Words>3575</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8</cp:revision>
  <dcterms:created xsi:type="dcterms:W3CDTF">2026-03-17T09:59:00Z</dcterms:created>
  <dcterms:modified xsi:type="dcterms:W3CDTF">2026-03-22T23:43:00Z</dcterms:modified>
</cp:coreProperties>
</file>