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DA844D" w14:textId="7AD66CCA" w:rsidR="00AE655F" w:rsidRDefault="00AE655F" w:rsidP="00AE655F">
      <w:r>
        <w:t>Ashley Mc Fee</w:t>
      </w:r>
    </w:p>
    <w:p w14:paraId="3B18FEB0" w14:textId="77777777" w:rsidR="00AE655F" w:rsidRDefault="00AE655F" w:rsidP="00AE655F"/>
    <w:p w14:paraId="28AC53F5" w14:textId="0CCFA19C" w:rsidR="00AE655F" w:rsidRDefault="00AE655F" w:rsidP="00AE655F">
      <w:r>
        <w:t>Britain and the Great War</w:t>
      </w:r>
    </w:p>
    <w:p w14:paraId="48F71CC3" w14:textId="77777777" w:rsidR="00AE655F" w:rsidRDefault="00AE655F" w:rsidP="00AE655F"/>
    <w:p w14:paraId="56E8FE14" w14:textId="6BB89A9D" w:rsidR="00AE655F" w:rsidRDefault="00AE655F" w:rsidP="00AE655F">
      <w:r>
        <w:t>Dr Lester Mason</w:t>
      </w:r>
    </w:p>
    <w:p w14:paraId="237B93C7" w14:textId="77777777" w:rsidR="00AE655F" w:rsidRDefault="00AE655F" w:rsidP="00AE655F"/>
    <w:p w14:paraId="0E91AB9D" w14:textId="1FDF9632" w:rsidR="00AE655F" w:rsidRDefault="00AE655F" w:rsidP="00AE655F">
      <w:r>
        <w:t>5 May 2024</w:t>
      </w:r>
    </w:p>
    <w:p w14:paraId="74146C59" w14:textId="77777777" w:rsidR="00AE655F" w:rsidRDefault="00AE655F" w:rsidP="00AE655F"/>
    <w:p w14:paraId="639D70CE" w14:textId="13E9EB54" w:rsidR="00AE655F" w:rsidRPr="00AE655F" w:rsidRDefault="00AE655F" w:rsidP="00AE655F">
      <w:pPr>
        <w:suppressAutoHyphens/>
        <w:autoSpaceDN w:val="0"/>
        <w:spacing w:after="200" w:line="276" w:lineRule="auto"/>
        <w:jc w:val="center"/>
        <w:textAlignment w:val="baseline"/>
        <w:rPr>
          <w:b/>
          <w:bCs/>
          <w:u w:val="single"/>
        </w:rPr>
      </w:pPr>
      <w:r w:rsidRPr="00AE655F">
        <w:rPr>
          <w:b/>
          <w:bCs/>
          <w:u w:val="single"/>
        </w:rPr>
        <w:t>Why has the First World War cast such a long shadow over the history of the British Isles, even eclipsing the legacy of World War Two?</w:t>
      </w:r>
    </w:p>
    <w:p w14:paraId="0D765CAC" w14:textId="326CC551" w:rsidR="00755D6C" w:rsidRDefault="00F92C4F" w:rsidP="00F92C4F">
      <w:pPr>
        <w:ind w:firstLine="720"/>
      </w:pPr>
      <w:r>
        <w:t>World War I was a period of growing tensions between Eastern European states. It was a significant historical period on a global stage as it saw the shifting of diplomatic alliances throughout the war leading up to the Second World War and the wars in between. This war was initially a conflict between Serbia and Austria-Hungary over the independence of Serbia and the threat it posed to the diminishing powers of Austria-Hungary. Williamson points out:</w:t>
      </w:r>
    </w:p>
    <w:p w14:paraId="32EC0B9D" w14:textId="77777777" w:rsidR="00F92C4F" w:rsidRDefault="00F92C4F"/>
    <w:p w14:paraId="5266828E" w14:textId="24FE9A66" w:rsidR="00F92C4F" w:rsidRDefault="00F92C4F" w:rsidP="00F92C4F">
      <w:pPr>
        <w:ind w:left="720"/>
      </w:pPr>
      <w:r>
        <w:t>Austria-Hungary, threatened anew by the Balkan problems, grew more anxious about its declining position and became more enamored of the recent successes of its militant diplomacy.</w:t>
      </w:r>
      <w:r>
        <w:rPr>
          <w:rStyle w:val="FootnoteReference"/>
        </w:rPr>
        <w:footnoteReference w:id="1"/>
      </w:r>
    </w:p>
    <w:p w14:paraId="1734D646" w14:textId="77777777" w:rsidR="00F92C4F" w:rsidRDefault="00F92C4F" w:rsidP="00F92C4F"/>
    <w:p w14:paraId="47E2AFB4" w14:textId="0BEAB5D8" w:rsidR="00F92C4F" w:rsidRDefault="009C2850" w:rsidP="00F92C4F">
      <w:r>
        <w:t xml:space="preserve">Fighting ensued between both nations after the assassination of Archduke Franz Ferdinand, Austro-Hungarian heir, and his wife. This was the catalyst which brought together other nations into the fray. </w:t>
      </w:r>
      <w:r w:rsidR="008F72D5">
        <w:t xml:space="preserve">It was one of the bloodiest wars historically as it left many soldiers and civilians dead or injured. World War One synonymously known as the Great War had widespread impact in Britain during and after. It eclipses the legacy of World War Two as it was a period of many firsts for the Isles. </w:t>
      </w:r>
      <w:r w:rsidR="00866C00">
        <w:t>The cultural and psychological impact of WWI had a long-lasting effect on how society viewed war. It opened the doors for conversations about the contribution of women and their role as it was the first time that the British Army allowed women to be of service in the war.</w:t>
      </w:r>
      <w:r w:rsidR="009468F1">
        <w:t xml:space="preserve"> Conversations about women’s contribution on and off the battlefield propelled them into newer positions in the gender hierarchy as they were taking on more jobs and social </w:t>
      </w:r>
      <w:r w:rsidR="00E4236E">
        <w:t>prospects</w:t>
      </w:r>
      <w:r w:rsidR="009468F1">
        <w:t>.</w:t>
      </w:r>
      <w:r w:rsidR="00866C00">
        <w:t xml:space="preserve"> While women w</w:t>
      </w:r>
      <w:r w:rsidR="009468F1">
        <w:t>ere taking these opportunities</w:t>
      </w:r>
      <w:r w:rsidR="00866C00">
        <w:t xml:space="preserve">, doctors and medical professionals were now recognising the impact of war on the mental state of soldiers and servicemen as signs of shellshock were appearing in those who were actively involved in the war. </w:t>
      </w:r>
    </w:p>
    <w:p w14:paraId="16629AE7" w14:textId="77777777" w:rsidR="00866C00" w:rsidRDefault="00866C00" w:rsidP="00F92C4F"/>
    <w:p w14:paraId="64484A4E" w14:textId="51C3A3E2" w:rsidR="00560F79" w:rsidRDefault="00560F79" w:rsidP="00F92C4F">
      <w:r>
        <w:tab/>
        <w:t xml:space="preserve">World War One was an opening for women to demonstrate their abilities to work outside the home and be valued for their contributions rather than diminished by the patriarchal society that they had to contend with. While they were not combatants, they saw their paramilitary and clerical </w:t>
      </w:r>
      <w:r w:rsidR="004E58F7">
        <w:t>skills</w:t>
      </w:r>
      <w:r>
        <w:t xml:space="preserve"> as means to ensure more rights and freedom from the oppressive nature of men and the social stereotypes. Pyecroft insists that:</w:t>
      </w:r>
    </w:p>
    <w:p w14:paraId="05D47801" w14:textId="77777777" w:rsidR="00560F79" w:rsidRDefault="00560F79" w:rsidP="00F92C4F"/>
    <w:p w14:paraId="0BD30110" w14:textId="52D3E188" w:rsidR="00560F79" w:rsidRDefault="00560F79" w:rsidP="00560F79">
      <w:pPr>
        <w:ind w:left="720"/>
      </w:pPr>
      <w:r w:rsidRPr="00560F79">
        <w:t xml:space="preserve">The status of working women before the war reflected the traditional view that women’s work was of lesser value and therefore deserved lower pay. The image of </w:t>
      </w:r>
      <w:r w:rsidRPr="00560F79">
        <w:lastRenderedPageBreak/>
        <w:t>women as the weaker sex, in need of male protection, prevailed at the workplace. Society perceived women as not only helpless but unwilling to help themselves.</w:t>
      </w:r>
      <w:r w:rsidRPr="00560F79">
        <w:rPr>
          <w:rStyle w:val="FootnoteReference"/>
        </w:rPr>
        <w:footnoteReference w:id="2"/>
      </w:r>
    </w:p>
    <w:p w14:paraId="38DC6AFA" w14:textId="77777777" w:rsidR="00560F79" w:rsidRDefault="00560F79" w:rsidP="00560F79">
      <w:pPr>
        <w:ind w:left="720"/>
      </w:pPr>
    </w:p>
    <w:p w14:paraId="4FB47410" w14:textId="2C41E0C2" w:rsidR="00560F79" w:rsidRDefault="00560F79" w:rsidP="00F92C4F">
      <w:r>
        <w:t>This view is that even if women had jobs outside of the home before the war, it was not seen as important enough to warrant appreciation or the same rights as that of a man. Instead, the male dependency continued, not because women wanted it to, but because it was a bind that supposedly ensured that society was productive.</w:t>
      </w:r>
      <w:r w:rsidR="004E58F7">
        <w:t xml:space="preserve"> At the start of the war, the men were recruited onto the battlefield which meant there was a shortage of workers and ample job opportunities. In this circumstance, the most obvious solution to this situation was for women to step into the roles to guarantee productivity within society. However, the idea that women </w:t>
      </w:r>
      <w:proofErr w:type="gramStart"/>
      <w:r w:rsidR="004E58F7">
        <w:t>were capable of withstanding</w:t>
      </w:r>
      <w:proofErr w:type="gramEnd"/>
      <w:r w:rsidR="004E58F7">
        <w:t xml:space="preserve"> the task of everyday jobs even menial ones, was unfathomable to the British government. Pyecroft says:</w:t>
      </w:r>
    </w:p>
    <w:p w14:paraId="4811B9D6" w14:textId="77777777" w:rsidR="005A573B" w:rsidRDefault="005A573B" w:rsidP="004E58F7">
      <w:pPr>
        <w:ind w:left="720"/>
      </w:pPr>
    </w:p>
    <w:p w14:paraId="0AF0BC8B" w14:textId="44CEAEB9" w:rsidR="004E58F7" w:rsidRDefault="004E58F7" w:rsidP="004E58F7">
      <w:pPr>
        <w:ind w:left="720"/>
      </w:pPr>
      <w:r w:rsidRPr="004E58F7">
        <w:t>Women were not the first solution to the labour shortage. The Cabinet considered importing male Belgian workers before it finally decided to recruit what it perceived as a largely untapped work force… The image of women workers as a great “stage army to be wheeled on and off” contrasted greatly with the reality of the large number of women already working.</w:t>
      </w:r>
      <w:r w:rsidRPr="004E58F7">
        <w:rPr>
          <w:rStyle w:val="FootnoteReference"/>
        </w:rPr>
        <w:footnoteReference w:id="3"/>
      </w:r>
    </w:p>
    <w:p w14:paraId="302A8280" w14:textId="0F88B768" w:rsidR="004E58F7" w:rsidRDefault="004E58F7" w:rsidP="00F92C4F"/>
    <w:p w14:paraId="2CE65C01" w14:textId="65B1CDAC" w:rsidR="004E58F7" w:rsidRDefault="000B1FAA" w:rsidP="00F92C4F">
      <w:r>
        <w:t>The attitude translated into how women were considered a part of the war. They were met with resistance due to the traditional value system of Britain and by extension the world. The stigma existed that women were not allowed to fight alongside women during the war. As a result, they were placed into auxiliary occupations, which saw the induction of The Women’s Army Auxiliary Corps (WAAC) in December 1916 and The Women’s Royal Naval Service (WRNS) in November 1917.</w:t>
      </w:r>
      <w:r w:rsidR="00DC19AB">
        <w:t xml:space="preserve"> Robert says that:</w:t>
      </w:r>
    </w:p>
    <w:p w14:paraId="2A3A01EE" w14:textId="77777777" w:rsidR="00560F79" w:rsidRDefault="00560F79" w:rsidP="00F92C4F"/>
    <w:p w14:paraId="4746E1AA" w14:textId="273B5467" w:rsidR="00866C00" w:rsidRDefault="00E4236E" w:rsidP="00E4236E">
      <w:pPr>
        <w:ind w:left="720"/>
      </w:pPr>
      <w:r w:rsidRPr="000B1FAA">
        <w:t xml:space="preserve">The shortage of manpower, however, eventually </w:t>
      </w:r>
      <w:proofErr w:type="gramStart"/>
      <w:r w:rsidRPr="000B1FAA">
        <w:t>opened up</w:t>
      </w:r>
      <w:proofErr w:type="gramEnd"/>
      <w:r w:rsidRPr="000B1FAA">
        <w:t xml:space="preserve"> the movement to lower-class women as well: as the number of casualties rose in late 1916, the government turned to women to do more of the work behind the lines formerly done by soldiers, and for this, they needed a large number of women in regular employment under military control.</w:t>
      </w:r>
      <w:r w:rsidR="00D64A3F" w:rsidRPr="000B1FAA">
        <w:rPr>
          <w:rStyle w:val="FootnoteReference"/>
        </w:rPr>
        <w:footnoteReference w:id="4"/>
      </w:r>
    </w:p>
    <w:p w14:paraId="64E4559C" w14:textId="77777777" w:rsidR="000B1FAA" w:rsidRDefault="000B1FAA" w:rsidP="000B1FAA"/>
    <w:p w14:paraId="6F3D9DA0" w14:textId="6732EE34" w:rsidR="00144542" w:rsidRDefault="00144542" w:rsidP="00144542">
      <w:r>
        <w:t xml:space="preserve">Although it was a historical time for women, class and </w:t>
      </w:r>
      <w:r w:rsidR="00095206">
        <w:t>economic</w:t>
      </w:r>
      <w:r>
        <w:t xml:space="preserve"> status still played a visible role in which women were considered for war.</w:t>
      </w:r>
      <w:r w:rsidR="00095206">
        <w:t xml:space="preserve"> To support the Corps and voluntary services, women came from middle-class and wealthy households. </w:t>
      </w:r>
      <w:r>
        <w:t xml:space="preserve"> </w:t>
      </w:r>
      <w:r w:rsidR="00DC19AB">
        <w:t>It was clear that women were a valued part of the war, however, it did not negate the fact that they were placed in positions as “the help” to the soldiers and</w:t>
      </w:r>
      <w:r w:rsidR="00616E84">
        <w:t>,</w:t>
      </w:r>
      <w:r w:rsidR="00DC19AB">
        <w:t xml:space="preserve"> the non-combatant men were too important to work in paramilitary or take on clerical tasks. </w:t>
      </w:r>
      <w:r>
        <w:t>These women were instrumental in radio operations, as munition workers and in some cases translators; they demonstrated their value to the war. Even with the aid that women were providing, it came with the usual rhetoric as Robert states:</w:t>
      </w:r>
    </w:p>
    <w:p w14:paraId="3C02C2E4" w14:textId="77777777" w:rsidR="00144542" w:rsidRDefault="00144542" w:rsidP="00D64A3F">
      <w:pPr>
        <w:ind w:left="720"/>
      </w:pPr>
    </w:p>
    <w:p w14:paraId="33D991AF" w14:textId="09E89E04" w:rsidR="00D64A3F" w:rsidRDefault="00D64A3F" w:rsidP="00D64A3F">
      <w:pPr>
        <w:ind w:left="720"/>
      </w:pPr>
      <w:r w:rsidRPr="00616E84">
        <w:t xml:space="preserve">The keenness of women both to organize and to join the auxiliary units must be set against contemporary attitudes. As the army was an exclusively male world, women wearing military-style uniforms were thought to be unfeminine: owing to the common </w:t>
      </w:r>
      <w:r w:rsidRPr="00616E84">
        <w:lastRenderedPageBreak/>
        <w:t>soldiers' reputation for licentiousness and heavy drinking, for women to mix with them was immoral. Members of the volunteer corps were often sneered at in public and in letters to the newspapers. Although the criticism was toned down as the government turned to women to reinforce the military, it did not disappear.</w:t>
      </w:r>
      <w:r w:rsidRPr="00616E84">
        <w:rPr>
          <w:rStyle w:val="FootnoteReference"/>
        </w:rPr>
        <w:footnoteReference w:id="5"/>
      </w:r>
      <w:r>
        <w:t xml:space="preserve"> </w:t>
      </w:r>
    </w:p>
    <w:p w14:paraId="0D51DC45" w14:textId="0E2D5279" w:rsidR="000100D3" w:rsidRDefault="000100D3" w:rsidP="00D315A3"/>
    <w:p w14:paraId="50FB6A96" w14:textId="1E7118AC" w:rsidR="00144542" w:rsidRDefault="00144542" w:rsidP="00144542">
      <w:r>
        <w:t>Even so, the women had a vision for the future; they would leverage this position in the war to gain access to more rights; not negating their patriotism as it was also a key reason for why they wanted to join the war and in the end were reward for their services.</w:t>
      </w:r>
      <w:r w:rsidR="009A37DF">
        <w:t xml:space="preserve"> The years of fighting for suffrage were paying off to some extent.</w:t>
      </w:r>
      <w:r w:rsidR="00677AFE">
        <w:t xml:space="preserve"> Kent says:</w:t>
      </w:r>
    </w:p>
    <w:p w14:paraId="62081A85" w14:textId="77777777" w:rsidR="009A37DF" w:rsidRDefault="009A37DF" w:rsidP="00144542"/>
    <w:p w14:paraId="2FC664D9" w14:textId="016AB9EA" w:rsidR="009A37DF" w:rsidRDefault="009A37DF" w:rsidP="009A37DF">
      <w:pPr>
        <w:ind w:left="720"/>
      </w:pPr>
      <w:r>
        <w:t>In 1918, the Representation of the People Bill gave women over thirty the right to vote. Contemporary observers in the suffrage and antisuffrage camp–and most historians–attributed the government’s change of heart on women’s enfranchisement to its appreciation of the work performed by women during the war.</w:t>
      </w:r>
      <w:r>
        <w:rPr>
          <w:rStyle w:val="FootnoteReference"/>
        </w:rPr>
        <w:footnoteReference w:id="6"/>
      </w:r>
    </w:p>
    <w:p w14:paraId="5834DA73" w14:textId="77777777" w:rsidR="00144542" w:rsidRDefault="00144542" w:rsidP="00144542"/>
    <w:p w14:paraId="3B18F601" w14:textId="6A64124A" w:rsidR="00616E84" w:rsidRDefault="00677AFE" w:rsidP="00D315A3">
      <w:r>
        <w:t xml:space="preserve">Although, given the opportunity to vote, the limitations placed on which women could vote reinforced the notion that men and women were not equal in society; women should take what they were given and be pleased with it. It was a reminder that even with the success of women during the war and being of significant value </w:t>
      </w:r>
      <w:r w:rsidR="00F90662">
        <w:t>by cementing a legacy in the history of Britain and World War One, there was much work to be done on the treatment of women in society. Critics may argue that women would have gotten the right to vote without the war, however, it cannot be argued that the war did not propel the discussion for equity for both genders. Fair argues that:</w:t>
      </w:r>
    </w:p>
    <w:p w14:paraId="0277725B" w14:textId="1C1E9CF7" w:rsidR="00F90662" w:rsidRDefault="00F90662" w:rsidP="00D315A3">
      <w:r>
        <w:t xml:space="preserve"> </w:t>
      </w:r>
    </w:p>
    <w:p w14:paraId="73178528" w14:textId="59A40C57" w:rsidR="00F90662" w:rsidRDefault="00F90662" w:rsidP="00F90662">
      <w:pPr>
        <w:ind w:left="720"/>
      </w:pPr>
      <w:r>
        <w:t>While the changing status of women during the war acted as an omnipresent stimulus, it was through the nonpartisan and lofty weight of the Speaker and the interparty conference over which he presided that a constitutional change was enacted which added some fourteen million persons to the electorate</w:t>
      </w:r>
      <w:r>
        <w:rPr>
          <w:rStyle w:val="FootnoteReference"/>
        </w:rPr>
        <w:footnoteReference w:id="7"/>
      </w:r>
    </w:p>
    <w:p w14:paraId="0A325065" w14:textId="4742E8CA" w:rsidR="00F90662" w:rsidRDefault="00F90662" w:rsidP="00D315A3">
      <w:r>
        <w:tab/>
      </w:r>
    </w:p>
    <w:p w14:paraId="49C69610" w14:textId="0C908E64" w:rsidR="006041E7" w:rsidRDefault="006041E7" w:rsidP="00D315A3">
      <w:r>
        <w:t>While it is a solid argument, it cannot be disputed that women were fighting for their right to vote long before the war and the constant need to amend or reconfigure the bill could be considered a ploy by Parliament to withhold such rights. Fair’s argument also demonstrates the need to bolster men as saviours of women, limiting women’s contribution to their fight for suffrage, an attitude which exemplified that of saying that his counterparts offered little value.</w:t>
      </w:r>
    </w:p>
    <w:p w14:paraId="3B5AF0E4" w14:textId="77777777" w:rsidR="00A9752F" w:rsidRDefault="00A9752F" w:rsidP="00AC0F56">
      <w:pPr>
        <w:rPr>
          <w:highlight w:val="yellow"/>
        </w:rPr>
      </w:pPr>
    </w:p>
    <w:p w14:paraId="255FE8AB" w14:textId="5478BEEF" w:rsidR="00890CF0" w:rsidRDefault="006041E7" w:rsidP="00AC0F56">
      <w:r>
        <w:tab/>
        <w:t xml:space="preserve">Another aspect of World War One that overshadowed the legacy of World War Two was the recognition of the psychological toll the war had on soldiers during and after the war. It was the first time that doctors acknowledged </w:t>
      </w:r>
      <w:r w:rsidR="00890CF0">
        <w:t>s</w:t>
      </w:r>
      <w:r>
        <w:t>hell</w:t>
      </w:r>
      <w:r w:rsidR="00890CF0">
        <w:t xml:space="preserve"> </w:t>
      </w:r>
      <w:r>
        <w:t>shock as a symptom of trauma during action.</w:t>
      </w:r>
      <w:r w:rsidR="00A56429">
        <w:t xml:space="preserve"> Loughran states:</w:t>
      </w:r>
    </w:p>
    <w:p w14:paraId="6B8BD97D" w14:textId="77777777" w:rsidR="00890CF0" w:rsidRDefault="00890CF0" w:rsidP="00AC0F56"/>
    <w:p w14:paraId="2EFF4441" w14:textId="77777777" w:rsidR="00A56429" w:rsidRDefault="00890CF0" w:rsidP="00890CF0">
      <w:pPr>
        <w:ind w:left="720"/>
      </w:pPr>
      <w:r w:rsidRPr="00A56429">
        <w:t xml:space="preserve">During the First World War, thousands of soldiers were treated for “shell shock,” a condition which encompassed a range of physical and psychological symptoms. Shell shock has most often been located within a “genealogy of trauma,” and identified as </w:t>
      </w:r>
      <w:r w:rsidRPr="00A56429">
        <w:lastRenderedPageBreak/>
        <w:t>an important marker in the gradual recognition of the psychological afflictions caused by combat.</w:t>
      </w:r>
      <w:r w:rsidRPr="00A56429">
        <w:rPr>
          <w:rStyle w:val="FootnoteReference"/>
        </w:rPr>
        <w:footnoteReference w:id="8"/>
      </w:r>
    </w:p>
    <w:p w14:paraId="641875EA" w14:textId="77777777" w:rsidR="00A56429" w:rsidRDefault="00A56429" w:rsidP="00A56429"/>
    <w:p w14:paraId="0C27D001" w14:textId="66C4CB4C" w:rsidR="00A56429" w:rsidRDefault="00A56429" w:rsidP="00A56429">
      <w:r>
        <w:t xml:space="preserve">Although soldiers were showing signs of mental and physical symptoms of shell shock, the limited exposure to the illness by medical professionals became a problem for servicemen looking to be treated. Therefore, those who were experiencing found it difficult to obtain consistent treatment. In some cases, they were accused of malingering and in others, depending on the severity of the symptoms being demonstrated they were forced to take on jobs outside of combat. Senior ranking servicemen found shell shock to be an unbelievable </w:t>
      </w:r>
      <w:r w:rsidR="00D84E69">
        <w:t>ailment.</w:t>
      </w:r>
      <w:r>
        <w:t xml:space="preserve"> </w:t>
      </w:r>
      <w:r w:rsidR="00D84E69">
        <w:t>Loughran, however, points out the severity of it by stating:</w:t>
      </w:r>
    </w:p>
    <w:p w14:paraId="7B8D773F" w14:textId="77777777" w:rsidR="00D84E69" w:rsidRDefault="00D84E69" w:rsidP="00A56429"/>
    <w:p w14:paraId="015F476D" w14:textId="3F43CB75" w:rsidR="00F56B26" w:rsidRDefault="00D84E69" w:rsidP="00F56B26">
      <w:pPr>
        <w:ind w:left="720"/>
      </w:pPr>
      <w:r>
        <w:t>…shell shock might also be blamed for the sweating, stammering, and tormented nightmares of the soldier who had accidentally shot and killed a wounded comrade one night while on outpost duty. The experiences and symptoms of these men were bewilderingly diverse and so were the explanations put forward for the disorder…</w:t>
      </w:r>
      <w:r>
        <w:rPr>
          <w:rStyle w:val="FootnoteReference"/>
        </w:rPr>
        <w:footnoteReference w:id="9"/>
      </w:r>
    </w:p>
    <w:p w14:paraId="096EB65C" w14:textId="77777777" w:rsidR="003606E6" w:rsidRDefault="003606E6" w:rsidP="003606E6"/>
    <w:p w14:paraId="51B7AD42" w14:textId="07CB7EE8" w:rsidR="003606E6" w:rsidRDefault="0089348F" w:rsidP="003606E6">
      <w:r>
        <w:t xml:space="preserve">According to Loughran, no one understood every symptom that came with experiencing shell shock. In some cases, it was just as simple as considering it physical injury sustained in the war. In other cases, shell shock refers to the encompassing injuries of those physical and mental. However, from understanding, shell shock was a mental illness that presented itself in physical forms. </w:t>
      </w:r>
      <w:r w:rsidR="008F757F">
        <w:t>It was clear that military leaders did not ascribe to such notions based on their assessment of the issue.</w:t>
      </w:r>
      <w:r>
        <w:t xml:space="preserve"> </w:t>
      </w:r>
    </w:p>
    <w:p w14:paraId="642F6D92" w14:textId="77777777" w:rsidR="00761B22" w:rsidRDefault="00761B22" w:rsidP="00E21C41"/>
    <w:p w14:paraId="780867D0" w14:textId="77777777" w:rsidR="00F61498" w:rsidRDefault="00F61498" w:rsidP="00F61498">
      <w:pPr>
        <w:ind w:left="720"/>
      </w:pPr>
      <w:r w:rsidRPr="008F757F">
        <w:t>In a parallel and related movement, this suffering (usually described as “trauma”) is now often portrayed as an inevitable concomitant of any experience of war…and the experience of shell shock in the First World War has become the model for all subsequent wars.</w:t>
      </w:r>
      <w:r w:rsidRPr="008F757F">
        <w:rPr>
          <w:rStyle w:val="FootnoteReference"/>
        </w:rPr>
        <w:footnoteReference w:id="10"/>
      </w:r>
    </w:p>
    <w:p w14:paraId="66335618" w14:textId="77777777" w:rsidR="00E21C41" w:rsidRDefault="00E21C41" w:rsidP="003606E6"/>
    <w:p w14:paraId="325B1E3D" w14:textId="3FB38928" w:rsidR="003606E6" w:rsidRDefault="003606E6" w:rsidP="003606E6">
      <w:r>
        <w:t xml:space="preserve">It meant that with the understanding of shell shock came the understanding of other mental health problems after a soldier returned from war. Doctors would eventually diagnose soldiers with forms of Post Traumatic Stress Disorder (PTSD); some would be diagnosed with depression and anxiety. The war </w:t>
      </w:r>
      <w:proofErr w:type="gramStart"/>
      <w:r>
        <w:t>opened up</w:t>
      </w:r>
      <w:proofErr w:type="gramEnd"/>
      <w:r>
        <w:t xml:space="preserve"> the world to the consideration of mental illnesses as war-sustained injuries which meant it would no longer be overlooked in subsequent combat situations. Psychological effects of war translated </w:t>
      </w:r>
      <w:r w:rsidR="0089348F">
        <w:t>into</w:t>
      </w:r>
      <w:r>
        <w:t xml:space="preserve"> how </w:t>
      </w:r>
      <w:r w:rsidR="0089348F">
        <w:t>soldiers struggled in society:</w:t>
      </w:r>
    </w:p>
    <w:p w14:paraId="2580B9DB" w14:textId="77777777" w:rsidR="0089348F" w:rsidRPr="0089348F" w:rsidRDefault="0089348F" w:rsidP="003606E6"/>
    <w:p w14:paraId="1F3483DE" w14:textId="48404F69" w:rsidR="00761B22" w:rsidRDefault="00761B22" w:rsidP="00890CF0">
      <w:pPr>
        <w:ind w:left="720"/>
      </w:pPr>
      <w:r w:rsidRPr="00C13EBA">
        <w:t>Conscripts straight from schools, as well as many others who already had skills and experience from the Great War, found themselves out of work and without any prospects when the postwar boom ended.</w:t>
      </w:r>
      <w:r w:rsidRPr="00C13EBA">
        <w:rPr>
          <w:rStyle w:val="FootnoteReference"/>
        </w:rPr>
        <w:footnoteReference w:id="11"/>
      </w:r>
    </w:p>
    <w:p w14:paraId="17E9C968" w14:textId="77777777" w:rsidR="00F56B26" w:rsidRDefault="00F56B26" w:rsidP="00F56B26"/>
    <w:p w14:paraId="020C7EC7" w14:textId="6B6B8209" w:rsidR="00F56B26" w:rsidRDefault="00F56B26" w:rsidP="00F56B26">
      <w:r>
        <w:t xml:space="preserve">War had more than the effects of shell shock on soldiers as soldiers who returned from war had to reintegrate themselves into society with other psychological deficits. With the pressure </w:t>
      </w:r>
      <w:r>
        <w:lastRenderedPageBreak/>
        <w:t xml:space="preserve">to find employment and constantly reliving the effects of war, they found it difficult to adjust to civilian life. The lack of attention to mental wellness was an even bigger struggle for them. The visibility of injuries took precedence over the mental ones, so much so that </w:t>
      </w:r>
      <w:r w:rsidR="002B5837">
        <w:t xml:space="preserve">regulations were put in place for wounded </w:t>
      </w:r>
      <w:r w:rsidR="00F74C25">
        <w:t>veterans. Like, shell shock, it took a lot of convincing for soldiers to be taken seriously about the neurological impact of the war. Leese says:</w:t>
      </w:r>
    </w:p>
    <w:p w14:paraId="447B5FE0" w14:textId="77777777" w:rsidR="00F74C25" w:rsidRDefault="00F74C25" w:rsidP="00F56B26"/>
    <w:p w14:paraId="1C8386BF" w14:textId="46A5FA30" w:rsidR="00F74C25" w:rsidRDefault="00F74C25" w:rsidP="00C13EBA">
      <w:pPr>
        <w:ind w:left="720"/>
      </w:pPr>
      <w:r>
        <w:t>Whereas doctors had a standard calculation chart for physical injuries, the evaluation of psychological disability remained haphazard and subjective…As with all other forms of disability assessments, war neurotic ex-servicemen had to go before an examination board, and the doctors who examined on these tribunals were often former Royal Army Medical Corps or shared viewpoint. By their whole training</w:t>
      </w:r>
      <w:r w:rsidR="00C13EBA">
        <w:t>,</w:t>
      </w:r>
      <w:r>
        <w:t xml:space="preserve"> such professionals were scep</w:t>
      </w:r>
      <w:r w:rsidR="00C13EBA">
        <w:t>tical towards illness.</w:t>
      </w:r>
      <w:r w:rsidR="00C13EBA">
        <w:rPr>
          <w:rStyle w:val="FootnoteReference"/>
        </w:rPr>
        <w:footnoteReference w:id="12"/>
      </w:r>
    </w:p>
    <w:p w14:paraId="3FDF1A35" w14:textId="77777777" w:rsidR="00316EBD" w:rsidRDefault="00316EBD" w:rsidP="00C52FA2"/>
    <w:p w14:paraId="600C86FE" w14:textId="1EA3BDE9" w:rsidR="00C52FA2" w:rsidRDefault="00C52FA2" w:rsidP="00C52FA2">
      <w:r>
        <w:t>So, even with professional help, ex-soldiers were still dealing with the struggle of war because it took time for these professionals to understand the triggers and the impact of the war during that time. However, with the advancement of science and the occurrence of war, the view on psychological illnesses changed and soldiers were given and have continued to receive treatment for it.</w:t>
      </w:r>
    </w:p>
    <w:p w14:paraId="00EA41F0" w14:textId="77777777" w:rsidR="00C52FA2" w:rsidRDefault="00C52FA2" w:rsidP="00C52FA2"/>
    <w:p w14:paraId="5DE8D735" w14:textId="1377A9D4" w:rsidR="00AE655F" w:rsidRDefault="00C52FA2" w:rsidP="00C52FA2">
      <w:r>
        <w:tab/>
        <w:t>In conclusion, World War I sparked many conversations about society and the views on different aspects of human life. Its significance far outweighs that of World War II in the sense that it was the prelude to many life-changing events in our society to date.</w:t>
      </w:r>
      <w:r w:rsidR="00C82CF9">
        <w:t xml:space="preserve"> The war had an impact on the culture of Britain whereby it was the first time historically that women wore military uniforms and were part of the war. It highlighted the competence of women outside of the household and demonstrated their prowess in aspects of the war outside of the combat zone, it was a moment for women to solidify their places in history and garner the necessary rights for themselves. The war showed the world that women were capable of being patriotic yet determined to achieve what they intended with their right to suffrage. Even with making history, the patriarchal society during the 20</w:t>
      </w:r>
      <w:r w:rsidR="00C82CF9" w:rsidRPr="00C82CF9">
        <w:rPr>
          <w:vertAlign w:val="superscript"/>
        </w:rPr>
        <w:t>th</w:t>
      </w:r>
      <w:r w:rsidR="00C82CF9">
        <w:t xml:space="preserve"> century made itself the centre of attention by claiming that war had nothing to do with Parliament’s position on suffrage, it is still a moment that overshadowed subsequent wars.</w:t>
      </w:r>
      <w:r w:rsidR="00E82CAE">
        <w:t xml:space="preserve"> Much like the cultural aspect, the psychological impact of the Great War was a central part of the war that most wars after it. It was the first time that soldiers and medical professionals encountered shell shock as a disorder. With the horror that soldiers witnessed during combat, it was no surprise that they were mentally scarred by the war. However, even with signs of a problem, medical professionals and military leaders had a difficult time accepting that war was taxing on the mental faculties of soldiers. Instead, they spent more time treating physical injuries and neglecting the mental ones. Soldiers came out of the war having to acclimatise </w:t>
      </w:r>
      <w:r w:rsidR="003606E6">
        <w:t>to</w:t>
      </w:r>
      <w:r w:rsidR="00E82CAE">
        <w:t xml:space="preserve"> their families and </w:t>
      </w:r>
      <w:r w:rsidR="00A36061">
        <w:t>society</w:t>
      </w:r>
      <w:r w:rsidR="00E82CAE">
        <w:t>. The war helped to highlight the flaws in the way war injuries were viewed for future reference.</w:t>
      </w:r>
    </w:p>
    <w:p w14:paraId="70BAEAD3" w14:textId="77777777" w:rsidR="00AE655F" w:rsidRDefault="00AE655F">
      <w:r>
        <w:br w:type="page"/>
      </w:r>
    </w:p>
    <w:p w14:paraId="6046B416" w14:textId="2EBDC8A1" w:rsidR="00C52FA2" w:rsidRDefault="00AE655F" w:rsidP="00C52FA2">
      <w:pPr>
        <w:rPr>
          <w:b/>
          <w:bCs/>
          <w:u w:val="single"/>
        </w:rPr>
      </w:pPr>
      <w:r w:rsidRPr="00AE655F">
        <w:rPr>
          <w:b/>
          <w:bCs/>
          <w:u w:val="single"/>
        </w:rPr>
        <w:lastRenderedPageBreak/>
        <w:t>Bibliography</w:t>
      </w:r>
    </w:p>
    <w:p w14:paraId="7993C19C" w14:textId="77777777" w:rsidR="00AE655F" w:rsidRDefault="00AE655F" w:rsidP="00C52FA2">
      <w:pPr>
        <w:rPr>
          <w:b/>
          <w:bCs/>
          <w:u w:val="single"/>
        </w:rPr>
      </w:pPr>
    </w:p>
    <w:p w14:paraId="056B5330" w14:textId="77777777" w:rsidR="00AE655F" w:rsidRDefault="00AE655F" w:rsidP="00AE655F">
      <w:pPr>
        <w:pStyle w:val="NormalWeb"/>
        <w:spacing w:before="0" w:beforeAutospacing="0" w:after="240" w:afterAutospacing="0" w:line="360" w:lineRule="auto"/>
        <w:ind w:left="720" w:hanging="720"/>
      </w:pPr>
      <w:r>
        <w:t xml:space="preserve">Fair, John D., ‘The Political Aspects of Women’s Suffrage during the First World War’, </w:t>
      </w:r>
      <w:r>
        <w:rPr>
          <w:i/>
          <w:iCs/>
        </w:rPr>
        <w:t>Albion</w:t>
      </w:r>
      <w:r>
        <w:t>, 8.3 (1976), 274–95 &lt;https://doi.org/10.2307/4048477&gt;</w:t>
      </w:r>
    </w:p>
    <w:p w14:paraId="01630C38" w14:textId="77777777" w:rsidR="00AE655F" w:rsidRDefault="00AE655F" w:rsidP="00AE655F">
      <w:pPr>
        <w:pStyle w:val="NormalWeb"/>
        <w:spacing w:before="0" w:beforeAutospacing="0" w:after="240" w:afterAutospacing="0" w:line="360" w:lineRule="auto"/>
        <w:ind w:left="720" w:hanging="720"/>
      </w:pPr>
      <w:r>
        <w:t xml:space="preserve">Kent, Susan Kingsley, ‘The Politics of Sexual Difference: World War I and the Demise of British Feminism’, </w:t>
      </w:r>
      <w:r>
        <w:rPr>
          <w:i/>
          <w:iCs/>
        </w:rPr>
        <w:t>Journal of British Studies</w:t>
      </w:r>
      <w:r>
        <w:t>, 27.3 (1988), 232–53 &lt;https://doi.org/10.1086/385912&gt;</w:t>
      </w:r>
    </w:p>
    <w:p w14:paraId="4FD86129" w14:textId="77777777" w:rsidR="00AE655F" w:rsidRDefault="00AE655F" w:rsidP="00AE655F">
      <w:pPr>
        <w:pStyle w:val="NormalWeb"/>
        <w:spacing w:before="0" w:beforeAutospacing="0" w:after="240" w:afterAutospacing="0" w:line="360" w:lineRule="auto"/>
        <w:ind w:left="720" w:hanging="720"/>
      </w:pPr>
      <w:r>
        <w:t xml:space="preserve">Leese, Peter, ‘Problems Returning Home: The British Psychological Casualties of the Great War’, </w:t>
      </w:r>
      <w:r>
        <w:rPr>
          <w:i/>
          <w:iCs/>
        </w:rPr>
        <w:t>The Historical Journal</w:t>
      </w:r>
      <w:r>
        <w:t>, 40.4 (1997), 1055–</w:t>
      </w:r>
      <w:proofErr w:type="gramStart"/>
      <w:r>
        <w:t>67</w:t>
      </w:r>
      <w:proofErr w:type="gramEnd"/>
    </w:p>
    <w:p w14:paraId="3B14512A" w14:textId="77777777" w:rsidR="00AE655F" w:rsidRDefault="00AE655F" w:rsidP="00AE655F">
      <w:pPr>
        <w:pStyle w:val="NormalWeb"/>
        <w:spacing w:before="0" w:beforeAutospacing="0" w:after="240" w:afterAutospacing="0" w:line="360" w:lineRule="auto"/>
        <w:ind w:left="720" w:hanging="720"/>
      </w:pPr>
      <w:r>
        <w:t xml:space="preserve">Loughran, Tracey, ‘Shell Shock, Trauma, and the First World War: The Making of a Diagnosis and Its Histories’, </w:t>
      </w:r>
      <w:r>
        <w:rPr>
          <w:i/>
          <w:iCs/>
        </w:rPr>
        <w:t xml:space="preserve">Journal of the History of </w:t>
      </w:r>
      <w:proofErr w:type="gramStart"/>
      <w:r>
        <w:rPr>
          <w:i/>
          <w:iCs/>
        </w:rPr>
        <w:t>Medicine</w:t>
      </w:r>
      <w:proofErr w:type="gramEnd"/>
      <w:r>
        <w:rPr>
          <w:i/>
          <w:iCs/>
        </w:rPr>
        <w:t xml:space="preserve"> and Allied Sciences</w:t>
      </w:r>
      <w:r>
        <w:t>, 67.1 (2010), 94–119 &lt;https://doi.org/10.1093/jhmas/jrq052&gt;</w:t>
      </w:r>
    </w:p>
    <w:p w14:paraId="157A9373" w14:textId="77777777" w:rsidR="00AE655F" w:rsidRDefault="00AE655F" w:rsidP="00AE655F">
      <w:pPr>
        <w:pStyle w:val="NormalWeb"/>
        <w:spacing w:before="0" w:beforeAutospacing="0" w:after="240" w:afterAutospacing="0" w:line="360" w:lineRule="auto"/>
        <w:ind w:left="720" w:hanging="720"/>
      </w:pPr>
      <w:r>
        <w:t xml:space="preserve">Pyecroft, Susan, ‘British Working Women and the First World War’, </w:t>
      </w:r>
      <w:r>
        <w:rPr>
          <w:i/>
          <w:iCs/>
        </w:rPr>
        <w:t>The Historian</w:t>
      </w:r>
      <w:r>
        <w:t>, 56.4 (1994), 699–710 &lt;https://doi.org/10.1111/j.1540-6563.1994.tb00928.x&gt;</w:t>
      </w:r>
    </w:p>
    <w:p w14:paraId="1A77586E" w14:textId="77777777" w:rsidR="00AE655F" w:rsidRDefault="00AE655F" w:rsidP="00AE655F">
      <w:pPr>
        <w:pStyle w:val="NormalWeb"/>
        <w:spacing w:before="0" w:beforeAutospacing="0" w:after="240" w:afterAutospacing="0" w:line="360" w:lineRule="auto"/>
        <w:ind w:left="720" w:hanging="720"/>
      </w:pPr>
      <w:r>
        <w:t xml:space="preserve">Robert, Krisztina, ‘Gender, Class, and Patriotism: Women’s Paramilitary Units in First World War Britain’, </w:t>
      </w:r>
      <w:r>
        <w:rPr>
          <w:i/>
          <w:iCs/>
        </w:rPr>
        <w:t>The International History Review</w:t>
      </w:r>
      <w:r>
        <w:t>, 19.1 (1997), 52–65 &lt;https://doi.org/10.1080/07075332.1997.9640774&gt;</w:t>
      </w:r>
    </w:p>
    <w:p w14:paraId="6F882988" w14:textId="77777777" w:rsidR="00AE655F" w:rsidRDefault="00AE655F" w:rsidP="00AE655F">
      <w:pPr>
        <w:pStyle w:val="NormalWeb"/>
        <w:spacing w:before="0" w:beforeAutospacing="0" w:after="240" w:afterAutospacing="0" w:line="360" w:lineRule="auto"/>
        <w:ind w:left="720" w:hanging="720"/>
      </w:pPr>
      <w:r>
        <w:t xml:space="preserve">Williamson, Samuel R., ‘The Origins of World War I’, </w:t>
      </w:r>
      <w:r>
        <w:rPr>
          <w:i/>
          <w:iCs/>
        </w:rPr>
        <w:t>Journal of Interdisciplinary History</w:t>
      </w:r>
      <w:r>
        <w:t>, 18.4 (1988), 795–818 &lt;https://doi.org/10.2307/204825&gt;</w:t>
      </w:r>
    </w:p>
    <w:p w14:paraId="55AE41BD" w14:textId="77777777" w:rsidR="00AE655F" w:rsidRDefault="00AE655F" w:rsidP="00AE655F">
      <w:pPr>
        <w:pStyle w:val="NormalWeb"/>
        <w:spacing w:before="0" w:beforeAutospacing="0" w:after="240" w:afterAutospacing="0" w:line="360" w:lineRule="auto"/>
        <w:ind w:left="720" w:hanging="720"/>
      </w:pPr>
      <w:r>
        <w:t xml:space="preserve">Winter, J M, </w:t>
      </w:r>
      <w:r>
        <w:rPr>
          <w:i/>
          <w:iCs/>
        </w:rPr>
        <w:t xml:space="preserve">Remembering </w:t>
      </w:r>
      <w:proofErr w:type="gramStart"/>
      <w:r>
        <w:rPr>
          <w:i/>
          <w:iCs/>
        </w:rPr>
        <w:t>War :</w:t>
      </w:r>
      <w:proofErr w:type="gramEnd"/>
      <w:r>
        <w:rPr>
          <w:i/>
          <w:iCs/>
        </w:rPr>
        <w:t xml:space="preserve"> The Great War between Memory and History in the Twentieth Century</w:t>
      </w:r>
      <w:r>
        <w:t xml:space="preserve"> (New Haven: Yale University Press, 2006)</w:t>
      </w:r>
    </w:p>
    <w:p w14:paraId="67ABE61E" w14:textId="77777777" w:rsidR="00AE655F" w:rsidRPr="00AE655F" w:rsidRDefault="00AE655F" w:rsidP="00C52FA2">
      <w:pPr>
        <w:rPr>
          <w:b/>
          <w:bCs/>
          <w:u w:val="single"/>
        </w:rPr>
      </w:pPr>
    </w:p>
    <w:sectPr w:rsidR="00AE655F" w:rsidRPr="00AE65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32E2BE" w14:textId="77777777" w:rsidR="004C3EC7" w:rsidRDefault="004C3EC7" w:rsidP="00F92C4F">
      <w:r>
        <w:separator/>
      </w:r>
    </w:p>
  </w:endnote>
  <w:endnote w:type="continuationSeparator" w:id="0">
    <w:p w14:paraId="54915048" w14:textId="77777777" w:rsidR="004C3EC7" w:rsidRDefault="004C3EC7" w:rsidP="00F92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DCE6E1" w14:textId="77777777" w:rsidR="004C3EC7" w:rsidRDefault="004C3EC7" w:rsidP="00F92C4F">
      <w:r>
        <w:separator/>
      </w:r>
    </w:p>
  </w:footnote>
  <w:footnote w:type="continuationSeparator" w:id="0">
    <w:p w14:paraId="4FCA255B" w14:textId="77777777" w:rsidR="004C3EC7" w:rsidRDefault="004C3EC7" w:rsidP="00F92C4F">
      <w:r>
        <w:continuationSeparator/>
      </w:r>
    </w:p>
  </w:footnote>
  <w:footnote w:id="1">
    <w:p w14:paraId="05D04C4E" w14:textId="389B23C6" w:rsidR="00F92C4F" w:rsidRDefault="00F92C4F">
      <w:pPr>
        <w:pStyle w:val="FootnoteText"/>
      </w:pPr>
      <w:r>
        <w:rPr>
          <w:rStyle w:val="FootnoteReference"/>
        </w:rPr>
        <w:footnoteRef/>
      </w:r>
      <w:r>
        <w:t xml:space="preserve"> </w:t>
      </w:r>
      <w:r w:rsidRPr="00F92C4F">
        <w:t xml:space="preserve">Samuel R. Williamson, ‘The Origins of World War I’, </w:t>
      </w:r>
      <w:r w:rsidRPr="000100D3">
        <w:rPr>
          <w:i/>
          <w:iCs/>
        </w:rPr>
        <w:t>Journal of Interdisciplinary History</w:t>
      </w:r>
      <w:r w:rsidRPr="00F92C4F">
        <w:t xml:space="preserve">, 18.4 (1988), </w:t>
      </w:r>
      <w:r w:rsidR="000100D3">
        <w:t xml:space="preserve">pp. </w:t>
      </w:r>
      <w:r w:rsidRPr="00F92C4F">
        <w:t>795–818 &lt;https://doi.org/10.2307/204825&gt;.</w:t>
      </w:r>
    </w:p>
  </w:footnote>
  <w:footnote w:id="2">
    <w:p w14:paraId="65EF997C" w14:textId="77777777" w:rsidR="00560F79" w:rsidRDefault="00560F79" w:rsidP="00560F79">
      <w:pPr>
        <w:pStyle w:val="FootnoteText"/>
      </w:pPr>
      <w:r>
        <w:rPr>
          <w:rStyle w:val="FootnoteReference"/>
        </w:rPr>
        <w:footnoteRef/>
      </w:r>
      <w:r>
        <w:t xml:space="preserve"> </w:t>
      </w:r>
      <w:r w:rsidRPr="006319A6">
        <w:t xml:space="preserve">Susan Pyecroft, ‘British Working Women and the First World War’, </w:t>
      </w:r>
      <w:r w:rsidRPr="006319A6">
        <w:rPr>
          <w:i/>
          <w:iCs/>
        </w:rPr>
        <w:t>The Historian</w:t>
      </w:r>
      <w:r w:rsidRPr="006319A6">
        <w:t>, 56.4 (1994), 699–710 &lt;</w:t>
      </w:r>
      <w:hyperlink r:id="rId1" w:history="1">
        <w:r w:rsidRPr="006319A6">
          <w:rPr>
            <w:rStyle w:val="Hyperlink"/>
          </w:rPr>
          <w:t>https://doi.org/10.1111/j.1540-6563.1994.tb00928.x</w:t>
        </w:r>
      </w:hyperlink>
      <w:r w:rsidRPr="006319A6">
        <w:t>&gt;.</w:t>
      </w:r>
    </w:p>
  </w:footnote>
  <w:footnote w:id="3">
    <w:p w14:paraId="507DD6F8" w14:textId="77777777" w:rsidR="004E58F7" w:rsidRDefault="004E58F7" w:rsidP="004E58F7">
      <w:pPr>
        <w:pStyle w:val="FootnoteText"/>
      </w:pPr>
      <w:r>
        <w:rPr>
          <w:rStyle w:val="FootnoteReference"/>
        </w:rPr>
        <w:footnoteRef/>
      </w:r>
      <w:r>
        <w:t xml:space="preserve"> Pyecroft, </w:t>
      </w:r>
      <w:r w:rsidRPr="006319A6">
        <w:t xml:space="preserve">‘British Working Women and the First World War’, </w:t>
      </w:r>
      <w:r w:rsidRPr="006319A6">
        <w:rPr>
          <w:i/>
          <w:iCs/>
        </w:rPr>
        <w:t>The Historian</w:t>
      </w:r>
      <w:r w:rsidRPr="006319A6">
        <w:t>, 56.4 (1994)</w:t>
      </w:r>
      <w:r>
        <w:t>, p.703</w:t>
      </w:r>
    </w:p>
  </w:footnote>
  <w:footnote w:id="4">
    <w:p w14:paraId="2A21BEDF" w14:textId="29FCA9E2" w:rsidR="00D64A3F" w:rsidRDefault="00D64A3F">
      <w:pPr>
        <w:pStyle w:val="FootnoteText"/>
      </w:pPr>
      <w:r>
        <w:rPr>
          <w:rStyle w:val="FootnoteReference"/>
        </w:rPr>
        <w:footnoteRef/>
      </w:r>
      <w:r>
        <w:t xml:space="preserve"> </w:t>
      </w:r>
      <w:r w:rsidRPr="00D64A3F">
        <w:t xml:space="preserve">Krisztina Robert, ‘Gender, Class, and Patriotism: Women’s Paramilitary Units in First World War Britain’, </w:t>
      </w:r>
      <w:r w:rsidRPr="000100D3">
        <w:rPr>
          <w:i/>
          <w:iCs/>
        </w:rPr>
        <w:t>The International History Review</w:t>
      </w:r>
      <w:r w:rsidRPr="00D64A3F">
        <w:t xml:space="preserve">, 19.1 (1997), </w:t>
      </w:r>
      <w:r w:rsidR="000100D3">
        <w:t>pp.</w:t>
      </w:r>
      <w:r w:rsidRPr="00D64A3F">
        <w:t>52–65 &lt;https://doi.org/10.1080/07075332.1997.9640774&gt;.</w:t>
      </w:r>
    </w:p>
  </w:footnote>
  <w:footnote w:id="5">
    <w:p w14:paraId="7ECB6EDE" w14:textId="6D402071" w:rsidR="00D64A3F" w:rsidRDefault="00D64A3F">
      <w:pPr>
        <w:pStyle w:val="FootnoteText"/>
      </w:pPr>
      <w:r>
        <w:rPr>
          <w:rStyle w:val="FootnoteReference"/>
        </w:rPr>
        <w:footnoteRef/>
      </w:r>
      <w:r>
        <w:t xml:space="preserve"> </w:t>
      </w:r>
      <w:r w:rsidR="000100D3">
        <w:t xml:space="preserve">Robert, </w:t>
      </w:r>
      <w:r w:rsidR="000100D3" w:rsidRPr="00D64A3F">
        <w:t xml:space="preserve">‘Gender, Class, and Patriotism: Women’s Paramilitary Units in First World War Britain’, </w:t>
      </w:r>
      <w:r w:rsidR="000100D3" w:rsidRPr="000100D3">
        <w:rPr>
          <w:i/>
          <w:iCs/>
        </w:rPr>
        <w:t>The International History Review</w:t>
      </w:r>
      <w:r w:rsidR="000100D3" w:rsidRPr="00D64A3F">
        <w:t>, 19.1 (1997)</w:t>
      </w:r>
      <w:r w:rsidR="000100D3">
        <w:t>, p. 54</w:t>
      </w:r>
    </w:p>
  </w:footnote>
  <w:footnote w:id="6">
    <w:p w14:paraId="766AE4BA" w14:textId="057A52B4" w:rsidR="009A37DF" w:rsidRDefault="009A37DF">
      <w:pPr>
        <w:pStyle w:val="FootnoteText"/>
      </w:pPr>
      <w:r>
        <w:rPr>
          <w:rStyle w:val="FootnoteReference"/>
        </w:rPr>
        <w:footnoteRef/>
      </w:r>
      <w:r>
        <w:t xml:space="preserve"> </w:t>
      </w:r>
      <w:r w:rsidR="00AC0F56" w:rsidRPr="00AC0F56">
        <w:t xml:space="preserve">Susan Kingsley Kent, ‘The Politics of Sexual Difference: World War I and the Demise of British Feminism’, </w:t>
      </w:r>
      <w:r w:rsidR="00AC0F56" w:rsidRPr="00AC0F56">
        <w:rPr>
          <w:i/>
          <w:iCs/>
        </w:rPr>
        <w:t>Journal of British Studies</w:t>
      </w:r>
      <w:r w:rsidR="00AC0F56" w:rsidRPr="00AC0F56">
        <w:t xml:space="preserve">, 27.3 (1988), </w:t>
      </w:r>
      <w:r w:rsidR="00095206">
        <w:t xml:space="preserve">pp. </w:t>
      </w:r>
      <w:r w:rsidR="00AC0F56" w:rsidRPr="00AC0F56">
        <w:t>232–53 &lt;</w:t>
      </w:r>
      <w:hyperlink r:id="rId2" w:history="1">
        <w:r w:rsidR="00AC0F56" w:rsidRPr="00AC0F56">
          <w:rPr>
            <w:rStyle w:val="Hyperlink"/>
          </w:rPr>
          <w:t>https://doi.org/10.1086/385912</w:t>
        </w:r>
      </w:hyperlink>
      <w:r w:rsidR="00AC0F56" w:rsidRPr="00AC0F56">
        <w:t>&gt;.</w:t>
      </w:r>
    </w:p>
  </w:footnote>
  <w:footnote w:id="7">
    <w:p w14:paraId="66100D7B" w14:textId="3CB004DE" w:rsidR="00F90662" w:rsidRDefault="00761B22">
      <w:pPr>
        <w:pStyle w:val="FootnoteText"/>
      </w:pPr>
      <w:r>
        <w:rPr>
          <w:rStyle w:val="FootnoteReference"/>
        </w:rPr>
        <w:t>7</w:t>
      </w:r>
      <w:r>
        <w:t xml:space="preserve"> John</w:t>
      </w:r>
      <w:r w:rsidR="006041E7" w:rsidRPr="006041E7">
        <w:t xml:space="preserve"> D. Fair, ‘The Political Aspects of Women’s Suffrage during the First World War’, </w:t>
      </w:r>
      <w:r w:rsidR="006041E7" w:rsidRPr="006041E7">
        <w:rPr>
          <w:i/>
          <w:iCs/>
        </w:rPr>
        <w:t>Albion</w:t>
      </w:r>
      <w:r w:rsidR="006041E7" w:rsidRPr="006041E7">
        <w:t xml:space="preserve">, 8.3 (1976), </w:t>
      </w:r>
      <w:r w:rsidR="00890CF0">
        <w:t xml:space="preserve">pp. </w:t>
      </w:r>
      <w:r w:rsidR="006041E7" w:rsidRPr="006041E7">
        <w:t>274–95 &lt;</w:t>
      </w:r>
      <w:hyperlink r:id="rId3" w:history="1">
        <w:r w:rsidR="006041E7" w:rsidRPr="006041E7">
          <w:rPr>
            <w:rStyle w:val="Hyperlink"/>
          </w:rPr>
          <w:t>https://doi.org/10.2307/4048477</w:t>
        </w:r>
      </w:hyperlink>
      <w:r w:rsidR="006041E7" w:rsidRPr="006041E7">
        <w:t>&gt;.</w:t>
      </w:r>
    </w:p>
  </w:footnote>
  <w:footnote w:id="8">
    <w:p w14:paraId="6CCDF316" w14:textId="3266CB23" w:rsidR="00890CF0" w:rsidRDefault="00890CF0">
      <w:pPr>
        <w:pStyle w:val="FootnoteText"/>
      </w:pPr>
      <w:r>
        <w:rPr>
          <w:rStyle w:val="FootnoteReference"/>
        </w:rPr>
        <w:footnoteRef/>
      </w:r>
      <w:r>
        <w:t xml:space="preserve"> </w:t>
      </w:r>
      <w:r w:rsidRPr="00890CF0">
        <w:t xml:space="preserve">Tracey Loughran, ‘Shell Shock, Trauma, and the First World War: The Making of a Diagnosis and Its Histories’, </w:t>
      </w:r>
      <w:r w:rsidRPr="00890CF0">
        <w:rPr>
          <w:i/>
          <w:iCs/>
        </w:rPr>
        <w:t>Journal of the History of Medicine and Allied Sciences</w:t>
      </w:r>
      <w:r w:rsidRPr="00890CF0">
        <w:t xml:space="preserve">, 67.1 (2010), </w:t>
      </w:r>
      <w:r>
        <w:t xml:space="preserve">pp. </w:t>
      </w:r>
      <w:r w:rsidRPr="00890CF0">
        <w:t>94–119 &lt;</w:t>
      </w:r>
      <w:hyperlink r:id="rId4" w:history="1">
        <w:r w:rsidRPr="00890CF0">
          <w:rPr>
            <w:rStyle w:val="Hyperlink"/>
          </w:rPr>
          <w:t>https://doi.org/10.1093/jhmas/jrq052</w:t>
        </w:r>
      </w:hyperlink>
      <w:r w:rsidRPr="00890CF0">
        <w:t>&gt;.</w:t>
      </w:r>
    </w:p>
  </w:footnote>
  <w:footnote w:id="9">
    <w:p w14:paraId="5B9A4D0C" w14:textId="427C46A8" w:rsidR="00D84E69" w:rsidRDefault="00D84E69">
      <w:pPr>
        <w:pStyle w:val="FootnoteText"/>
      </w:pPr>
      <w:r>
        <w:rPr>
          <w:rStyle w:val="FootnoteReference"/>
        </w:rPr>
        <w:footnoteRef/>
      </w:r>
      <w:r>
        <w:t xml:space="preserve"> Loughran, </w:t>
      </w:r>
      <w:r w:rsidRPr="00890CF0">
        <w:t xml:space="preserve">Shell Shock, Trauma, and the First World War: The Making of a Diagnosis and Its Histories’, </w:t>
      </w:r>
      <w:r w:rsidRPr="00890CF0">
        <w:rPr>
          <w:i/>
          <w:iCs/>
        </w:rPr>
        <w:t xml:space="preserve">Journal of the History of </w:t>
      </w:r>
      <w:proofErr w:type="gramStart"/>
      <w:r w:rsidRPr="00890CF0">
        <w:rPr>
          <w:i/>
          <w:iCs/>
        </w:rPr>
        <w:t>Medicine</w:t>
      </w:r>
      <w:proofErr w:type="gramEnd"/>
      <w:r w:rsidRPr="00890CF0">
        <w:rPr>
          <w:i/>
          <w:iCs/>
        </w:rPr>
        <w:t xml:space="preserve"> and Allied Sciences</w:t>
      </w:r>
      <w:r w:rsidRPr="00890CF0">
        <w:t>, 67.1 (2010),</w:t>
      </w:r>
      <w:r>
        <w:t xml:space="preserve"> p.102</w:t>
      </w:r>
    </w:p>
  </w:footnote>
  <w:footnote w:id="10">
    <w:p w14:paraId="75837C63" w14:textId="77777777" w:rsidR="00F61498" w:rsidRDefault="00F61498" w:rsidP="00F61498">
      <w:pPr>
        <w:pStyle w:val="FootnoteText"/>
      </w:pPr>
      <w:r>
        <w:rPr>
          <w:rStyle w:val="FootnoteReference"/>
        </w:rPr>
        <w:footnoteRef/>
      </w:r>
      <w:r>
        <w:t xml:space="preserve"> Loughran, </w:t>
      </w:r>
      <w:r w:rsidRPr="00890CF0">
        <w:t xml:space="preserve">Shell Shock, Trauma, and the First World War: The Making of a Diagnosis and Its Histories’, </w:t>
      </w:r>
      <w:r w:rsidRPr="00890CF0">
        <w:rPr>
          <w:i/>
          <w:iCs/>
        </w:rPr>
        <w:t xml:space="preserve">Journal of the History of </w:t>
      </w:r>
      <w:proofErr w:type="gramStart"/>
      <w:r w:rsidRPr="00890CF0">
        <w:rPr>
          <w:i/>
          <w:iCs/>
        </w:rPr>
        <w:t>Medicine</w:t>
      </w:r>
      <w:proofErr w:type="gramEnd"/>
      <w:r w:rsidRPr="00890CF0">
        <w:rPr>
          <w:i/>
          <w:iCs/>
        </w:rPr>
        <w:t xml:space="preserve"> and Allied Sciences</w:t>
      </w:r>
      <w:r w:rsidRPr="00890CF0">
        <w:t>, 67.1 (2010),</w:t>
      </w:r>
      <w:r>
        <w:t xml:space="preserve"> p.97</w:t>
      </w:r>
    </w:p>
  </w:footnote>
  <w:footnote w:id="11">
    <w:p w14:paraId="1D3A3FF5" w14:textId="4185D76B" w:rsidR="00761B22" w:rsidRDefault="00761B22">
      <w:pPr>
        <w:pStyle w:val="FootnoteText"/>
      </w:pPr>
      <w:r>
        <w:rPr>
          <w:rStyle w:val="FootnoteReference"/>
        </w:rPr>
        <w:footnoteRef/>
      </w:r>
      <w:r>
        <w:t xml:space="preserve"> </w:t>
      </w:r>
      <w:r w:rsidR="00A56429" w:rsidRPr="00A56429">
        <w:t xml:space="preserve">Peter Leese, ‘Problems Returning Home: The British Psychological Casualties of the Great War’, </w:t>
      </w:r>
      <w:r w:rsidR="00A56429" w:rsidRPr="00A56429">
        <w:rPr>
          <w:i/>
          <w:iCs/>
        </w:rPr>
        <w:t>The Historical Journal</w:t>
      </w:r>
      <w:r w:rsidR="00A56429" w:rsidRPr="00A56429">
        <w:t>, 40.4 (1997), 1055–67.</w:t>
      </w:r>
    </w:p>
  </w:footnote>
  <w:footnote w:id="12">
    <w:p w14:paraId="43E4EE98" w14:textId="4AF7EFD3" w:rsidR="00C13EBA" w:rsidRDefault="00C13EBA">
      <w:pPr>
        <w:pStyle w:val="FootnoteText"/>
      </w:pPr>
      <w:r>
        <w:rPr>
          <w:rStyle w:val="FootnoteReference"/>
        </w:rPr>
        <w:footnoteRef/>
      </w:r>
      <w:r>
        <w:t xml:space="preserve"> Leese, ‘</w:t>
      </w:r>
      <w:r w:rsidRPr="00A56429">
        <w:t xml:space="preserve">Problems Returning Home: The British Psychological Casualties of the Great War’, </w:t>
      </w:r>
      <w:r w:rsidRPr="00A56429">
        <w:rPr>
          <w:i/>
          <w:iCs/>
        </w:rPr>
        <w:t>The Historical Journal</w:t>
      </w:r>
      <w:r w:rsidRPr="00A56429">
        <w:t>, 40.4 (1997)</w:t>
      </w:r>
      <w:r>
        <w:t>, p.</w:t>
      </w:r>
      <w:r w:rsidR="005A573B">
        <w:t>1058.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3B6B22"/>
    <w:multiLevelType w:val="hybridMultilevel"/>
    <w:tmpl w:val="8B0E3D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7507820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582"/>
    <w:rsid w:val="000100D3"/>
    <w:rsid w:val="00095206"/>
    <w:rsid w:val="000B1FAA"/>
    <w:rsid w:val="00144542"/>
    <w:rsid w:val="00194D87"/>
    <w:rsid w:val="002B5837"/>
    <w:rsid w:val="00316EBD"/>
    <w:rsid w:val="003362AC"/>
    <w:rsid w:val="0034168D"/>
    <w:rsid w:val="003606E6"/>
    <w:rsid w:val="004C3EC7"/>
    <w:rsid w:val="004E58F7"/>
    <w:rsid w:val="00560F79"/>
    <w:rsid w:val="005A573B"/>
    <w:rsid w:val="005D3FF7"/>
    <w:rsid w:val="006041E7"/>
    <w:rsid w:val="00616E84"/>
    <w:rsid w:val="006319A6"/>
    <w:rsid w:val="00677AFE"/>
    <w:rsid w:val="0070388A"/>
    <w:rsid w:val="00755D6C"/>
    <w:rsid w:val="00761B22"/>
    <w:rsid w:val="00762012"/>
    <w:rsid w:val="00866C00"/>
    <w:rsid w:val="00890CF0"/>
    <w:rsid w:val="0089348F"/>
    <w:rsid w:val="008B33E9"/>
    <w:rsid w:val="008F72D5"/>
    <w:rsid w:val="008F757F"/>
    <w:rsid w:val="009223CE"/>
    <w:rsid w:val="009468F1"/>
    <w:rsid w:val="009A37DF"/>
    <w:rsid w:val="009C2850"/>
    <w:rsid w:val="009C6FA7"/>
    <w:rsid w:val="00A2198C"/>
    <w:rsid w:val="00A36061"/>
    <w:rsid w:val="00A56429"/>
    <w:rsid w:val="00A9752F"/>
    <w:rsid w:val="00AC0F56"/>
    <w:rsid w:val="00AE655F"/>
    <w:rsid w:val="00BF2907"/>
    <w:rsid w:val="00C13EBA"/>
    <w:rsid w:val="00C52FA2"/>
    <w:rsid w:val="00C82CF9"/>
    <w:rsid w:val="00CD4582"/>
    <w:rsid w:val="00D315A3"/>
    <w:rsid w:val="00D64A3F"/>
    <w:rsid w:val="00D84E69"/>
    <w:rsid w:val="00DC19AB"/>
    <w:rsid w:val="00E21C41"/>
    <w:rsid w:val="00E4236E"/>
    <w:rsid w:val="00E82CAE"/>
    <w:rsid w:val="00F01D4B"/>
    <w:rsid w:val="00F02E22"/>
    <w:rsid w:val="00F56B26"/>
    <w:rsid w:val="00F61498"/>
    <w:rsid w:val="00F74C25"/>
    <w:rsid w:val="00F90662"/>
    <w:rsid w:val="00F92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241D06"/>
  <w15:chartTrackingRefBased/>
  <w15:docId w15:val="{225BE889-B7A8-41E6-B026-C6BB1201A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45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45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458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58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D458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D458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D458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D458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D458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5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45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458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458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CD458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CD458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D458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D458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D458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D458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5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58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58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D458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D4582"/>
    <w:rPr>
      <w:i/>
      <w:iCs/>
      <w:color w:val="404040" w:themeColor="text1" w:themeTint="BF"/>
    </w:rPr>
  </w:style>
  <w:style w:type="paragraph" w:styleId="ListParagraph">
    <w:name w:val="List Paragraph"/>
    <w:basedOn w:val="Normal"/>
    <w:uiPriority w:val="34"/>
    <w:qFormat/>
    <w:rsid w:val="00CD4582"/>
    <w:pPr>
      <w:ind w:left="720"/>
      <w:contextualSpacing/>
    </w:pPr>
  </w:style>
  <w:style w:type="character" w:styleId="IntenseEmphasis">
    <w:name w:val="Intense Emphasis"/>
    <w:basedOn w:val="DefaultParagraphFont"/>
    <w:uiPriority w:val="21"/>
    <w:qFormat/>
    <w:rsid w:val="00CD4582"/>
    <w:rPr>
      <w:i/>
      <w:iCs/>
      <w:color w:val="0F4761" w:themeColor="accent1" w:themeShade="BF"/>
    </w:rPr>
  </w:style>
  <w:style w:type="paragraph" w:styleId="IntenseQuote">
    <w:name w:val="Intense Quote"/>
    <w:basedOn w:val="Normal"/>
    <w:next w:val="Normal"/>
    <w:link w:val="IntenseQuoteChar"/>
    <w:uiPriority w:val="30"/>
    <w:qFormat/>
    <w:rsid w:val="00CD45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582"/>
    <w:rPr>
      <w:i/>
      <w:iCs/>
      <w:color w:val="0F4761" w:themeColor="accent1" w:themeShade="BF"/>
    </w:rPr>
  </w:style>
  <w:style w:type="character" w:styleId="IntenseReference">
    <w:name w:val="Intense Reference"/>
    <w:basedOn w:val="DefaultParagraphFont"/>
    <w:uiPriority w:val="32"/>
    <w:qFormat/>
    <w:rsid w:val="00CD4582"/>
    <w:rPr>
      <w:b/>
      <w:bCs/>
      <w:smallCaps/>
      <w:color w:val="0F4761" w:themeColor="accent1" w:themeShade="BF"/>
      <w:spacing w:val="5"/>
    </w:rPr>
  </w:style>
  <w:style w:type="paragraph" w:styleId="FootnoteText">
    <w:name w:val="footnote text"/>
    <w:basedOn w:val="Normal"/>
    <w:link w:val="FootnoteTextChar"/>
    <w:uiPriority w:val="99"/>
    <w:semiHidden/>
    <w:unhideWhenUsed/>
    <w:rsid w:val="00F92C4F"/>
    <w:rPr>
      <w:sz w:val="20"/>
      <w:szCs w:val="20"/>
    </w:rPr>
  </w:style>
  <w:style w:type="character" w:customStyle="1" w:styleId="FootnoteTextChar">
    <w:name w:val="Footnote Text Char"/>
    <w:basedOn w:val="DefaultParagraphFont"/>
    <w:link w:val="FootnoteText"/>
    <w:uiPriority w:val="99"/>
    <w:semiHidden/>
    <w:rsid w:val="00F92C4F"/>
    <w:rPr>
      <w:sz w:val="20"/>
      <w:szCs w:val="20"/>
    </w:rPr>
  </w:style>
  <w:style w:type="character" w:styleId="FootnoteReference">
    <w:name w:val="footnote reference"/>
    <w:basedOn w:val="DefaultParagraphFont"/>
    <w:uiPriority w:val="99"/>
    <w:semiHidden/>
    <w:unhideWhenUsed/>
    <w:rsid w:val="00F92C4F"/>
    <w:rPr>
      <w:vertAlign w:val="superscript"/>
    </w:rPr>
  </w:style>
  <w:style w:type="character" w:styleId="Hyperlink">
    <w:name w:val="Hyperlink"/>
    <w:basedOn w:val="DefaultParagraphFont"/>
    <w:uiPriority w:val="99"/>
    <w:unhideWhenUsed/>
    <w:rsid w:val="006319A6"/>
    <w:rPr>
      <w:color w:val="467886" w:themeColor="hyperlink"/>
      <w:u w:val="single"/>
    </w:rPr>
  </w:style>
  <w:style w:type="character" w:styleId="UnresolvedMention">
    <w:name w:val="Unresolved Mention"/>
    <w:basedOn w:val="DefaultParagraphFont"/>
    <w:uiPriority w:val="99"/>
    <w:semiHidden/>
    <w:unhideWhenUsed/>
    <w:rsid w:val="006319A6"/>
    <w:rPr>
      <w:color w:val="605E5C"/>
      <w:shd w:val="clear" w:color="auto" w:fill="E1DFDD"/>
    </w:rPr>
  </w:style>
  <w:style w:type="paragraph" w:styleId="NormalWeb">
    <w:name w:val="Normal (Web)"/>
    <w:basedOn w:val="Normal"/>
    <w:uiPriority w:val="99"/>
    <w:semiHidden/>
    <w:unhideWhenUsed/>
    <w:rsid w:val="00AE655F"/>
    <w:pPr>
      <w:spacing w:before="100" w:beforeAutospacing="1" w:after="100" w:afterAutospacing="1"/>
    </w:pPr>
    <w:rPr>
      <w:rFonts w:eastAsia="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9086261">
      <w:bodyDiv w:val="1"/>
      <w:marLeft w:val="0"/>
      <w:marRight w:val="0"/>
      <w:marTop w:val="0"/>
      <w:marBottom w:val="0"/>
      <w:divBdr>
        <w:top w:val="none" w:sz="0" w:space="0" w:color="auto"/>
        <w:left w:val="none" w:sz="0" w:space="0" w:color="auto"/>
        <w:bottom w:val="none" w:sz="0" w:space="0" w:color="auto"/>
        <w:right w:val="none" w:sz="0" w:space="0" w:color="auto"/>
      </w:divBdr>
    </w:div>
    <w:div w:id="829490605">
      <w:bodyDiv w:val="1"/>
      <w:marLeft w:val="0"/>
      <w:marRight w:val="0"/>
      <w:marTop w:val="0"/>
      <w:marBottom w:val="0"/>
      <w:divBdr>
        <w:top w:val="none" w:sz="0" w:space="0" w:color="auto"/>
        <w:left w:val="none" w:sz="0" w:space="0" w:color="auto"/>
        <w:bottom w:val="none" w:sz="0" w:space="0" w:color="auto"/>
        <w:right w:val="none" w:sz="0" w:space="0" w:color="auto"/>
      </w:divBdr>
    </w:div>
    <w:div w:id="981347118">
      <w:bodyDiv w:val="1"/>
      <w:marLeft w:val="0"/>
      <w:marRight w:val="0"/>
      <w:marTop w:val="0"/>
      <w:marBottom w:val="0"/>
      <w:divBdr>
        <w:top w:val="none" w:sz="0" w:space="0" w:color="auto"/>
        <w:left w:val="none" w:sz="0" w:space="0" w:color="auto"/>
        <w:bottom w:val="none" w:sz="0" w:space="0" w:color="auto"/>
        <w:right w:val="none" w:sz="0" w:space="0" w:color="auto"/>
      </w:divBdr>
    </w:div>
    <w:div w:id="1412388024">
      <w:bodyDiv w:val="1"/>
      <w:marLeft w:val="0"/>
      <w:marRight w:val="0"/>
      <w:marTop w:val="0"/>
      <w:marBottom w:val="0"/>
      <w:divBdr>
        <w:top w:val="none" w:sz="0" w:space="0" w:color="auto"/>
        <w:left w:val="none" w:sz="0" w:space="0" w:color="auto"/>
        <w:bottom w:val="none" w:sz="0" w:space="0" w:color="auto"/>
        <w:right w:val="none" w:sz="0" w:space="0" w:color="auto"/>
      </w:divBdr>
    </w:div>
    <w:div w:id="1546023301">
      <w:bodyDiv w:val="1"/>
      <w:marLeft w:val="0"/>
      <w:marRight w:val="0"/>
      <w:marTop w:val="0"/>
      <w:marBottom w:val="0"/>
      <w:divBdr>
        <w:top w:val="none" w:sz="0" w:space="0" w:color="auto"/>
        <w:left w:val="none" w:sz="0" w:space="0" w:color="auto"/>
        <w:bottom w:val="none" w:sz="0" w:space="0" w:color="auto"/>
        <w:right w:val="none" w:sz="0" w:space="0" w:color="auto"/>
      </w:divBdr>
    </w:div>
    <w:div w:id="1582716777">
      <w:bodyDiv w:val="1"/>
      <w:marLeft w:val="0"/>
      <w:marRight w:val="0"/>
      <w:marTop w:val="0"/>
      <w:marBottom w:val="0"/>
      <w:divBdr>
        <w:top w:val="none" w:sz="0" w:space="0" w:color="auto"/>
        <w:left w:val="none" w:sz="0" w:space="0" w:color="auto"/>
        <w:bottom w:val="none" w:sz="0" w:space="0" w:color="auto"/>
        <w:right w:val="none" w:sz="0" w:space="0" w:color="auto"/>
      </w:divBdr>
    </w:div>
    <w:div w:id="1891571107">
      <w:bodyDiv w:val="1"/>
      <w:marLeft w:val="0"/>
      <w:marRight w:val="0"/>
      <w:marTop w:val="0"/>
      <w:marBottom w:val="0"/>
      <w:divBdr>
        <w:top w:val="none" w:sz="0" w:space="0" w:color="auto"/>
        <w:left w:val="none" w:sz="0" w:space="0" w:color="auto"/>
        <w:bottom w:val="none" w:sz="0" w:space="0" w:color="auto"/>
        <w:right w:val="none" w:sz="0" w:space="0" w:color="auto"/>
      </w:divBdr>
      <w:divsChild>
        <w:div w:id="1940289204">
          <w:marLeft w:val="-720"/>
          <w:marRight w:val="0"/>
          <w:marTop w:val="0"/>
          <w:marBottom w:val="0"/>
          <w:divBdr>
            <w:top w:val="none" w:sz="0" w:space="0" w:color="auto"/>
            <w:left w:val="none" w:sz="0" w:space="0" w:color="auto"/>
            <w:bottom w:val="none" w:sz="0" w:space="0" w:color="auto"/>
            <w:right w:val="none" w:sz="0" w:space="0" w:color="auto"/>
          </w:divBdr>
        </w:div>
      </w:divsChild>
    </w:div>
    <w:div w:id="2091734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2307/4048477" TargetMode="External"/><Relationship Id="rId2" Type="http://schemas.openxmlformats.org/officeDocument/2006/relationships/hyperlink" Target="https://doi.org/10.1086/385912" TargetMode="External"/><Relationship Id="rId1" Type="http://schemas.openxmlformats.org/officeDocument/2006/relationships/hyperlink" Target="https://doi.org/10.1111/j.1540-6563.1994.tb00928.x" TargetMode="External"/><Relationship Id="rId4" Type="http://schemas.openxmlformats.org/officeDocument/2006/relationships/hyperlink" Target="https://doi.org/10.1093/jhmas/jrq0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2592</Words>
  <Characters>13328</Characters>
  <Application>Microsoft Office Word</Application>
  <DocSecurity>0</DocSecurity>
  <Lines>238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Mc Fee</dc:creator>
  <cp:keywords/>
  <dc:description/>
  <cp:lastModifiedBy>Ashley Mc Fee</cp:lastModifiedBy>
  <cp:revision>4</cp:revision>
  <cp:lastPrinted>2024-05-02T17:49:00Z</cp:lastPrinted>
  <dcterms:created xsi:type="dcterms:W3CDTF">2024-05-03T22:43:00Z</dcterms:created>
  <dcterms:modified xsi:type="dcterms:W3CDTF">2024-05-03T23:01:00Z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413e5eda534852f2a4a5aaa745697e19a05cf1580a5c538c21d6faf188b78653</vt:lpwstr>
  </property>
</Properties>
</file>