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ED470" w14:textId="77777777" w:rsidR="007A60C9" w:rsidRPr="00AE5A6A" w:rsidRDefault="007A60C9" w:rsidP="007A60C9">
      <w:pPr>
        <w:spacing w:after="0" w:line="259" w:lineRule="auto"/>
        <w:jc w:val="center"/>
        <w:rPr>
          <w:rFonts w:ascii="Times New Roman" w:hAnsi="Times New Roman" w:cs="Times New Roman"/>
          <w:b/>
          <w:bCs/>
          <w:sz w:val="28"/>
          <w:szCs w:val="24"/>
          <w:lang w:val="en-GB"/>
        </w:rPr>
      </w:pPr>
      <w:bookmarkStart w:id="0" w:name="_Hlk202214767"/>
      <w:bookmarkEnd w:id="0"/>
    </w:p>
    <w:p w14:paraId="5CE894C4" w14:textId="77777777" w:rsidR="00AE5A6A" w:rsidRPr="00AE5A6A" w:rsidRDefault="00AE5A6A" w:rsidP="007A60C9">
      <w:pPr>
        <w:spacing w:after="0" w:line="259" w:lineRule="auto"/>
        <w:jc w:val="center"/>
        <w:rPr>
          <w:rFonts w:ascii="Times New Roman" w:hAnsi="Times New Roman" w:cs="Times New Roman"/>
          <w:b/>
          <w:bCs/>
          <w:sz w:val="28"/>
          <w:szCs w:val="24"/>
          <w:lang w:val="en-GB"/>
        </w:rPr>
      </w:pPr>
    </w:p>
    <w:p w14:paraId="61A0195D" w14:textId="77777777" w:rsidR="00AE5A6A" w:rsidRPr="00AE5A6A" w:rsidRDefault="00AE5A6A" w:rsidP="007A60C9">
      <w:pPr>
        <w:spacing w:after="0" w:line="259" w:lineRule="auto"/>
        <w:jc w:val="center"/>
        <w:rPr>
          <w:rFonts w:ascii="Times New Roman" w:hAnsi="Times New Roman" w:cs="Times New Roman"/>
          <w:b/>
          <w:bCs/>
          <w:sz w:val="28"/>
          <w:szCs w:val="24"/>
          <w:lang w:val="en-GB"/>
        </w:rPr>
      </w:pPr>
    </w:p>
    <w:p w14:paraId="55F9EFC8" w14:textId="77777777" w:rsidR="00AE5A6A" w:rsidRPr="00AE5A6A" w:rsidRDefault="00AE5A6A" w:rsidP="007A60C9">
      <w:pPr>
        <w:spacing w:after="0" w:line="259" w:lineRule="auto"/>
        <w:jc w:val="center"/>
        <w:rPr>
          <w:rFonts w:ascii="Times New Roman" w:hAnsi="Times New Roman" w:cs="Times New Roman"/>
          <w:b/>
          <w:bCs/>
          <w:sz w:val="28"/>
          <w:szCs w:val="24"/>
          <w:lang w:val="en-GB"/>
        </w:rPr>
      </w:pPr>
    </w:p>
    <w:p w14:paraId="7070B42E" w14:textId="77777777" w:rsidR="00AE5A6A" w:rsidRPr="00AE5A6A" w:rsidRDefault="00AE5A6A" w:rsidP="007A60C9">
      <w:pPr>
        <w:spacing w:after="0" w:line="259" w:lineRule="auto"/>
        <w:jc w:val="center"/>
        <w:rPr>
          <w:rFonts w:ascii="Times New Roman" w:hAnsi="Times New Roman" w:cs="Times New Roman"/>
          <w:b/>
          <w:bCs/>
          <w:sz w:val="28"/>
          <w:szCs w:val="24"/>
          <w:lang w:val="en-GB"/>
        </w:rPr>
      </w:pPr>
    </w:p>
    <w:p w14:paraId="2EBD3176" w14:textId="77777777" w:rsidR="00AE5A6A" w:rsidRPr="00AE5A6A" w:rsidRDefault="00AE5A6A" w:rsidP="007A60C9">
      <w:pPr>
        <w:spacing w:after="0" w:line="259" w:lineRule="auto"/>
        <w:jc w:val="center"/>
        <w:rPr>
          <w:rFonts w:ascii="Times New Roman" w:hAnsi="Times New Roman" w:cs="Times New Roman"/>
          <w:b/>
          <w:bCs/>
          <w:sz w:val="28"/>
          <w:szCs w:val="24"/>
          <w:lang w:val="en-GB"/>
        </w:rPr>
      </w:pPr>
    </w:p>
    <w:p w14:paraId="2B1F534F" w14:textId="77777777" w:rsidR="00AE5A6A" w:rsidRPr="00AE5A6A" w:rsidRDefault="00AE5A6A" w:rsidP="007A60C9">
      <w:pPr>
        <w:spacing w:after="0" w:line="259" w:lineRule="auto"/>
        <w:jc w:val="center"/>
        <w:rPr>
          <w:rFonts w:ascii="Times New Roman" w:hAnsi="Times New Roman" w:cs="Times New Roman"/>
          <w:b/>
          <w:bCs/>
          <w:sz w:val="28"/>
          <w:szCs w:val="24"/>
          <w:lang w:val="en-GB"/>
        </w:rPr>
      </w:pPr>
    </w:p>
    <w:p w14:paraId="6BCBD690" w14:textId="77777777" w:rsidR="007A60C9" w:rsidRPr="00AE5A6A" w:rsidRDefault="007A60C9" w:rsidP="007A60C9">
      <w:pPr>
        <w:spacing w:after="0" w:line="259" w:lineRule="auto"/>
        <w:jc w:val="center"/>
        <w:rPr>
          <w:rFonts w:ascii="Times New Roman" w:hAnsi="Times New Roman" w:cs="Times New Roman"/>
          <w:b/>
          <w:bCs/>
          <w:sz w:val="28"/>
          <w:szCs w:val="24"/>
          <w:lang w:val="en-GB"/>
        </w:rPr>
      </w:pPr>
    </w:p>
    <w:p w14:paraId="05F33C7D" w14:textId="77777777" w:rsidR="007A60C9" w:rsidRPr="00AE5A6A" w:rsidRDefault="007A60C9" w:rsidP="007A60C9">
      <w:pPr>
        <w:spacing w:after="0"/>
        <w:jc w:val="center"/>
        <w:rPr>
          <w:rFonts w:ascii="Times New Roman" w:hAnsi="Times New Roman" w:cs="Times New Roman"/>
          <w:b/>
          <w:bCs/>
          <w:sz w:val="28"/>
          <w:szCs w:val="24"/>
          <w:lang w:val="en-GB"/>
        </w:rPr>
      </w:pPr>
      <w:r w:rsidRPr="00AE5A6A">
        <w:rPr>
          <w:rFonts w:ascii="Times New Roman" w:hAnsi="Times New Roman" w:cs="Times New Roman"/>
          <w:noProof/>
        </w:rPr>
        <w:drawing>
          <wp:inline distT="0" distB="0" distL="0" distR="0" wp14:anchorId="53FE1BBC" wp14:editId="567AE671">
            <wp:extent cx="2209800" cy="884865"/>
            <wp:effectExtent l="0" t="0" r="0" b="0"/>
            <wp:docPr id="734608308"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1345" cy="901501"/>
                    </a:xfrm>
                    <a:prstGeom prst="rect">
                      <a:avLst/>
                    </a:prstGeom>
                    <a:noFill/>
                    <a:ln>
                      <a:noFill/>
                    </a:ln>
                  </pic:spPr>
                </pic:pic>
              </a:graphicData>
            </a:graphic>
          </wp:inline>
        </w:drawing>
      </w:r>
    </w:p>
    <w:p w14:paraId="5F6449B8" w14:textId="77777777" w:rsidR="007A60C9" w:rsidRPr="00AE5A6A" w:rsidRDefault="007A60C9" w:rsidP="007A60C9">
      <w:pPr>
        <w:spacing w:after="0"/>
        <w:jc w:val="center"/>
        <w:rPr>
          <w:rFonts w:ascii="Times New Roman" w:hAnsi="Times New Roman" w:cs="Times New Roman"/>
          <w:b/>
          <w:bCs/>
          <w:sz w:val="28"/>
          <w:szCs w:val="24"/>
          <w:lang w:val="en-GB"/>
        </w:rPr>
      </w:pPr>
    </w:p>
    <w:p w14:paraId="256D0E88" w14:textId="77777777" w:rsidR="007A60C9" w:rsidRPr="00AE5A6A" w:rsidRDefault="007A60C9" w:rsidP="007A60C9">
      <w:pPr>
        <w:spacing w:after="0"/>
        <w:jc w:val="center"/>
        <w:rPr>
          <w:rFonts w:ascii="Times New Roman" w:hAnsi="Times New Roman" w:cs="Times New Roman"/>
          <w:b/>
          <w:bCs/>
          <w:sz w:val="28"/>
          <w:szCs w:val="24"/>
          <w:lang w:val="en-GB"/>
        </w:rPr>
      </w:pPr>
      <w:r w:rsidRPr="00AE5A6A">
        <w:rPr>
          <w:rFonts w:ascii="Times New Roman" w:hAnsi="Times New Roman" w:cs="Times New Roman"/>
          <w:b/>
          <w:bCs/>
          <w:sz w:val="28"/>
          <w:szCs w:val="24"/>
          <w:lang w:val="en-GB"/>
        </w:rPr>
        <w:t xml:space="preserve">Module Code: BMMB7005D </w:t>
      </w:r>
    </w:p>
    <w:p w14:paraId="63D34674" w14:textId="77777777" w:rsidR="007A60C9" w:rsidRPr="00AE5A6A" w:rsidRDefault="007A60C9" w:rsidP="007A60C9">
      <w:pPr>
        <w:spacing w:after="0"/>
        <w:jc w:val="center"/>
        <w:rPr>
          <w:rFonts w:ascii="Times New Roman" w:hAnsi="Times New Roman" w:cs="Times New Roman"/>
          <w:b/>
          <w:bCs/>
          <w:sz w:val="28"/>
          <w:szCs w:val="24"/>
          <w:lang w:val="en-GB"/>
        </w:rPr>
      </w:pPr>
    </w:p>
    <w:p w14:paraId="3B42C22F" w14:textId="77777777" w:rsidR="007A60C9" w:rsidRPr="00AE5A6A" w:rsidRDefault="007A60C9" w:rsidP="007A60C9">
      <w:pPr>
        <w:spacing w:after="0"/>
        <w:jc w:val="center"/>
        <w:rPr>
          <w:rFonts w:ascii="Times New Roman" w:hAnsi="Times New Roman" w:cs="Times New Roman"/>
          <w:b/>
          <w:bCs/>
          <w:sz w:val="28"/>
          <w:szCs w:val="24"/>
          <w:lang w:val="en-GB"/>
        </w:rPr>
      </w:pPr>
      <w:r w:rsidRPr="00AE5A6A">
        <w:rPr>
          <w:rFonts w:ascii="Times New Roman" w:hAnsi="Times New Roman" w:cs="Times New Roman"/>
          <w:b/>
          <w:bCs/>
          <w:sz w:val="28"/>
          <w:szCs w:val="24"/>
          <w:lang w:val="en-GB"/>
        </w:rPr>
        <w:t xml:space="preserve">Module Title: Finance for Business Manager </w:t>
      </w:r>
    </w:p>
    <w:p w14:paraId="0B204A16" w14:textId="77777777" w:rsidR="007A60C9" w:rsidRPr="00AE5A6A" w:rsidRDefault="007A60C9" w:rsidP="007A60C9">
      <w:pPr>
        <w:spacing w:after="0"/>
        <w:jc w:val="center"/>
        <w:rPr>
          <w:rFonts w:ascii="Times New Roman" w:hAnsi="Times New Roman" w:cs="Times New Roman"/>
          <w:b/>
          <w:bCs/>
          <w:sz w:val="28"/>
          <w:szCs w:val="24"/>
          <w:lang w:val="en-GB"/>
        </w:rPr>
      </w:pPr>
    </w:p>
    <w:p w14:paraId="70C6ECA1" w14:textId="77CBEE7F" w:rsidR="007A60C9" w:rsidRPr="00AE5A6A" w:rsidRDefault="007A60C9" w:rsidP="007A60C9">
      <w:pPr>
        <w:spacing w:after="0"/>
        <w:jc w:val="center"/>
        <w:rPr>
          <w:rFonts w:ascii="Times New Roman" w:hAnsi="Times New Roman" w:cs="Times New Roman"/>
          <w:b/>
          <w:bCs/>
          <w:sz w:val="28"/>
          <w:szCs w:val="24"/>
          <w:lang w:val="en-GB"/>
        </w:rPr>
      </w:pPr>
      <w:r w:rsidRPr="00AE5A6A">
        <w:rPr>
          <w:rFonts w:ascii="Times New Roman" w:hAnsi="Times New Roman" w:cs="Times New Roman"/>
          <w:b/>
          <w:bCs/>
          <w:sz w:val="28"/>
          <w:szCs w:val="24"/>
          <w:lang w:val="en-GB"/>
        </w:rPr>
        <w:t xml:space="preserve">Student Name: </w:t>
      </w:r>
      <w:r w:rsidR="007A5A24">
        <w:rPr>
          <w:rFonts w:ascii="Times New Roman" w:hAnsi="Times New Roman" w:cs="Times New Roman"/>
          <w:b/>
          <w:bCs/>
          <w:sz w:val="28"/>
          <w:szCs w:val="24"/>
          <w:lang w:val="en-GB"/>
        </w:rPr>
        <w:t>Sabbir Hossain</w:t>
      </w:r>
      <w:r w:rsidRPr="00AE5A6A">
        <w:rPr>
          <w:rFonts w:ascii="Times New Roman" w:hAnsi="Times New Roman" w:cs="Times New Roman"/>
          <w:b/>
          <w:bCs/>
          <w:sz w:val="28"/>
          <w:szCs w:val="24"/>
          <w:lang w:val="en-GB"/>
        </w:rPr>
        <w:t xml:space="preserve"> </w:t>
      </w:r>
    </w:p>
    <w:p w14:paraId="1A70D700" w14:textId="6616EBCE" w:rsidR="007A60C9" w:rsidRPr="00AE5A6A" w:rsidRDefault="007A60C9" w:rsidP="007A60C9">
      <w:pPr>
        <w:spacing w:after="0"/>
        <w:jc w:val="center"/>
        <w:rPr>
          <w:rFonts w:ascii="Times New Roman" w:hAnsi="Times New Roman" w:cs="Times New Roman"/>
          <w:b/>
          <w:bCs/>
          <w:sz w:val="28"/>
          <w:szCs w:val="24"/>
          <w:lang w:val="en-GB"/>
        </w:rPr>
      </w:pPr>
      <w:r w:rsidRPr="00AE5A6A">
        <w:rPr>
          <w:rFonts w:ascii="Times New Roman" w:hAnsi="Times New Roman" w:cs="Times New Roman"/>
          <w:b/>
          <w:bCs/>
          <w:sz w:val="28"/>
          <w:szCs w:val="24"/>
          <w:lang w:val="en-GB"/>
        </w:rPr>
        <w:t>Student ID:</w:t>
      </w:r>
      <w:r w:rsidR="007A5A24">
        <w:rPr>
          <w:rFonts w:ascii="Times New Roman" w:hAnsi="Times New Roman" w:cs="Times New Roman"/>
          <w:b/>
          <w:bCs/>
          <w:sz w:val="28"/>
          <w:szCs w:val="24"/>
          <w:lang w:val="en-GB"/>
        </w:rPr>
        <w:t xml:space="preserve"> 2420704</w:t>
      </w:r>
    </w:p>
    <w:p w14:paraId="75F4CDE0" w14:textId="77777777" w:rsidR="007A60C9" w:rsidRPr="00AE5A6A" w:rsidRDefault="007A60C9" w:rsidP="007A60C9">
      <w:pPr>
        <w:spacing w:after="0"/>
        <w:jc w:val="center"/>
        <w:rPr>
          <w:rFonts w:ascii="Times New Roman" w:hAnsi="Times New Roman" w:cs="Times New Roman"/>
          <w:b/>
          <w:bCs/>
          <w:sz w:val="28"/>
          <w:szCs w:val="24"/>
          <w:lang w:val="en-GB"/>
        </w:rPr>
      </w:pPr>
    </w:p>
    <w:p w14:paraId="4B8AF107" w14:textId="5DDF0D3C" w:rsidR="007A60C9" w:rsidRPr="00AE5A6A" w:rsidRDefault="007A60C9" w:rsidP="007A60C9">
      <w:pPr>
        <w:spacing w:after="0"/>
        <w:jc w:val="center"/>
        <w:rPr>
          <w:rFonts w:ascii="Times New Roman" w:hAnsi="Times New Roman" w:cs="Times New Roman"/>
          <w:b/>
          <w:bCs/>
          <w:sz w:val="28"/>
          <w:szCs w:val="24"/>
          <w:lang w:val="en-GB"/>
        </w:rPr>
      </w:pPr>
      <w:r w:rsidRPr="00AE5A6A">
        <w:rPr>
          <w:rFonts w:ascii="Times New Roman" w:hAnsi="Times New Roman" w:cs="Times New Roman"/>
          <w:b/>
          <w:bCs/>
          <w:sz w:val="28"/>
          <w:szCs w:val="24"/>
          <w:lang w:val="en-GB"/>
        </w:rPr>
        <w:t xml:space="preserve">Module </w:t>
      </w:r>
      <w:r w:rsidR="00213B9C" w:rsidRPr="00AE5A6A">
        <w:rPr>
          <w:rFonts w:ascii="Times New Roman" w:hAnsi="Times New Roman" w:cs="Times New Roman"/>
          <w:b/>
          <w:bCs/>
          <w:sz w:val="28"/>
          <w:szCs w:val="24"/>
          <w:lang w:val="en-GB"/>
        </w:rPr>
        <w:t>Leader: Marie</w:t>
      </w:r>
      <w:r w:rsidRPr="00AE5A6A">
        <w:rPr>
          <w:rFonts w:ascii="Times New Roman" w:hAnsi="Times New Roman" w:cs="Times New Roman"/>
          <w:b/>
          <w:bCs/>
          <w:sz w:val="28"/>
          <w:szCs w:val="24"/>
          <w:lang w:val="en-GB"/>
        </w:rPr>
        <w:t xml:space="preserve"> Pitson</w:t>
      </w:r>
    </w:p>
    <w:p w14:paraId="2C4D6DB0" w14:textId="77777777" w:rsidR="00027E98" w:rsidRPr="00AE5A6A" w:rsidRDefault="00027E98" w:rsidP="00027E98">
      <w:pPr>
        <w:spacing w:line="276" w:lineRule="auto"/>
        <w:jc w:val="center"/>
        <w:rPr>
          <w:rFonts w:ascii="Times New Roman" w:hAnsi="Times New Roman" w:cs="Times New Roman"/>
          <w:lang w:val="en-GB"/>
        </w:rPr>
      </w:pPr>
      <w:r w:rsidRPr="00AE5A6A">
        <w:rPr>
          <w:rFonts w:ascii="Times New Roman" w:hAnsi="Times New Roman" w:cs="Times New Roman"/>
          <w:lang w:val="en-GB"/>
        </w:rPr>
        <w:br w:type="page"/>
      </w:r>
    </w:p>
    <w:p w14:paraId="3175D21A" w14:textId="77777777" w:rsidR="00027E98" w:rsidRPr="00AE5A6A" w:rsidRDefault="00027E98">
      <w:pPr>
        <w:spacing w:line="276" w:lineRule="auto"/>
        <w:rPr>
          <w:rFonts w:ascii="Times New Roman" w:eastAsiaTheme="majorEastAsia" w:hAnsi="Times New Roman" w:cs="Times New Roman"/>
          <w:b/>
          <w:sz w:val="28"/>
          <w:szCs w:val="32"/>
          <w:lang w:val="en-GB"/>
        </w:rPr>
      </w:pPr>
    </w:p>
    <w:p w14:paraId="100A0F22" w14:textId="77777777" w:rsidR="00E610DA" w:rsidRPr="00AE5A6A" w:rsidRDefault="00E610DA" w:rsidP="00937AD8">
      <w:pPr>
        <w:pStyle w:val="Heading1"/>
        <w:rPr>
          <w:rFonts w:cs="Times New Roman"/>
          <w:lang w:val="en-GB"/>
        </w:rPr>
      </w:pPr>
      <w:bookmarkStart w:id="1" w:name="_Toc202268829"/>
      <w:r w:rsidRPr="00AE5A6A">
        <w:rPr>
          <w:rFonts w:cs="Times New Roman"/>
          <w:lang w:val="en-GB"/>
        </w:rPr>
        <w:t>Executive Summary</w:t>
      </w:r>
      <w:bookmarkEnd w:id="1"/>
    </w:p>
    <w:p w14:paraId="6CF33D1A" w14:textId="77777777" w:rsidR="003B5062" w:rsidRPr="00AE5A6A" w:rsidRDefault="00E23379" w:rsidP="00937AD8">
      <w:pPr>
        <w:spacing w:after="0"/>
        <w:jc w:val="both"/>
        <w:rPr>
          <w:rFonts w:ascii="Times New Roman" w:hAnsi="Times New Roman" w:cs="Times New Roman"/>
          <w:lang w:val="en-GB"/>
        </w:rPr>
      </w:pPr>
      <w:r w:rsidRPr="00AE5A6A">
        <w:rPr>
          <w:rFonts w:ascii="Times New Roman" w:hAnsi="Times New Roman" w:cs="Times New Roman"/>
          <w:lang w:val="en-GB"/>
        </w:rPr>
        <w:t>Financial analysis of</w:t>
      </w:r>
      <w:r w:rsidR="00E204F2" w:rsidRPr="00AE5A6A">
        <w:rPr>
          <w:rFonts w:ascii="Times New Roman" w:hAnsi="Times New Roman" w:cs="Times New Roman"/>
          <w:lang w:val="en-GB"/>
        </w:rPr>
        <w:t xml:space="preserve"> Marks &amp; Spencer (M&amp;S) and </w:t>
      </w:r>
      <w:r w:rsidR="008248E7">
        <w:rPr>
          <w:rFonts w:ascii="Times New Roman" w:hAnsi="Times New Roman" w:cs="Times New Roman"/>
          <w:lang w:val="en-GB"/>
        </w:rPr>
        <w:t>Jordon</w:t>
      </w:r>
      <w:r w:rsidR="00AE5A6A" w:rsidRPr="00AE5A6A">
        <w:rPr>
          <w:rFonts w:ascii="Times New Roman" w:hAnsi="Times New Roman" w:cs="Times New Roman"/>
          <w:lang w:val="en-GB"/>
        </w:rPr>
        <w:t>s</w:t>
      </w:r>
      <w:r w:rsidR="00E204F2" w:rsidRPr="00AE5A6A">
        <w:rPr>
          <w:rFonts w:ascii="Times New Roman" w:hAnsi="Times New Roman" w:cs="Times New Roman"/>
          <w:lang w:val="en-GB"/>
        </w:rPr>
        <w:t xml:space="preserve">’ PLC. </w:t>
      </w:r>
      <w:r w:rsidRPr="00AE5A6A">
        <w:rPr>
          <w:rFonts w:ascii="Times New Roman" w:hAnsi="Times New Roman" w:cs="Times New Roman"/>
          <w:lang w:val="en-GB"/>
        </w:rPr>
        <w:t xml:space="preserve">Marks &amp; Spencer was established in 1884 in Leeds by Michael Marks (a Polish immigrant) and Thomas Spencer, M&amp;S began as a “Penny Bazaar”. By 1901, its first permanent store opened in Manchester, later expanding nationwide and introducing the </w:t>
      </w:r>
      <w:r w:rsidRPr="00AE5A6A">
        <w:rPr>
          <w:rFonts w:ascii="Times New Roman" w:hAnsi="Times New Roman" w:cs="Times New Roman"/>
          <w:bCs/>
          <w:lang w:val="en-GB"/>
        </w:rPr>
        <w:t>“St Michael”</w:t>
      </w:r>
      <w:r w:rsidRPr="00AE5A6A">
        <w:rPr>
          <w:rFonts w:ascii="Times New Roman" w:hAnsi="Times New Roman" w:cs="Times New Roman"/>
          <w:lang w:val="en-GB"/>
        </w:rPr>
        <w:t xml:space="preserve"> brand in 1928.</w:t>
      </w:r>
    </w:p>
    <w:p w14:paraId="4A7BFFA9" w14:textId="77777777" w:rsidR="003B5062" w:rsidRPr="00AE5A6A" w:rsidRDefault="00E23379" w:rsidP="00937AD8">
      <w:pPr>
        <w:spacing w:after="0"/>
        <w:jc w:val="both"/>
        <w:rPr>
          <w:rFonts w:ascii="Times New Roman" w:hAnsi="Times New Roman" w:cs="Times New Roman"/>
          <w:lang w:val="en-GB"/>
        </w:rPr>
      </w:pPr>
      <w:r w:rsidRPr="00AE5A6A">
        <w:rPr>
          <w:rFonts w:ascii="Times New Roman" w:hAnsi="Times New Roman" w:cs="Times New Roman"/>
          <w:lang w:val="en-GB"/>
        </w:rPr>
        <w:t xml:space="preserve">The company diversified into textiles (1926) and food (1931), pioneering packaged sandwiches in 1980. Later milestones included the launch of M&amp;S Bank in 1985 and the 2007 joint venture with Ocado for online grocery delivery. Having curtailed expansion, M&amp;S announced plans in 2018 and 2021 to close multiple stores, shifting towards 180 full-line and 420 food-focused stores by 2024, while enhancing its online platform via Ocado. Today, M&amp;S operates across three main segments — Clothing &amp; Home, Food, and Financial Services. It has approximately 1,000 UK outlets, along with international presence, including the flagship Oxford Street “Pantheon” store. </w:t>
      </w:r>
    </w:p>
    <w:p w14:paraId="120BE1EB" w14:textId="48D8C4E2" w:rsidR="006571B5" w:rsidRPr="00AE5A6A" w:rsidRDefault="00E23379" w:rsidP="00937AD8">
      <w:pPr>
        <w:spacing w:after="0"/>
        <w:jc w:val="both"/>
        <w:rPr>
          <w:rFonts w:ascii="Times New Roman" w:hAnsi="Times New Roman" w:cs="Times New Roman"/>
          <w:lang w:val="en-GB"/>
        </w:rPr>
      </w:pPr>
      <w:r w:rsidRPr="00AE5A6A">
        <w:rPr>
          <w:rFonts w:ascii="Times New Roman" w:hAnsi="Times New Roman" w:cs="Times New Roman"/>
          <w:lang w:val="en-GB"/>
        </w:rPr>
        <w:t xml:space="preserve">The M&amp;S “Plan A” initiative (launched in 2007) emphasizes eco-friendly practices, from recycled-school wear to carbon-neutral store designs such as Cheshire Oaks flagship. The 2020 Ocado partnership marked a key step in expanding online grocery capabilities. Recent pilot stores, like the standalone clothing only outlet at Battersea Power Station, testify to evolving customer engagement </w:t>
      </w:r>
      <w:r w:rsidR="00213B9C" w:rsidRPr="00AE5A6A">
        <w:rPr>
          <w:rFonts w:ascii="Times New Roman" w:hAnsi="Times New Roman" w:cs="Times New Roman"/>
          <w:lang w:val="en-GB"/>
        </w:rPr>
        <w:t>strategies.</w:t>
      </w:r>
      <w:r w:rsidR="00213B9C" w:rsidRPr="00AE5A6A">
        <w:rPr>
          <w:rStyle w:val="Strong"/>
          <w:rFonts w:ascii="Times New Roman" w:hAnsi="Times New Roman" w:cs="Times New Roman"/>
          <w:b w:val="0"/>
          <w:lang w:val="en-GB"/>
        </w:rPr>
        <w:t xml:space="preserve"> Operating</w:t>
      </w:r>
      <w:r w:rsidR="006571B5" w:rsidRPr="00AE5A6A">
        <w:rPr>
          <w:rStyle w:val="Strong"/>
          <w:rFonts w:ascii="Times New Roman" w:hAnsi="Times New Roman" w:cs="Times New Roman"/>
          <w:b w:val="0"/>
          <w:lang w:val="en-GB"/>
        </w:rPr>
        <w:t xml:space="preserve"> </w:t>
      </w:r>
      <w:r w:rsidR="00213B9C" w:rsidRPr="00AE5A6A">
        <w:rPr>
          <w:rStyle w:val="Strong"/>
          <w:rFonts w:ascii="Times New Roman" w:hAnsi="Times New Roman" w:cs="Times New Roman"/>
          <w:b w:val="0"/>
          <w:lang w:val="en-GB"/>
        </w:rPr>
        <w:t>profit</w:t>
      </w:r>
      <w:r w:rsidR="00213B9C" w:rsidRPr="00AE5A6A">
        <w:rPr>
          <w:rStyle w:val="relative"/>
          <w:rFonts w:ascii="Times New Roman" w:hAnsi="Times New Roman" w:cs="Times New Roman"/>
          <w:lang w:val="en-GB"/>
        </w:rPr>
        <w:t xml:space="preserve"> declined</w:t>
      </w:r>
      <w:r w:rsidR="006571B5" w:rsidRPr="00AE5A6A">
        <w:rPr>
          <w:rStyle w:val="relative"/>
          <w:rFonts w:ascii="Times New Roman" w:hAnsi="Times New Roman" w:cs="Times New Roman"/>
          <w:lang w:val="en-GB"/>
        </w:rPr>
        <w:t xml:space="preserve"> from</w:t>
      </w:r>
      <w:r w:rsidR="006571B5" w:rsidRPr="00AE5A6A">
        <w:rPr>
          <w:rStyle w:val="Strong"/>
          <w:rFonts w:ascii="Times New Roman" w:hAnsi="Times New Roman" w:cs="Times New Roman"/>
          <w:b w:val="0"/>
          <w:lang w:val="en-GB"/>
        </w:rPr>
        <w:t>£714.2m (2024)</w:t>
      </w:r>
      <w:r w:rsidR="006571B5" w:rsidRPr="00AE5A6A">
        <w:rPr>
          <w:rStyle w:val="relative"/>
          <w:rFonts w:ascii="Times New Roman" w:hAnsi="Times New Roman" w:cs="Times New Roman"/>
          <w:lang w:val="en-GB"/>
        </w:rPr>
        <w:t>to</w:t>
      </w:r>
      <w:r w:rsidR="006571B5" w:rsidRPr="00AE5A6A">
        <w:rPr>
          <w:rStyle w:val="Strong"/>
          <w:rFonts w:ascii="Times New Roman" w:hAnsi="Times New Roman" w:cs="Times New Roman"/>
          <w:b w:val="0"/>
          <w:lang w:val="en-GB"/>
        </w:rPr>
        <w:t>£624.3m (2025)</w:t>
      </w:r>
      <w:r w:rsidR="006571B5" w:rsidRPr="00AE5A6A">
        <w:rPr>
          <w:rStyle w:val="relative"/>
          <w:rFonts w:ascii="Times New Roman" w:hAnsi="Times New Roman" w:cs="Times New Roman"/>
          <w:b/>
          <w:lang w:val="en-GB"/>
        </w:rPr>
        <w:t xml:space="preserve">, </w:t>
      </w:r>
      <w:r w:rsidR="006571B5" w:rsidRPr="00AE5A6A">
        <w:rPr>
          <w:rStyle w:val="relative"/>
          <w:rFonts w:ascii="Times New Roman" w:hAnsi="Times New Roman" w:cs="Times New Roman"/>
          <w:lang w:val="en-GB"/>
        </w:rPr>
        <w:t>a reduction of approx.</w:t>
      </w:r>
      <w:r w:rsidR="006571B5" w:rsidRPr="00AE5A6A">
        <w:rPr>
          <w:rStyle w:val="Strong"/>
          <w:rFonts w:ascii="Times New Roman" w:hAnsi="Times New Roman" w:cs="Times New Roman"/>
          <w:b w:val="0"/>
          <w:lang w:val="en-GB"/>
        </w:rPr>
        <w:t>12.6%</w:t>
      </w:r>
      <w:r w:rsidR="006571B5" w:rsidRPr="00AE5A6A">
        <w:rPr>
          <w:rFonts w:ascii="Times New Roman" w:hAnsi="Times New Roman" w:cs="Times New Roman"/>
          <w:b/>
          <w:lang w:val="en-GB"/>
        </w:rPr>
        <w:t>.</w:t>
      </w:r>
      <w:r w:rsidR="006571B5" w:rsidRPr="00AE5A6A">
        <w:rPr>
          <w:rStyle w:val="Strong"/>
          <w:rFonts w:ascii="Times New Roman" w:hAnsi="Times New Roman" w:cs="Times New Roman"/>
          <w:b w:val="0"/>
          <w:lang w:val="en-GB"/>
        </w:rPr>
        <w:t xml:space="preserve">Net </w:t>
      </w:r>
      <w:r w:rsidR="00213B9C" w:rsidRPr="00AE5A6A">
        <w:rPr>
          <w:rStyle w:val="Strong"/>
          <w:rFonts w:ascii="Times New Roman" w:hAnsi="Times New Roman" w:cs="Times New Roman"/>
          <w:b w:val="0"/>
          <w:lang w:val="en-GB"/>
        </w:rPr>
        <w:t>profit</w:t>
      </w:r>
      <w:r w:rsidR="00213B9C" w:rsidRPr="00AE5A6A">
        <w:rPr>
          <w:rStyle w:val="relative"/>
          <w:rFonts w:ascii="Times New Roman" w:hAnsi="Times New Roman" w:cs="Times New Roman"/>
          <w:lang w:val="en-GB"/>
        </w:rPr>
        <w:t xml:space="preserve"> dropped</w:t>
      </w:r>
      <w:r w:rsidR="006571B5" w:rsidRPr="00AE5A6A">
        <w:rPr>
          <w:rStyle w:val="relative"/>
          <w:rFonts w:ascii="Times New Roman" w:hAnsi="Times New Roman" w:cs="Times New Roman"/>
          <w:lang w:val="en-GB"/>
        </w:rPr>
        <w:t xml:space="preserve"> more sharply, from </w:t>
      </w:r>
      <w:r w:rsidR="006571B5" w:rsidRPr="00AE5A6A">
        <w:rPr>
          <w:rStyle w:val="Strong"/>
          <w:rFonts w:ascii="Times New Roman" w:hAnsi="Times New Roman" w:cs="Times New Roman"/>
          <w:b w:val="0"/>
          <w:lang w:val="en-GB"/>
        </w:rPr>
        <w:t>£425.2m</w:t>
      </w:r>
      <w:r w:rsidR="006571B5" w:rsidRPr="00AE5A6A">
        <w:rPr>
          <w:rStyle w:val="relative"/>
          <w:rFonts w:ascii="Times New Roman" w:hAnsi="Times New Roman" w:cs="Times New Roman"/>
          <w:lang w:val="en-GB"/>
        </w:rPr>
        <w:t>to</w:t>
      </w:r>
      <w:r w:rsidR="006571B5" w:rsidRPr="00AE5A6A">
        <w:rPr>
          <w:rStyle w:val="Strong"/>
          <w:rFonts w:ascii="Times New Roman" w:hAnsi="Times New Roman" w:cs="Times New Roman"/>
          <w:b w:val="0"/>
          <w:lang w:val="en-GB"/>
        </w:rPr>
        <w:t>£291.9m</w:t>
      </w:r>
      <w:r w:rsidR="006571B5" w:rsidRPr="00AE5A6A">
        <w:rPr>
          <w:rStyle w:val="relative"/>
          <w:rFonts w:ascii="Times New Roman" w:hAnsi="Times New Roman" w:cs="Times New Roman"/>
          <w:b/>
          <w:lang w:val="en-GB"/>
        </w:rPr>
        <w:t>,</w:t>
      </w:r>
      <w:r w:rsidR="00150568">
        <w:rPr>
          <w:rStyle w:val="relative"/>
          <w:rFonts w:ascii="Times New Roman" w:hAnsi="Times New Roman" w:cs="Times New Roman"/>
          <w:b/>
          <w:lang w:val="en-GB"/>
        </w:rPr>
        <w:t xml:space="preserve"> </w:t>
      </w:r>
      <w:r w:rsidR="006571B5" w:rsidRPr="00150568">
        <w:rPr>
          <w:rStyle w:val="relative"/>
          <w:rFonts w:ascii="Times New Roman" w:hAnsi="Times New Roman" w:cs="Times New Roman"/>
          <w:lang w:val="en-GB"/>
        </w:rPr>
        <w:t>a</w:t>
      </w:r>
      <w:r w:rsidR="00150568">
        <w:rPr>
          <w:rStyle w:val="relative"/>
          <w:rFonts w:ascii="Times New Roman" w:hAnsi="Times New Roman" w:cs="Times New Roman"/>
          <w:b/>
          <w:lang w:val="en-GB"/>
        </w:rPr>
        <w:t xml:space="preserve"> </w:t>
      </w:r>
      <w:r w:rsidR="006571B5" w:rsidRPr="00AE5A6A">
        <w:rPr>
          <w:rStyle w:val="Strong"/>
          <w:rFonts w:ascii="Times New Roman" w:hAnsi="Times New Roman" w:cs="Times New Roman"/>
          <w:b w:val="0"/>
          <w:lang w:val="en-GB"/>
        </w:rPr>
        <w:t>31.3%</w:t>
      </w:r>
      <w:r w:rsidR="006571B5" w:rsidRPr="00AE5A6A">
        <w:rPr>
          <w:rStyle w:val="relative"/>
          <w:rFonts w:ascii="Times New Roman" w:hAnsi="Times New Roman" w:cs="Times New Roman"/>
          <w:lang w:val="en-GB"/>
        </w:rPr>
        <w:t>decrease</w:t>
      </w:r>
      <w:r w:rsidR="006571B5" w:rsidRPr="00AE5A6A">
        <w:rPr>
          <w:rStyle w:val="Strong"/>
          <w:rFonts w:ascii="Times New Roman" w:hAnsi="Times New Roman" w:cs="Times New Roman"/>
          <w:b w:val="0"/>
          <w:lang w:val="en-GB"/>
        </w:rPr>
        <w:t>Basic EPS</w:t>
      </w:r>
      <w:r w:rsidR="006571B5" w:rsidRPr="00AE5A6A">
        <w:rPr>
          <w:rStyle w:val="relative"/>
          <w:rFonts w:ascii="Times New Roman" w:hAnsi="Times New Roman" w:cs="Times New Roman"/>
          <w:lang w:val="en-GB"/>
        </w:rPr>
        <w:t>fell from</w:t>
      </w:r>
      <w:r w:rsidR="006571B5" w:rsidRPr="00AE5A6A">
        <w:rPr>
          <w:rStyle w:val="Strong"/>
          <w:rFonts w:ascii="Times New Roman" w:hAnsi="Times New Roman" w:cs="Times New Roman"/>
          <w:b w:val="0"/>
          <w:lang w:val="en-GB"/>
        </w:rPr>
        <w:t>21.9p to 14.6p</w:t>
      </w:r>
      <w:r w:rsidR="006571B5" w:rsidRPr="00AE5A6A">
        <w:rPr>
          <w:rStyle w:val="relative"/>
          <w:rFonts w:ascii="Times New Roman" w:hAnsi="Times New Roman" w:cs="Times New Roman"/>
          <w:lang w:val="en-GB"/>
        </w:rPr>
        <w:t>, down around</w:t>
      </w:r>
      <w:r w:rsidR="006571B5" w:rsidRPr="00AE5A6A">
        <w:rPr>
          <w:rStyle w:val="Strong"/>
          <w:rFonts w:ascii="Times New Roman" w:hAnsi="Times New Roman" w:cs="Times New Roman"/>
          <w:b w:val="0"/>
          <w:lang w:val="en-GB"/>
        </w:rPr>
        <w:t>33%</w:t>
      </w:r>
      <w:r w:rsidR="006571B5" w:rsidRPr="00AE5A6A">
        <w:rPr>
          <w:rStyle w:val="relative"/>
          <w:rFonts w:ascii="Times New Roman" w:hAnsi="Times New Roman" w:cs="Times New Roman"/>
          <w:b/>
          <w:lang w:val="en-GB"/>
        </w:rPr>
        <w:t xml:space="preserve">, </w:t>
      </w:r>
      <w:r w:rsidR="006571B5" w:rsidRPr="00AE5A6A">
        <w:rPr>
          <w:rStyle w:val="relative"/>
          <w:rFonts w:ascii="Times New Roman" w:hAnsi="Times New Roman" w:cs="Times New Roman"/>
          <w:lang w:val="en-GB"/>
        </w:rPr>
        <w:t>reflecting the lower statutory earnings</w:t>
      </w:r>
      <w:r w:rsidR="006571B5" w:rsidRPr="00AE5A6A">
        <w:rPr>
          <w:rFonts w:ascii="Times New Roman" w:hAnsi="Times New Roman" w:cs="Times New Roman"/>
          <w:lang w:val="en-GB"/>
        </w:rPr>
        <w:t xml:space="preserve"> .The fall-off in statutory profits is largely attributable to a</w:t>
      </w:r>
      <w:r w:rsidR="006571B5" w:rsidRPr="00AE5A6A">
        <w:rPr>
          <w:rStyle w:val="Strong"/>
          <w:rFonts w:ascii="Times New Roman" w:hAnsi="Times New Roman" w:cs="Times New Roman"/>
          <w:b w:val="0"/>
          <w:lang w:val="en-GB"/>
        </w:rPr>
        <w:t xml:space="preserve">£248.5m non-cash </w:t>
      </w:r>
      <w:r w:rsidR="00150568" w:rsidRPr="00AE5A6A">
        <w:rPr>
          <w:rStyle w:val="Strong"/>
          <w:rFonts w:ascii="Times New Roman" w:hAnsi="Times New Roman" w:cs="Times New Roman"/>
          <w:b w:val="0"/>
          <w:lang w:val="en-GB"/>
        </w:rPr>
        <w:t>impairment</w:t>
      </w:r>
      <w:r w:rsidR="00150568" w:rsidRPr="00AE5A6A">
        <w:rPr>
          <w:rFonts w:ascii="Times New Roman" w:hAnsi="Times New Roman" w:cs="Times New Roman"/>
          <w:lang w:val="en-GB"/>
        </w:rPr>
        <w:t xml:space="preserve"> related</w:t>
      </w:r>
      <w:r w:rsidR="006571B5" w:rsidRPr="00AE5A6A">
        <w:rPr>
          <w:rFonts w:ascii="Times New Roman" w:hAnsi="Times New Roman" w:cs="Times New Roman"/>
          <w:lang w:val="en-GB"/>
        </w:rPr>
        <w:t xml:space="preserve"> to the Ocado JV and significant cyber-related costs—both one-offs</w:t>
      </w:r>
      <w:r w:rsidR="006571B5" w:rsidRPr="00AE5A6A">
        <w:rPr>
          <w:rFonts w:ascii="Times New Roman" w:hAnsi="Times New Roman" w:cs="Times New Roman"/>
          <w:b/>
          <w:lang w:val="en-GB"/>
        </w:rPr>
        <w:t xml:space="preserve">. </w:t>
      </w:r>
      <w:r w:rsidR="006571B5" w:rsidRPr="00AE5A6A">
        <w:rPr>
          <w:rFonts w:ascii="Times New Roman" w:hAnsi="Times New Roman" w:cs="Times New Roman"/>
          <w:lang w:val="en-GB"/>
        </w:rPr>
        <w:t>On an adjusted basis, M&amp;S’s core operating profit actually rose by ~17% year</w:t>
      </w:r>
      <w:r w:rsidR="006571B5" w:rsidRPr="00AE5A6A">
        <w:rPr>
          <w:rFonts w:ascii="Times New Roman" w:hAnsi="Times New Roman" w:cs="Times New Roman"/>
          <w:lang w:val="en-GB"/>
        </w:rPr>
        <w:noBreakHyphen/>
        <w:t>on</w:t>
      </w:r>
      <w:r w:rsidR="006571B5" w:rsidRPr="00AE5A6A">
        <w:rPr>
          <w:rFonts w:ascii="Times New Roman" w:hAnsi="Times New Roman" w:cs="Times New Roman"/>
          <w:lang w:val="en-GB"/>
        </w:rPr>
        <w:noBreakHyphen/>
        <w:t xml:space="preserve">year. </w:t>
      </w:r>
    </w:p>
    <w:p w14:paraId="6CE6C0F2" w14:textId="03B3CFF0" w:rsidR="00E232D7" w:rsidRPr="00AE5A6A" w:rsidRDefault="00E232D7" w:rsidP="00937AD8">
      <w:pPr>
        <w:spacing w:after="0"/>
        <w:jc w:val="both"/>
        <w:rPr>
          <w:rFonts w:ascii="Times New Roman" w:hAnsi="Times New Roman" w:cs="Times New Roman"/>
          <w:lang w:val="en-GB"/>
        </w:rPr>
      </w:pPr>
      <w:r w:rsidRPr="00AE5A6A">
        <w:rPr>
          <w:rFonts w:ascii="Times New Roman" w:hAnsi="Times New Roman" w:cs="Times New Roman"/>
          <w:lang w:val="en-GB"/>
        </w:rPr>
        <w:t xml:space="preserve">Jordons Plc, produce a variety of high quality internal wooden window </w:t>
      </w:r>
      <w:r w:rsidR="00213B9C" w:rsidRPr="00AE5A6A">
        <w:rPr>
          <w:rFonts w:ascii="Times New Roman" w:hAnsi="Times New Roman" w:cs="Times New Roman"/>
          <w:lang w:val="en-GB"/>
        </w:rPr>
        <w:t>blinds</w:t>
      </w:r>
      <w:r w:rsidRPr="00AE5A6A">
        <w:rPr>
          <w:rFonts w:ascii="Times New Roman" w:hAnsi="Times New Roman" w:cs="Times New Roman"/>
          <w:lang w:val="en-GB"/>
        </w:rPr>
        <w:t xml:space="preserve">. Its discounted-cash-flow appraisal at a 6 % cost of capital shows that </w:t>
      </w:r>
      <w:r w:rsidRPr="00AE5A6A">
        <w:rPr>
          <w:rFonts w:ascii="Times New Roman" w:hAnsi="Times New Roman" w:cs="Times New Roman"/>
          <w:bCs/>
          <w:lang w:val="en-GB"/>
        </w:rPr>
        <w:t>Option B (on-line sales expansion) delivers the highest net present value (£0.92 m) and the best internal rate of return (~36 %)</w:t>
      </w:r>
      <w:r w:rsidRPr="00AE5A6A">
        <w:rPr>
          <w:rFonts w:ascii="Times New Roman" w:hAnsi="Times New Roman" w:cs="Times New Roman"/>
          <w:lang w:val="en-GB"/>
        </w:rPr>
        <w:t xml:space="preserve"> after tax and capital-allowance benefits. Under a £2 m capital ceiling, the optimal divisible mix is to undertake Option B in full, Option A in full, and one-quarter of Option C, giving a combined NPV of c. £1.64 m. NPV is preferred because it measures absolute wealth creation and properly </w:t>
      </w:r>
      <w:r w:rsidR="00697F1E" w:rsidRPr="00AE5A6A">
        <w:rPr>
          <w:rFonts w:ascii="Times New Roman" w:hAnsi="Times New Roman" w:cs="Times New Roman"/>
          <w:lang w:val="en-GB"/>
        </w:rPr>
        <w:t>recognizes</w:t>
      </w:r>
      <w:r w:rsidRPr="00AE5A6A">
        <w:rPr>
          <w:rFonts w:ascii="Times New Roman" w:hAnsi="Times New Roman" w:cs="Times New Roman"/>
          <w:lang w:val="en-GB"/>
        </w:rPr>
        <w:t xml:space="preserve"> the time value of money. Nevertheless, pay-back and other non-discounting rules persist in practice because they are simple and data-light. Before committing, the Board should weigh strategic fit, execution risk and </w:t>
      </w:r>
      <w:r w:rsidRPr="00AE5A6A">
        <w:rPr>
          <w:rFonts w:ascii="Times New Roman" w:hAnsi="Times New Roman" w:cs="Times New Roman"/>
          <w:lang w:val="en-GB"/>
        </w:rPr>
        <w:lastRenderedPageBreak/>
        <w:t>financing capacity; a blend of retained earnings, medium-term bank debt and possibly asset-backed leasing gives a balanced funding structure.</w:t>
      </w:r>
    </w:p>
    <w:p w14:paraId="6B84F62D" w14:textId="77777777" w:rsidR="0042379E" w:rsidRPr="00AE5A6A" w:rsidRDefault="0042379E" w:rsidP="00914F46">
      <w:pPr>
        <w:pStyle w:val="NormalWeb"/>
        <w:spacing w:line="360" w:lineRule="auto"/>
        <w:ind w:left="720"/>
        <w:jc w:val="both"/>
        <w:rPr>
          <w:lang w:val="en-GB"/>
        </w:rPr>
      </w:pPr>
    </w:p>
    <w:p w14:paraId="66E51CB3" w14:textId="77777777" w:rsidR="0042379E" w:rsidRPr="00AE5A6A" w:rsidRDefault="0042379E" w:rsidP="00914F46">
      <w:pPr>
        <w:pStyle w:val="NormalWeb"/>
        <w:spacing w:line="360" w:lineRule="auto"/>
        <w:ind w:left="720"/>
        <w:jc w:val="both"/>
        <w:rPr>
          <w:lang w:val="en-GB"/>
        </w:rPr>
      </w:pPr>
    </w:p>
    <w:p w14:paraId="7E8ADEB5" w14:textId="77777777" w:rsidR="0022576E" w:rsidRPr="00AE5A6A" w:rsidRDefault="0022576E" w:rsidP="00914F46">
      <w:pPr>
        <w:pStyle w:val="NormalWeb"/>
        <w:spacing w:line="360" w:lineRule="auto"/>
        <w:ind w:left="720"/>
        <w:rPr>
          <w:lang w:val="en-GB"/>
        </w:rPr>
      </w:pPr>
    </w:p>
    <w:sdt>
      <w:sdtPr>
        <w:rPr>
          <w:rFonts w:ascii="Times New Roman" w:eastAsiaTheme="minorHAnsi" w:hAnsi="Times New Roman" w:cs="Times New Roman"/>
          <w:sz w:val="24"/>
          <w:szCs w:val="22"/>
          <w:lang w:val="en-GB"/>
        </w:rPr>
        <w:id w:val="865250175"/>
        <w:docPartObj>
          <w:docPartGallery w:val="Table of Contents"/>
          <w:docPartUnique/>
        </w:docPartObj>
      </w:sdtPr>
      <w:sdtEndPr>
        <w:rPr>
          <w:b/>
          <w:bCs/>
          <w:noProof/>
        </w:rPr>
      </w:sdtEndPr>
      <w:sdtContent>
        <w:p w14:paraId="308EC43C" w14:textId="77777777" w:rsidR="003B5062" w:rsidRPr="00AE5A6A" w:rsidRDefault="003B5062" w:rsidP="00937AD8">
          <w:pPr>
            <w:pStyle w:val="TOCHeading"/>
            <w:rPr>
              <w:rFonts w:ascii="Times New Roman" w:hAnsi="Times New Roman" w:cs="Times New Roman"/>
              <w:lang w:val="en-GB"/>
            </w:rPr>
          </w:pPr>
        </w:p>
        <w:p w14:paraId="700AFCA6" w14:textId="77777777" w:rsidR="003B5062" w:rsidRPr="00AE5A6A" w:rsidRDefault="003B5062">
          <w:pPr>
            <w:spacing w:line="276" w:lineRule="auto"/>
            <w:rPr>
              <w:rFonts w:ascii="Times New Roman" w:eastAsiaTheme="majorEastAsia" w:hAnsi="Times New Roman" w:cs="Times New Roman"/>
              <w:color w:val="365F91" w:themeColor="accent1" w:themeShade="BF"/>
              <w:sz w:val="32"/>
              <w:szCs w:val="32"/>
              <w:lang w:val="en-GB"/>
            </w:rPr>
          </w:pPr>
          <w:r w:rsidRPr="00AE5A6A">
            <w:rPr>
              <w:rFonts w:ascii="Times New Roman" w:hAnsi="Times New Roman" w:cs="Times New Roman"/>
              <w:lang w:val="en-GB"/>
            </w:rPr>
            <w:br w:type="page"/>
          </w:r>
        </w:p>
        <w:p w14:paraId="708B57C0" w14:textId="77777777" w:rsidR="0009430E" w:rsidRPr="00AE5A6A" w:rsidRDefault="0009430E" w:rsidP="00027E98">
          <w:pPr>
            <w:pStyle w:val="TOCHeading"/>
            <w:spacing w:line="360" w:lineRule="auto"/>
            <w:rPr>
              <w:rFonts w:ascii="Times New Roman" w:hAnsi="Times New Roman" w:cs="Times New Roman"/>
              <w:b/>
              <w:bCs/>
              <w:lang w:val="en-GB"/>
            </w:rPr>
          </w:pPr>
          <w:r w:rsidRPr="00AE5A6A">
            <w:rPr>
              <w:rFonts w:ascii="Times New Roman" w:hAnsi="Times New Roman" w:cs="Times New Roman"/>
              <w:b/>
              <w:bCs/>
              <w:lang w:val="en-GB"/>
            </w:rPr>
            <w:lastRenderedPageBreak/>
            <w:t>Table of Contents</w:t>
          </w:r>
        </w:p>
        <w:p w14:paraId="2CB24CDF" w14:textId="77777777" w:rsidR="00AE5A6A" w:rsidRDefault="00C03CFD" w:rsidP="00AE5A6A">
          <w:pPr>
            <w:pStyle w:val="TOC1"/>
            <w:tabs>
              <w:tab w:val="right" w:leader="dot" w:pos="9620"/>
            </w:tabs>
            <w:spacing w:after="0"/>
            <w:rPr>
              <w:rFonts w:asciiTheme="minorHAnsi" w:eastAsiaTheme="minorEastAsia" w:hAnsiTheme="minorHAnsi"/>
              <w:noProof/>
              <w:kern w:val="2"/>
              <w:szCs w:val="24"/>
              <w:lang w:val="en-GB" w:eastAsia="en-GB"/>
            </w:rPr>
          </w:pPr>
          <w:r w:rsidRPr="00AE5A6A">
            <w:rPr>
              <w:rFonts w:ascii="Times New Roman" w:hAnsi="Times New Roman" w:cs="Times New Roman"/>
              <w:lang w:val="en-GB"/>
            </w:rPr>
            <w:fldChar w:fldCharType="begin"/>
          </w:r>
          <w:r w:rsidR="0009430E" w:rsidRPr="00AE5A6A">
            <w:rPr>
              <w:rFonts w:ascii="Times New Roman" w:hAnsi="Times New Roman" w:cs="Times New Roman"/>
              <w:lang w:val="en-GB"/>
            </w:rPr>
            <w:instrText xml:space="preserve"> TOC \o "1-3" \h \z \u </w:instrText>
          </w:r>
          <w:r w:rsidRPr="00AE5A6A">
            <w:rPr>
              <w:rFonts w:ascii="Times New Roman" w:hAnsi="Times New Roman" w:cs="Times New Roman"/>
              <w:lang w:val="en-GB"/>
            </w:rPr>
            <w:fldChar w:fldCharType="separate"/>
          </w:r>
          <w:hyperlink w:anchor="_Toc202268829" w:history="1">
            <w:r w:rsidR="00AE5A6A" w:rsidRPr="0002785C">
              <w:rPr>
                <w:rStyle w:val="Hyperlink"/>
                <w:rFonts w:cs="Times New Roman"/>
                <w:noProof/>
                <w:lang w:val="en-GB"/>
              </w:rPr>
              <w:t>Executive Summary</w:t>
            </w:r>
            <w:r w:rsidR="00AE5A6A">
              <w:rPr>
                <w:noProof/>
                <w:webHidden/>
              </w:rPr>
              <w:tab/>
            </w:r>
            <w:r>
              <w:rPr>
                <w:noProof/>
                <w:webHidden/>
              </w:rPr>
              <w:fldChar w:fldCharType="begin"/>
            </w:r>
            <w:r w:rsidR="00AE5A6A">
              <w:rPr>
                <w:noProof/>
                <w:webHidden/>
              </w:rPr>
              <w:instrText xml:space="preserve"> PAGEREF _Toc202268829 \h </w:instrText>
            </w:r>
            <w:r>
              <w:rPr>
                <w:noProof/>
                <w:webHidden/>
              </w:rPr>
            </w:r>
            <w:r>
              <w:rPr>
                <w:noProof/>
                <w:webHidden/>
              </w:rPr>
              <w:fldChar w:fldCharType="separate"/>
            </w:r>
            <w:r w:rsidR="00AE5A6A">
              <w:rPr>
                <w:noProof/>
                <w:webHidden/>
              </w:rPr>
              <w:t>2</w:t>
            </w:r>
            <w:r>
              <w:rPr>
                <w:noProof/>
                <w:webHidden/>
              </w:rPr>
              <w:fldChar w:fldCharType="end"/>
            </w:r>
          </w:hyperlink>
        </w:p>
        <w:p w14:paraId="4F3BE50C" w14:textId="77777777" w:rsidR="00AE5A6A" w:rsidRDefault="00AE5A6A" w:rsidP="00AE5A6A">
          <w:pPr>
            <w:pStyle w:val="TOC1"/>
            <w:tabs>
              <w:tab w:val="right" w:leader="dot" w:pos="9620"/>
            </w:tabs>
            <w:spacing w:after="0"/>
            <w:rPr>
              <w:rFonts w:asciiTheme="minorHAnsi" w:eastAsiaTheme="minorEastAsia" w:hAnsiTheme="minorHAnsi"/>
              <w:noProof/>
              <w:kern w:val="2"/>
              <w:szCs w:val="24"/>
              <w:lang w:val="en-GB" w:eastAsia="en-GB"/>
            </w:rPr>
          </w:pPr>
          <w:hyperlink w:anchor="_Toc202268830" w:history="1">
            <w:r w:rsidRPr="0002785C">
              <w:rPr>
                <w:rStyle w:val="Hyperlink"/>
                <w:rFonts w:cs="Times New Roman"/>
                <w:noProof/>
                <w:lang w:val="en-GB"/>
              </w:rPr>
              <w:t>Introduction</w:t>
            </w:r>
            <w:r>
              <w:rPr>
                <w:noProof/>
                <w:webHidden/>
              </w:rPr>
              <w:tab/>
            </w:r>
            <w:r w:rsidR="00C03CFD">
              <w:rPr>
                <w:noProof/>
                <w:webHidden/>
              </w:rPr>
              <w:fldChar w:fldCharType="begin"/>
            </w:r>
            <w:r>
              <w:rPr>
                <w:noProof/>
                <w:webHidden/>
              </w:rPr>
              <w:instrText xml:space="preserve"> PAGEREF _Toc202268830 \h </w:instrText>
            </w:r>
            <w:r w:rsidR="00C03CFD">
              <w:rPr>
                <w:noProof/>
                <w:webHidden/>
              </w:rPr>
            </w:r>
            <w:r w:rsidR="00C03CFD">
              <w:rPr>
                <w:noProof/>
                <w:webHidden/>
              </w:rPr>
              <w:fldChar w:fldCharType="separate"/>
            </w:r>
            <w:r>
              <w:rPr>
                <w:noProof/>
                <w:webHidden/>
              </w:rPr>
              <w:t>6</w:t>
            </w:r>
            <w:r w:rsidR="00C03CFD">
              <w:rPr>
                <w:noProof/>
                <w:webHidden/>
              </w:rPr>
              <w:fldChar w:fldCharType="end"/>
            </w:r>
          </w:hyperlink>
        </w:p>
        <w:p w14:paraId="47CED5A0" w14:textId="77777777" w:rsidR="00AE5A6A" w:rsidRDefault="00AE5A6A" w:rsidP="00AE5A6A">
          <w:pPr>
            <w:pStyle w:val="TOC1"/>
            <w:tabs>
              <w:tab w:val="right" w:leader="dot" w:pos="9620"/>
            </w:tabs>
            <w:spacing w:after="0"/>
            <w:rPr>
              <w:rFonts w:asciiTheme="minorHAnsi" w:eastAsiaTheme="minorEastAsia" w:hAnsiTheme="minorHAnsi"/>
              <w:noProof/>
              <w:kern w:val="2"/>
              <w:szCs w:val="24"/>
              <w:lang w:val="en-GB" w:eastAsia="en-GB"/>
            </w:rPr>
          </w:pPr>
          <w:hyperlink w:anchor="_Toc202268831" w:history="1">
            <w:r w:rsidRPr="0002785C">
              <w:rPr>
                <w:rStyle w:val="Hyperlink"/>
                <w:rFonts w:eastAsia="Times New Roman" w:cs="Times New Roman"/>
                <w:noProof/>
                <w:lang w:val="en-GB"/>
              </w:rPr>
              <w:t>Part 1: Critical Evaluation of Ratios</w:t>
            </w:r>
            <w:r>
              <w:rPr>
                <w:noProof/>
                <w:webHidden/>
              </w:rPr>
              <w:tab/>
            </w:r>
            <w:r w:rsidR="00C03CFD">
              <w:rPr>
                <w:noProof/>
                <w:webHidden/>
              </w:rPr>
              <w:fldChar w:fldCharType="begin"/>
            </w:r>
            <w:r>
              <w:rPr>
                <w:noProof/>
                <w:webHidden/>
              </w:rPr>
              <w:instrText xml:space="preserve"> PAGEREF _Toc202268831 \h </w:instrText>
            </w:r>
            <w:r w:rsidR="00C03CFD">
              <w:rPr>
                <w:noProof/>
                <w:webHidden/>
              </w:rPr>
            </w:r>
            <w:r w:rsidR="00C03CFD">
              <w:rPr>
                <w:noProof/>
                <w:webHidden/>
              </w:rPr>
              <w:fldChar w:fldCharType="separate"/>
            </w:r>
            <w:r>
              <w:rPr>
                <w:noProof/>
                <w:webHidden/>
              </w:rPr>
              <w:t>7</w:t>
            </w:r>
            <w:r w:rsidR="00C03CFD">
              <w:rPr>
                <w:noProof/>
                <w:webHidden/>
              </w:rPr>
              <w:fldChar w:fldCharType="end"/>
            </w:r>
          </w:hyperlink>
        </w:p>
        <w:p w14:paraId="64E633EA"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32" w:history="1">
            <w:r w:rsidRPr="0002785C">
              <w:rPr>
                <w:rStyle w:val="Hyperlink"/>
                <w:noProof/>
                <w:lang w:val="en-GB"/>
              </w:rPr>
              <w:t>Profitability Ratios</w:t>
            </w:r>
            <w:r>
              <w:rPr>
                <w:noProof/>
                <w:webHidden/>
              </w:rPr>
              <w:tab/>
            </w:r>
            <w:r w:rsidR="00C03CFD">
              <w:rPr>
                <w:noProof/>
                <w:webHidden/>
              </w:rPr>
              <w:fldChar w:fldCharType="begin"/>
            </w:r>
            <w:r>
              <w:rPr>
                <w:noProof/>
                <w:webHidden/>
              </w:rPr>
              <w:instrText xml:space="preserve"> PAGEREF _Toc202268832 \h </w:instrText>
            </w:r>
            <w:r w:rsidR="00C03CFD">
              <w:rPr>
                <w:noProof/>
                <w:webHidden/>
              </w:rPr>
            </w:r>
            <w:r w:rsidR="00C03CFD">
              <w:rPr>
                <w:noProof/>
                <w:webHidden/>
              </w:rPr>
              <w:fldChar w:fldCharType="separate"/>
            </w:r>
            <w:r>
              <w:rPr>
                <w:noProof/>
                <w:webHidden/>
              </w:rPr>
              <w:t>7</w:t>
            </w:r>
            <w:r w:rsidR="00C03CFD">
              <w:rPr>
                <w:noProof/>
                <w:webHidden/>
              </w:rPr>
              <w:fldChar w:fldCharType="end"/>
            </w:r>
          </w:hyperlink>
        </w:p>
        <w:p w14:paraId="6E627B36"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33" w:history="1">
            <w:r w:rsidRPr="0002785C">
              <w:rPr>
                <w:rStyle w:val="Hyperlink"/>
                <w:noProof/>
                <w:lang w:val="en-GB"/>
              </w:rPr>
              <w:t>Liquidity Ratios</w:t>
            </w:r>
            <w:r>
              <w:rPr>
                <w:noProof/>
                <w:webHidden/>
              </w:rPr>
              <w:tab/>
            </w:r>
            <w:r w:rsidR="00C03CFD">
              <w:rPr>
                <w:noProof/>
                <w:webHidden/>
              </w:rPr>
              <w:fldChar w:fldCharType="begin"/>
            </w:r>
            <w:r>
              <w:rPr>
                <w:noProof/>
                <w:webHidden/>
              </w:rPr>
              <w:instrText xml:space="preserve"> PAGEREF _Toc202268833 \h </w:instrText>
            </w:r>
            <w:r w:rsidR="00C03CFD">
              <w:rPr>
                <w:noProof/>
                <w:webHidden/>
              </w:rPr>
            </w:r>
            <w:r w:rsidR="00C03CFD">
              <w:rPr>
                <w:noProof/>
                <w:webHidden/>
              </w:rPr>
              <w:fldChar w:fldCharType="separate"/>
            </w:r>
            <w:r>
              <w:rPr>
                <w:noProof/>
                <w:webHidden/>
              </w:rPr>
              <w:t>7</w:t>
            </w:r>
            <w:r w:rsidR="00C03CFD">
              <w:rPr>
                <w:noProof/>
                <w:webHidden/>
              </w:rPr>
              <w:fldChar w:fldCharType="end"/>
            </w:r>
          </w:hyperlink>
        </w:p>
        <w:p w14:paraId="531DB356"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34" w:history="1">
            <w:r w:rsidRPr="0002785C">
              <w:rPr>
                <w:rStyle w:val="Hyperlink"/>
                <w:noProof/>
                <w:lang w:val="en-GB"/>
              </w:rPr>
              <w:t>Gearing Ratios</w:t>
            </w:r>
            <w:r>
              <w:rPr>
                <w:noProof/>
                <w:webHidden/>
              </w:rPr>
              <w:tab/>
            </w:r>
            <w:r w:rsidR="00C03CFD">
              <w:rPr>
                <w:noProof/>
                <w:webHidden/>
              </w:rPr>
              <w:fldChar w:fldCharType="begin"/>
            </w:r>
            <w:r>
              <w:rPr>
                <w:noProof/>
                <w:webHidden/>
              </w:rPr>
              <w:instrText xml:space="preserve"> PAGEREF _Toc202268834 \h </w:instrText>
            </w:r>
            <w:r w:rsidR="00C03CFD">
              <w:rPr>
                <w:noProof/>
                <w:webHidden/>
              </w:rPr>
            </w:r>
            <w:r w:rsidR="00C03CFD">
              <w:rPr>
                <w:noProof/>
                <w:webHidden/>
              </w:rPr>
              <w:fldChar w:fldCharType="separate"/>
            </w:r>
            <w:r>
              <w:rPr>
                <w:noProof/>
                <w:webHidden/>
              </w:rPr>
              <w:t>8</w:t>
            </w:r>
            <w:r w:rsidR="00C03CFD">
              <w:rPr>
                <w:noProof/>
                <w:webHidden/>
              </w:rPr>
              <w:fldChar w:fldCharType="end"/>
            </w:r>
          </w:hyperlink>
        </w:p>
        <w:p w14:paraId="3575D9A9"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35" w:history="1">
            <w:r w:rsidRPr="0002785C">
              <w:rPr>
                <w:rStyle w:val="Hyperlink"/>
                <w:noProof/>
                <w:lang w:val="en-GB"/>
              </w:rPr>
              <w:t>Investor Ratio</w:t>
            </w:r>
            <w:r>
              <w:rPr>
                <w:noProof/>
                <w:webHidden/>
              </w:rPr>
              <w:tab/>
            </w:r>
            <w:r w:rsidR="00C03CFD">
              <w:rPr>
                <w:noProof/>
                <w:webHidden/>
              </w:rPr>
              <w:fldChar w:fldCharType="begin"/>
            </w:r>
            <w:r>
              <w:rPr>
                <w:noProof/>
                <w:webHidden/>
              </w:rPr>
              <w:instrText xml:space="preserve"> PAGEREF _Toc202268835 \h </w:instrText>
            </w:r>
            <w:r w:rsidR="00C03CFD">
              <w:rPr>
                <w:noProof/>
                <w:webHidden/>
              </w:rPr>
            </w:r>
            <w:r w:rsidR="00C03CFD">
              <w:rPr>
                <w:noProof/>
                <w:webHidden/>
              </w:rPr>
              <w:fldChar w:fldCharType="separate"/>
            </w:r>
            <w:r>
              <w:rPr>
                <w:noProof/>
                <w:webHidden/>
              </w:rPr>
              <w:t>8</w:t>
            </w:r>
            <w:r w:rsidR="00C03CFD">
              <w:rPr>
                <w:noProof/>
                <w:webHidden/>
              </w:rPr>
              <w:fldChar w:fldCharType="end"/>
            </w:r>
          </w:hyperlink>
        </w:p>
        <w:p w14:paraId="052C060F"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36" w:history="1">
            <w:r w:rsidRPr="0002785C">
              <w:rPr>
                <w:rStyle w:val="Hyperlink"/>
                <w:noProof/>
                <w:lang w:val="en-GB"/>
              </w:rPr>
              <w:t>Limitations of Ratio Analysis</w:t>
            </w:r>
            <w:r>
              <w:rPr>
                <w:noProof/>
                <w:webHidden/>
              </w:rPr>
              <w:tab/>
            </w:r>
            <w:r w:rsidR="00C03CFD">
              <w:rPr>
                <w:noProof/>
                <w:webHidden/>
              </w:rPr>
              <w:fldChar w:fldCharType="begin"/>
            </w:r>
            <w:r>
              <w:rPr>
                <w:noProof/>
                <w:webHidden/>
              </w:rPr>
              <w:instrText xml:space="preserve"> PAGEREF _Toc202268836 \h </w:instrText>
            </w:r>
            <w:r w:rsidR="00C03CFD">
              <w:rPr>
                <w:noProof/>
                <w:webHidden/>
              </w:rPr>
            </w:r>
            <w:r w:rsidR="00C03CFD">
              <w:rPr>
                <w:noProof/>
                <w:webHidden/>
              </w:rPr>
              <w:fldChar w:fldCharType="separate"/>
            </w:r>
            <w:r>
              <w:rPr>
                <w:noProof/>
                <w:webHidden/>
              </w:rPr>
              <w:t>8</w:t>
            </w:r>
            <w:r w:rsidR="00C03CFD">
              <w:rPr>
                <w:noProof/>
                <w:webHidden/>
              </w:rPr>
              <w:fldChar w:fldCharType="end"/>
            </w:r>
          </w:hyperlink>
        </w:p>
        <w:p w14:paraId="04F122E1"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37" w:history="1">
            <w:r w:rsidRPr="0002785C">
              <w:rPr>
                <w:rStyle w:val="Hyperlink"/>
                <w:noProof/>
                <w:lang w:val="en-GB"/>
              </w:rPr>
              <w:t>Key Strategies to Boost</w:t>
            </w:r>
            <w:r>
              <w:rPr>
                <w:noProof/>
                <w:webHidden/>
              </w:rPr>
              <w:tab/>
            </w:r>
            <w:r w:rsidR="00C03CFD">
              <w:rPr>
                <w:noProof/>
                <w:webHidden/>
              </w:rPr>
              <w:fldChar w:fldCharType="begin"/>
            </w:r>
            <w:r>
              <w:rPr>
                <w:noProof/>
                <w:webHidden/>
              </w:rPr>
              <w:instrText xml:space="preserve"> PAGEREF _Toc202268837 \h </w:instrText>
            </w:r>
            <w:r w:rsidR="00C03CFD">
              <w:rPr>
                <w:noProof/>
                <w:webHidden/>
              </w:rPr>
            </w:r>
            <w:r w:rsidR="00C03CFD">
              <w:rPr>
                <w:noProof/>
                <w:webHidden/>
              </w:rPr>
              <w:fldChar w:fldCharType="separate"/>
            </w:r>
            <w:r>
              <w:rPr>
                <w:noProof/>
                <w:webHidden/>
              </w:rPr>
              <w:t>9</w:t>
            </w:r>
            <w:r w:rsidR="00C03CFD">
              <w:rPr>
                <w:noProof/>
                <w:webHidden/>
              </w:rPr>
              <w:fldChar w:fldCharType="end"/>
            </w:r>
          </w:hyperlink>
        </w:p>
        <w:p w14:paraId="31D3B269" w14:textId="77777777" w:rsidR="00AE5A6A" w:rsidRDefault="00AE5A6A" w:rsidP="00AE5A6A">
          <w:pPr>
            <w:pStyle w:val="TOC1"/>
            <w:tabs>
              <w:tab w:val="right" w:leader="dot" w:pos="9620"/>
            </w:tabs>
            <w:spacing w:after="0"/>
            <w:rPr>
              <w:rFonts w:asciiTheme="minorHAnsi" w:eastAsiaTheme="minorEastAsia" w:hAnsiTheme="minorHAnsi"/>
              <w:noProof/>
              <w:kern w:val="2"/>
              <w:szCs w:val="24"/>
              <w:lang w:val="en-GB" w:eastAsia="en-GB"/>
            </w:rPr>
          </w:pPr>
          <w:hyperlink w:anchor="_Toc202268838" w:history="1">
            <w:r w:rsidRPr="0002785C">
              <w:rPr>
                <w:rStyle w:val="Hyperlink"/>
                <w:rFonts w:cs="Times New Roman"/>
                <w:noProof/>
                <w:lang w:val="en-GB"/>
              </w:rPr>
              <w:t>Part 2: Business report of Jordons’ PLC.</w:t>
            </w:r>
            <w:r>
              <w:rPr>
                <w:noProof/>
                <w:webHidden/>
              </w:rPr>
              <w:tab/>
            </w:r>
            <w:r w:rsidR="00C03CFD">
              <w:rPr>
                <w:noProof/>
                <w:webHidden/>
              </w:rPr>
              <w:fldChar w:fldCharType="begin"/>
            </w:r>
            <w:r>
              <w:rPr>
                <w:noProof/>
                <w:webHidden/>
              </w:rPr>
              <w:instrText xml:space="preserve"> PAGEREF _Toc202268838 \h </w:instrText>
            </w:r>
            <w:r w:rsidR="00C03CFD">
              <w:rPr>
                <w:noProof/>
                <w:webHidden/>
              </w:rPr>
            </w:r>
            <w:r w:rsidR="00C03CFD">
              <w:rPr>
                <w:noProof/>
                <w:webHidden/>
              </w:rPr>
              <w:fldChar w:fldCharType="separate"/>
            </w:r>
            <w:r>
              <w:rPr>
                <w:noProof/>
                <w:webHidden/>
              </w:rPr>
              <w:t>12</w:t>
            </w:r>
            <w:r w:rsidR="00C03CFD">
              <w:rPr>
                <w:noProof/>
                <w:webHidden/>
              </w:rPr>
              <w:fldChar w:fldCharType="end"/>
            </w:r>
          </w:hyperlink>
        </w:p>
        <w:p w14:paraId="2170211E"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39" w:history="1">
            <w:r w:rsidRPr="0002785C">
              <w:rPr>
                <w:rStyle w:val="Hyperlink"/>
                <w:noProof/>
                <w:lang w:val="en-GB"/>
              </w:rPr>
              <w:t>Investment analysis</w:t>
            </w:r>
            <w:r>
              <w:rPr>
                <w:noProof/>
                <w:webHidden/>
              </w:rPr>
              <w:tab/>
            </w:r>
            <w:r w:rsidR="00C03CFD">
              <w:rPr>
                <w:noProof/>
                <w:webHidden/>
              </w:rPr>
              <w:fldChar w:fldCharType="begin"/>
            </w:r>
            <w:r>
              <w:rPr>
                <w:noProof/>
                <w:webHidden/>
              </w:rPr>
              <w:instrText xml:space="preserve"> PAGEREF _Toc202268839 \h </w:instrText>
            </w:r>
            <w:r w:rsidR="00C03CFD">
              <w:rPr>
                <w:noProof/>
                <w:webHidden/>
              </w:rPr>
            </w:r>
            <w:r w:rsidR="00C03CFD">
              <w:rPr>
                <w:noProof/>
                <w:webHidden/>
              </w:rPr>
              <w:fldChar w:fldCharType="separate"/>
            </w:r>
            <w:r>
              <w:rPr>
                <w:noProof/>
                <w:webHidden/>
              </w:rPr>
              <w:t>12</w:t>
            </w:r>
            <w:r w:rsidR="00C03CFD">
              <w:rPr>
                <w:noProof/>
                <w:webHidden/>
              </w:rPr>
              <w:fldChar w:fldCharType="end"/>
            </w:r>
          </w:hyperlink>
        </w:p>
        <w:p w14:paraId="65B32D80"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40" w:history="1">
            <w:r w:rsidRPr="0002785C">
              <w:rPr>
                <w:rStyle w:val="Hyperlink"/>
                <w:noProof/>
                <w:lang w:val="en-GB"/>
              </w:rPr>
              <w:t>Interpreting the results for management</w:t>
            </w:r>
            <w:r>
              <w:rPr>
                <w:noProof/>
                <w:webHidden/>
              </w:rPr>
              <w:tab/>
            </w:r>
            <w:r w:rsidR="00C03CFD">
              <w:rPr>
                <w:noProof/>
                <w:webHidden/>
              </w:rPr>
              <w:fldChar w:fldCharType="begin"/>
            </w:r>
            <w:r>
              <w:rPr>
                <w:noProof/>
                <w:webHidden/>
              </w:rPr>
              <w:instrText xml:space="preserve"> PAGEREF _Toc202268840 \h </w:instrText>
            </w:r>
            <w:r w:rsidR="00C03CFD">
              <w:rPr>
                <w:noProof/>
                <w:webHidden/>
              </w:rPr>
            </w:r>
            <w:r w:rsidR="00C03CFD">
              <w:rPr>
                <w:noProof/>
                <w:webHidden/>
              </w:rPr>
              <w:fldChar w:fldCharType="separate"/>
            </w:r>
            <w:r>
              <w:rPr>
                <w:noProof/>
                <w:webHidden/>
              </w:rPr>
              <w:t>13</w:t>
            </w:r>
            <w:r w:rsidR="00C03CFD">
              <w:rPr>
                <w:noProof/>
                <w:webHidden/>
              </w:rPr>
              <w:fldChar w:fldCharType="end"/>
            </w:r>
          </w:hyperlink>
        </w:p>
        <w:p w14:paraId="25E56AC8" w14:textId="77777777" w:rsidR="00AE5A6A" w:rsidRDefault="00AE5A6A" w:rsidP="00AE5A6A">
          <w:pPr>
            <w:pStyle w:val="TOC3"/>
            <w:tabs>
              <w:tab w:val="right" w:leader="dot" w:pos="9620"/>
            </w:tabs>
            <w:spacing w:after="0"/>
            <w:rPr>
              <w:rFonts w:asciiTheme="minorHAnsi" w:eastAsiaTheme="minorEastAsia" w:hAnsiTheme="minorHAnsi"/>
              <w:noProof/>
              <w:kern w:val="2"/>
              <w:szCs w:val="24"/>
              <w:lang w:val="en-GB" w:eastAsia="en-GB"/>
            </w:rPr>
          </w:pPr>
          <w:hyperlink w:anchor="_Toc202268841" w:history="1">
            <w:r w:rsidRPr="0002785C">
              <w:rPr>
                <w:rStyle w:val="Hyperlink"/>
                <w:noProof/>
                <w:lang w:val="en-GB"/>
              </w:rPr>
              <w:t>Superiority of the NPV method</w:t>
            </w:r>
            <w:r>
              <w:rPr>
                <w:noProof/>
                <w:webHidden/>
              </w:rPr>
              <w:tab/>
            </w:r>
            <w:r w:rsidR="00C03CFD">
              <w:rPr>
                <w:noProof/>
                <w:webHidden/>
              </w:rPr>
              <w:fldChar w:fldCharType="begin"/>
            </w:r>
            <w:r>
              <w:rPr>
                <w:noProof/>
                <w:webHidden/>
              </w:rPr>
              <w:instrText xml:space="preserve"> PAGEREF _Toc202268841 \h </w:instrText>
            </w:r>
            <w:r w:rsidR="00C03CFD">
              <w:rPr>
                <w:noProof/>
                <w:webHidden/>
              </w:rPr>
            </w:r>
            <w:r w:rsidR="00C03CFD">
              <w:rPr>
                <w:noProof/>
                <w:webHidden/>
              </w:rPr>
              <w:fldChar w:fldCharType="separate"/>
            </w:r>
            <w:r>
              <w:rPr>
                <w:noProof/>
                <w:webHidden/>
              </w:rPr>
              <w:t>13</w:t>
            </w:r>
            <w:r w:rsidR="00C03CFD">
              <w:rPr>
                <w:noProof/>
                <w:webHidden/>
              </w:rPr>
              <w:fldChar w:fldCharType="end"/>
            </w:r>
          </w:hyperlink>
        </w:p>
        <w:p w14:paraId="6D3E47FB" w14:textId="77777777" w:rsidR="00AE5A6A" w:rsidRDefault="00AE5A6A" w:rsidP="00AE5A6A">
          <w:pPr>
            <w:pStyle w:val="TOC3"/>
            <w:tabs>
              <w:tab w:val="right" w:leader="dot" w:pos="9620"/>
            </w:tabs>
            <w:spacing w:after="0"/>
            <w:rPr>
              <w:rFonts w:asciiTheme="minorHAnsi" w:eastAsiaTheme="minorEastAsia" w:hAnsiTheme="minorHAnsi"/>
              <w:noProof/>
              <w:kern w:val="2"/>
              <w:szCs w:val="24"/>
              <w:lang w:val="en-GB" w:eastAsia="en-GB"/>
            </w:rPr>
          </w:pPr>
          <w:hyperlink w:anchor="_Toc202268842" w:history="1">
            <w:r w:rsidRPr="0002785C">
              <w:rPr>
                <w:rStyle w:val="Hyperlink"/>
                <w:noProof/>
                <w:lang w:val="en-GB"/>
              </w:rPr>
              <w:t>Why simpler metrics remain in use</w:t>
            </w:r>
            <w:r>
              <w:rPr>
                <w:noProof/>
                <w:webHidden/>
              </w:rPr>
              <w:tab/>
            </w:r>
            <w:r w:rsidR="00C03CFD">
              <w:rPr>
                <w:noProof/>
                <w:webHidden/>
              </w:rPr>
              <w:fldChar w:fldCharType="begin"/>
            </w:r>
            <w:r>
              <w:rPr>
                <w:noProof/>
                <w:webHidden/>
              </w:rPr>
              <w:instrText xml:space="preserve"> PAGEREF _Toc202268842 \h </w:instrText>
            </w:r>
            <w:r w:rsidR="00C03CFD">
              <w:rPr>
                <w:noProof/>
                <w:webHidden/>
              </w:rPr>
            </w:r>
            <w:r w:rsidR="00C03CFD">
              <w:rPr>
                <w:noProof/>
                <w:webHidden/>
              </w:rPr>
              <w:fldChar w:fldCharType="separate"/>
            </w:r>
            <w:r>
              <w:rPr>
                <w:noProof/>
                <w:webHidden/>
              </w:rPr>
              <w:t>13</w:t>
            </w:r>
            <w:r w:rsidR="00C03CFD">
              <w:rPr>
                <w:noProof/>
                <w:webHidden/>
              </w:rPr>
              <w:fldChar w:fldCharType="end"/>
            </w:r>
          </w:hyperlink>
        </w:p>
        <w:p w14:paraId="095C5369" w14:textId="77777777" w:rsidR="00AE5A6A" w:rsidRDefault="00AE5A6A" w:rsidP="00AE5A6A">
          <w:pPr>
            <w:pStyle w:val="TOC3"/>
            <w:tabs>
              <w:tab w:val="right" w:leader="dot" w:pos="9620"/>
            </w:tabs>
            <w:spacing w:after="0"/>
            <w:rPr>
              <w:rFonts w:asciiTheme="minorHAnsi" w:eastAsiaTheme="minorEastAsia" w:hAnsiTheme="minorHAnsi"/>
              <w:noProof/>
              <w:kern w:val="2"/>
              <w:szCs w:val="24"/>
              <w:lang w:val="en-GB" w:eastAsia="en-GB"/>
            </w:rPr>
          </w:pPr>
          <w:hyperlink w:anchor="_Toc202268843" w:history="1">
            <w:r w:rsidRPr="0002785C">
              <w:rPr>
                <w:rStyle w:val="Hyperlink"/>
                <w:noProof/>
                <w:lang w:val="en-GB"/>
              </w:rPr>
              <w:t>Additional qualitative factors</w:t>
            </w:r>
            <w:r>
              <w:rPr>
                <w:noProof/>
                <w:webHidden/>
              </w:rPr>
              <w:tab/>
            </w:r>
            <w:r w:rsidR="00C03CFD">
              <w:rPr>
                <w:noProof/>
                <w:webHidden/>
              </w:rPr>
              <w:fldChar w:fldCharType="begin"/>
            </w:r>
            <w:r>
              <w:rPr>
                <w:noProof/>
                <w:webHidden/>
              </w:rPr>
              <w:instrText xml:space="preserve"> PAGEREF _Toc202268843 \h </w:instrText>
            </w:r>
            <w:r w:rsidR="00C03CFD">
              <w:rPr>
                <w:noProof/>
                <w:webHidden/>
              </w:rPr>
            </w:r>
            <w:r w:rsidR="00C03CFD">
              <w:rPr>
                <w:noProof/>
                <w:webHidden/>
              </w:rPr>
              <w:fldChar w:fldCharType="separate"/>
            </w:r>
            <w:r>
              <w:rPr>
                <w:noProof/>
                <w:webHidden/>
              </w:rPr>
              <w:t>13</w:t>
            </w:r>
            <w:r w:rsidR="00C03CFD">
              <w:rPr>
                <w:noProof/>
                <w:webHidden/>
              </w:rPr>
              <w:fldChar w:fldCharType="end"/>
            </w:r>
          </w:hyperlink>
        </w:p>
        <w:p w14:paraId="35F893EC" w14:textId="77777777" w:rsidR="00AE5A6A" w:rsidRDefault="00AE5A6A" w:rsidP="00AE5A6A">
          <w:pPr>
            <w:pStyle w:val="TOC3"/>
            <w:tabs>
              <w:tab w:val="right" w:leader="dot" w:pos="9620"/>
            </w:tabs>
            <w:spacing w:after="0"/>
            <w:rPr>
              <w:rFonts w:asciiTheme="minorHAnsi" w:eastAsiaTheme="minorEastAsia" w:hAnsiTheme="minorHAnsi"/>
              <w:noProof/>
              <w:kern w:val="2"/>
              <w:szCs w:val="24"/>
              <w:lang w:val="en-GB" w:eastAsia="en-GB"/>
            </w:rPr>
          </w:pPr>
          <w:hyperlink w:anchor="_Toc202268844" w:history="1">
            <w:r w:rsidRPr="0002785C">
              <w:rPr>
                <w:rStyle w:val="Hyperlink"/>
                <w:noProof/>
                <w:lang w:val="en-GB"/>
              </w:rPr>
              <w:t>Non-discounting method</w:t>
            </w:r>
            <w:r>
              <w:rPr>
                <w:noProof/>
                <w:webHidden/>
              </w:rPr>
              <w:tab/>
            </w:r>
            <w:r w:rsidR="00C03CFD">
              <w:rPr>
                <w:noProof/>
                <w:webHidden/>
              </w:rPr>
              <w:fldChar w:fldCharType="begin"/>
            </w:r>
            <w:r>
              <w:rPr>
                <w:noProof/>
                <w:webHidden/>
              </w:rPr>
              <w:instrText xml:space="preserve"> PAGEREF _Toc202268844 \h </w:instrText>
            </w:r>
            <w:r w:rsidR="00C03CFD">
              <w:rPr>
                <w:noProof/>
                <w:webHidden/>
              </w:rPr>
            </w:r>
            <w:r w:rsidR="00C03CFD">
              <w:rPr>
                <w:noProof/>
                <w:webHidden/>
              </w:rPr>
              <w:fldChar w:fldCharType="separate"/>
            </w:r>
            <w:r>
              <w:rPr>
                <w:noProof/>
                <w:webHidden/>
              </w:rPr>
              <w:t>13</w:t>
            </w:r>
            <w:r w:rsidR="00C03CFD">
              <w:rPr>
                <w:noProof/>
                <w:webHidden/>
              </w:rPr>
              <w:fldChar w:fldCharType="end"/>
            </w:r>
          </w:hyperlink>
        </w:p>
        <w:p w14:paraId="1C4FA817" w14:textId="77777777" w:rsidR="00AE5A6A" w:rsidRDefault="00AE5A6A" w:rsidP="00AE5A6A">
          <w:pPr>
            <w:pStyle w:val="TOC3"/>
            <w:tabs>
              <w:tab w:val="right" w:leader="dot" w:pos="9620"/>
            </w:tabs>
            <w:spacing w:after="0"/>
            <w:rPr>
              <w:rFonts w:asciiTheme="minorHAnsi" w:eastAsiaTheme="minorEastAsia" w:hAnsiTheme="minorHAnsi"/>
              <w:noProof/>
              <w:kern w:val="2"/>
              <w:szCs w:val="24"/>
              <w:lang w:val="en-GB" w:eastAsia="en-GB"/>
            </w:rPr>
          </w:pPr>
          <w:hyperlink w:anchor="_Toc202268845" w:history="1">
            <w:r w:rsidRPr="0002785C">
              <w:rPr>
                <w:rStyle w:val="Hyperlink"/>
                <w:noProof/>
                <w:lang w:val="en-GB"/>
              </w:rPr>
              <w:t>Investment analysis:</w:t>
            </w:r>
            <w:r>
              <w:rPr>
                <w:noProof/>
                <w:webHidden/>
              </w:rPr>
              <w:tab/>
            </w:r>
            <w:r w:rsidR="00C03CFD">
              <w:rPr>
                <w:noProof/>
                <w:webHidden/>
              </w:rPr>
              <w:fldChar w:fldCharType="begin"/>
            </w:r>
            <w:r>
              <w:rPr>
                <w:noProof/>
                <w:webHidden/>
              </w:rPr>
              <w:instrText xml:space="preserve"> PAGEREF _Toc202268845 \h </w:instrText>
            </w:r>
            <w:r w:rsidR="00C03CFD">
              <w:rPr>
                <w:noProof/>
                <w:webHidden/>
              </w:rPr>
            </w:r>
            <w:r w:rsidR="00C03CFD">
              <w:rPr>
                <w:noProof/>
                <w:webHidden/>
              </w:rPr>
              <w:fldChar w:fldCharType="separate"/>
            </w:r>
            <w:r>
              <w:rPr>
                <w:noProof/>
                <w:webHidden/>
              </w:rPr>
              <w:t>14</w:t>
            </w:r>
            <w:r w:rsidR="00C03CFD">
              <w:rPr>
                <w:noProof/>
                <w:webHidden/>
              </w:rPr>
              <w:fldChar w:fldCharType="end"/>
            </w:r>
          </w:hyperlink>
        </w:p>
        <w:p w14:paraId="36F04EA7" w14:textId="77777777" w:rsidR="00AE5A6A" w:rsidRDefault="00AE5A6A" w:rsidP="00AE5A6A">
          <w:pPr>
            <w:pStyle w:val="TOC1"/>
            <w:tabs>
              <w:tab w:val="right" w:leader="dot" w:pos="9620"/>
            </w:tabs>
            <w:spacing w:after="0"/>
            <w:rPr>
              <w:rFonts w:asciiTheme="minorHAnsi" w:eastAsiaTheme="minorEastAsia" w:hAnsiTheme="minorHAnsi"/>
              <w:noProof/>
              <w:kern w:val="2"/>
              <w:szCs w:val="24"/>
              <w:lang w:val="en-GB" w:eastAsia="en-GB"/>
            </w:rPr>
          </w:pPr>
          <w:hyperlink w:anchor="_Toc202268846" w:history="1">
            <w:r w:rsidRPr="0002785C">
              <w:rPr>
                <w:rStyle w:val="Hyperlink"/>
                <w:rFonts w:cs="Times New Roman"/>
                <w:noProof/>
                <w:lang w:val="en-GB"/>
              </w:rPr>
              <w:t>Conclusion</w:t>
            </w:r>
            <w:r>
              <w:rPr>
                <w:noProof/>
                <w:webHidden/>
              </w:rPr>
              <w:tab/>
            </w:r>
            <w:r w:rsidR="00C03CFD">
              <w:rPr>
                <w:noProof/>
                <w:webHidden/>
              </w:rPr>
              <w:fldChar w:fldCharType="begin"/>
            </w:r>
            <w:r>
              <w:rPr>
                <w:noProof/>
                <w:webHidden/>
              </w:rPr>
              <w:instrText xml:space="preserve"> PAGEREF _Toc202268846 \h </w:instrText>
            </w:r>
            <w:r w:rsidR="00C03CFD">
              <w:rPr>
                <w:noProof/>
                <w:webHidden/>
              </w:rPr>
            </w:r>
            <w:r w:rsidR="00C03CFD">
              <w:rPr>
                <w:noProof/>
                <w:webHidden/>
              </w:rPr>
              <w:fldChar w:fldCharType="separate"/>
            </w:r>
            <w:r>
              <w:rPr>
                <w:noProof/>
                <w:webHidden/>
              </w:rPr>
              <w:t>15</w:t>
            </w:r>
            <w:r w:rsidR="00C03CFD">
              <w:rPr>
                <w:noProof/>
                <w:webHidden/>
              </w:rPr>
              <w:fldChar w:fldCharType="end"/>
            </w:r>
          </w:hyperlink>
        </w:p>
        <w:p w14:paraId="3C061D68" w14:textId="77777777" w:rsidR="00AE5A6A" w:rsidRDefault="00AE5A6A" w:rsidP="00AE5A6A">
          <w:pPr>
            <w:pStyle w:val="TOC1"/>
            <w:tabs>
              <w:tab w:val="right" w:leader="dot" w:pos="9620"/>
            </w:tabs>
            <w:spacing w:after="0"/>
            <w:rPr>
              <w:rFonts w:asciiTheme="minorHAnsi" w:eastAsiaTheme="minorEastAsia" w:hAnsiTheme="minorHAnsi"/>
              <w:noProof/>
              <w:kern w:val="2"/>
              <w:szCs w:val="24"/>
              <w:lang w:val="en-GB" w:eastAsia="en-GB"/>
            </w:rPr>
          </w:pPr>
          <w:hyperlink w:anchor="_Toc202268847" w:history="1">
            <w:r w:rsidRPr="0002785C">
              <w:rPr>
                <w:rStyle w:val="Hyperlink"/>
                <w:rFonts w:cs="Times New Roman"/>
                <w:noProof/>
                <w:lang w:val="en-GB"/>
              </w:rPr>
              <w:t>Reference list</w:t>
            </w:r>
            <w:r>
              <w:rPr>
                <w:noProof/>
                <w:webHidden/>
              </w:rPr>
              <w:tab/>
            </w:r>
            <w:r w:rsidR="00C03CFD">
              <w:rPr>
                <w:noProof/>
                <w:webHidden/>
              </w:rPr>
              <w:fldChar w:fldCharType="begin"/>
            </w:r>
            <w:r>
              <w:rPr>
                <w:noProof/>
                <w:webHidden/>
              </w:rPr>
              <w:instrText xml:space="preserve"> PAGEREF _Toc202268847 \h </w:instrText>
            </w:r>
            <w:r w:rsidR="00C03CFD">
              <w:rPr>
                <w:noProof/>
                <w:webHidden/>
              </w:rPr>
            </w:r>
            <w:r w:rsidR="00C03CFD">
              <w:rPr>
                <w:noProof/>
                <w:webHidden/>
              </w:rPr>
              <w:fldChar w:fldCharType="separate"/>
            </w:r>
            <w:r>
              <w:rPr>
                <w:noProof/>
                <w:webHidden/>
              </w:rPr>
              <w:t>16</w:t>
            </w:r>
            <w:r w:rsidR="00C03CFD">
              <w:rPr>
                <w:noProof/>
                <w:webHidden/>
              </w:rPr>
              <w:fldChar w:fldCharType="end"/>
            </w:r>
          </w:hyperlink>
        </w:p>
        <w:p w14:paraId="51A2F639" w14:textId="77777777" w:rsidR="00AE5A6A" w:rsidRDefault="00AE5A6A" w:rsidP="00AE5A6A">
          <w:pPr>
            <w:pStyle w:val="TOC1"/>
            <w:tabs>
              <w:tab w:val="right" w:leader="dot" w:pos="9620"/>
            </w:tabs>
            <w:spacing w:after="0"/>
            <w:rPr>
              <w:rFonts w:asciiTheme="minorHAnsi" w:eastAsiaTheme="minorEastAsia" w:hAnsiTheme="minorHAnsi"/>
              <w:noProof/>
              <w:kern w:val="2"/>
              <w:szCs w:val="24"/>
              <w:lang w:val="en-GB" w:eastAsia="en-GB"/>
            </w:rPr>
          </w:pPr>
          <w:hyperlink w:anchor="_Toc202268848" w:history="1">
            <w:r w:rsidRPr="0002785C">
              <w:rPr>
                <w:rStyle w:val="Hyperlink"/>
                <w:rFonts w:eastAsia="Times New Roman" w:cs="Times New Roman"/>
                <w:noProof/>
                <w:lang w:val="en-GB"/>
              </w:rPr>
              <w:t>Appendices</w:t>
            </w:r>
            <w:r>
              <w:rPr>
                <w:noProof/>
                <w:webHidden/>
              </w:rPr>
              <w:tab/>
            </w:r>
            <w:r w:rsidR="00C03CFD">
              <w:rPr>
                <w:noProof/>
                <w:webHidden/>
              </w:rPr>
              <w:fldChar w:fldCharType="begin"/>
            </w:r>
            <w:r>
              <w:rPr>
                <w:noProof/>
                <w:webHidden/>
              </w:rPr>
              <w:instrText xml:space="preserve"> PAGEREF _Toc202268848 \h </w:instrText>
            </w:r>
            <w:r w:rsidR="00C03CFD">
              <w:rPr>
                <w:noProof/>
                <w:webHidden/>
              </w:rPr>
            </w:r>
            <w:r w:rsidR="00C03CFD">
              <w:rPr>
                <w:noProof/>
                <w:webHidden/>
              </w:rPr>
              <w:fldChar w:fldCharType="separate"/>
            </w:r>
            <w:r>
              <w:rPr>
                <w:noProof/>
                <w:webHidden/>
              </w:rPr>
              <w:t>20</w:t>
            </w:r>
            <w:r w:rsidR="00C03CFD">
              <w:rPr>
                <w:noProof/>
                <w:webHidden/>
              </w:rPr>
              <w:fldChar w:fldCharType="end"/>
            </w:r>
          </w:hyperlink>
        </w:p>
        <w:p w14:paraId="73CCC192"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49" w:history="1">
            <w:r w:rsidRPr="0002785C">
              <w:rPr>
                <w:rStyle w:val="Hyperlink"/>
                <w:noProof/>
                <w:lang w:val="en-GB"/>
              </w:rPr>
              <w:t>Appendix 1 - Consolidated Statement of Financial Position for M&amp;S</w:t>
            </w:r>
            <w:r>
              <w:rPr>
                <w:noProof/>
                <w:webHidden/>
              </w:rPr>
              <w:tab/>
            </w:r>
            <w:r w:rsidR="00C03CFD">
              <w:rPr>
                <w:noProof/>
                <w:webHidden/>
              </w:rPr>
              <w:fldChar w:fldCharType="begin"/>
            </w:r>
            <w:r>
              <w:rPr>
                <w:noProof/>
                <w:webHidden/>
              </w:rPr>
              <w:instrText xml:space="preserve"> PAGEREF _Toc202268849 \h </w:instrText>
            </w:r>
            <w:r w:rsidR="00C03CFD">
              <w:rPr>
                <w:noProof/>
                <w:webHidden/>
              </w:rPr>
            </w:r>
            <w:r w:rsidR="00C03CFD">
              <w:rPr>
                <w:noProof/>
                <w:webHidden/>
              </w:rPr>
              <w:fldChar w:fldCharType="separate"/>
            </w:r>
            <w:r>
              <w:rPr>
                <w:noProof/>
                <w:webHidden/>
              </w:rPr>
              <w:t>20</w:t>
            </w:r>
            <w:r w:rsidR="00C03CFD">
              <w:rPr>
                <w:noProof/>
                <w:webHidden/>
              </w:rPr>
              <w:fldChar w:fldCharType="end"/>
            </w:r>
          </w:hyperlink>
        </w:p>
        <w:p w14:paraId="112AE837"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0" w:history="1">
            <w:r w:rsidRPr="0002785C">
              <w:rPr>
                <w:rStyle w:val="Hyperlink"/>
                <w:noProof/>
                <w:lang w:val="en-GB"/>
              </w:rPr>
              <w:t>Appendix 2 - Consolidated Income Statement for M&amp;S</w:t>
            </w:r>
            <w:r>
              <w:rPr>
                <w:noProof/>
                <w:webHidden/>
              </w:rPr>
              <w:tab/>
            </w:r>
            <w:r w:rsidR="00C03CFD">
              <w:rPr>
                <w:noProof/>
                <w:webHidden/>
              </w:rPr>
              <w:fldChar w:fldCharType="begin"/>
            </w:r>
            <w:r>
              <w:rPr>
                <w:noProof/>
                <w:webHidden/>
              </w:rPr>
              <w:instrText xml:space="preserve"> PAGEREF _Toc202268850 \h </w:instrText>
            </w:r>
            <w:r w:rsidR="00C03CFD">
              <w:rPr>
                <w:noProof/>
                <w:webHidden/>
              </w:rPr>
            </w:r>
            <w:r w:rsidR="00C03CFD">
              <w:rPr>
                <w:noProof/>
                <w:webHidden/>
              </w:rPr>
              <w:fldChar w:fldCharType="separate"/>
            </w:r>
            <w:r>
              <w:rPr>
                <w:noProof/>
                <w:webHidden/>
              </w:rPr>
              <w:t>21</w:t>
            </w:r>
            <w:r w:rsidR="00C03CFD">
              <w:rPr>
                <w:noProof/>
                <w:webHidden/>
              </w:rPr>
              <w:fldChar w:fldCharType="end"/>
            </w:r>
          </w:hyperlink>
        </w:p>
        <w:p w14:paraId="361B484B"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1" w:history="1">
            <w:r w:rsidRPr="0002785C">
              <w:rPr>
                <w:rStyle w:val="Hyperlink"/>
                <w:noProof/>
                <w:lang w:val="en-GB"/>
              </w:rPr>
              <w:t>Appendix 3 - Consolidated Statement of Chances in Equity for M&amp;S</w:t>
            </w:r>
            <w:r>
              <w:rPr>
                <w:noProof/>
                <w:webHidden/>
              </w:rPr>
              <w:tab/>
            </w:r>
            <w:r w:rsidR="00C03CFD">
              <w:rPr>
                <w:noProof/>
                <w:webHidden/>
              </w:rPr>
              <w:fldChar w:fldCharType="begin"/>
            </w:r>
            <w:r>
              <w:rPr>
                <w:noProof/>
                <w:webHidden/>
              </w:rPr>
              <w:instrText xml:space="preserve"> PAGEREF _Toc202268851 \h </w:instrText>
            </w:r>
            <w:r w:rsidR="00C03CFD">
              <w:rPr>
                <w:noProof/>
                <w:webHidden/>
              </w:rPr>
            </w:r>
            <w:r w:rsidR="00C03CFD">
              <w:rPr>
                <w:noProof/>
                <w:webHidden/>
              </w:rPr>
              <w:fldChar w:fldCharType="separate"/>
            </w:r>
            <w:r>
              <w:rPr>
                <w:noProof/>
                <w:webHidden/>
              </w:rPr>
              <w:t>22</w:t>
            </w:r>
            <w:r w:rsidR="00C03CFD">
              <w:rPr>
                <w:noProof/>
                <w:webHidden/>
              </w:rPr>
              <w:fldChar w:fldCharType="end"/>
            </w:r>
          </w:hyperlink>
        </w:p>
        <w:p w14:paraId="4FB13592"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2" w:history="1">
            <w:r w:rsidRPr="0002785C">
              <w:rPr>
                <w:rStyle w:val="Hyperlink"/>
                <w:noProof/>
                <w:lang w:val="en-GB"/>
              </w:rPr>
              <w:t>Appendix 4: Ratio Analysis Calculation</w:t>
            </w:r>
            <w:r>
              <w:rPr>
                <w:noProof/>
                <w:webHidden/>
              </w:rPr>
              <w:tab/>
            </w:r>
            <w:r w:rsidR="00C03CFD">
              <w:rPr>
                <w:noProof/>
                <w:webHidden/>
              </w:rPr>
              <w:fldChar w:fldCharType="begin"/>
            </w:r>
            <w:r>
              <w:rPr>
                <w:noProof/>
                <w:webHidden/>
              </w:rPr>
              <w:instrText xml:space="preserve"> PAGEREF _Toc202268852 \h </w:instrText>
            </w:r>
            <w:r w:rsidR="00C03CFD">
              <w:rPr>
                <w:noProof/>
                <w:webHidden/>
              </w:rPr>
            </w:r>
            <w:r w:rsidR="00C03CFD">
              <w:rPr>
                <w:noProof/>
                <w:webHidden/>
              </w:rPr>
              <w:fldChar w:fldCharType="separate"/>
            </w:r>
            <w:r>
              <w:rPr>
                <w:noProof/>
                <w:webHidden/>
              </w:rPr>
              <w:t>23</w:t>
            </w:r>
            <w:r w:rsidR="00C03CFD">
              <w:rPr>
                <w:noProof/>
                <w:webHidden/>
              </w:rPr>
              <w:fldChar w:fldCharType="end"/>
            </w:r>
          </w:hyperlink>
        </w:p>
        <w:p w14:paraId="5C60F116"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3" w:history="1">
            <w:r w:rsidRPr="0002785C">
              <w:rPr>
                <w:rStyle w:val="Hyperlink"/>
                <w:noProof/>
                <w:lang w:val="en-GB"/>
              </w:rPr>
              <w:t>Appendix 5 - Financial evaluation of the three options (NPV @ 6 %)</w:t>
            </w:r>
            <w:r>
              <w:rPr>
                <w:noProof/>
                <w:webHidden/>
              </w:rPr>
              <w:tab/>
            </w:r>
            <w:r w:rsidR="00C03CFD">
              <w:rPr>
                <w:noProof/>
                <w:webHidden/>
              </w:rPr>
              <w:fldChar w:fldCharType="begin"/>
            </w:r>
            <w:r>
              <w:rPr>
                <w:noProof/>
                <w:webHidden/>
              </w:rPr>
              <w:instrText xml:space="preserve"> PAGEREF _Toc202268853 \h </w:instrText>
            </w:r>
            <w:r w:rsidR="00C03CFD">
              <w:rPr>
                <w:noProof/>
                <w:webHidden/>
              </w:rPr>
            </w:r>
            <w:r w:rsidR="00C03CFD">
              <w:rPr>
                <w:noProof/>
                <w:webHidden/>
              </w:rPr>
              <w:fldChar w:fldCharType="separate"/>
            </w:r>
            <w:r>
              <w:rPr>
                <w:noProof/>
                <w:webHidden/>
              </w:rPr>
              <w:t>24</w:t>
            </w:r>
            <w:r w:rsidR="00C03CFD">
              <w:rPr>
                <w:noProof/>
                <w:webHidden/>
              </w:rPr>
              <w:fldChar w:fldCharType="end"/>
            </w:r>
          </w:hyperlink>
        </w:p>
        <w:p w14:paraId="0E0DCB09"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4" w:history="1">
            <w:r w:rsidRPr="0002785C">
              <w:rPr>
                <w:rStyle w:val="Hyperlink"/>
                <w:noProof/>
                <w:lang w:val="en-GB"/>
              </w:rPr>
              <w:t>Appendix 6 - Calculation notes (all £000)</w:t>
            </w:r>
            <w:r>
              <w:rPr>
                <w:noProof/>
                <w:webHidden/>
              </w:rPr>
              <w:tab/>
            </w:r>
            <w:r w:rsidR="00C03CFD">
              <w:rPr>
                <w:noProof/>
                <w:webHidden/>
              </w:rPr>
              <w:fldChar w:fldCharType="begin"/>
            </w:r>
            <w:r>
              <w:rPr>
                <w:noProof/>
                <w:webHidden/>
              </w:rPr>
              <w:instrText xml:space="preserve"> PAGEREF _Toc202268854 \h </w:instrText>
            </w:r>
            <w:r w:rsidR="00C03CFD">
              <w:rPr>
                <w:noProof/>
                <w:webHidden/>
              </w:rPr>
            </w:r>
            <w:r w:rsidR="00C03CFD">
              <w:rPr>
                <w:noProof/>
                <w:webHidden/>
              </w:rPr>
              <w:fldChar w:fldCharType="separate"/>
            </w:r>
            <w:r>
              <w:rPr>
                <w:noProof/>
                <w:webHidden/>
              </w:rPr>
              <w:t>24</w:t>
            </w:r>
            <w:r w:rsidR="00C03CFD">
              <w:rPr>
                <w:noProof/>
                <w:webHidden/>
              </w:rPr>
              <w:fldChar w:fldCharType="end"/>
            </w:r>
          </w:hyperlink>
        </w:p>
        <w:p w14:paraId="4232DD47"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5" w:history="1">
            <w:r w:rsidRPr="0002785C">
              <w:rPr>
                <w:rStyle w:val="Hyperlink"/>
                <w:noProof/>
                <w:lang w:val="en-GB"/>
              </w:rPr>
              <w:t>Appendix 7 - Capital rationing: optimal policy with a £2 m limit</w:t>
            </w:r>
            <w:r>
              <w:rPr>
                <w:noProof/>
                <w:webHidden/>
              </w:rPr>
              <w:tab/>
            </w:r>
            <w:r w:rsidR="00C03CFD">
              <w:rPr>
                <w:noProof/>
                <w:webHidden/>
              </w:rPr>
              <w:fldChar w:fldCharType="begin"/>
            </w:r>
            <w:r>
              <w:rPr>
                <w:noProof/>
                <w:webHidden/>
              </w:rPr>
              <w:instrText xml:space="preserve"> PAGEREF _Toc202268855 \h </w:instrText>
            </w:r>
            <w:r w:rsidR="00C03CFD">
              <w:rPr>
                <w:noProof/>
                <w:webHidden/>
              </w:rPr>
            </w:r>
            <w:r w:rsidR="00C03CFD">
              <w:rPr>
                <w:noProof/>
                <w:webHidden/>
              </w:rPr>
              <w:fldChar w:fldCharType="separate"/>
            </w:r>
            <w:r>
              <w:rPr>
                <w:noProof/>
                <w:webHidden/>
              </w:rPr>
              <w:t>24</w:t>
            </w:r>
            <w:r w:rsidR="00C03CFD">
              <w:rPr>
                <w:noProof/>
                <w:webHidden/>
              </w:rPr>
              <w:fldChar w:fldCharType="end"/>
            </w:r>
          </w:hyperlink>
        </w:p>
        <w:p w14:paraId="345FD1CC"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6" w:history="1">
            <w:r w:rsidRPr="0002785C">
              <w:rPr>
                <w:rStyle w:val="Hyperlink"/>
                <w:noProof/>
                <w:lang w:val="en-GB"/>
              </w:rPr>
              <w:t>Appendix 8 - Financing the programme</w:t>
            </w:r>
            <w:r>
              <w:rPr>
                <w:noProof/>
                <w:webHidden/>
              </w:rPr>
              <w:tab/>
            </w:r>
            <w:r w:rsidR="00C03CFD">
              <w:rPr>
                <w:noProof/>
                <w:webHidden/>
              </w:rPr>
              <w:fldChar w:fldCharType="begin"/>
            </w:r>
            <w:r>
              <w:rPr>
                <w:noProof/>
                <w:webHidden/>
              </w:rPr>
              <w:instrText xml:space="preserve"> PAGEREF _Toc202268856 \h </w:instrText>
            </w:r>
            <w:r w:rsidR="00C03CFD">
              <w:rPr>
                <w:noProof/>
                <w:webHidden/>
              </w:rPr>
            </w:r>
            <w:r w:rsidR="00C03CFD">
              <w:rPr>
                <w:noProof/>
                <w:webHidden/>
              </w:rPr>
              <w:fldChar w:fldCharType="separate"/>
            </w:r>
            <w:r>
              <w:rPr>
                <w:noProof/>
                <w:webHidden/>
              </w:rPr>
              <w:t>25</w:t>
            </w:r>
            <w:r w:rsidR="00C03CFD">
              <w:rPr>
                <w:noProof/>
                <w:webHidden/>
              </w:rPr>
              <w:fldChar w:fldCharType="end"/>
            </w:r>
          </w:hyperlink>
        </w:p>
        <w:p w14:paraId="5B005341" w14:textId="77777777" w:rsidR="00AE5A6A" w:rsidRDefault="00AE5A6A" w:rsidP="00AE5A6A">
          <w:pPr>
            <w:pStyle w:val="TOC2"/>
            <w:tabs>
              <w:tab w:val="right" w:leader="dot" w:pos="9620"/>
            </w:tabs>
            <w:spacing w:after="0"/>
            <w:rPr>
              <w:rFonts w:asciiTheme="minorHAnsi" w:eastAsiaTheme="minorEastAsia" w:hAnsiTheme="minorHAnsi"/>
              <w:noProof/>
              <w:kern w:val="2"/>
              <w:szCs w:val="24"/>
              <w:lang w:val="en-GB" w:eastAsia="en-GB"/>
            </w:rPr>
          </w:pPr>
          <w:hyperlink w:anchor="_Toc202268857" w:history="1">
            <w:r w:rsidRPr="0002785C">
              <w:rPr>
                <w:rStyle w:val="Hyperlink"/>
                <w:noProof/>
                <w:lang w:val="en-GB"/>
              </w:rPr>
              <w:t>Appendix 9 - AI Declaration: Acknowledgement of Not Using Any AI Tools</w:t>
            </w:r>
            <w:r>
              <w:rPr>
                <w:noProof/>
                <w:webHidden/>
              </w:rPr>
              <w:tab/>
            </w:r>
            <w:r w:rsidR="00C03CFD">
              <w:rPr>
                <w:noProof/>
                <w:webHidden/>
              </w:rPr>
              <w:fldChar w:fldCharType="begin"/>
            </w:r>
            <w:r>
              <w:rPr>
                <w:noProof/>
                <w:webHidden/>
              </w:rPr>
              <w:instrText xml:space="preserve"> PAGEREF _Toc202268857 \h </w:instrText>
            </w:r>
            <w:r w:rsidR="00C03CFD">
              <w:rPr>
                <w:noProof/>
                <w:webHidden/>
              </w:rPr>
            </w:r>
            <w:r w:rsidR="00C03CFD">
              <w:rPr>
                <w:noProof/>
                <w:webHidden/>
              </w:rPr>
              <w:fldChar w:fldCharType="separate"/>
            </w:r>
            <w:r>
              <w:rPr>
                <w:noProof/>
                <w:webHidden/>
              </w:rPr>
              <w:t>26</w:t>
            </w:r>
            <w:r w:rsidR="00C03CFD">
              <w:rPr>
                <w:noProof/>
                <w:webHidden/>
              </w:rPr>
              <w:fldChar w:fldCharType="end"/>
            </w:r>
          </w:hyperlink>
        </w:p>
        <w:p w14:paraId="3686BDC7" w14:textId="77777777" w:rsidR="0009430E" w:rsidRPr="00AE5A6A" w:rsidRDefault="00C03CFD" w:rsidP="00AE5A6A">
          <w:pPr>
            <w:rPr>
              <w:rFonts w:ascii="Times New Roman" w:hAnsi="Times New Roman" w:cs="Times New Roman"/>
              <w:lang w:val="en-GB"/>
            </w:rPr>
          </w:pPr>
          <w:r w:rsidRPr="00AE5A6A">
            <w:rPr>
              <w:rFonts w:ascii="Times New Roman" w:hAnsi="Times New Roman" w:cs="Times New Roman"/>
              <w:b/>
              <w:bCs/>
              <w:noProof/>
              <w:lang w:val="en-GB"/>
            </w:rPr>
            <w:fldChar w:fldCharType="end"/>
          </w:r>
        </w:p>
      </w:sdtContent>
    </w:sdt>
    <w:p w14:paraId="6A2B5AF9" w14:textId="77777777" w:rsidR="0022576E" w:rsidRPr="00AE5A6A" w:rsidRDefault="00C77F72" w:rsidP="00937AD8">
      <w:pPr>
        <w:pStyle w:val="Heading1"/>
        <w:rPr>
          <w:rFonts w:cs="Times New Roman"/>
          <w:lang w:val="en-GB"/>
        </w:rPr>
      </w:pPr>
      <w:bookmarkStart w:id="2" w:name="_Toc202268830"/>
      <w:r w:rsidRPr="00AE5A6A">
        <w:rPr>
          <w:rFonts w:cs="Times New Roman"/>
          <w:lang w:val="en-GB"/>
        </w:rPr>
        <w:lastRenderedPageBreak/>
        <w:t>Introduction</w:t>
      </w:r>
      <w:bookmarkEnd w:id="2"/>
    </w:p>
    <w:p w14:paraId="1C4E00F0" w14:textId="75C14ADE" w:rsidR="00E204F2" w:rsidRPr="00AE5A6A" w:rsidRDefault="00E204F2" w:rsidP="00937AD8">
      <w:pPr>
        <w:pStyle w:val="NormalWeb"/>
        <w:spacing w:before="0" w:beforeAutospacing="0" w:after="0" w:afterAutospacing="0" w:line="360" w:lineRule="auto"/>
        <w:jc w:val="both"/>
        <w:rPr>
          <w:lang w:val="en-GB"/>
        </w:rPr>
      </w:pPr>
      <w:r w:rsidRPr="00AE5A6A">
        <w:rPr>
          <w:lang w:val="en-GB"/>
        </w:rPr>
        <w:t>Marks &amp; Spencer plc (“M&amp;S”) traces its origins to the pioneering penny bazaars founded by Michael Marks and Thomas Spencer in Leeds in 1884. Over nearly 140 years, M&amp;S has grown into a leading FTSE 100 multinational retailer—renowned for its diverse portfolio spanning clothing, beauty, home furnishings, and food and beverages</w:t>
      </w:r>
      <w:r w:rsidR="00951F94">
        <w:rPr>
          <w:lang w:val="en-GB"/>
        </w:rPr>
        <w:t xml:space="preserve"> </w:t>
      </w:r>
      <w:r w:rsidR="00531582" w:rsidRPr="00531582">
        <w:rPr>
          <w:lang w:val="en-GB"/>
        </w:rPr>
        <w:t>(M&amp;S, 2025)</w:t>
      </w:r>
      <w:r w:rsidRPr="00AE5A6A">
        <w:rPr>
          <w:lang w:val="en-GB"/>
        </w:rPr>
        <w:t>. The firm pioneered innovations such as the first packaged sandwiches in British supermarkets (1980) and the launch of high-margin branded food products in the late 2000</w:t>
      </w:r>
      <w:r w:rsidR="00213B9C" w:rsidRPr="00AE5A6A">
        <w:rPr>
          <w:lang w:val="en-GB"/>
        </w:rPr>
        <w:t>s (</w:t>
      </w:r>
      <w:r w:rsidR="004D5248" w:rsidRPr="00AE5A6A">
        <w:rPr>
          <w:lang w:val="en-GB"/>
        </w:rPr>
        <w:t>M&amp;S, 2025)</w:t>
      </w:r>
      <w:r w:rsidRPr="00AE5A6A">
        <w:rPr>
          <w:lang w:val="en-GB"/>
        </w:rPr>
        <w:t>. More recently, M&amp;S has navigated significant strategic shifts— including major store closures, joint ventures (notably with Ocado), and leadership changes—to reposition itself as a modern, omnichannel retailer. Financially, M&amp;S has displayed resilience amid evolving market conditions. While its profitability metrics—including gross and net margins, return on assets and equity—have experienced modest declines from 2024 to 2025, the company has also strengthened its liquidity and slightly reduced financial leverage. Despite a dipped price–earnings ratio, shareholding and incentive structures remain robust, and the company continues to champion diversity, equity, and inclusion—evidenced by a narrowing gender pay gap and strong female representation across senior roles</w:t>
      </w:r>
      <w:r w:rsidR="006F0349" w:rsidRPr="00AE5A6A">
        <w:rPr>
          <w:lang w:val="en-GB"/>
        </w:rPr>
        <w:t xml:space="preserve"> (M&amp;S, 2025)</w:t>
      </w:r>
      <w:r w:rsidRPr="00AE5A6A">
        <w:rPr>
          <w:lang w:val="en-GB"/>
        </w:rPr>
        <w:t xml:space="preserve">. This report provides a holistic analysis of M&amp;S’s performance and strategic trajectory—integrating historical context, recent financial trends, governance, and social responsibility metrics—with the </w:t>
      </w:r>
      <w:r w:rsidR="00AE5A6A" w:rsidRPr="00AE5A6A">
        <w:rPr>
          <w:lang w:val="en-GB"/>
        </w:rPr>
        <w:t>goal</w:t>
      </w:r>
      <w:r w:rsidRPr="00AE5A6A">
        <w:rPr>
          <w:lang w:val="en-GB"/>
        </w:rPr>
        <w:t xml:space="preserve"> of informing investment decisions and guiding forward-looking operational strategy. </w:t>
      </w:r>
    </w:p>
    <w:p w14:paraId="7786C20A" w14:textId="6DEAB616" w:rsidR="00E204F2" w:rsidRPr="00AE5A6A" w:rsidRDefault="00E204F2" w:rsidP="00937AD8">
      <w:pPr>
        <w:pStyle w:val="NormalWeb"/>
        <w:spacing w:before="0" w:beforeAutospacing="0" w:after="0" w:afterAutospacing="0" w:line="360" w:lineRule="auto"/>
        <w:jc w:val="both"/>
        <w:rPr>
          <w:lang w:val="en-GB"/>
        </w:rPr>
      </w:pPr>
      <w:r w:rsidRPr="00AE5A6A">
        <w:rPr>
          <w:rStyle w:val="relative"/>
          <w:lang w:val="en-GB"/>
        </w:rPr>
        <w:t xml:space="preserve">This report presents a </w:t>
      </w:r>
      <w:r w:rsidRPr="00AE5A6A">
        <w:rPr>
          <w:rStyle w:val="Strong"/>
          <w:b w:val="0"/>
          <w:lang w:val="en-GB"/>
        </w:rPr>
        <w:t>discounted cash flow (DCF) appraisal</w:t>
      </w:r>
      <w:r w:rsidRPr="00AE5A6A">
        <w:rPr>
          <w:rStyle w:val="relative"/>
          <w:lang w:val="en-GB"/>
        </w:rPr>
        <w:t xml:space="preserve"> of three investment options under a £2 million capital constraint, assuming a 6% cost of capital. The analysis reveals that </w:t>
      </w:r>
      <w:r w:rsidRPr="00AE5A6A">
        <w:rPr>
          <w:rStyle w:val="Strong"/>
          <w:b w:val="0"/>
          <w:lang w:val="en-GB"/>
        </w:rPr>
        <w:t xml:space="preserve">Option B (online sales </w:t>
      </w:r>
      <w:r w:rsidR="00213B9C" w:rsidRPr="00AE5A6A">
        <w:rPr>
          <w:rStyle w:val="Strong"/>
          <w:b w:val="0"/>
          <w:lang w:val="en-GB"/>
        </w:rPr>
        <w:t>expansion)</w:t>
      </w:r>
      <w:r w:rsidR="00213B9C" w:rsidRPr="00AE5A6A">
        <w:rPr>
          <w:rStyle w:val="relative"/>
          <w:lang w:val="en-GB"/>
        </w:rPr>
        <w:t xml:space="preserve"> offers</w:t>
      </w:r>
      <w:r w:rsidRPr="00AE5A6A">
        <w:rPr>
          <w:rStyle w:val="relative"/>
          <w:lang w:val="en-GB"/>
        </w:rPr>
        <w:t xml:space="preserve"> the highest value, with a net present value (NPV) of approximately </w:t>
      </w:r>
      <w:r w:rsidRPr="00AE5A6A">
        <w:rPr>
          <w:rStyle w:val="Strong"/>
          <w:b w:val="0"/>
          <w:lang w:val="en-GB"/>
        </w:rPr>
        <w:t>£0.92 million</w:t>
      </w:r>
      <w:r w:rsidRPr="00AE5A6A">
        <w:rPr>
          <w:rStyle w:val="relative"/>
          <w:lang w:val="en-GB"/>
        </w:rPr>
        <w:t xml:space="preserve">—achieved after accounting for tax impacts and capital allowance benefits—and an impressive </w:t>
      </w:r>
      <w:r w:rsidRPr="00AE5A6A">
        <w:rPr>
          <w:rStyle w:val="Strong"/>
          <w:b w:val="0"/>
          <w:lang w:val="en-GB"/>
        </w:rPr>
        <w:t>internal rate of return (IRR) of ~36%</w:t>
      </w:r>
      <w:r w:rsidRPr="00AE5A6A">
        <w:rPr>
          <w:rStyle w:val="relative"/>
          <w:lang w:val="en-GB"/>
        </w:rPr>
        <w:t xml:space="preserve"> using linear interpolation between 30% (positive NPV) and 40% (negative NPV) estimates, far exceeding the hurdle rate</w:t>
      </w:r>
      <w:r w:rsidRPr="00AE5A6A">
        <w:rPr>
          <w:lang w:val="en-GB"/>
        </w:rPr>
        <w:t xml:space="preserve">. </w:t>
      </w:r>
      <w:r w:rsidRPr="00AE5A6A">
        <w:rPr>
          <w:rStyle w:val="relative"/>
          <w:lang w:val="en-GB"/>
        </w:rPr>
        <w:t xml:space="preserve">Under a £2 million investment ceiling, the optimal deployment involves fully funding </w:t>
      </w:r>
      <w:r w:rsidRPr="00AE5A6A">
        <w:rPr>
          <w:rStyle w:val="Strong"/>
          <w:b w:val="0"/>
          <w:lang w:val="en-GB"/>
        </w:rPr>
        <w:t>Options B and A</w:t>
      </w:r>
      <w:r w:rsidRPr="00AE5A6A">
        <w:rPr>
          <w:rStyle w:val="relative"/>
          <w:lang w:val="en-GB"/>
        </w:rPr>
        <w:t xml:space="preserve">, alongside a </w:t>
      </w:r>
      <w:r w:rsidRPr="00AE5A6A">
        <w:rPr>
          <w:rStyle w:val="Strong"/>
          <w:b w:val="0"/>
          <w:lang w:val="en-GB"/>
        </w:rPr>
        <w:t>25% partial investment in Option C</w:t>
      </w:r>
      <w:r w:rsidRPr="00AE5A6A">
        <w:rPr>
          <w:rStyle w:val="relative"/>
          <w:lang w:val="en-GB"/>
        </w:rPr>
        <w:t xml:space="preserve">, yielding a combined NPV of around </w:t>
      </w:r>
      <w:r w:rsidRPr="00AE5A6A">
        <w:rPr>
          <w:rStyle w:val="Strong"/>
          <w:b w:val="0"/>
          <w:lang w:val="en-GB"/>
        </w:rPr>
        <w:t>£1.64 million</w:t>
      </w:r>
      <w:r w:rsidRPr="00AE5A6A">
        <w:rPr>
          <w:rStyle w:val="relative"/>
          <w:lang w:val="en-GB"/>
        </w:rPr>
        <w:t xml:space="preserve">. The preference for NPV stems from its capacity to measure </w:t>
      </w:r>
      <w:r w:rsidRPr="00AE5A6A">
        <w:rPr>
          <w:rStyle w:val="Strong"/>
          <w:b w:val="0"/>
          <w:lang w:val="en-GB"/>
        </w:rPr>
        <w:t xml:space="preserve">absolute wealth </w:t>
      </w:r>
      <w:proofErr w:type="spellStart"/>
      <w:r w:rsidRPr="00AE5A6A">
        <w:rPr>
          <w:rStyle w:val="Strong"/>
          <w:b w:val="0"/>
          <w:lang w:val="en-GB"/>
        </w:rPr>
        <w:t>creation</w:t>
      </w:r>
      <w:r w:rsidRPr="00AE5A6A">
        <w:rPr>
          <w:rStyle w:val="relative"/>
          <w:lang w:val="en-GB"/>
        </w:rPr>
        <w:t>and</w:t>
      </w:r>
      <w:proofErr w:type="spellEnd"/>
      <w:r w:rsidRPr="00AE5A6A">
        <w:rPr>
          <w:rStyle w:val="relative"/>
          <w:lang w:val="en-GB"/>
        </w:rPr>
        <w:t xml:space="preserve"> to incorporate the </w:t>
      </w:r>
      <w:r w:rsidRPr="00AE5A6A">
        <w:rPr>
          <w:rStyle w:val="Strong"/>
          <w:b w:val="0"/>
          <w:lang w:val="en-GB"/>
        </w:rPr>
        <w:t>time value of money</w:t>
      </w:r>
      <w:r w:rsidRPr="00AE5A6A">
        <w:rPr>
          <w:rStyle w:val="relative"/>
          <w:lang w:val="en-GB"/>
        </w:rPr>
        <w:t xml:space="preserve">, aligning with shareholder value maximization </w:t>
      </w:r>
      <w:proofErr w:type="spellStart"/>
      <w:proofErr w:type="gramStart"/>
      <w:r w:rsidR="00AE5A6A" w:rsidRPr="00AE5A6A">
        <w:rPr>
          <w:rStyle w:val="relative"/>
          <w:lang w:val="en-GB"/>
        </w:rPr>
        <w:t>principles</w:t>
      </w:r>
      <w:r w:rsidR="00AE5A6A" w:rsidRPr="00AE5A6A">
        <w:rPr>
          <w:lang w:val="en-GB"/>
        </w:rPr>
        <w:t>.</w:t>
      </w:r>
      <w:r w:rsidRPr="00AE5A6A">
        <w:rPr>
          <w:rStyle w:val="relative"/>
          <w:lang w:val="en-GB"/>
        </w:rPr>
        <w:t>While</w:t>
      </w:r>
      <w:proofErr w:type="spellEnd"/>
      <w:proofErr w:type="gramEnd"/>
      <w:r w:rsidRPr="00AE5A6A">
        <w:rPr>
          <w:rStyle w:val="relative"/>
          <w:lang w:val="en-GB"/>
        </w:rPr>
        <w:t xml:space="preserve"> non-discounting metrics like Payback persist due to their simplicity and low data requirements, NPV remains the superior evaluation tool for capital budgeting decisions</w:t>
      </w:r>
      <w:r w:rsidRPr="00AE5A6A">
        <w:rPr>
          <w:lang w:val="en-GB"/>
        </w:rPr>
        <w:t>. Before proceeding, the Board should assess strategic fit, execution risk, and financing capacity. A balanced funding mix—</w:t>
      </w:r>
      <w:r w:rsidRPr="00AE5A6A">
        <w:rPr>
          <w:lang w:val="en-GB"/>
        </w:rPr>
        <w:lastRenderedPageBreak/>
        <w:t xml:space="preserve">spanning </w:t>
      </w:r>
      <w:r w:rsidRPr="00AE5A6A">
        <w:rPr>
          <w:rStyle w:val="Strong"/>
          <w:b w:val="0"/>
          <w:lang w:val="en-GB"/>
        </w:rPr>
        <w:t>retained earnings</w:t>
      </w:r>
      <w:r w:rsidRPr="00AE5A6A">
        <w:rPr>
          <w:b/>
          <w:lang w:val="en-GB"/>
        </w:rPr>
        <w:t xml:space="preserve">, </w:t>
      </w:r>
      <w:r w:rsidRPr="00AE5A6A">
        <w:rPr>
          <w:rStyle w:val="Strong"/>
          <w:b w:val="0"/>
          <w:lang w:val="en-GB"/>
        </w:rPr>
        <w:t>medium-term bank debt</w:t>
      </w:r>
      <w:r w:rsidRPr="00AE5A6A">
        <w:rPr>
          <w:lang w:val="en-GB"/>
        </w:rPr>
        <w:t xml:space="preserve">, and potentially </w:t>
      </w:r>
      <w:r w:rsidRPr="00AE5A6A">
        <w:rPr>
          <w:rStyle w:val="Strong"/>
          <w:b w:val="0"/>
          <w:lang w:val="en-GB"/>
        </w:rPr>
        <w:t>asset-backed leasing</w:t>
      </w:r>
      <w:r w:rsidRPr="00AE5A6A">
        <w:rPr>
          <w:lang w:val="en-GB"/>
        </w:rPr>
        <w:t>—is recommended to maintain operational flexibility and financial resilience. Subsequent sections will detail cash-flow assumptions (including tax and straight-line capital allowances), IRR calculation methodology, strategic rationale, financing options, and post-investment performance benchmarks.</w:t>
      </w:r>
    </w:p>
    <w:p w14:paraId="07CEE515" w14:textId="77777777" w:rsidR="00C77F72" w:rsidRPr="00AE5A6A" w:rsidRDefault="0009430E" w:rsidP="00937AD8">
      <w:pPr>
        <w:pStyle w:val="Heading1"/>
        <w:rPr>
          <w:rFonts w:eastAsia="Times New Roman" w:cs="Times New Roman"/>
          <w:lang w:val="en-GB"/>
        </w:rPr>
      </w:pPr>
      <w:bookmarkStart w:id="3" w:name="_Toc202268831"/>
      <w:r w:rsidRPr="00AE5A6A">
        <w:rPr>
          <w:rFonts w:eastAsia="Times New Roman" w:cs="Times New Roman"/>
          <w:lang w:val="en-GB"/>
        </w:rPr>
        <w:t xml:space="preserve">Part 1: </w:t>
      </w:r>
      <w:r w:rsidR="00C77F72" w:rsidRPr="00AE5A6A">
        <w:rPr>
          <w:rFonts w:eastAsia="Times New Roman" w:cs="Times New Roman"/>
          <w:lang w:val="en-GB"/>
        </w:rPr>
        <w:t>Critical Evaluation of Ratios</w:t>
      </w:r>
      <w:bookmarkEnd w:id="3"/>
    </w:p>
    <w:p w14:paraId="27371C64" w14:textId="77777777" w:rsidR="00C77F72" w:rsidRPr="00AE5A6A" w:rsidRDefault="00C77F72" w:rsidP="007B68F1">
      <w:pPr>
        <w:pStyle w:val="Heading2"/>
        <w:rPr>
          <w:lang w:val="en-GB"/>
        </w:rPr>
      </w:pPr>
      <w:bookmarkStart w:id="4" w:name="_Toc202268832"/>
      <w:r w:rsidRPr="00AE5A6A">
        <w:rPr>
          <w:lang w:val="en-GB"/>
        </w:rPr>
        <w:t>Profitability Ratios</w:t>
      </w:r>
      <w:bookmarkEnd w:id="4"/>
    </w:p>
    <w:p w14:paraId="0848DFEE" w14:textId="77777777" w:rsidR="00C77F72" w:rsidRPr="00AE5A6A" w:rsidRDefault="00C77F72" w:rsidP="00937AD8">
      <w:pPr>
        <w:spacing w:after="0"/>
        <w:jc w:val="both"/>
        <w:rPr>
          <w:rFonts w:ascii="Times New Roman" w:eastAsia="Times New Roman" w:hAnsi="Times New Roman" w:cs="Times New Roman"/>
          <w:szCs w:val="24"/>
          <w:lang w:val="en-GB"/>
        </w:rPr>
      </w:pPr>
      <w:r w:rsidRPr="00AE5A6A">
        <w:rPr>
          <w:rStyle w:val="relative"/>
          <w:rFonts w:ascii="Times New Roman" w:hAnsi="Times New Roman" w:cs="Times New Roman"/>
          <w:lang w:val="en-GB"/>
        </w:rPr>
        <w:t xml:space="preserve">A </w:t>
      </w:r>
      <w:r w:rsidRPr="00E955A4">
        <w:rPr>
          <w:rStyle w:val="Strong"/>
          <w:rFonts w:ascii="Times New Roman" w:hAnsi="Times New Roman" w:cs="Times New Roman"/>
          <w:i/>
          <w:lang w:val="en-GB"/>
        </w:rPr>
        <w:t>profitability ratio</w:t>
      </w:r>
      <w:r w:rsidRPr="00E955A4">
        <w:rPr>
          <w:rStyle w:val="relative"/>
          <w:rFonts w:ascii="Times New Roman" w:hAnsi="Times New Roman" w:cs="Times New Roman"/>
          <w:i/>
          <w:lang w:val="en-GB"/>
        </w:rPr>
        <w:t xml:space="preserve"> </w:t>
      </w:r>
      <w:r w:rsidRPr="00AE5A6A">
        <w:rPr>
          <w:rStyle w:val="relative"/>
          <w:rFonts w:ascii="Times New Roman" w:hAnsi="Times New Roman" w:cs="Times New Roman"/>
          <w:lang w:val="en-GB"/>
        </w:rPr>
        <w:t>is a financial metric that evaluates a company's ability to generate earnings relative to its revenue, operating costs, assets, or shareholders' equity during a given period</w:t>
      </w:r>
      <w:r w:rsidR="008415A1">
        <w:rPr>
          <w:rStyle w:val="relative"/>
          <w:rFonts w:ascii="Times New Roman" w:hAnsi="Times New Roman" w:cs="Times New Roman"/>
          <w:lang w:val="en-GB"/>
        </w:rPr>
        <w:t xml:space="preserve">. </w:t>
      </w:r>
      <w:r w:rsidRPr="00AE5A6A">
        <w:rPr>
          <w:rStyle w:val="relative"/>
          <w:rFonts w:ascii="Times New Roman" w:hAnsi="Times New Roman" w:cs="Times New Roman"/>
          <w:lang w:val="en-GB"/>
        </w:rPr>
        <w:t>These ratios reveal how efficiently a business transforms revenue into profit and returns for investors</w:t>
      </w:r>
      <w:r w:rsidR="00453D2F" w:rsidRPr="00AE5A6A">
        <w:rPr>
          <w:rStyle w:val="relative"/>
          <w:rFonts w:ascii="Times New Roman" w:hAnsi="Times New Roman" w:cs="Times New Roman"/>
          <w:lang w:val="en-GB"/>
        </w:rPr>
        <w:t xml:space="preserve"> (</w:t>
      </w:r>
      <w:r w:rsidR="00453D2F" w:rsidRPr="00AE5A6A">
        <w:rPr>
          <w:rFonts w:ascii="Times New Roman" w:hAnsi="Times New Roman" w:cs="Times New Roman"/>
          <w:lang w:val="en-GB"/>
        </w:rPr>
        <w:t>Drury, 2018)</w:t>
      </w:r>
      <w:r w:rsidRPr="00AE5A6A">
        <w:rPr>
          <w:rStyle w:val="relative"/>
          <w:rFonts w:ascii="Times New Roman" w:hAnsi="Times New Roman" w:cs="Times New Roman"/>
          <w:lang w:val="en-GB"/>
        </w:rPr>
        <w:t xml:space="preserve">. For M&amp;S group PLC, </w:t>
      </w:r>
      <w:r w:rsidRPr="00AE5A6A">
        <w:rPr>
          <w:rFonts w:ascii="Times New Roman" w:eastAsia="Times New Roman" w:hAnsi="Times New Roman" w:cs="Times New Roman"/>
          <w:bCs/>
          <w:szCs w:val="24"/>
          <w:lang w:val="en-GB"/>
        </w:rPr>
        <w:t>Gross Profit</w:t>
      </w:r>
      <w:r w:rsidRPr="00AE5A6A">
        <w:rPr>
          <w:rFonts w:ascii="Times New Roman" w:eastAsia="Times New Roman" w:hAnsi="Times New Roman" w:cs="Times New Roman"/>
          <w:szCs w:val="24"/>
          <w:lang w:val="en-GB"/>
        </w:rPr>
        <w:t xml:space="preserve"> fell from 5.48% (2024) to 4.52% (2025), </w:t>
      </w:r>
      <w:r w:rsidRPr="00AE5A6A">
        <w:rPr>
          <w:rFonts w:ascii="Times New Roman" w:eastAsia="Times New Roman" w:hAnsi="Times New Roman" w:cs="Times New Roman"/>
          <w:bCs/>
          <w:szCs w:val="24"/>
          <w:lang w:val="en-GB"/>
        </w:rPr>
        <w:t>Net Profit</w:t>
      </w:r>
      <w:r w:rsidRPr="00AE5A6A">
        <w:rPr>
          <w:rFonts w:ascii="Times New Roman" w:eastAsia="Times New Roman" w:hAnsi="Times New Roman" w:cs="Times New Roman"/>
          <w:szCs w:val="24"/>
          <w:lang w:val="en-GB"/>
        </w:rPr>
        <w:t xml:space="preserve"> dropped from 3.26% to 2.11%, </w:t>
      </w:r>
      <w:r w:rsidRPr="00AE5A6A">
        <w:rPr>
          <w:rFonts w:ascii="Times New Roman" w:eastAsia="Times New Roman" w:hAnsi="Times New Roman" w:cs="Times New Roman"/>
          <w:bCs/>
          <w:szCs w:val="24"/>
          <w:lang w:val="en-GB"/>
        </w:rPr>
        <w:t>ROA</w:t>
      </w:r>
      <w:r w:rsidRPr="00AE5A6A">
        <w:rPr>
          <w:rFonts w:ascii="Times New Roman" w:eastAsia="Times New Roman" w:hAnsi="Times New Roman" w:cs="Times New Roman"/>
          <w:szCs w:val="24"/>
          <w:lang w:val="en-GB"/>
        </w:rPr>
        <w:t xml:space="preserve"> from 4.90% to 3.31%, and </w:t>
      </w:r>
      <w:r w:rsidRPr="00AE5A6A">
        <w:rPr>
          <w:rFonts w:ascii="Times New Roman" w:eastAsia="Times New Roman" w:hAnsi="Times New Roman" w:cs="Times New Roman"/>
          <w:bCs/>
          <w:szCs w:val="24"/>
          <w:lang w:val="en-GB"/>
        </w:rPr>
        <w:t>ROE</w:t>
      </w:r>
      <w:r w:rsidRPr="00AE5A6A">
        <w:rPr>
          <w:rFonts w:ascii="Times New Roman" w:eastAsia="Times New Roman" w:hAnsi="Times New Roman" w:cs="Times New Roman"/>
          <w:szCs w:val="24"/>
          <w:lang w:val="en-GB"/>
        </w:rPr>
        <w:t xml:space="preserve"> from 15.02% to 9.89%</w:t>
      </w:r>
      <w:r w:rsidR="007E42A5" w:rsidRPr="00AE5A6A">
        <w:rPr>
          <w:rFonts w:ascii="Times New Roman" w:eastAsia="Times New Roman" w:hAnsi="Times New Roman" w:cs="Times New Roman"/>
          <w:szCs w:val="24"/>
          <w:lang w:val="en-GB"/>
        </w:rPr>
        <w:t xml:space="preserve"> (Damodaran, 2015</w:t>
      </w:r>
      <w:r w:rsidR="006F0349" w:rsidRPr="00AE5A6A">
        <w:rPr>
          <w:rFonts w:ascii="Times New Roman" w:eastAsia="Times New Roman" w:hAnsi="Times New Roman" w:cs="Times New Roman"/>
          <w:szCs w:val="24"/>
          <w:lang w:val="en-GB"/>
        </w:rPr>
        <w:t>; M&amp;S, 2025</w:t>
      </w:r>
      <w:r w:rsidR="007E42A5" w:rsidRPr="00AE5A6A">
        <w:rPr>
          <w:rFonts w:ascii="Times New Roman" w:eastAsia="Times New Roman" w:hAnsi="Times New Roman" w:cs="Times New Roman"/>
          <w:szCs w:val="24"/>
          <w:lang w:val="en-GB"/>
        </w:rPr>
        <w:t>)</w:t>
      </w:r>
      <w:r w:rsidRPr="00AE5A6A">
        <w:rPr>
          <w:rFonts w:ascii="Times New Roman" w:eastAsia="Times New Roman" w:hAnsi="Times New Roman" w:cs="Times New Roman"/>
          <w:szCs w:val="24"/>
          <w:lang w:val="en-GB"/>
        </w:rPr>
        <w:t xml:space="preserve">. </w:t>
      </w:r>
      <w:r w:rsidRPr="00AE5A6A">
        <w:rPr>
          <w:rFonts w:ascii="Times New Roman" w:eastAsia="Times New Roman" w:hAnsi="Times New Roman" w:cs="Times New Roman"/>
          <w:bCs/>
          <w:szCs w:val="24"/>
          <w:lang w:val="en-GB"/>
        </w:rPr>
        <w:t>Possible causes</w:t>
      </w:r>
      <w:r w:rsidRPr="00AE5A6A">
        <w:rPr>
          <w:rFonts w:ascii="Times New Roman" w:eastAsia="Times New Roman" w:hAnsi="Times New Roman" w:cs="Times New Roman"/>
          <w:szCs w:val="24"/>
          <w:lang w:val="en-GB"/>
        </w:rPr>
        <w:t xml:space="preserve"> behind this </w:t>
      </w:r>
      <w:r w:rsidR="00AE5A6A" w:rsidRPr="00AE5A6A">
        <w:rPr>
          <w:rFonts w:ascii="Times New Roman" w:eastAsia="Times New Roman" w:hAnsi="Times New Roman" w:cs="Times New Roman"/>
          <w:szCs w:val="24"/>
          <w:lang w:val="en-GB"/>
        </w:rPr>
        <w:t>are</w:t>
      </w:r>
      <w:r w:rsidRPr="00AE5A6A">
        <w:rPr>
          <w:rFonts w:ascii="Times New Roman" w:eastAsia="Times New Roman" w:hAnsi="Times New Roman" w:cs="Times New Roman"/>
          <w:szCs w:val="24"/>
          <w:lang w:val="en-GB"/>
        </w:rPr>
        <w:t xml:space="preserve">, decline is linked to a significant non-cash £248.5m Ocado impairment, elevated delivery costs, and impacts of the </w:t>
      </w:r>
      <w:r w:rsidR="00937AD8" w:rsidRPr="00AE5A6A">
        <w:rPr>
          <w:rFonts w:ascii="Times New Roman" w:eastAsia="Times New Roman" w:hAnsi="Times New Roman" w:cs="Times New Roman"/>
          <w:szCs w:val="24"/>
          <w:lang w:val="en-GB"/>
        </w:rPr>
        <w:t>cyber-attack</w:t>
      </w:r>
      <w:r w:rsidRPr="00AE5A6A">
        <w:rPr>
          <w:rFonts w:ascii="Times New Roman" w:eastAsia="Times New Roman" w:hAnsi="Times New Roman" w:cs="Times New Roman"/>
          <w:szCs w:val="24"/>
          <w:lang w:val="en-GB"/>
        </w:rPr>
        <w:t>. Operating margin improved YoY before these items—Morningstar notes a 17.4% jump in operating profit before adjustments. One-off adjustments distort trend analysis. Comparison across firms should control for accounting policies and non-recurring items.</w:t>
      </w:r>
    </w:p>
    <w:p w14:paraId="6EC35864" w14:textId="77777777" w:rsidR="00C77F72" w:rsidRPr="00AE5A6A" w:rsidRDefault="00C77F72" w:rsidP="007B68F1">
      <w:pPr>
        <w:pStyle w:val="Heading2"/>
        <w:rPr>
          <w:lang w:val="en-GB"/>
        </w:rPr>
      </w:pPr>
      <w:bookmarkStart w:id="5" w:name="_Toc202268833"/>
      <w:r w:rsidRPr="00AE5A6A">
        <w:rPr>
          <w:lang w:val="en-GB"/>
        </w:rPr>
        <w:t>Liquidity Ratios</w:t>
      </w:r>
      <w:bookmarkEnd w:id="5"/>
    </w:p>
    <w:p w14:paraId="5722F79A" w14:textId="3D7215FD" w:rsidR="00C77F72" w:rsidRDefault="00C77F72" w:rsidP="00937AD8">
      <w:pPr>
        <w:spacing w:after="0"/>
        <w:jc w:val="both"/>
        <w:rPr>
          <w:rFonts w:ascii="Times New Roman" w:eastAsia="Times New Roman" w:hAnsi="Times New Roman" w:cs="Times New Roman"/>
          <w:szCs w:val="24"/>
          <w:lang w:val="en-GB"/>
        </w:rPr>
      </w:pPr>
      <w:r w:rsidRPr="00AE5A6A">
        <w:rPr>
          <w:rStyle w:val="relative"/>
          <w:rFonts w:ascii="Times New Roman" w:hAnsi="Times New Roman" w:cs="Times New Roman"/>
          <w:lang w:val="en-GB"/>
        </w:rPr>
        <w:t xml:space="preserve">A </w:t>
      </w:r>
      <w:r w:rsidRPr="00E955A4">
        <w:rPr>
          <w:rStyle w:val="Strong"/>
          <w:rFonts w:ascii="Times New Roman" w:hAnsi="Times New Roman" w:cs="Times New Roman"/>
          <w:i/>
          <w:lang w:val="en-GB"/>
        </w:rPr>
        <w:t>liquidity ratio</w:t>
      </w:r>
      <w:r w:rsidRPr="00AE5A6A">
        <w:rPr>
          <w:rStyle w:val="relative"/>
          <w:rFonts w:ascii="Times New Roman" w:hAnsi="Times New Roman" w:cs="Times New Roman"/>
          <w:lang w:val="en-GB"/>
        </w:rPr>
        <w:t xml:space="preserve"> measures a company’s ability to meet its </w:t>
      </w:r>
      <w:r w:rsidRPr="00AE5A6A">
        <w:rPr>
          <w:rStyle w:val="Strong"/>
          <w:rFonts w:ascii="Times New Roman" w:hAnsi="Times New Roman" w:cs="Times New Roman"/>
          <w:b w:val="0"/>
          <w:lang w:val="en-GB"/>
        </w:rPr>
        <w:t>short-term financial obligations</w:t>
      </w:r>
      <w:r w:rsidRPr="00AE5A6A">
        <w:rPr>
          <w:rStyle w:val="relative"/>
          <w:rFonts w:ascii="Times New Roman" w:hAnsi="Times New Roman" w:cs="Times New Roman"/>
          <w:lang w:val="en-GB"/>
        </w:rPr>
        <w:t xml:space="preserve"> using assets that can be quickly converted into cash</w:t>
      </w:r>
      <w:r w:rsidRPr="00AE5A6A">
        <w:rPr>
          <w:rFonts w:ascii="Times New Roman" w:hAnsi="Times New Roman" w:cs="Times New Roman"/>
          <w:lang w:val="en-GB"/>
        </w:rPr>
        <w:t xml:space="preserve">. </w:t>
      </w:r>
      <w:r w:rsidRPr="00AE5A6A">
        <w:rPr>
          <w:rStyle w:val="relative"/>
          <w:rFonts w:ascii="Times New Roman" w:hAnsi="Times New Roman" w:cs="Times New Roman"/>
          <w:lang w:val="en-GB"/>
        </w:rPr>
        <w:t>It offers insight into the firm's immediate financial health and operational agility</w:t>
      </w:r>
      <w:r w:rsidR="00150568">
        <w:rPr>
          <w:rStyle w:val="relative"/>
          <w:rFonts w:ascii="Times New Roman" w:hAnsi="Times New Roman" w:cs="Times New Roman"/>
          <w:lang w:val="en-GB"/>
        </w:rPr>
        <w:t xml:space="preserve"> </w:t>
      </w:r>
      <w:r w:rsidR="006F0349" w:rsidRPr="00AE5A6A">
        <w:rPr>
          <w:rFonts w:ascii="Times New Roman" w:eastAsia="Times New Roman" w:hAnsi="Times New Roman" w:cs="Times New Roman"/>
          <w:szCs w:val="24"/>
          <w:lang w:val="en-GB"/>
        </w:rPr>
        <w:t>(Mclaney and Atrill, 2020)</w:t>
      </w:r>
      <w:r w:rsidRPr="00AE5A6A">
        <w:rPr>
          <w:rStyle w:val="relative"/>
          <w:rFonts w:ascii="Times New Roman" w:hAnsi="Times New Roman" w:cs="Times New Roman"/>
          <w:lang w:val="en-GB"/>
        </w:rPr>
        <w:t xml:space="preserve">. </w:t>
      </w:r>
      <w:r w:rsidRPr="00AE5A6A">
        <w:rPr>
          <w:rFonts w:ascii="Times New Roman" w:hAnsi="Times New Roman" w:cs="Times New Roman"/>
          <w:lang w:val="en-GB"/>
        </w:rPr>
        <w:t xml:space="preserve">Liquidity ratios gauge a firm's capacity to meet its </w:t>
      </w:r>
      <w:r w:rsidRPr="00AE5A6A">
        <w:rPr>
          <w:rStyle w:val="Strong"/>
          <w:rFonts w:ascii="Times New Roman" w:hAnsi="Times New Roman" w:cs="Times New Roman"/>
          <w:b w:val="0"/>
          <w:lang w:val="en-GB"/>
        </w:rPr>
        <w:t>immediate obligations</w:t>
      </w:r>
      <w:r w:rsidRPr="00AE5A6A">
        <w:rPr>
          <w:rFonts w:ascii="Times New Roman" w:hAnsi="Times New Roman" w:cs="Times New Roman"/>
          <w:lang w:val="en-GB"/>
        </w:rPr>
        <w:t xml:space="preserve">, playing a critical role in financial stability. For sound capital management, these should be </w:t>
      </w:r>
      <w:proofErr w:type="spellStart"/>
      <w:r w:rsidRPr="00AE5A6A">
        <w:rPr>
          <w:rFonts w:ascii="Times New Roman" w:hAnsi="Times New Roman" w:cs="Times New Roman"/>
          <w:lang w:val="en-GB"/>
        </w:rPr>
        <w:t>analyzed</w:t>
      </w:r>
      <w:proofErr w:type="spellEnd"/>
      <w:r w:rsidRPr="00AE5A6A">
        <w:rPr>
          <w:rFonts w:ascii="Times New Roman" w:hAnsi="Times New Roman" w:cs="Times New Roman"/>
          <w:lang w:val="en-GB"/>
        </w:rPr>
        <w:t xml:space="preserve"> alongside other metrics like solvency and profitability, benchmarked appropriately, and viewed as part of a dynamic, year-round financial strategy</w:t>
      </w:r>
      <w:r w:rsidR="007E42A5" w:rsidRPr="00AE5A6A">
        <w:rPr>
          <w:rFonts w:ascii="Times New Roman" w:hAnsi="Times New Roman" w:cs="Times New Roman"/>
          <w:lang w:val="en-GB"/>
        </w:rPr>
        <w:t xml:space="preserve"> (Ehrhardt and Brigham, 2019)</w:t>
      </w:r>
      <w:r w:rsidRPr="00AE5A6A">
        <w:rPr>
          <w:rFonts w:ascii="Times New Roman" w:hAnsi="Times New Roman" w:cs="Times New Roman"/>
          <w:lang w:val="en-GB"/>
        </w:rPr>
        <w:t xml:space="preserve">. </w:t>
      </w:r>
      <w:r w:rsidRPr="00AE5A6A">
        <w:rPr>
          <w:rFonts w:ascii="Times New Roman" w:eastAsia="Times New Roman" w:hAnsi="Times New Roman" w:cs="Times New Roman"/>
          <w:bCs/>
          <w:szCs w:val="24"/>
          <w:lang w:val="en-GB"/>
        </w:rPr>
        <w:t>Current Ratio</w:t>
      </w:r>
      <w:r w:rsidRPr="00AE5A6A">
        <w:rPr>
          <w:rFonts w:ascii="Times New Roman" w:eastAsia="Times New Roman" w:hAnsi="Times New Roman" w:cs="Times New Roman"/>
          <w:szCs w:val="24"/>
          <w:lang w:val="en-GB"/>
        </w:rPr>
        <w:t xml:space="preserve"> improved slightly (2024: ~0.856 → 2025: ~0.865). According to </w:t>
      </w:r>
      <w:r w:rsidR="00AE5A6A" w:rsidRPr="00AE5A6A">
        <w:rPr>
          <w:rFonts w:ascii="Times New Roman" w:eastAsia="Times New Roman" w:hAnsi="Times New Roman" w:cs="Times New Roman"/>
          <w:szCs w:val="24"/>
          <w:lang w:val="en-GB"/>
        </w:rPr>
        <w:t>Guru Focus</w:t>
      </w:r>
      <w:r w:rsidRPr="00AE5A6A">
        <w:rPr>
          <w:rFonts w:ascii="Times New Roman" w:eastAsia="Times New Roman" w:hAnsi="Times New Roman" w:cs="Times New Roman"/>
          <w:szCs w:val="24"/>
          <w:lang w:val="en-GB"/>
        </w:rPr>
        <w:t xml:space="preserve">, it stood at ~0.87 </w:t>
      </w:r>
      <w:r w:rsidR="00AE5A6A" w:rsidRPr="00AE5A6A">
        <w:rPr>
          <w:rFonts w:ascii="Times New Roman" w:eastAsia="Times New Roman" w:hAnsi="Times New Roman" w:cs="Times New Roman"/>
          <w:szCs w:val="24"/>
          <w:lang w:val="en-GB"/>
        </w:rPr>
        <w:t>in</w:t>
      </w:r>
      <w:r w:rsidRPr="00AE5A6A">
        <w:rPr>
          <w:rFonts w:ascii="Times New Roman" w:eastAsia="Times New Roman" w:hAnsi="Times New Roman" w:cs="Times New Roman"/>
          <w:szCs w:val="24"/>
          <w:lang w:val="en-GB"/>
        </w:rPr>
        <w:t xml:space="preserve"> Mar 2025—well below the retail sector average (~1.5)</w:t>
      </w:r>
      <w:r w:rsidR="008415A1">
        <w:rPr>
          <w:rFonts w:ascii="Times New Roman" w:eastAsia="Times New Roman" w:hAnsi="Times New Roman" w:cs="Times New Roman"/>
          <w:szCs w:val="24"/>
          <w:lang w:val="en-GB"/>
        </w:rPr>
        <w:t xml:space="preserve">. Where </w:t>
      </w:r>
      <w:r w:rsidR="008415A1">
        <w:rPr>
          <w:rFonts w:ascii="Times New Roman" w:eastAsia="Times New Roman" w:hAnsi="Times New Roman" w:cs="Times New Roman"/>
          <w:bCs/>
          <w:szCs w:val="24"/>
          <w:lang w:val="en-GB"/>
        </w:rPr>
        <w:t>quick &amp; c</w:t>
      </w:r>
      <w:r w:rsidRPr="00AE5A6A">
        <w:rPr>
          <w:rFonts w:ascii="Times New Roman" w:eastAsia="Times New Roman" w:hAnsi="Times New Roman" w:cs="Times New Roman"/>
          <w:bCs/>
          <w:szCs w:val="24"/>
          <w:lang w:val="en-GB"/>
        </w:rPr>
        <w:t>ash Ratios</w:t>
      </w:r>
      <w:r w:rsidRPr="00AE5A6A">
        <w:rPr>
          <w:rFonts w:ascii="Times New Roman" w:eastAsia="Times New Roman" w:hAnsi="Times New Roman" w:cs="Times New Roman"/>
          <w:szCs w:val="24"/>
          <w:lang w:val="en-GB"/>
        </w:rPr>
        <w:t xml:space="preserve"> fell (~55% → ~45% and 40.7% → 31.1%) indicating a higher reliance on inventory and diminished cash reserves.</w:t>
      </w:r>
      <w:r w:rsidR="008415A1">
        <w:rPr>
          <w:rFonts w:ascii="Times New Roman" w:eastAsia="Times New Roman" w:hAnsi="Times New Roman" w:cs="Times New Roman"/>
          <w:szCs w:val="24"/>
          <w:lang w:val="en-GB"/>
        </w:rPr>
        <w:t xml:space="preserve"> </w:t>
      </w:r>
      <w:r w:rsidRPr="00AE5A6A">
        <w:rPr>
          <w:rFonts w:ascii="Times New Roman" w:eastAsia="Times New Roman" w:hAnsi="Times New Roman" w:cs="Times New Roman"/>
          <w:szCs w:val="24"/>
          <w:lang w:val="en-GB"/>
        </w:rPr>
        <w:t xml:space="preserve">Slack liquidity increases vulnerability to supply disruptions—demonstrated by the </w:t>
      </w:r>
      <w:r w:rsidR="00213B9C" w:rsidRPr="00AE5A6A">
        <w:rPr>
          <w:rFonts w:ascii="Times New Roman" w:eastAsia="Times New Roman" w:hAnsi="Times New Roman" w:cs="Times New Roman"/>
          <w:szCs w:val="24"/>
          <w:lang w:val="en-GB"/>
        </w:rPr>
        <w:t>cyber</w:t>
      </w:r>
      <w:r w:rsidR="00213B9C">
        <w:rPr>
          <w:rFonts w:ascii="Times New Roman" w:eastAsia="Times New Roman" w:hAnsi="Times New Roman" w:cs="Times New Roman"/>
          <w:szCs w:val="24"/>
          <w:lang w:val="en-GB"/>
        </w:rPr>
        <w:t>-</w:t>
      </w:r>
      <w:r w:rsidR="00213B9C" w:rsidRPr="00AE5A6A">
        <w:rPr>
          <w:rFonts w:ascii="Times New Roman" w:eastAsia="Times New Roman" w:hAnsi="Times New Roman" w:cs="Times New Roman"/>
          <w:szCs w:val="24"/>
          <w:lang w:val="en-GB"/>
        </w:rPr>
        <w:t>attacks</w:t>
      </w:r>
      <w:r w:rsidRPr="00AE5A6A">
        <w:rPr>
          <w:rFonts w:ascii="Times New Roman" w:eastAsia="Times New Roman" w:hAnsi="Times New Roman" w:cs="Times New Roman"/>
          <w:szCs w:val="24"/>
          <w:lang w:val="en-GB"/>
        </w:rPr>
        <w:t xml:space="preserve"> impact on online trading and payment systems.</w:t>
      </w:r>
      <w:r w:rsidR="008415A1">
        <w:rPr>
          <w:rFonts w:ascii="Times New Roman" w:eastAsia="Times New Roman" w:hAnsi="Times New Roman" w:cs="Times New Roman"/>
          <w:szCs w:val="24"/>
          <w:lang w:val="en-GB"/>
        </w:rPr>
        <w:t xml:space="preserve"> Although these r</w:t>
      </w:r>
      <w:r w:rsidRPr="00AE5A6A">
        <w:rPr>
          <w:rFonts w:ascii="Times New Roman" w:eastAsia="Times New Roman" w:hAnsi="Times New Roman" w:cs="Times New Roman"/>
          <w:szCs w:val="24"/>
          <w:lang w:val="en-GB"/>
        </w:rPr>
        <w:t>atios reflect point-in-time snapshots; seasonality or receivables/payables timing may skew the picture.</w:t>
      </w:r>
    </w:p>
    <w:p w14:paraId="7381B1C6" w14:textId="77777777" w:rsidR="008415A1" w:rsidRPr="00AE5A6A" w:rsidRDefault="008415A1" w:rsidP="00937AD8">
      <w:pPr>
        <w:spacing w:after="0"/>
        <w:jc w:val="both"/>
        <w:rPr>
          <w:rFonts w:ascii="Times New Roman" w:eastAsia="Times New Roman" w:hAnsi="Times New Roman" w:cs="Times New Roman"/>
          <w:szCs w:val="24"/>
          <w:lang w:val="en-GB"/>
        </w:rPr>
      </w:pPr>
    </w:p>
    <w:p w14:paraId="518DE92C" w14:textId="77777777" w:rsidR="00C77F72" w:rsidRPr="00AE5A6A" w:rsidRDefault="00C77F72" w:rsidP="007B68F1">
      <w:pPr>
        <w:pStyle w:val="Heading2"/>
        <w:rPr>
          <w:lang w:val="en-GB"/>
        </w:rPr>
      </w:pPr>
      <w:bookmarkStart w:id="6" w:name="_Toc202268834"/>
      <w:r w:rsidRPr="00AE5A6A">
        <w:rPr>
          <w:lang w:val="en-GB"/>
        </w:rPr>
        <w:lastRenderedPageBreak/>
        <w:t>Gearing Ratios</w:t>
      </w:r>
      <w:bookmarkEnd w:id="6"/>
    </w:p>
    <w:p w14:paraId="4C371AB8" w14:textId="77777777" w:rsidR="00C77F72" w:rsidRPr="00AE5A6A" w:rsidRDefault="00CE718F" w:rsidP="00937AD8">
      <w:pPr>
        <w:spacing w:after="0"/>
        <w:jc w:val="both"/>
        <w:rPr>
          <w:rFonts w:ascii="Times New Roman" w:eastAsia="Times New Roman" w:hAnsi="Times New Roman" w:cs="Times New Roman"/>
          <w:szCs w:val="24"/>
          <w:lang w:val="en-GB"/>
        </w:rPr>
      </w:pPr>
      <w:r w:rsidRPr="00AE5A6A">
        <w:rPr>
          <w:rStyle w:val="relative"/>
          <w:rFonts w:ascii="Times New Roman" w:hAnsi="Times New Roman" w:cs="Times New Roman"/>
          <w:lang w:val="en-GB"/>
        </w:rPr>
        <w:t xml:space="preserve">Gearing ratios assess the extent to which a company is financed by </w:t>
      </w:r>
      <w:r w:rsidRPr="00AE5A6A">
        <w:rPr>
          <w:rStyle w:val="Strong"/>
          <w:rFonts w:ascii="Times New Roman" w:hAnsi="Times New Roman" w:cs="Times New Roman"/>
          <w:b w:val="0"/>
          <w:lang w:val="en-GB"/>
        </w:rPr>
        <w:t>debt versus equity</w:t>
      </w:r>
      <w:r w:rsidRPr="00AE5A6A">
        <w:rPr>
          <w:rStyle w:val="relative"/>
          <w:rFonts w:ascii="Times New Roman" w:hAnsi="Times New Roman" w:cs="Times New Roman"/>
          <w:lang w:val="en-GB"/>
        </w:rPr>
        <w:t xml:space="preserve">—essentially indicating its </w:t>
      </w:r>
      <w:r w:rsidRPr="00AE5A6A">
        <w:rPr>
          <w:rStyle w:val="Strong"/>
          <w:rFonts w:ascii="Times New Roman" w:hAnsi="Times New Roman" w:cs="Times New Roman"/>
          <w:b w:val="0"/>
          <w:lang w:val="en-GB"/>
        </w:rPr>
        <w:t>financial leverage</w:t>
      </w:r>
      <w:r w:rsidR="006F0349" w:rsidRPr="00AE5A6A">
        <w:rPr>
          <w:rStyle w:val="Strong"/>
          <w:rFonts w:ascii="Times New Roman" w:hAnsi="Times New Roman" w:cs="Times New Roman"/>
          <w:b w:val="0"/>
          <w:lang w:val="en-GB"/>
        </w:rPr>
        <w:t xml:space="preserve"> (</w:t>
      </w:r>
      <w:r w:rsidR="006F0349" w:rsidRPr="00AE5A6A">
        <w:rPr>
          <w:rFonts w:ascii="Times New Roman" w:hAnsi="Times New Roman" w:cs="Times New Roman"/>
          <w:bCs/>
          <w:lang w:val="en-GB"/>
        </w:rPr>
        <w:t>Brealey, Myers and Allen, 2020)</w:t>
      </w:r>
      <w:r w:rsidRPr="00AE5A6A">
        <w:rPr>
          <w:rStyle w:val="Strong"/>
          <w:rFonts w:ascii="Times New Roman" w:hAnsi="Times New Roman" w:cs="Times New Roman"/>
          <w:b w:val="0"/>
          <w:lang w:val="en-GB"/>
        </w:rPr>
        <w:t>.</w:t>
      </w:r>
      <w:r w:rsidR="008415A1">
        <w:rPr>
          <w:rStyle w:val="Strong"/>
          <w:rFonts w:ascii="Times New Roman" w:hAnsi="Times New Roman" w:cs="Times New Roman"/>
          <w:b w:val="0"/>
          <w:lang w:val="en-GB"/>
        </w:rPr>
        <w:t xml:space="preserve"> </w:t>
      </w:r>
      <w:r w:rsidRPr="00AE5A6A">
        <w:rPr>
          <w:rStyle w:val="relative"/>
          <w:rFonts w:ascii="Times New Roman" w:hAnsi="Times New Roman" w:cs="Times New Roman"/>
          <w:lang w:val="en-GB"/>
        </w:rPr>
        <w:t xml:space="preserve">A typical example is the </w:t>
      </w:r>
      <w:r w:rsidRPr="00AE5A6A">
        <w:rPr>
          <w:rStyle w:val="Strong"/>
          <w:rFonts w:ascii="Times New Roman" w:hAnsi="Times New Roman" w:cs="Times New Roman"/>
          <w:b w:val="0"/>
          <w:lang w:val="en-GB"/>
        </w:rPr>
        <w:t>debt-to-equity ratio</w:t>
      </w:r>
      <w:r w:rsidRPr="00AE5A6A">
        <w:rPr>
          <w:rStyle w:val="relative"/>
          <w:rFonts w:ascii="Times New Roman" w:hAnsi="Times New Roman" w:cs="Times New Roman"/>
          <w:lang w:val="en-GB"/>
        </w:rPr>
        <w:t xml:space="preserve">, which shows how much debt exists for each unit of shareholders' </w:t>
      </w:r>
      <w:proofErr w:type="spellStart"/>
      <w:proofErr w:type="gramStart"/>
      <w:r w:rsidRPr="00AE5A6A">
        <w:rPr>
          <w:rStyle w:val="relative"/>
          <w:rFonts w:ascii="Times New Roman" w:hAnsi="Times New Roman" w:cs="Times New Roman"/>
          <w:lang w:val="en-GB"/>
        </w:rPr>
        <w:t>equity</w:t>
      </w:r>
      <w:r w:rsidRPr="00AE5A6A">
        <w:rPr>
          <w:rFonts w:ascii="Times New Roman" w:hAnsi="Times New Roman" w:cs="Times New Roman"/>
          <w:lang w:val="en-GB"/>
        </w:rPr>
        <w:t>.</w:t>
      </w:r>
      <w:r w:rsidR="00C77F72" w:rsidRPr="00AE5A6A">
        <w:rPr>
          <w:rFonts w:ascii="Times New Roman" w:eastAsia="Times New Roman" w:hAnsi="Times New Roman" w:cs="Times New Roman"/>
          <w:bCs/>
          <w:szCs w:val="24"/>
          <w:lang w:val="en-GB"/>
        </w:rPr>
        <w:t>Debt</w:t>
      </w:r>
      <w:proofErr w:type="spellEnd"/>
      <w:proofErr w:type="gramEnd"/>
      <w:r w:rsidR="00C77F72" w:rsidRPr="00AE5A6A">
        <w:rPr>
          <w:rFonts w:ascii="Times New Roman" w:eastAsia="Times New Roman" w:hAnsi="Times New Roman" w:cs="Times New Roman"/>
          <w:bCs/>
          <w:szCs w:val="24"/>
          <w:lang w:val="en-GB"/>
        </w:rPr>
        <w:t>/Equity</w:t>
      </w:r>
      <w:r w:rsidR="00C77F72" w:rsidRPr="00AE5A6A">
        <w:rPr>
          <w:rFonts w:ascii="Times New Roman" w:eastAsia="Times New Roman" w:hAnsi="Times New Roman" w:cs="Times New Roman"/>
          <w:szCs w:val="24"/>
          <w:lang w:val="en-GB"/>
        </w:rPr>
        <w:t xml:space="preserve">, </w:t>
      </w:r>
      <w:r w:rsidR="00C77F72" w:rsidRPr="00AE5A6A">
        <w:rPr>
          <w:rFonts w:ascii="Times New Roman" w:eastAsia="Times New Roman" w:hAnsi="Times New Roman" w:cs="Times New Roman"/>
          <w:bCs/>
          <w:szCs w:val="24"/>
          <w:lang w:val="en-GB"/>
        </w:rPr>
        <w:t>Debt/Capital</w:t>
      </w:r>
      <w:r w:rsidR="00C77F72" w:rsidRPr="00AE5A6A">
        <w:rPr>
          <w:rFonts w:ascii="Times New Roman" w:eastAsia="Times New Roman" w:hAnsi="Times New Roman" w:cs="Times New Roman"/>
          <w:szCs w:val="24"/>
          <w:lang w:val="en-GB"/>
        </w:rPr>
        <w:t xml:space="preserve">, and </w:t>
      </w:r>
      <w:r w:rsidR="00C77F72" w:rsidRPr="00AE5A6A">
        <w:rPr>
          <w:rFonts w:ascii="Times New Roman" w:eastAsia="Times New Roman" w:hAnsi="Times New Roman" w:cs="Times New Roman"/>
          <w:bCs/>
          <w:szCs w:val="24"/>
          <w:lang w:val="en-GB"/>
        </w:rPr>
        <w:t>Debt/Assets</w:t>
      </w:r>
      <w:r w:rsidR="00C77F72" w:rsidRPr="00AE5A6A">
        <w:rPr>
          <w:rFonts w:ascii="Times New Roman" w:eastAsia="Times New Roman" w:hAnsi="Times New Roman" w:cs="Times New Roman"/>
          <w:szCs w:val="24"/>
          <w:lang w:val="en-GB"/>
        </w:rPr>
        <w:t xml:space="preserve"> all declined—reflecting a modest reduction in leverage (D/E from 206.8% to 198.9%) and lower reliance on debt financing</w:t>
      </w:r>
      <w:r w:rsidR="007E42A5" w:rsidRPr="00AE5A6A">
        <w:rPr>
          <w:rFonts w:ascii="Times New Roman" w:eastAsia="Times New Roman" w:hAnsi="Times New Roman" w:cs="Times New Roman"/>
          <w:szCs w:val="24"/>
          <w:lang w:val="en-GB"/>
        </w:rPr>
        <w:t xml:space="preserve"> (Fridson and Alvarez, 2022)</w:t>
      </w:r>
      <w:r w:rsidR="00C77F72" w:rsidRPr="00AE5A6A">
        <w:rPr>
          <w:rFonts w:ascii="Times New Roman" w:eastAsia="Times New Roman" w:hAnsi="Times New Roman" w:cs="Times New Roman"/>
          <w:szCs w:val="24"/>
          <w:lang w:val="en-GB"/>
        </w:rPr>
        <w:t>.</w:t>
      </w:r>
    </w:p>
    <w:p w14:paraId="7908E799" w14:textId="77777777" w:rsidR="00C77F72" w:rsidRPr="00AE5A6A" w:rsidRDefault="00C77F72" w:rsidP="00937AD8">
      <w:pPr>
        <w:spacing w:after="0"/>
        <w:jc w:val="both"/>
        <w:rPr>
          <w:rFonts w:ascii="Times New Roman" w:eastAsia="Times New Roman" w:hAnsi="Times New Roman" w:cs="Times New Roman"/>
          <w:szCs w:val="24"/>
          <w:lang w:val="en-GB"/>
        </w:rPr>
      </w:pPr>
      <w:r w:rsidRPr="00AE5A6A">
        <w:rPr>
          <w:rFonts w:ascii="Times New Roman" w:eastAsia="Times New Roman" w:hAnsi="Times New Roman" w:cs="Times New Roman"/>
          <w:bCs/>
          <w:szCs w:val="24"/>
          <w:lang w:val="en-GB"/>
        </w:rPr>
        <w:t>Positive signs</w:t>
      </w:r>
      <w:r w:rsidRPr="00AE5A6A">
        <w:rPr>
          <w:rFonts w:ascii="Times New Roman" w:eastAsia="Times New Roman" w:hAnsi="Times New Roman" w:cs="Times New Roman"/>
          <w:szCs w:val="24"/>
          <w:lang w:val="en-GB"/>
        </w:rPr>
        <w:t>: Strengthened balance sheet through improved free cash flow (£349m) and lower net debt (£1.79bn vs previous STR). Morningstar confirms robust cost savings (£120m) boosting free cash flow and debt pay down.</w:t>
      </w:r>
      <w:r w:rsidR="00095433">
        <w:rPr>
          <w:rFonts w:ascii="Times New Roman" w:eastAsia="Times New Roman" w:hAnsi="Times New Roman" w:cs="Times New Roman"/>
          <w:szCs w:val="24"/>
          <w:lang w:val="en-GB"/>
        </w:rPr>
        <w:t xml:space="preserve"> Maintaining h</w:t>
      </w:r>
      <w:r w:rsidRPr="00AE5A6A">
        <w:rPr>
          <w:rFonts w:ascii="Times New Roman" w:eastAsia="Times New Roman" w:hAnsi="Times New Roman" w:cs="Times New Roman"/>
          <w:szCs w:val="24"/>
          <w:lang w:val="en-GB"/>
        </w:rPr>
        <w:t xml:space="preserve">igh leverage remains a structural risk; sector norms for debt </w:t>
      </w:r>
      <w:r w:rsidR="00CE718F" w:rsidRPr="00AE5A6A">
        <w:rPr>
          <w:rFonts w:ascii="Times New Roman" w:eastAsia="Times New Roman" w:hAnsi="Times New Roman" w:cs="Times New Roman"/>
          <w:szCs w:val="24"/>
          <w:lang w:val="en-GB"/>
        </w:rPr>
        <w:t>differ and require benchmarking</w:t>
      </w:r>
    </w:p>
    <w:p w14:paraId="65A9C1DB" w14:textId="77777777" w:rsidR="00C77F72" w:rsidRPr="00AE5A6A" w:rsidRDefault="00C77F72" w:rsidP="007B68F1">
      <w:pPr>
        <w:pStyle w:val="Heading2"/>
        <w:rPr>
          <w:lang w:val="en-GB"/>
        </w:rPr>
      </w:pPr>
      <w:bookmarkStart w:id="7" w:name="_Toc202268835"/>
      <w:r w:rsidRPr="00AE5A6A">
        <w:rPr>
          <w:lang w:val="en-GB"/>
        </w:rPr>
        <w:t>Investor Ratio</w:t>
      </w:r>
      <w:bookmarkEnd w:id="7"/>
    </w:p>
    <w:p w14:paraId="3C7ED057" w14:textId="77777777" w:rsidR="00C77F72" w:rsidRPr="00AE5A6A" w:rsidRDefault="007A5FCA" w:rsidP="00937AD8">
      <w:pPr>
        <w:spacing w:after="0"/>
        <w:jc w:val="both"/>
        <w:rPr>
          <w:rFonts w:ascii="Times New Roman" w:eastAsia="Times New Roman" w:hAnsi="Times New Roman" w:cs="Times New Roman"/>
          <w:szCs w:val="24"/>
          <w:lang w:val="en-GB"/>
        </w:rPr>
      </w:pPr>
      <w:r w:rsidRPr="00AE5A6A">
        <w:rPr>
          <w:rStyle w:val="relative"/>
          <w:rFonts w:ascii="Times New Roman" w:hAnsi="Times New Roman" w:cs="Times New Roman"/>
          <w:lang w:val="en-GB"/>
        </w:rPr>
        <w:t xml:space="preserve">Investor ratios—also called </w:t>
      </w:r>
      <w:r w:rsidRPr="00AE5A6A">
        <w:rPr>
          <w:rStyle w:val="Strong"/>
          <w:rFonts w:ascii="Times New Roman" w:hAnsi="Times New Roman" w:cs="Times New Roman"/>
          <w:b w:val="0"/>
          <w:lang w:val="en-GB"/>
        </w:rPr>
        <w:t>valuation or market ratios</w:t>
      </w:r>
      <w:r w:rsidRPr="00AE5A6A">
        <w:rPr>
          <w:rStyle w:val="relative"/>
          <w:rFonts w:ascii="Times New Roman" w:hAnsi="Times New Roman" w:cs="Times New Roman"/>
          <w:lang w:val="en-GB"/>
        </w:rPr>
        <w:t>—are financial metrics used by equity investors and analysts to assess a company’s ability to generate returns for shareholders, given the risks involved</w:t>
      </w:r>
      <w:r w:rsidR="006F0349" w:rsidRPr="00AE5A6A">
        <w:rPr>
          <w:rStyle w:val="relative"/>
          <w:rFonts w:ascii="Times New Roman" w:hAnsi="Times New Roman" w:cs="Times New Roman"/>
          <w:lang w:val="en-GB"/>
        </w:rPr>
        <w:t xml:space="preserve"> (</w:t>
      </w:r>
      <w:r w:rsidR="006F0349" w:rsidRPr="00AE5A6A">
        <w:rPr>
          <w:rFonts w:ascii="Times New Roman" w:hAnsi="Times New Roman" w:cs="Times New Roman"/>
          <w:lang w:val="en-GB"/>
        </w:rPr>
        <w:t>Damodaran, 2015)</w:t>
      </w:r>
      <w:r w:rsidR="006F0349" w:rsidRPr="00AE5A6A">
        <w:rPr>
          <w:rStyle w:val="relative"/>
          <w:rFonts w:ascii="Times New Roman" w:hAnsi="Times New Roman" w:cs="Times New Roman"/>
          <w:lang w:val="en-GB"/>
        </w:rPr>
        <w:t>.</w:t>
      </w:r>
      <w:r w:rsidR="00095433">
        <w:rPr>
          <w:rStyle w:val="relative"/>
          <w:rFonts w:ascii="Times New Roman" w:hAnsi="Times New Roman" w:cs="Times New Roman"/>
          <w:lang w:val="en-GB"/>
        </w:rPr>
        <w:t xml:space="preserve"> </w:t>
      </w:r>
      <w:r w:rsidRPr="00AE5A6A">
        <w:rPr>
          <w:rStyle w:val="relative"/>
          <w:rFonts w:ascii="Times New Roman" w:hAnsi="Times New Roman" w:cs="Times New Roman"/>
          <w:lang w:val="en-GB"/>
        </w:rPr>
        <w:t>These ratios establish per</w:t>
      </w:r>
      <w:r w:rsidRPr="00AE5A6A">
        <w:rPr>
          <w:rStyle w:val="relative"/>
          <w:rFonts w:ascii="Times New Roman" w:hAnsi="Times New Roman" w:cs="Times New Roman"/>
          <w:lang w:val="en-GB"/>
        </w:rPr>
        <w:noBreakHyphen/>
        <w:t xml:space="preserve">share measures of earnings, dividends, book value, and cash flow, often in relation to current share price. </w:t>
      </w:r>
      <w:r w:rsidR="00C77F72" w:rsidRPr="00AE5A6A">
        <w:rPr>
          <w:rFonts w:ascii="Times New Roman" w:eastAsia="Times New Roman" w:hAnsi="Times New Roman" w:cs="Times New Roman"/>
          <w:bCs/>
          <w:szCs w:val="24"/>
          <w:lang w:val="en-GB"/>
        </w:rPr>
        <w:t>P/E Ratio</w:t>
      </w:r>
      <w:r w:rsidR="00C77F72" w:rsidRPr="00AE5A6A">
        <w:rPr>
          <w:rFonts w:ascii="Times New Roman" w:eastAsia="Times New Roman" w:hAnsi="Times New Roman" w:cs="Times New Roman"/>
          <w:szCs w:val="24"/>
          <w:lang w:val="en-GB"/>
        </w:rPr>
        <w:t xml:space="preserve"> dropped from 9.70x (2024) to 9.12x (2025). Trading above FTSE retail peers but below high-growth names. FT notes elevated valuations (14.1x, still high compared to Next) and cautions investors amid cyber uncertainty</w:t>
      </w:r>
      <w:r w:rsidR="007E42A5" w:rsidRPr="00AE5A6A">
        <w:rPr>
          <w:rFonts w:ascii="Times New Roman" w:eastAsia="Times New Roman" w:hAnsi="Times New Roman" w:cs="Times New Roman"/>
          <w:szCs w:val="24"/>
          <w:lang w:val="en-GB"/>
        </w:rPr>
        <w:t xml:space="preserve"> (Grant, 2021)</w:t>
      </w:r>
      <w:r w:rsidR="00C77F72" w:rsidRPr="00AE5A6A">
        <w:rPr>
          <w:rFonts w:ascii="Times New Roman" w:eastAsia="Times New Roman" w:hAnsi="Times New Roman" w:cs="Times New Roman"/>
          <w:szCs w:val="24"/>
          <w:lang w:val="en-GB"/>
        </w:rPr>
        <w:t>.</w:t>
      </w:r>
      <w:r w:rsidR="00095433">
        <w:rPr>
          <w:rFonts w:ascii="Times New Roman" w:eastAsia="Times New Roman" w:hAnsi="Times New Roman" w:cs="Times New Roman"/>
          <w:szCs w:val="24"/>
          <w:lang w:val="en-GB"/>
        </w:rPr>
        <w:t xml:space="preserve"> The situation states that, l</w:t>
      </w:r>
      <w:r w:rsidR="00C77F72" w:rsidRPr="00AE5A6A">
        <w:rPr>
          <w:rFonts w:ascii="Times New Roman" w:eastAsia="Times New Roman" w:hAnsi="Times New Roman" w:cs="Times New Roman"/>
          <w:szCs w:val="24"/>
          <w:lang w:val="en-GB"/>
        </w:rPr>
        <w:t xml:space="preserve">ower earnings yield partly due to market reaction to </w:t>
      </w:r>
      <w:r w:rsidR="00937AD8" w:rsidRPr="00AE5A6A">
        <w:rPr>
          <w:rFonts w:ascii="Times New Roman" w:eastAsia="Times New Roman" w:hAnsi="Times New Roman" w:cs="Times New Roman"/>
          <w:szCs w:val="24"/>
          <w:lang w:val="en-GB"/>
        </w:rPr>
        <w:t>cyber-attack</w:t>
      </w:r>
      <w:r w:rsidR="00C77F72" w:rsidRPr="00AE5A6A">
        <w:rPr>
          <w:rFonts w:ascii="Times New Roman" w:eastAsia="Times New Roman" w:hAnsi="Times New Roman" w:cs="Times New Roman"/>
          <w:szCs w:val="24"/>
          <w:lang w:val="en-GB"/>
        </w:rPr>
        <w:t xml:space="preserve"> and potential regulatory fines, though the underlying story remains intact if management stabilizes.</w:t>
      </w:r>
    </w:p>
    <w:p w14:paraId="680B7504" w14:textId="77777777" w:rsidR="00C77F72" w:rsidRPr="00AE5A6A" w:rsidRDefault="00C77F72" w:rsidP="007B68F1">
      <w:pPr>
        <w:pStyle w:val="Heading2"/>
        <w:rPr>
          <w:lang w:val="en-GB"/>
        </w:rPr>
      </w:pPr>
      <w:bookmarkStart w:id="8" w:name="_Toc202268836"/>
      <w:r w:rsidRPr="00AE5A6A">
        <w:rPr>
          <w:lang w:val="en-GB"/>
        </w:rPr>
        <w:t>Limitations of Ratio Analysis</w:t>
      </w:r>
      <w:bookmarkEnd w:id="8"/>
    </w:p>
    <w:p w14:paraId="1A950B5F" w14:textId="77777777" w:rsidR="007A5FCA" w:rsidRPr="00AE5A6A" w:rsidRDefault="007A5FCA" w:rsidP="00937AD8">
      <w:pPr>
        <w:pStyle w:val="NormalWeb"/>
        <w:spacing w:before="0" w:beforeAutospacing="0" w:after="0" w:afterAutospacing="0" w:line="360" w:lineRule="auto"/>
        <w:jc w:val="both"/>
        <w:rPr>
          <w:lang w:val="en-GB"/>
        </w:rPr>
      </w:pPr>
      <w:r w:rsidRPr="00597FEF">
        <w:rPr>
          <w:rStyle w:val="relative"/>
          <w:i/>
          <w:lang w:val="en-GB"/>
        </w:rPr>
        <w:t>Profitability ratios</w:t>
      </w:r>
      <w:r w:rsidRPr="00AE5A6A">
        <w:rPr>
          <w:rStyle w:val="relative"/>
          <w:lang w:val="en-GB"/>
        </w:rPr>
        <w:t xml:space="preserve"> reflect </w:t>
      </w:r>
      <w:r w:rsidRPr="00AE5A6A">
        <w:rPr>
          <w:rStyle w:val="Strong"/>
          <w:b w:val="0"/>
          <w:lang w:val="en-GB"/>
        </w:rPr>
        <w:t>historical performance</w:t>
      </w:r>
      <w:r w:rsidRPr="00AE5A6A">
        <w:rPr>
          <w:rStyle w:val="relative"/>
          <w:lang w:val="en-GB"/>
        </w:rPr>
        <w:t xml:space="preserve"> only and may not predict future results</w:t>
      </w:r>
      <w:r w:rsidRPr="00AE5A6A">
        <w:rPr>
          <w:lang w:val="en-GB"/>
        </w:rPr>
        <w:t xml:space="preserve">. </w:t>
      </w:r>
      <w:r w:rsidRPr="00AE5A6A">
        <w:rPr>
          <w:rStyle w:val="Strong"/>
          <w:b w:val="0"/>
          <w:lang w:val="en-GB"/>
        </w:rPr>
        <w:t>Vary significantly across industries</w:t>
      </w:r>
      <w:r w:rsidRPr="00AE5A6A">
        <w:rPr>
          <w:rStyle w:val="relative"/>
          <w:b/>
          <w:lang w:val="en-GB"/>
        </w:rPr>
        <w:t>,</w:t>
      </w:r>
      <w:r w:rsidRPr="00AE5A6A">
        <w:rPr>
          <w:rStyle w:val="relative"/>
          <w:lang w:val="en-GB"/>
        </w:rPr>
        <w:t xml:space="preserve"> making cross-sector comparisons </w:t>
      </w:r>
      <w:r w:rsidR="000C65E3">
        <w:rPr>
          <w:rStyle w:val="relative"/>
          <w:lang w:val="en-GB"/>
        </w:rPr>
        <w:t>unreliable which a</w:t>
      </w:r>
      <w:r w:rsidR="000C65E3" w:rsidRPr="00AE5A6A">
        <w:rPr>
          <w:rStyle w:val="relative"/>
          <w:lang w:val="en-GB"/>
        </w:rPr>
        <w:t>re</w:t>
      </w:r>
      <w:r w:rsidRPr="00AE5A6A">
        <w:rPr>
          <w:rStyle w:val="relative"/>
          <w:lang w:val="en-GB"/>
        </w:rPr>
        <w:t xml:space="preserve"> subject to </w:t>
      </w:r>
      <w:r w:rsidRPr="00AE5A6A">
        <w:rPr>
          <w:rStyle w:val="Strong"/>
          <w:b w:val="0"/>
          <w:lang w:val="en-GB"/>
        </w:rPr>
        <w:t>accounting manipulation</w:t>
      </w:r>
      <w:r w:rsidRPr="00AE5A6A">
        <w:rPr>
          <w:rStyle w:val="relative"/>
          <w:b/>
          <w:lang w:val="en-GB"/>
        </w:rPr>
        <w:t>,</w:t>
      </w:r>
      <w:r w:rsidRPr="00AE5A6A">
        <w:rPr>
          <w:rStyle w:val="relative"/>
          <w:lang w:val="en-GB"/>
        </w:rPr>
        <w:t xml:space="preserve"> such as asset revaluation or timing of expenses</w:t>
      </w:r>
      <w:r w:rsidRPr="00AE5A6A">
        <w:rPr>
          <w:lang w:val="en-GB"/>
        </w:rPr>
        <w:t xml:space="preserve">. </w:t>
      </w:r>
      <w:r w:rsidRPr="00AE5A6A">
        <w:rPr>
          <w:rStyle w:val="relative"/>
          <w:lang w:val="en-GB"/>
        </w:rPr>
        <w:t xml:space="preserve">Provide limited insight into drivers—they show </w:t>
      </w:r>
      <w:r w:rsidRPr="00AE5A6A">
        <w:rPr>
          <w:rStyle w:val="Emphasis"/>
          <w:lang w:val="en-GB"/>
        </w:rPr>
        <w:t>what happened</w:t>
      </w:r>
      <w:r w:rsidRPr="00AE5A6A">
        <w:rPr>
          <w:rStyle w:val="relative"/>
          <w:lang w:val="en-GB"/>
        </w:rPr>
        <w:t xml:space="preserve">, not </w:t>
      </w:r>
      <w:r w:rsidRPr="00AE5A6A">
        <w:rPr>
          <w:rStyle w:val="Emphasis"/>
          <w:lang w:val="en-GB"/>
        </w:rPr>
        <w:t>why</w:t>
      </w:r>
      <w:r w:rsidRPr="00AE5A6A">
        <w:rPr>
          <w:rStyle w:val="relative"/>
          <w:lang w:val="en-GB"/>
        </w:rPr>
        <w:t xml:space="preserve"> (e.g. margin shifts, one-offs). </w:t>
      </w:r>
      <w:r w:rsidRPr="00597FEF">
        <w:rPr>
          <w:rStyle w:val="Strong"/>
          <w:b w:val="0"/>
          <w:i/>
          <w:lang w:val="en-GB"/>
        </w:rPr>
        <w:t>Liquidity Ratios</w:t>
      </w:r>
      <w:r w:rsidRPr="00AE5A6A">
        <w:rPr>
          <w:lang w:val="en-GB"/>
        </w:rPr>
        <w:br/>
      </w:r>
      <w:r w:rsidRPr="00AE5A6A">
        <w:rPr>
          <w:rStyle w:val="relative"/>
          <w:lang w:val="en-GB"/>
        </w:rPr>
        <w:t xml:space="preserve">represent only a </w:t>
      </w:r>
      <w:r w:rsidRPr="00AE5A6A">
        <w:rPr>
          <w:rStyle w:val="Strong"/>
          <w:b w:val="0"/>
          <w:lang w:val="en-GB"/>
        </w:rPr>
        <w:t>snapshot in time</w:t>
      </w:r>
      <w:r w:rsidRPr="00AE5A6A">
        <w:rPr>
          <w:rStyle w:val="relative"/>
          <w:lang w:val="en-GB"/>
        </w:rPr>
        <w:t xml:space="preserve">, potentially overlooking quarterly cash flow fluctuations distorted by </w:t>
      </w:r>
      <w:r w:rsidRPr="00AE5A6A">
        <w:rPr>
          <w:rStyle w:val="Strong"/>
          <w:b w:val="0"/>
          <w:lang w:val="en-GB"/>
        </w:rPr>
        <w:t>illiquid inventory</w:t>
      </w:r>
      <w:r w:rsidRPr="00AE5A6A">
        <w:rPr>
          <w:rStyle w:val="relative"/>
          <w:lang w:val="en-GB"/>
        </w:rPr>
        <w:t>, inflating the perceived liquidity</w:t>
      </w:r>
      <w:r w:rsidRPr="00AE5A6A">
        <w:rPr>
          <w:lang w:val="en-GB"/>
        </w:rPr>
        <w:t xml:space="preserve">. </w:t>
      </w:r>
      <w:r w:rsidR="000965B9">
        <w:rPr>
          <w:lang w:val="en-GB"/>
        </w:rPr>
        <w:t xml:space="preserve">These </w:t>
      </w:r>
      <w:r w:rsidR="000965B9">
        <w:rPr>
          <w:rStyle w:val="relative"/>
          <w:lang w:val="en-GB"/>
        </w:rPr>
        <w:t>c</w:t>
      </w:r>
      <w:r w:rsidRPr="00AE5A6A">
        <w:rPr>
          <w:rStyle w:val="relative"/>
          <w:lang w:val="en-GB"/>
        </w:rPr>
        <w:t xml:space="preserve">an conceal </w:t>
      </w:r>
      <w:r w:rsidR="000C65E3" w:rsidRPr="00AE5A6A">
        <w:rPr>
          <w:rStyle w:val="Strong"/>
          <w:b w:val="0"/>
          <w:lang w:val="en-GB"/>
        </w:rPr>
        <w:t>seasonal fluctuations</w:t>
      </w:r>
      <w:r w:rsidRPr="00AE5A6A">
        <w:rPr>
          <w:rStyle w:val="relative"/>
          <w:lang w:val="en-GB"/>
        </w:rPr>
        <w:t xml:space="preserve"> in working capital </w:t>
      </w:r>
      <w:r w:rsidR="000965B9">
        <w:rPr>
          <w:rStyle w:val="relative"/>
          <w:lang w:val="en-GB"/>
        </w:rPr>
        <w:t>needs a</w:t>
      </w:r>
      <w:r w:rsidR="000C65E3" w:rsidRPr="00AE5A6A">
        <w:rPr>
          <w:rStyle w:val="relative"/>
          <w:lang w:val="en-GB"/>
        </w:rPr>
        <w:t>ffected</w:t>
      </w:r>
      <w:r w:rsidRPr="00AE5A6A">
        <w:rPr>
          <w:rStyle w:val="relative"/>
          <w:lang w:val="en-GB"/>
        </w:rPr>
        <w:t xml:space="preserve"> by </w:t>
      </w:r>
      <w:r w:rsidRPr="00AE5A6A">
        <w:rPr>
          <w:rStyle w:val="Strong"/>
          <w:b w:val="0"/>
          <w:lang w:val="en-GB"/>
        </w:rPr>
        <w:t>accounting policies</w:t>
      </w:r>
      <w:r w:rsidRPr="00AE5A6A">
        <w:rPr>
          <w:rStyle w:val="relative"/>
          <w:lang w:val="en-GB"/>
        </w:rPr>
        <w:t>, such as changes in asset classification</w:t>
      </w:r>
      <w:r w:rsidR="00E955A4">
        <w:rPr>
          <w:rStyle w:val="relative"/>
          <w:lang w:val="en-GB"/>
        </w:rPr>
        <w:t xml:space="preserve"> </w:t>
      </w:r>
      <w:r w:rsidR="007E42A5" w:rsidRPr="00AE5A6A">
        <w:rPr>
          <w:rStyle w:val="relative"/>
          <w:lang w:val="en-GB"/>
        </w:rPr>
        <w:t>(Graham and Harvey, 2021)</w:t>
      </w:r>
      <w:r w:rsidRPr="00AE5A6A">
        <w:rPr>
          <w:lang w:val="en-GB"/>
        </w:rPr>
        <w:t xml:space="preserve">.  </w:t>
      </w:r>
      <w:r w:rsidRPr="00597FEF">
        <w:rPr>
          <w:rStyle w:val="Strong"/>
          <w:b w:val="0"/>
          <w:i/>
          <w:lang w:val="en-GB"/>
        </w:rPr>
        <w:t>Gearing Ratios</w:t>
      </w:r>
      <w:r w:rsidR="00597FEF">
        <w:rPr>
          <w:rStyle w:val="Strong"/>
          <w:lang w:val="en-GB"/>
        </w:rPr>
        <w:t xml:space="preserve"> </w:t>
      </w:r>
      <w:r w:rsidRPr="00AE5A6A">
        <w:rPr>
          <w:rStyle w:val="relative"/>
          <w:lang w:val="en-GB"/>
        </w:rPr>
        <w:t xml:space="preserve">must be interpreted in </w:t>
      </w:r>
      <w:r w:rsidRPr="00AE5A6A">
        <w:rPr>
          <w:rStyle w:val="Strong"/>
          <w:b w:val="0"/>
          <w:lang w:val="en-GB"/>
        </w:rPr>
        <w:t>industry context</w:t>
      </w:r>
      <w:r w:rsidRPr="00AE5A6A">
        <w:rPr>
          <w:rStyle w:val="relative"/>
          <w:lang w:val="en-GB"/>
        </w:rPr>
        <w:t xml:space="preserve">, as capital-intensive firms normally carry more </w:t>
      </w:r>
      <w:r w:rsidR="003A4C3F" w:rsidRPr="00AE5A6A">
        <w:rPr>
          <w:rStyle w:val="relative"/>
          <w:lang w:val="en-GB"/>
        </w:rPr>
        <w:t>debt</w:t>
      </w:r>
      <w:r w:rsidR="00597FEF">
        <w:rPr>
          <w:lang w:val="en-GB"/>
        </w:rPr>
        <w:t xml:space="preserve"> and p</w:t>
      </w:r>
      <w:r w:rsidR="003A4C3F" w:rsidRPr="00AE5A6A">
        <w:rPr>
          <w:rStyle w:val="relative"/>
          <w:lang w:val="en-GB"/>
        </w:rPr>
        <w:t>rovide</w:t>
      </w:r>
      <w:r w:rsidRPr="00AE5A6A">
        <w:rPr>
          <w:rStyle w:val="relative"/>
          <w:lang w:val="en-GB"/>
        </w:rPr>
        <w:t xml:space="preserve"> only a </w:t>
      </w:r>
      <w:r w:rsidRPr="00AE5A6A">
        <w:rPr>
          <w:rStyle w:val="Strong"/>
          <w:b w:val="0"/>
          <w:lang w:val="en-GB"/>
        </w:rPr>
        <w:t>static view</w:t>
      </w:r>
      <w:r w:rsidRPr="00AE5A6A">
        <w:rPr>
          <w:rStyle w:val="relative"/>
          <w:lang w:val="en-GB"/>
        </w:rPr>
        <w:t xml:space="preserve"> of debt, ignoring future financing or refinancing risks.</w:t>
      </w:r>
      <w:r w:rsidR="00597FEF">
        <w:rPr>
          <w:rStyle w:val="relative"/>
          <w:lang w:val="en-GB"/>
        </w:rPr>
        <w:t xml:space="preserve"> These ratios o</w:t>
      </w:r>
      <w:r w:rsidRPr="00AE5A6A">
        <w:rPr>
          <w:rStyle w:val="relative"/>
          <w:lang w:val="en-GB"/>
        </w:rPr>
        <w:t xml:space="preserve">ften exclude </w:t>
      </w:r>
      <w:r w:rsidRPr="00AE5A6A">
        <w:rPr>
          <w:rStyle w:val="Strong"/>
          <w:b w:val="0"/>
          <w:lang w:val="en-GB"/>
        </w:rPr>
        <w:t>off-balance-sheet liabilities</w:t>
      </w:r>
      <w:r w:rsidRPr="00AE5A6A">
        <w:rPr>
          <w:rStyle w:val="relative"/>
          <w:b/>
          <w:lang w:val="en-GB"/>
        </w:rPr>
        <w:t>,</w:t>
      </w:r>
      <w:r w:rsidRPr="00AE5A6A">
        <w:rPr>
          <w:rStyle w:val="relative"/>
          <w:lang w:val="en-GB"/>
        </w:rPr>
        <w:t xml:space="preserve"> such as </w:t>
      </w:r>
      <w:r w:rsidR="00597FEF">
        <w:rPr>
          <w:rStyle w:val="relative"/>
          <w:lang w:val="en-GB"/>
        </w:rPr>
        <w:t xml:space="preserve">leases </w:t>
      </w:r>
      <w:r w:rsidR="00597FEF">
        <w:rPr>
          <w:rStyle w:val="relative"/>
          <w:lang w:val="en-GB"/>
        </w:rPr>
        <w:lastRenderedPageBreak/>
        <w:t>or guarantees which c</w:t>
      </w:r>
      <w:r w:rsidRPr="00AE5A6A">
        <w:rPr>
          <w:rStyle w:val="relative"/>
          <w:lang w:val="en-GB"/>
        </w:rPr>
        <w:t xml:space="preserve">an be skewed by </w:t>
      </w:r>
      <w:r w:rsidRPr="00AE5A6A">
        <w:rPr>
          <w:rStyle w:val="Strong"/>
          <w:b w:val="0"/>
          <w:lang w:val="en-GB"/>
        </w:rPr>
        <w:t>accounting changes</w:t>
      </w:r>
      <w:r w:rsidRPr="00AE5A6A">
        <w:rPr>
          <w:rStyle w:val="relative"/>
          <w:lang w:val="en-GB"/>
        </w:rPr>
        <w:t>, like depreciation method adjustments or asset revaluations</w:t>
      </w:r>
      <w:r w:rsidRPr="00AE5A6A">
        <w:rPr>
          <w:lang w:val="en-GB"/>
        </w:rPr>
        <w:t>.</w:t>
      </w:r>
      <w:r w:rsidR="00597FEF">
        <w:rPr>
          <w:lang w:val="en-GB"/>
        </w:rPr>
        <w:t xml:space="preserve"> </w:t>
      </w:r>
      <w:r w:rsidR="002F502F" w:rsidRPr="00597FEF">
        <w:rPr>
          <w:i/>
          <w:lang w:val="en-GB"/>
        </w:rPr>
        <w:t>I</w:t>
      </w:r>
      <w:r w:rsidR="002F502F" w:rsidRPr="00597FEF">
        <w:rPr>
          <w:rStyle w:val="Strong"/>
          <w:b w:val="0"/>
          <w:i/>
          <w:lang w:val="en-GB"/>
        </w:rPr>
        <w:t>nvestor Ratios</w:t>
      </w:r>
      <w:r w:rsidR="002F502F" w:rsidRPr="00AE5A6A">
        <w:rPr>
          <w:rStyle w:val="Strong"/>
          <w:lang w:val="en-GB"/>
        </w:rPr>
        <w:t xml:space="preserve"> </w:t>
      </w:r>
      <w:r w:rsidR="002F502F" w:rsidRPr="00AE5A6A">
        <w:rPr>
          <w:lang w:val="en-GB"/>
        </w:rPr>
        <w:t>a</w:t>
      </w:r>
      <w:r w:rsidR="002F502F" w:rsidRPr="00AE5A6A">
        <w:rPr>
          <w:rStyle w:val="relative"/>
          <w:lang w:val="en-GB"/>
        </w:rPr>
        <w:t xml:space="preserve">re </w:t>
      </w:r>
      <w:r w:rsidR="002F502F" w:rsidRPr="00AE5A6A">
        <w:rPr>
          <w:rStyle w:val="Strong"/>
          <w:b w:val="0"/>
          <w:lang w:val="en-GB"/>
        </w:rPr>
        <w:t>volatile</w:t>
      </w:r>
      <w:r w:rsidR="002F502F" w:rsidRPr="00AE5A6A">
        <w:rPr>
          <w:rStyle w:val="relative"/>
          <w:b/>
          <w:lang w:val="en-GB"/>
        </w:rPr>
        <w:t>,</w:t>
      </w:r>
      <w:r w:rsidR="002F502F" w:rsidRPr="00AE5A6A">
        <w:rPr>
          <w:rStyle w:val="relative"/>
          <w:lang w:val="en-GB"/>
        </w:rPr>
        <w:t xml:space="preserve"> fluctuating with share price movements, not solely fundamentals</w:t>
      </w:r>
      <w:r w:rsidR="00597FEF">
        <w:rPr>
          <w:lang w:val="en-GB"/>
        </w:rPr>
        <w:t xml:space="preserve"> </w:t>
      </w:r>
      <w:r w:rsidR="002F502F" w:rsidRPr="00AE5A6A">
        <w:rPr>
          <w:rStyle w:val="Strong"/>
          <w:b w:val="0"/>
          <w:lang w:val="en-GB"/>
        </w:rPr>
        <w:t>distorted</w:t>
      </w:r>
      <w:r w:rsidR="002F502F" w:rsidRPr="00AE5A6A">
        <w:rPr>
          <w:rStyle w:val="relative"/>
          <w:lang w:val="en-GB"/>
        </w:rPr>
        <w:t xml:space="preserve"> by non-recurring items or earnings manipulation</w:t>
      </w:r>
      <w:r w:rsidR="002F502F" w:rsidRPr="00AE5A6A">
        <w:rPr>
          <w:lang w:val="en-GB"/>
        </w:rPr>
        <w:t xml:space="preserve">. </w:t>
      </w:r>
      <w:r w:rsidR="00597FEF">
        <w:rPr>
          <w:lang w:val="en-GB"/>
        </w:rPr>
        <w:t xml:space="preserve">These </w:t>
      </w:r>
      <w:r w:rsidR="00597FEF">
        <w:rPr>
          <w:rStyle w:val="relative"/>
          <w:lang w:val="en-GB"/>
        </w:rPr>
        <w:t>o</w:t>
      </w:r>
      <w:r w:rsidR="00597FEF" w:rsidRPr="00AE5A6A">
        <w:rPr>
          <w:rStyle w:val="relative"/>
          <w:lang w:val="en-GB"/>
        </w:rPr>
        <w:t xml:space="preserve">ften ignore </w:t>
      </w:r>
      <w:r w:rsidR="00597FEF" w:rsidRPr="00AE5A6A">
        <w:rPr>
          <w:rStyle w:val="Strong"/>
          <w:b w:val="0"/>
          <w:lang w:val="en-GB"/>
        </w:rPr>
        <w:t>intangibles</w:t>
      </w:r>
      <w:r w:rsidR="00597FEF" w:rsidRPr="00AE5A6A">
        <w:rPr>
          <w:rStyle w:val="relative"/>
          <w:lang w:val="en-GB"/>
        </w:rPr>
        <w:t>, with metrics like P/B undervaluing brands or intellectual property</w:t>
      </w:r>
      <w:r w:rsidR="00597FEF">
        <w:rPr>
          <w:lang w:val="en-GB"/>
        </w:rPr>
        <w:t xml:space="preserve"> </w:t>
      </w:r>
      <w:r w:rsidR="00597FEF">
        <w:rPr>
          <w:rStyle w:val="relative"/>
          <w:lang w:val="en-GB"/>
        </w:rPr>
        <w:t>d</w:t>
      </w:r>
      <w:r w:rsidR="002F502F" w:rsidRPr="00AE5A6A">
        <w:rPr>
          <w:rStyle w:val="relative"/>
          <w:lang w:val="en-GB"/>
        </w:rPr>
        <w:t>epend</w:t>
      </w:r>
      <w:r w:rsidR="00597FEF">
        <w:rPr>
          <w:rStyle w:val="relative"/>
          <w:lang w:val="en-GB"/>
        </w:rPr>
        <w:t>ing</w:t>
      </w:r>
      <w:r w:rsidR="002F502F" w:rsidRPr="00AE5A6A">
        <w:rPr>
          <w:rStyle w:val="relative"/>
          <w:lang w:val="en-GB"/>
        </w:rPr>
        <w:t xml:space="preserve"> on </w:t>
      </w:r>
      <w:r w:rsidR="002F502F" w:rsidRPr="00AE5A6A">
        <w:rPr>
          <w:rStyle w:val="Strong"/>
          <w:b w:val="0"/>
          <w:lang w:val="en-GB"/>
        </w:rPr>
        <w:t>forecasts</w:t>
      </w:r>
      <w:r w:rsidR="002F502F" w:rsidRPr="00AE5A6A">
        <w:rPr>
          <w:rStyle w:val="relative"/>
          <w:lang w:val="en-GB"/>
        </w:rPr>
        <w:t xml:space="preserve"> (e.g. PEG), which are inherently uncertain.</w:t>
      </w:r>
      <w:r w:rsidR="00597FEF">
        <w:rPr>
          <w:rStyle w:val="relative"/>
          <w:lang w:val="en-GB"/>
        </w:rPr>
        <w:t xml:space="preserve"> </w:t>
      </w:r>
    </w:p>
    <w:p w14:paraId="62E20B15" w14:textId="77777777" w:rsidR="00C77F72" w:rsidRPr="00AE5A6A" w:rsidRDefault="00C77F72" w:rsidP="00937AD8">
      <w:pPr>
        <w:numPr>
          <w:ilvl w:val="0"/>
          <w:numId w:val="45"/>
        </w:numPr>
        <w:spacing w:after="0"/>
        <w:jc w:val="both"/>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One</w:t>
      </w:r>
      <w:r w:rsidRPr="00AE5A6A">
        <w:rPr>
          <w:rFonts w:ascii="Times New Roman" w:eastAsia="Times New Roman" w:hAnsi="Times New Roman" w:cs="Times New Roman"/>
          <w:b/>
          <w:bCs/>
          <w:szCs w:val="24"/>
          <w:lang w:val="en-GB"/>
        </w:rPr>
        <w:noBreakHyphen/>
        <w:t>off distortions</w:t>
      </w:r>
      <w:r w:rsidRPr="00AE5A6A">
        <w:rPr>
          <w:rFonts w:ascii="Times New Roman" w:eastAsia="Times New Roman" w:hAnsi="Times New Roman" w:cs="Times New Roman"/>
          <w:szCs w:val="24"/>
          <w:lang w:val="en-GB"/>
        </w:rPr>
        <w:t xml:space="preserve">: </w:t>
      </w:r>
      <w:r w:rsidR="00937AD8" w:rsidRPr="00AE5A6A">
        <w:rPr>
          <w:rFonts w:ascii="Times New Roman" w:eastAsia="Times New Roman" w:hAnsi="Times New Roman" w:cs="Times New Roman"/>
          <w:szCs w:val="24"/>
          <w:lang w:val="en-GB"/>
        </w:rPr>
        <w:t>Cyber-attack</w:t>
      </w:r>
      <w:r w:rsidRPr="00AE5A6A">
        <w:rPr>
          <w:rFonts w:ascii="Times New Roman" w:eastAsia="Times New Roman" w:hAnsi="Times New Roman" w:cs="Times New Roman"/>
          <w:szCs w:val="24"/>
          <w:lang w:val="en-GB"/>
        </w:rPr>
        <w:t xml:space="preserve"> losses, </w:t>
      </w:r>
      <w:r w:rsidR="003A4C3F" w:rsidRPr="00AE5A6A">
        <w:rPr>
          <w:rFonts w:ascii="Times New Roman" w:eastAsia="Times New Roman" w:hAnsi="Times New Roman" w:cs="Times New Roman"/>
          <w:szCs w:val="24"/>
          <w:lang w:val="en-GB"/>
        </w:rPr>
        <w:t>cyber insurance</w:t>
      </w:r>
      <w:r w:rsidRPr="00AE5A6A">
        <w:rPr>
          <w:rFonts w:ascii="Times New Roman" w:eastAsia="Times New Roman" w:hAnsi="Times New Roman" w:cs="Times New Roman"/>
          <w:szCs w:val="24"/>
          <w:lang w:val="en-GB"/>
        </w:rPr>
        <w:t xml:space="preserve"> claims, and Ocado impairment skew both profitability and liquidity assessments.</w:t>
      </w:r>
    </w:p>
    <w:p w14:paraId="14D02116" w14:textId="77777777" w:rsidR="00C77F72" w:rsidRPr="00AE5A6A" w:rsidRDefault="00C77F72" w:rsidP="00937AD8">
      <w:pPr>
        <w:numPr>
          <w:ilvl w:val="0"/>
          <w:numId w:val="45"/>
        </w:numPr>
        <w:spacing w:after="0"/>
        <w:jc w:val="both"/>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Time</w:t>
      </w:r>
      <w:r w:rsidRPr="00AE5A6A">
        <w:rPr>
          <w:rFonts w:ascii="Times New Roman" w:eastAsia="Times New Roman" w:hAnsi="Times New Roman" w:cs="Times New Roman"/>
          <w:b/>
          <w:bCs/>
          <w:szCs w:val="24"/>
          <w:lang w:val="en-GB"/>
        </w:rPr>
        <w:noBreakHyphen/>
        <w:t>point sensitivity</w:t>
      </w:r>
      <w:r w:rsidRPr="00AE5A6A">
        <w:rPr>
          <w:rFonts w:ascii="Times New Roman" w:eastAsia="Times New Roman" w:hAnsi="Times New Roman" w:cs="Times New Roman"/>
          <w:szCs w:val="24"/>
          <w:lang w:val="en-GB"/>
        </w:rPr>
        <w:t xml:space="preserve">: Ratios fluctuate with </w:t>
      </w:r>
      <w:r w:rsidR="003A4C3F" w:rsidRPr="00AE5A6A">
        <w:rPr>
          <w:rFonts w:ascii="Times New Roman" w:eastAsia="Times New Roman" w:hAnsi="Times New Roman" w:cs="Times New Roman"/>
          <w:szCs w:val="24"/>
          <w:lang w:val="en-GB"/>
        </w:rPr>
        <w:t>period end</w:t>
      </w:r>
      <w:r w:rsidRPr="00AE5A6A">
        <w:rPr>
          <w:rFonts w:ascii="Times New Roman" w:eastAsia="Times New Roman" w:hAnsi="Times New Roman" w:cs="Times New Roman"/>
          <w:szCs w:val="24"/>
          <w:lang w:val="en-GB"/>
        </w:rPr>
        <w:t xml:space="preserve"> balances; intra</w:t>
      </w:r>
      <w:r w:rsidRPr="00AE5A6A">
        <w:rPr>
          <w:rFonts w:ascii="Times New Roman" w:eastAsia="Times New Roman" w:hAnsi="Times New Roman" w:cs="Times New Roman"/>
          <w:szCs w:val="24"/>
          <w:lang w:val="en-GB"/>
        </w:rPr>
        <w:noBreakHyphen/>
        <w:t>year positions may be stronger.</w:t>
      </w:r>
    </w:p>
    <w:p w14:paraId="0F921785" w14:textId="77777777" w:rsidR="00C77F72" w:rsidRPr="00AE5A6A" w:rsidRDefault="00C77F72" w:rsidP="00937AD8">
      <w:pPr>
        <w:numPr>
          <w:ilvl w:val="0"/>
          <w:numId w:val="45"/>
        </w:numPr>
        <w:spacing w:after="0"/>
        <w:jc w:val="both"/>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No context on operational efficiency</w:t>
      </w:r>
      <w:r w:rsidRPr="00AE5A6A">
        <w:rPr>
          <w:rFonts w:ascii="Times New Roman" w:eastAsia="Times New Roman" w:hAnsi="Times New Roman" w:cs="Times New Roman"/>
          <w:szCs w:val="24"/>
          <w:lang w:val="en-GB"/>
        </w:rPr>
        <w:t>: Lacks detail on regional performance differences or segment dynamics.</w:t>
      </w:r>
    </w:p>
    <w:p w14:paraId="729D0A94" w14:textId="77777777" w:rsidR="001E1871" w:rsidRPr="00AE5A6A" w:rsidRDefault="00C77F72" w:rsidP="00937AD8">
      <w:pPr>
        <w:numPr>
          <w:ilvl w:val="0"/>
          <w:numId w:val="45"/>
        </w:numPr>
        <w:spacing w:after="0"/>
        <w:jc w:val="both"/>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Non</w:t>
      </w:r>
      <w:r w:rsidRPr="00AE5A6A">
        <w:rPr>
          <w:rFonts w:ascii="Times New Roman" w:eastAsia="Times New Roman" w:hAnsi="Times New Roman" w:cs="Times New Roman"/>
          <w:b/>
          <w:bCs/>
          <w:szCs w:val="24"/>
          <w:lang w:val="en-GB"/>
        </w:rPr>
        <w:noBreakHyphen/>
        <w:t>financial risk blind spots</w:t>
      </w:r>
      <w:r w:rsidRPr="00AE5A6A">
        <w:rPr>
          <w:rFonts w:ascii="Times New Roman" w:eastAsia="Times New Roman" w:hAnsi="Times New Roman" w:cs="Times New Roman"/>
          <w:szCs w:val="24"/>
          <w:lang w:val="en-GB"/>
        </w:rPr>
        <w:t>: IT security, supply</w:t>
      </w:r>
      <w:r w:rsidRPr="00AE5A6A">
        <w:rPr>
          <w:rFonts w:ascii="Times New Roman" w:eastAsia="Times New Roman" w:hAnsi="Times New Roman" w:cs="Times New Roman"/>
          <w:szCs w:val="24"/>
          <w:lang w:val="en-GB"/>
        </w:rPr>
        <w:noBreakHyphen/>
        <w:t>chain resilience, and regulatory exposures aren’t reflected.</w:t>
      </w:r>
    </w:p>
    <w:p w14:paraId="0DABB1A0" w14:textId="77777777" w:rsidR="001E1871" w:rsidRPr="00AE5A6A" w:rsidRDefault="001E1871" w:rsidP="007B68F1">
      <w:pPr>
        <w:pStyle w:val="Heading2"/>
        <w:rPr>
          <w:lang w:val="en-GB"/>
        </w:rPr>
      </w:pPr>
      <w:bookmarkStart w:id="9" w:name="_Toc202268837"/>
      <w:r w:rsidRPr="00AE5A6A">
        <w:rPr>
          <w:lang w:val="en-GB"/>
        </w:rPr>
        <w:t>Key Strategies to Boost</w:t>
      </w:r>
      <w:bookmarkEnd w:id="9"/>
    </w:p>
    <w:p w14:paraId="0ECA034C" w14:textId="77777777" w:rsidR="001E1871" w:rsidRPr="00AE5A6A" w:rsidRDefault="00937AD8" w:rsidP="00937AD8">
      <w:pPr>
        <w:spacing w:after="0"/>
        <w:jc w:val="both"/>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Profitability</w:t>
      </w:r>
      <w:r w:rsidR="00697F1E" w:rsidRPr="00AE5A6A">
        <w:rPr>
          <w:rFonts w:ascii="Times New Roman" w:eastAsia="Times New Roman" w:hAnsi="Times New Roman" w:cs="Times New Roman"/>
          <w:b/>
          <w:bCs/>
          <w:szCs w:val="24"/>
          <w:lang w:val="en-GB"/>
        </w:rPr>
        <w:t>:</w:t>
      </w:r>
      <w:r w:rsidR="00E955A4">
        <w:rPr>
          <w:rFonts w:ascii="Times New Roman" w:eastAsia="Times New Roman" w:hAnsi="Times New Roman" w:cs="Times New Roman"/>
          <w:b/>
          <w:bCs/>
          <w:szCs w:val="24"/>
          <w:lang w:val="en-GB"/>
        </w:rPr>
        <w:t xml:space="preserve"> </w:t>
      </w:r>
      <w:r w:rsidR="001E1871" w:rsidRPr="00AE5A6A">
        <w:rPr>
          <w:rFonts w:ascii="Times New Roman" w:eastAsia="Times New Roman" w:hAnsi="Times New Roman" w:cs="Times New Roman"/>
          <w:bCs/>
          <w:szCs w:val="24"/>
          <w:lang w:val="en-GB"/>
        </w:rPr>
        <w:t>Optimize pricing</w:t>
      </w:r>
      <w:r w:rsidR="001E1871" w:rsidRPr="00AE5A6A">
        <w:rPr>
          <w:rFonts w:ascii="Times New Roman" w:eastAsia="Times New Roman" w:hAnsi="Times New Roman" w:cs="Times New Roman"/>
          <w:szCs w:val="24"/>
          <w:lang w:val="en-GB"/>
        </w:rPr>
        <w:t xml:space="preserve"> using approaches like value-based, tiered ("Good–Better–Best"),</w:t>
      </w:r>
      <w:r w:rsidR="00E955A4">
        <w:rPr>
          <w:rFonts w:ascii="Times New Roman" w:eastAsia="Times New Roman" w:hAnsi="Times New Roman" w:cs="Times New Roman"/>
          <w:szCs w:val="24"/>
          <w:lang w:val="en-GB"/>
        </w:rPr>
        <w:t xml:space="preserve"> or dynamic pricing—allowing</w:t>
      </w:r>
      <w:r w:rsidR="001E1871" w:rsidRPr="00AE5A6A">
        <w:rPr>
          <w:rFonts w:ascii="Times New Roman" w:eastAsia="Times New Roman" w:hAnsi="Times New Roman" w:cs="Times New Roman"/>
          <w:szCs w:val="24"/>
          <w:lang w:val="en-GB"/>
        </w:rPr>
        <w:t xml:space="preserve"> to charge more for premium value </w:t>
      </w:r>
      <w:r w:rsidR="00E955A4">
        <w:rPr>
          <w:rFonts w:ascii="Times New Roman" w:eastAsia="Times New Roman" w:hAnsi="Times New Roman" w:cs="Times New Roman"/>
          <w:szCs w:val="24"/>
          <w:lang w:val="en-GB"/>
        </w:rPr>
        <w:t xml:space="preserve">and </w:t>
      </w:r>
      <w:r w:rsidR="00E955A4">
        <w:rPr>
          <w:rFonts w:ascii="Times New Roman" w:eastAsia="Times New Roman" w:hAnsi="Times New Roman" w:cs="Times New Roman"/>
          <w:bCs/>
          <w:szCs w:val="24"/>
          <w:lang w:val="en-GB"/>
        </w:rPr>
        <w:t>upsell/</w:t>
      </w:r>
      <w:r w:rsidR="001E1871" w:rsidRPr="00AE5A6A">
        <w:rPr>
          <w:rFonts w:ascii="Times New Roman" w:eastAsia="Times New Roman" w:hAnsi="Times New Roman" w:cs="Times New Roman"/>
          <w:bCs/>
          <w:szCs w:val="24"/>
          <w:lang w:val="en-GB"/>
        </w:rPr>
        <w:t>cross-sell</w:t>
      </w:r>
      <w:r w:rsidR="001E1871" w:rsidRPr="00AE5A6A">
        <w:rPr>
          <w:rFonts w:ascii="Times New Roman" w:eastAsia="Times New Roman" w:hAnsi="Times New Roman" w:cs="Times New Roman"/>
          <w:szCs w:val="24"/>
          <w:lang w:val="en-GB"/>
        </w:rPr>
        <w:t xml:space="preserve"> to elevate average order value and deepen customer engagement. </w:t>
      </w:r>
      <w:r w:rsidR="001E1871" w:rsidRPr="00AE5A6A">
        <w:rPr>
          <w:rFonts w:ascii="Times New Roman" w:eastAsia="Times New Roman" w:hAnsi="Times New Roman" w:cs="Times New Roman"/>
          <w:bCs/>
          <w:szCs w:val="24"/>
          <w:lang w:val="en-GB"/>
        </w:rPr>
        <w:t>Expand</w:t>
      </w:r>
      <w:r w:rsidR="00E955A4">
        <w:rPr>
          <w:rFonts w:ascii="Times New Roman" w:eastAsia="Times New Roman" w:hAnsi="Times New Roman" w:cs="Times New Roman"/>
          <w:bCs/>
          <w:szCs w:val="24"/>
          <w:lang w:val="en-GB"/>
        </w:rPr>
        <w:t>ing</w:t>
      </w:r>
      <w:r w:rsidR="001E1871" w:rsidRPr="00AE5A6A">
        <w:rPr>
          <w:rFonts w:ascii="Times New Roman" w:eastAsia="Times New Roman" w:hAnsi="Times New Roman" w:cs="Times New Roman"/>
          <w:bCs/>
          <w:szCs w:val="24"/>
          <w:lang w:val="en-GB"/>
        </w:rPr>
        <w:t xml:space="preserve"> product lines or enter </w:t>
      </w:r>
      <w:r w:rsidR="00E955A4" w:rsidRPr="00AE5A6A">
        <w:rPr>
          <w:rFonts w:ascii="Times New Roman" w:eastAsia="Times New Roman" w:hAnsi="Times New Roman" w:cs="Times New Roman"/>
          <w:bCs/>
          <w:szCs w:val="24"/>
          <w:lang w:val="en-GB"/>
        </w:rPr>
        <w:t>new markets</w:t>
      </w:r>
      <w:r w:rsidR="001E1871" w:rsidRPr="00AE5A6A">
        <w:rPr>
          <w:rFonts w:ascii="Times New Roman" w:eastAsia="Times New Roman" w:hAnsi="Times New Roman" w:cs="Times New Roman"/>
          <w:szCs w:val="24"/>
          <w:lang w:val="en-GB"/>
        </w:rPr>
        <w:t>, and diversify into complementary or subscription-based offeri</w:t>
      </w:r>
      <w:r w:rsidR="00E955A4">
        <w:rPr>
          <w:rFonts w:ascii="Times New Roman" w:eastAsia="Times New Roman" w:hAnsi="Times New Roman" w:cs="Times New Roman"/>
          <w:szCs w:val="24"/>
          <w:lang w:val="en-GB"/>
        </w:rPr>
        <w:t>ngs for steady revenue streams and n</w:t>
      </w:r>
      <w:r w:rsidR="001E1871" w:rsidRPr="00AE5A6A">
        <w:rPr>
          <w:rFonts w:ascii="Times New Roman" w:eastAsia="Times New Roman" w:hAnsi="Times New Roman" w:cs="Times New Roman"/>
          <w:bCs/>
          <w:szCs w:val="24"/>
          <w:lang w:val="en-GB"/>
        </w:rPr>
        <w:t>egotiate with suppliers</w:t>
      </w:r>
      <w:r w:rsidR="001E1871" w:rsidRPr="00AE5A6A">
        <w:rPr>
          <w:rFonts w:ascii="Times New Roman" w:eastAsia="Times New Roman" w:hAnsi="Times New Roman" w:cs="Times New Roman"/>
          <w:szCs w:val="24"/>
          <w:lang w:val="en-GB"/>
        </w:rPr>
        <w:t xml:space="preserve"> for better </w:t>
      </w:r>
      <w:r w:rsidR="00AE5A6A" w:rsidRPr="00AE5A6A">
        <w:rPr>
          <w:rFonts w:ascii="Times New Roman" w:eastAsia="Times New Roman" w:hAnsi="Times New Roman" w:cs="Times New Roman"/>
          <w:szCs w:val="24"/>
          <w:lang w:val="en-GB"/>
        </w:rPr>
        <w:t>deals and</w:t>
      </w:r>
      <w:r w:rsidR="001E1871" w:rsidRPr="00AE5A6A">
        <w:rPr>
          <w:rFonts w:ascii="Times New Roman" w:eastAsia="Times New Roman" w:hAnsi="Times New Roman" w:cs="Times New Roman"/>
          <w:szCs w:val="24"/>
          <w:lang w:val="en-GB"/>
        </w:rPr>
        <w:t xml:space="preserve"> consider strategic outsourcing to control overheads</w:t>
      </w:r>
      <w:r w:rsidR="007E42A5" w:rsidRPr="00AE5A6A">
        <w:rPr>
          <w:rFonts w:ascii="Times New Roman" w:eastAsia="Times New Roman" w:hAnsi="Times New Roman" w:cs="Times New Roman"/>
          <w:szCs w:val="24"/>
          <w:lang w:val="en-GB"/>
        </w:rPr>
        <w:t xml:space="preserve"> (Kieso and Weygandt, 2022</w:t>
      </w:r>
      <w:r w:rsidRPr="00AE5A6A">
        <w:rPr>
          <w:rFonts w:ascii="Times New Roman" w:eastAsia="Times New Roman" w:hAnsi="Times New Roman" w:cs="Times New Roman"/>
          <w:szCs w:val="24"/>
          <w:lang w:val="en-GB"/>
        </w:rPr>
        <w:t>).</w:t>
      </w:r>
      <w:r w:rsidRPr="00AE5A6A">
        <w:rPr>
          <w:rFonts w:ascii="Times New Roman" w:eastAsia="Times New Roman" w:hAnsi="Times New Roman" w:cs="Times New Roman"/>
          <w:bCs/>
          <w:szCs w:val="24"/>
          <w:lang w:val="en-GB"/>
        </w:rPr>
        <w:t xml:space="preserve"> </w:t>
      </w:r>
      <w:r w:rsidR="00E955A4">
        <w:rPr>
          <w:rFonts w:ascii="Times New Roman" w:eastAsia="Times New Roman" w:hAnsi="Times New Roman" w:cs="Times New Roman"/>
          <w:bCs/>
          <w:szCs w:val="24"/>
          <w:lang w:val="en-GB"/>
        </w:rPr>
        <w:t xml:space="preserve">To improve </w:t>
      </w:r>
      <w:proofErr w:type="gramStart"/>
      <w:r w:rsidR="00E955A4">
        <w:rPr>
          <w:rFonts w:ascii="Times New Roman" w:eastAsia="Times New Roman" w:hAnsi="Times New Roman" w:cs="Times New Roman"/>
          <w:bCs/>
          <w:szCs w:val="24"/>
          <w:lang w:val="en-GB"/>
        </w:rPr>
        <w:t>profitability</w:t>
      </w:r>
      <w:proofErr w:type="gramEnd"/>
      <w:r w:rsidR="00E955A4">
        <w:rPr>
          <w:rFonts w:ascii="Times New Roman" w:eastAsia="Times New Roman" w:hAnsi="Times New Roman" w:cs="Times New Roman"/>
          <w:bCs/>
          <w:szCs w:val="24"/>
          <w:lang w:val="en-GB"/>
        </w:rPr>
        <w:t xml:space="preserve"> it requires to i</w:t>
      </w:r>
      <w:r w:rsidRPr="00AE5A6A">
        <w:rPr>
          <w:rFonts w:ascii="Times New Roman" w:eastAsia="Times New Roman" w:hAnsi="Times New Roman" w:cs="Times New Roman"/>
          <w:bCs/>
          <w:szCs w:val="24"/>
          <w:lang w:val="en-GB"/>
        </w:rPr>
        <w:t>mprove</w:t>
      </w:r>
      <w:r w:rsidR="001E1871" w:rsidRPr="00AE5A6A">
        <w:rPr>
          <w:rFonts w:ascii="Times New Roman" w:eastAsia="Times New Roman" w:hAnsi="Times New Roman" w:cs="Times New Roman"/>
          <w:bCs/>
          <w:szCs w:val="24"/>
          <w:lang w:val="en-GB"/>
        </w:rPr>
        <w:t xml:space="preserve"> inventory management</w:t>
      </w:r>
      <w:r w:rsidR="001E1871" w:rsidRPr="00AE5A6A">
        <w:rPr>
          <w:rFonts w:ascii="Times New Roman" w:eastAsia="Times New Roman" w:hAnsi="Times New Roman" w:cs="Times New Roman"/>
          <w:szCs w:val="24"/>
          <w:lang w:val="en-GB"/>
        </w:rPr>
        <w:t xml:space="preserve">—implement just-in-time systems, demand forecasting, and reduce obsolete stock. </w:t>
      </w:r>
      <w:r w:rsidR="00E955A4">
        <w:rPr>
          <w:rFonts w:ascii="Times New Roman" w:eastAsia="Times New Roman" w:hAnsi="Times New Roman" w:cs="Times New Roman"/>
          <w:bCs/>
          <w:szCs w:val="24"/>
          <w:lang w:val="en-GB"/>
        </w:rPr>
        <w:t>Process automation</w:t>
      </w:r>
      <w:r w:rsidR="001E1871" w:rsidRPr="00AE5A6A">
        <w:rPr>
          <w:rFonts w:ascii="Times New Roman" w:eastAsia="Times New Roman" w:hAnsi="Times New Roman" w:cs="Times New Roman"/>
          <w:szCs w:val="24"/>
          <w:lang w:val="en-GB"/>
        </w:rPr>
        <w:t xml:space="preserve"> with technology (AI, analytics, ERP) to streamline workflows </w:t>
      </w:r>
      <w:r w:rsidR="00E955A4">
        <w:rPr>
          <w:rFonts w:ascii="Times New Roman" w:eastAsia="Times New Roman" w:hAnsi="Times New Roman" w:cs="Times New Roman"/>
          <w:szCs w:val="24"/>
          <w:lang w:val="en-GB"/>
        </w:rPr>
        <w:t xml:space="preserve">and reduce </w:t>
      </w:r>
      <w:proofErr w:type="spellStart"/>
      <w:r w:rsidR="00E955A4">
        <w:rPr>
          <w:rFonts w:ascii="Times New Roman" w:eastAsia="Times New Roman" w:hAnsi="Times New Roman" w:cs="Times New Roman"/>
          <w:szCs w:val="24"/>
          <w:lang w:val="en-GB"/>
        </w:rPr>
        <w:t>labor</w:t>
      </w:r>
      <w:proofErr w:type="spellEnd"/>
      <w:r w:rsidR="00E955A4">
        <w:rPr>
          <w:rFonts w:ascii="Times New Roman" w:eastAsia="Times New Roman" w:hAnsi="Times New Roman" w:cs="Times New Roman"/>
          <w:szCs w:val="24"/>
          <w:lang w:val="en-GB"/>
        </w:rPr>
        <w:t xml:space="preserve"> inefficiencies will help to</w:t>
      </w:r>
      <w:r w:rsidR="001E1871" w:rsidRPr="00AE5A6A">
        <w:rPr>
          <w:rFonts w:ascii="Times New Roman" w:eastAsia="Times New Roman" w:hAnsi="Times New Roman" w:cs="Times New Roman"/>
          <w:szCs w:val="24"/>
          <w:lang w:val="en-GB"/>
        </w:rPr>
        <w:t xml:space="preserve"> </w:t>
      </w:r>
      <w:r w:rsidR="00E955A4">
        <w:rPr>
          <w:rFonts w:ascii="Times New Roman" w:eastAsia="Times New Roman" w:hAnsi="Times New Roman" w:cs="Times New Roman"/>
          <w:bCs/>
          <w:szCs w:val="24"/>
          <w:lang w:val="en-GB"/>
        </w:rPr>
        <w:t>b</w:t>
      </w:r>
      <w:r w:rsidR="001E1871" w:rsidRPr="00AE5A6A">
        <w:rPr>
          <w:rFonts w:ascii="Times New Roman" w:eastAsia="Times New Roman" w:hAnsi="Times New Roman" w:cs="Times New Roman"/>
          <w:bCs/>
          <w:szCs w:val="24"/>
          <w:lang w:val="en-GB"/>
        </w:rPr>
        <w:t>oost customer retention</w:t>
      </w:r>
      <w:r w:rsidR="001E1871" w:rsidRPr="00AE5A6A">
        <w:rPr>
          <w:rFonts w:ascii="Times New Roman" w:eastAsia="Times New Roman" w:hAnsi="Times New Roman" w:cs="Times New Roman"/>
          <w:szCs w:val="24"/>
          <w:lang w:val="en-GB"/>
        </w:rPr>
        <w:t xml:space="preserve"> through loyalty programs, personalized experiences, and excellent service—reducing acquisition costs. </w:t>
      </w:r>
      <w:r w:rsidR="001E1871" w:rsidRPr="00AE5A6A">
        <w:rPr>
          <w:rFonts w:ascii="Times New Roman" w:eastAsia="Times New Roman" w:hAnsi="Times New Roman" w:cs="Times New Roman"/>
          <w:bCs/>
          <w:szCs w:val="24"/>
          <w:lang w:val="en-GB"/>
        </w:rPr>
        <w:t>Gather and act on feedback</w:t>
      </w:r>
      <w:r w:rsidR="001E1871" w:rsidRPr="00AE5A6A">
        <w:rPr>
          <w:rFonts w:ascii="Times New Roman" w:eastAsia="Times New Roman" w:hAnsi="Times New Roman" w:cs="Times New Roman"/>
          <w:szCs w:val="24"/>
          <w:lang w:val="en-GB"/>
        </w:rPr>
        <w:t xml:space="preserve"> to align product/service improvements with customer preferences, enhancing loyalty and profitability</w:t>
      </w:r>
      <w:r w:rsidR="00E955A4">
        <w:rPr>
          <w:rFonts w:ascii="Times New Roman" w:eastAsia="Times New Roman" w:hAnsi="Times New Roman" w:cs="Times New Roman"/>
          <w:szCs w:val="24"/>
          <w:lang w:val="en-GB"/>
        </w:rPr>
        <w:t xml:space="preserve"> will play a vital role</w:t>
      </w:r>
      <w:r w:rsidR="007E42A5" w:rsidRPr="00AE5A6A">
        <w:rPr>
          <w:rFonts w:ascii="Times New Roman" w:eastAsia="Times New Roman" w:hAnsi="Times New Roman" w:cs="Times New Roman"/>
          <w:szCs w:val="24"/>
          <w:lang w:val="en-GB"/>
        </w:rPr>
        <w:t xml:space="preserve"> (Mclaney and Atrill, 2020)</w:t>
      </w:r>
      <w:r w:rsidR="001E1871" w:rsidRPr="00AE5A6A">
        <w:rPr>
          <w:rFonts w:ascii="Times New Roman" w:eastAsia="Times New Roman" w:hAnsi="Times New Roman" w:cs="Times New Roman"/>
          <w:szCs w:val="24"/>
          <w:lang w:val="en-GB"/>
        </w:rPr>
        <w:t xml:space="preserve">. </w:t>
      </w:r>
      <w:r w:rsidR="00E955A4">
        <w:rPr>
          <w:rFonts w:ascii="Times New Roman" w:eastAsia="Times New Roman" w:hAnsi="Times New Roman" w:cs="Times New Roman"/>
          <w:szCs w:val="24"/>
          <w:lang w:val="en-GB"/>
        </w:rPr>
        <w:t xml:space="preserve">Also </w:t>
      </w:r>
      <w:proofErr w:type="spellStart"/>
      <w:r w:rsidR="00E955A4">
        <w:rPr>
          <w:rFonts w:ascii="Times New Roman" w:eastAsia="Times New Roman" w:hAnsi="Times New Roman" w:cs="Times New Roman"/>
          <w:bCs/>
          <w:szCs w:val="24"/>
          <w:lang w:val="en-GB"/>
        </w:rPr>
        <w:t>analyzing</w:t>
      </w:r>
      <w:proofErr w:type="spellEnd"/>
      <w:r w:rsidR="001E1871" w:rsidRPr="00AE5A6A">
        <w:rPr>
          <w:rFonts w:ascii="Times New Roman" w:eastAsia="Times New Roman" w:hAnsi="Times New Roman" w:cs="Times New Roman"/>
          <w:bCs/>
          <w:szCs w:val="24"/>
          <w:lang w:val="en-GB"/>
        </w:rPr>
        <w:t xml:space="preserve"> product-level profits</w:t>
      </w:r>
      <w:r w:rsidR="001E1871" w:rsidRPr="00AE5A6A">
        <w:rPr>
          <w:rFonts w:ascii="Times New Roman" w:eastAsia="Times New Roman" w:hAnsi="Times New Roman" w:cs="Times New Roman"/>
          <w:szCs w:val="24"/>
          <w:lang w:val="en-GB"/>
        </w:rPr>
        <w:t xml:space="preserve"> and prioritize high-margin SKUs—discontinuing or repo</w:t>
      </w:r>
      <w:r w:rsidR="00E955A4">
        <w:rPr>
          <w:rFonts w:ascii="Times New Roman" w:eastAsia="Times New Roman" w:hAnsi="Times New Roman" w:cs="Times New Roman"/>
          <w:szCs w:val="24"/>
          <w:lang w:val="en-GB"/>
        </w:rPr>
        <w:t xml:space="preserve">sitioning low-performing items and </w:t>
      </w:r>
      <w:r w:rsidR="00E955A4">
        <w:rPr>
          <w:rFonts w:ascii="Times New Roman" w:eastAsia="Times New Roman" w:hAnsi="Times New Roman" w:cs="Times New Roman"/>
          <w:bCs/>
          <w:szCs w:val="24"/>
          <w:lang w:val="en-GB"/>
        </w:rPr>
        <w:t>s</w:t>
      </w:r>
      <w:r w:rsidR="001E1871" w:rsidRPr="00AE5A6A">
        <w:rPr>
          <w:rFonts w:ascii="Times New Roman" w:eastAsia="Times New Roman" w:hAnsi="Times New Roman" w:cs="Times New Roman"/>
          <w:bCs/>
          <w:szCs w:val="24"/>
          <w:lang w:val="en-GB"/>
        </w:rPr>
        <w:t>treamline offerings</w:t>
      </w:r>
      <w:r w:rsidR="001E1871" w:rsidRPr="00AE5A6A">
        <w:rPr>
          <w:rFonts w:ascii="Times New Roman" w:eastAsia="Times New Roman" w:hAnsi="Times New Roman" w:cs="Times New Roman"/>
          <w:szCs w:val="24"/>
          <w:lang w:val="en-GB"/>
        </w:rPr>
        <w:t xml:space="preserve"> to reduce complexity, concentrate resources on profitable segments, and improve margin performance.</w:t>
      </w:r>
      <w:r w:rsidR="00937C9C">
        <w:rPr>
          <w:rFonts w:ascii="Times New Roman" w:eastAsia="Times New Roman" w:hAnsi="Times New Roman" w:cs="Times New Roman"/>
          <w:szCs w:val="24"/>
          <w:lang w:val="en-GB"/>
        </w:rPr>
        <w:t xml:space="preserve"> Beside these</w:t>
      </w:r>
      <w:r w:rsidR="001E1871" w:rsidRPr="00AE5A6A">
        <w:rPr>
          <w:rFonts w:ascii="Times New Roman" w:eastAsia="Times New Roman" w:hAnsi="Times New Roman" w:cs="Times New Roman"/>
          <w:szCs w:val="24"/>
          <w:lang w:val="en-GB"/>
        </w:rPr>
        <w:t xml:space="preserve"> </w:t>
      </w:r>
      <w:r w:rsidR="00937C9C">
        <w:rPr>
          <w:rFonts w:ascii="Times New Roman" w:eastAsia="Times New Roman" w:hAnsi="Times New Roman" w:cs="Times New Roman"/>
          <w:bCs/>
          <w:szCs w:val="24"/>
          <w:lang w:val="en-GB"/>
        </w:rPr>
        <w:t>e</w:t>
      </w:r>
      <w:r w:rsidR="001E1871" w:rsidRPr="00AE5A6A">
        <w:rPr>
          <w:rFonts w:ascii="Times New Roman" w:eastAsia="Times New Roman" w:hAnsi="Times New Roman" w:cs="Times New Roman"/>
          <w:bCs/>
          <w:szCs w:val="24"/>
          <w:lang w:val="en-GB"/>
        </w:rPr>
        <w:t>mployee training and incentives</w:t>
      </w:r>
      <w:r w:rsidR="001E1871" w:rsidRPr="00AE5A6A">
        <w:rPr>
          <w:rFonts w:ascii="Times New Roman" w:eastAsia="Times New Roman" w:hAnsi="Times New Roman" w:cs="Times New Roman"/>
          <w:szCs w:val="24"/>
          <w:lang w:val="en-GB"/>
        </w:rPr>
        <w:t xml:space="preserve"> can boost productivity and drive innovation—reducing turnover costs and increasing efficiency</w:t>
      </w:r>
      <w:r w:rsidR="00937C9C">
        <w:rPr>
          <w:rFonts w:ascii="Times New Roman" w:eastAsia="Times New Roman" w:hAnsi="Times New Roman" w:cs="Times New Roman"/>
          <w:szCs w:val="24"/>
          <w:lang w:val="en-GB"/>
        </w:rPr>
        <w:t xml:space="preserve"> can increase profitability</w:t>
      </w:r>
      <w:r w:rsidR="001E1871" w:rsidRPr="00AE5A6A">
        <w:rPr>
          <w:rFonts w:ascii="Times New Roman" w:eastAsia="Times New Roman" w:hAnsi="Times New Roman" w:cs="Times New Roman"/>
          <w:szCs w:val="24"/>
          <w:lang w:val="en-GB"/>
        </w:rPr>
        <w:t xml:space="preserve">. </w:t>
      </w:r>
      <w:r w:rsidR="00937C9C">
        <w:rPr>
          <w:rFonts w:ascii="Times New Roman" w:eastAsia="Times New Roman" w:hAnsi="Times New Roman" w:cs="Times New Roman"/>
          <w:szCs w:val="24"/>
          <w:lang w:val="en-GB"/>
        </w:rPr>
        <w:t>Finally, f</w:t>
      </w:r>
      <w:r w:rsidR="001E1871" w:rsidRPr="00AE5A6A">
        <w:rPr>
          <w:rFonts w:ascii="Times New Roman" w:eastAsia="Times New Roman" w:hAnsi="Times New Roman" w:cs="Times New Roman"/>
          <w:szCs w:val="24"/>
          <w:lang w:val="en-GB"/>
        </w:rPr>
        <w:t>oster</w:t>
      </w:r>
      <w:r w:rsidR="00937C9C">
        <w:rPr>
          <w:rFonts w:ascii="Times New Roman" w:eastAsia="Times New Roman" w:hAnsi="Times New Roman" w:cs="Times New Roman"/>
          <w:szCs w:val="24"/>
          <w:lang w:val="en-GB"/>
        </w:rPr>
        <w:t>ing</w:t>
      </w:r>
      <w:r w:rsidR="001E1871" w:rsidRPr="00AE5A6A">
        <w:rPr>
          <w:rFonts w:ascii="Times New Roman" w:eastAsia="Times New Roman" w:hAnsi="Times New Roman" w:cs="Times New Roman"/>
          <w:szCs w:val="24"/>
          <w:lang w:val="en-GB"/>
        </w:rPr>
        <w:t xml:space="preserve"> </w:t>
      </w:r>
      <w:r w:rsidR="001E1871" w:rsidRPr="00AE5A6A">
        <w:rPr>
          <w:rFonts w:ascii="Times New Roman" w:eastAsia="Times New Roman" w:hAnsi="Times New Roman" w:cs="Times New Roman"/>
          <w:bCs/>
          <w:szCs w:val="24"/>
          <w:lang w:val="en-GB"/>
        </w:rPr>
        <w:t>innovation and incentives</w:t>
      </w:r>
      <w:r w:rsidR="001E1871" w:rsidRPr="00AE5A6A">
        <w:rPr>
          <w:rFonts w:ascii="Times New Roman" w:eastAsia="Times New Roman" w:hAnsi="Times New Roman" w:cs="Times New Roman"/>
          <w:szCs w:val="24"/>
          <w:lang w:val="en-GB"/>
        </w:rPr>
        <w:t xml:space="preserve">, encouraging teams to identify process improvements and </w:t>
      </w:r>
      <w:r w:rsidR="001E1871" w:rsidRPr="00AE5A6A">
        <w:rPr>
          <w:rFonts w:ascii="Times New Roman" w:eastAsia="Times New Roman" w:hAnsi="Times New Roman" w:cs="Times New Roman"/>
          <w:szCs w:val="24"/>
          <w:lang w:val="en-GB"/>
        </w:rPr>
        <w:lastRenderedPageBreak/>
        <w:t>customer value enhancements</w:t>
      </w:r>
      <w:r w:rsidR="00937C9C">
        <w:rPr>
          <w:rFonts w:ascii="Times New Roman" w:eastAsia="Times New Roman" w:hAnsi="Times New Roman" w:cs="Times New Roman"/>
          <w:szCs w:val="24"/>
          <w:lang w:val="en-GB"/>
        </w:rPr>
        <w:t xml:space="preserve"> will accelerate profitability. </w:t>
      </w:r>
      <w:r w:rsidR="00937C9C">
        <w:rPr>
          <w:rFonts w:ascii="Times New Roman" w:eastAsia="Times New Roman" w:hAnsi="Times New Roman" w:cs="Times New Roman"/>
          <w:bCs/>
          <w:szCs w:val="24"/>
          <w:lang w:val="en-GB"/>
        </w:rPr>
        <w:t>Those stages will help to ensure u</w:t>
      </w:r>
      <w:r w:rsidR="001E1871" w:rsidRPr="00AE5A6A">
        <w:rPr>
          <w:rFonts w:ascii="Times New Roman" w:eastAsia="Times New Roman" w:hAnsi="Times New Roman" w:cs="Times New Roman"/>
          <w:bCs/>
          <w:szCs w:val="24"/>
          <w:lang w:val="en-GB"/>
        </w:rPr>
        <w:t xml:space="preserve">se </w:t>
      </w:r>
      <w:r w:rsidR="00937C9C">
        <w:rPr>
          <w:rFonts w:ascii="Times New Roman" w:eastAsia="Times New Roman" w:hAnsi="Times New Roman" w:cs="Times New Roman"/>
          <w:bCs/>
          <w:szCs w:val="24"/>
          <w:lang w:val="en-GB"/>
        </w:rPr>
        <w:t xml:space="preserve">of </w:t>
      </w:r>
      <w:r w:rsidR="001E1871" w:rsidRPr="00AE5A6A">
        <w:rPr>
          <w:rFonts w:ascii="Times New Roman" w:eastAsia="Times New Roman" w:hAnsi="Times New Roman" w:cs="Times New Roman"/>
          <w:bCs/>
          <w:szCs w:val="24"/>
          <w:lang w:val="en-GB"/>
        </w:rPr>
        <w:t>analytics</w:t>
      </w:r>
      <w:r w:rsidR="001E1871" w:rsidRPr="00AE5A6A">
        <w:rPr>
          <w:rFonts w:ascii="Times New Roman" w:eastAsia="Times New Roman" w:hAnsi="Times New Roman" w:cs="Times New Roman"/>
          <w:szCs w:val="24"/>
          <w:lang w:val="en-GB"/>
        </w:rPr>
        <w:t xml:space="preserve"> and dashboard tools (e.g., Power BI) to track margins, customer purchases, and product profitability. Adopt </w:t>
      </w:r>
      <w:r w:rsidR="001E1871" w:rsidRPr="00AE5A6A">
        <w:rPr>
          <w:rFonts w:ascii="Times New Roman" w:eastAsia="Times New Roman" w:hAnsi="Times New Roman" w:cs="Times New Roman"/>
          <w:bCs/>
          <w:szCs w:val="24"/>
          <w:lang w:val="en-GB"/>
        </w:rPr>
        <w:t>digital transformation</w:t>
      </w:r>
      <w:r w:rsidR="001E1871" w:rsidRPr="00AE5A6A">
        <w:rPr>
          <w:rFonts w:ascii="Times New Roman" w:eastAsia="Times New Roman" w:hAnsi="Times New Roman" w:cs="Times New Roman"/>
          <w:szCs w:val="24"/>
          <w:lang w:val="en-GB"/>
        </w:rPr>
        <w:t xml:space="preserve"> (AI, machine learning) to forecast demand, optimize production, and reduce waste</w:t>
      </w:r>
      <w:r w:rsidR="007E42A5" w:rsidRPr="00AE5A6A">
        <w:rPr>
          <w:rFonts w:ascii="Times New Roman" w:eastAsia="Times New Roman" w:hAnsi="Times New Roman" w:cs="Times New Roman"/>
          <w:szCs w:val="24"/>
          <w:lang w:val="en-GB"/>
        </w:rPr>
        <w:t xml:space="preserve"> (Palepu et al., 2018a)</w:t>
      </w:r>
      <w:r w:rsidR="001E1871" w:rsidRPr="00AE5A6A">
        <w:rPr>
          <w:rFonts w:ascii="Times New Roman" w:eastAsia="Times New Roman" w:hAnsi="Times New Roman" w:cs="Times New Roman"/>
          <w:szCs w:val="24"/>
          <w:lang w:val="en-GB"/>
        </w:rPr>
        <w:t>.</w:t>
      </w:r>
    </w:p>
    <w:p w14:paraId="76ED289D" w14:textId="77777777" w:rsidR="00AE3A22" w:rsidRPr="00AE5A6A" w:rsidRDefault="00697F1E" w:rsidP="00937AD8">
      <w:pPr>
        <w:pStyle w:val="NormalWeb"/>
        <w:spacing w:before="0" w:beforeAutospacing="0" w:after="0" w:afterAutospacing="0" w:line="360" w:lineRule="auto"/>
        <w:jc w:val="both"/>
        <w:rPr>
          <w:lang w:val="en-GB"/>
        </w:rPr>
      </w:pPr>
      <w:r w:rsidRPr="00AE5A6A">
        <w:rPr>
          <w:b/>
          <w:szCs w:val="22"/>
          <w:lang w:val="en-GB"/>
        </w:rPr>
        <w:t>Liquidity:</w:t>
      </w:r>
      <w:r w:rsidR="00351E45">
        <w:rPr>
          <w:b/>
          <w:szCs w:val="22"/>
          <w:lang w:val="en-GB"/>
        </w:rPr>
        <w:t xml:space="preserve"> </w:t>
      </w:r>
      <w:r w:rsidRPr="00AE5A6A">
        <w:rPr>
          <w:rStyle w:val="Strong"/>
          <w:b w:val="0"/>
          <w:lang w:val="en-GB"/>
        </w:rPr>
        <w:t>Liquidity shouldn't be viewed in isolation—it needs to be balanced with profitability and investment. Ratios above 1 are healthier, but too much idle cash can compromise growth</w:t>
      </w:r>
      <w:r w:rsidR="00351E45">
        <w:rPr>
          <w:rStyle w:val="Strong"/>
          <w:b w:val="0"/>
          <w:lang w:val="en-GB"/>
        </w:rPr>
        <w:t xml:space="preserve"> actually</w:t>
      </w:r>
      <w:r w:rsidRPr="00AE5A6A">
        <w:rPr>
          <w:lang w:val="en-GB"/>
        </w:rPr>
        <w:t xml:space="preserve">. </w:t>
      </w:r>
      <w:r w:rsidR="00351E45">
        <w:rPr>
          <w:lang w:val="en-GB"/>
        </w:rPr>
        <w:t>This means</w:t>
      </w:r>
      <w:r w:rsidR="0064574F">
        <w:rPr>
          <w:lang w:val="en-GB"/>
        </w:rPr>
        <w:t>,</w:t>
      </w:r>
      <w:r w:rsidR="00351E45">
        <w:rPr>
          <w:lang w:val="en-GB"/>
        </w:rPr>
        <w:t xml:space="preserve"> a</w:t>
      </w:r>
      <w:r w:rsidRPr="00AE5A6A">
        <w:rPr>
          <w:lang w:val="en-GB"/>
        </w:rPr>
        <w:t>im for ratios near or above ~1.2 while optimiz</w:t>
      </w:r>
      <w:r w:rsidR="00351E45">
        <w:rPr>
          <w:lang w:val="en-GB"/>
        </w:rPr>
        <w:t xml:space="preserve">ing working capital efficiency </w:t>
      </w:r>
      <w:r w:rsidRPr="00AE5A6A">
        <w:rPr>
          <w:lang w:val="en-GB"/>
        </w:rPr>
        <w:t xml:space="preserve">positions </w:t>
      </w:r>
      <w:r w:rsidR="00351E45">
        <w:rPr>
          <w:lang w:val="en-GB"/>
        </w:rPr>
        <w:t xml:space="preserve">a </w:t>
      </w:r>
      <w:r w:rsidRPr="00AE5A6A">
        <w:rPr>
          <w:lang w:val="en-GB"/>
        </w:rPr>
        <w:t xml:space="preserve">firm to meet short-term needs, support retail growth, and stay agile year-round. </w:t>
      </w:r>
      <w:r w:rsidR="00351E45">
        <w:rPr>
          <w:bCs/>
          <w:lang w:val="en-GB"/>
        </w:rPr>
        <w:t>Tight</w:t>
      </w:r>
      <w:r w:rsidRPr="00AE5A6A">
        <w:rPr>
          <w:bCs/>
          <w:lang w:val="en-GB"/>
        </w:rPr>
        <w:t xml:space="preserve"> credit terms</w:t>
      </w:r>
      <w:r w:rsidRPr="00AE5A6A">
        <w:rPr>
          <w:lang w:val="en-GB"/>
        </w:rPr>
        <w:t>, invoice as soon as work completes, and offer small early-payment discounts</w:t>
      </w:r>
      <w:r w:rsidR="00351E45">
        <w:rPr>
          <w:lang w:val="en-GB"/>
        </w:rPr>
        <w:t xml:space="preserve"> have a positive impact on liquidity which will c</w:t>
      </w:r>
      <w:r w:rsidRPr="00AE5A6A">
        <w:rPr>
          <w:lang w:val="en-GB"/>
        </w:rPr>
        <w:t xml:space="preserve">onsider </w:t>
      </w:r>
      <w:r w:rsidRPr="00AE5A6A">
        <w:rPr>
          <w:bCs/>
          <w:lang w:val="en-GB"/>
        </w:rPr>
        <w:t>factoring or invoice discounting</w:t>
      </w:r>
      <w:r w:rsidRPr="00AE5A6A">
        <w:rPr>
          <w:lang w:val="en-GB"/>
        </w:rPr>
        <w:t xml:space="preserve"> to quickly convert receivables into cash. </w:t>
      </w:r>
      <w:r w:rsidR="00351E45">
        <w:rPr>
          <w:lang w:val="en-GB"/>
        </w:rPr>
        <w:t>Specially, r</w:t>
      </w:r>
      <w:r w:rsidRPr="00AE5A6A">
        <w:rPr>
          <w:lang w:val="en-GB"/>
        </w:rPr>
        <w:t>enegotiate payment terms with suppliers to dela</w:t>
      </w:r>
      <w:r w:rsidR="00351E45">
        <w:rPr>
          <w:lang w:val="en-GB"/>
        </w:rPr>
        <w:t>y outflows and keep cash longer to i</w:t>
      </w:r>
      <w:r w:rsidRPr="00AE5A6A">
        <w:rPr>
          <w:lang w:val="en-GB"/>
        </w:rPr>
        <w:t xml:space="preserve">dentify slow-moving inventory, then </w:t>
      </w:r>
      <w:r w:rsidRPr="00AE5A6A">
        <w:rPr>
          <w:bCs/>
          <w:lang w:val="en-GB"/>
        </w:rPr>
        <w:t>liquidate excess stock</w:t>
      </w:r>
      <w:r w:rsidRPr="00AE5A6A">
        <w:rPr>
          <w:lang w:val="en-GB"/>
        </w:rPr>
        <w:t>—via promotions or discount clearance—to free up cash</w:t>
      </w:r>
      <w:r w:rsidR="00351E45">
        <w:rPr>
          <w:lang w:val="en-GB"/>
        </w:rPr>
        <w:t xml:space="preserve"> to expand it</w:t>
      </w:r>
      <w:r w:rsidRPr="00AE5A6A">
        <w:rPr>
          <w:lang w:val="en-GB"/>
        </w:rPr>
        <w:t>. Implement</w:t>
      </w:r>
      <w:r w:rsidR="00351E45">
        <w:rPr>
          <w:lang w:val="en-GB"/>
        </w:rPr>
        <w:t xml:space="preserve">ation of </w:t>
      </w:r>
      <w:r w:rsidRPr="00AE5A6A">
        <w:rPr>
          <w:bCs/>
          <w:lang w:val="en-GB"/>
        </w:rPr>
        <w:t>just-in-time inventory</w:t>
      </w:r>
      <w:r w:rsidRPr="00AE5A6A">
        <w:rPr>
          <w:lang w:val="en-GB"/>
        </w:rPr>
        <w:t xml:space="preserve"> and better demand forecasti</w:t>
      </w:r>
      <w:r w:rsidR="00351E45">
        <w:rPr>
          <w:lang w:val="en-GB"/>
        </w:rPr>
        <w:t>ng to keep costs down and reducing</w:t>
      </w:r>
      <w:r w:rsidRPr="00AE5A6A">
        <w:rPr>
          <w:lang w:val="en-GB"/>
        </w:rPr>
        <w:t xml:space="preserve"> Day</w:t>
      </w:r>
      <w:r w:rsidR="00351E45">
        <w:rPr>
          <w:lang w:val="en-GB"/>
        </w:rPr>
        <w:t>s Inventory Outstanding (DIO) to d</w:t>
      </w:r>
      <w:r w:rsidRPr="00AE5A6A">
        <w:rPr>
          <w:lang w:val="en-GB"/>
        </w:rPr>
        <w:t>ispose of idle equipment or non-core assets to immediately bolsters</w:t>
      </w:r>
      <w:r w:rsidR="00351E45">
        <w:rPr>
          <w:lang w:val="en-GB"/>
        </w:rPr>
        <w:t xml:space="preserve"> cash reserves. It can be considered as r</w:t>
      </w:r>
      <w:r w:rsidRPr="00AE5A6A">
        <w:rPr>
          <w:lang w:val="en-GB"/>
        </w:rPr>
        <w:t>efinance or restructure payday-oriented obligations into longe</w:t>
      </w:r>
      <w:r w:rsidR="00351E45">
        <w:rPr>
          <w:lang w:val="en-GB"/>
        </w:rPr>
        <w:t>r-term facilities which</w:t>
      </w:r>
      <w:r w:rsidRPr="00AE5A6A">
        <w:rPr>
          <w:lang w:val="en-GB"/>
        </w:rPr>
        <w:t xml:space="preserve"> lifts current and quick ratios by reducing current liabilities.</w:t>
      </w:r>
      <w:r w:rsidR="00351E45">
        <w:rPr>
          <w:lang w:val="en-GB"/>
        </w:rPr>
        <w:t xml:space="preserve"> </w:t>
      </w:r>
      <w:r w:rsidRPr="00AE5A6A">
        <w:rPr>
          <w:lang w:val="en-GB"/>
        </w:rPr>
        <w:t>Review subscriptions, utilities, marketing—linear/recurring costs—and reduce or defer non-critical spending</w:t>
      </w:r>
      <w:r w:rsidR="00351E45">
        <w:rPr>
          <w:lang w:val="en-GB"/>
        </w:rPr>
        <w:t xml:space="preserve"> also ensures liquidity which involves outsourcing</w:t>
      </w:r>
      <w:r w:rsidRPr="00AE5A6A">
        <w:rPr>
          <w:lang w:val="en-GB"/>
        </w:rPr>
        <w:t xml:space="preserve"> non-core activities to transform fixed costs into variable ones</w:t>
      </w:r>
      <w:r w:rsidR="002F2B4A" w:rsidRPr="00AE5A6A">
        <w:rPr>
          <w:lang w:val="en-GB"/>
        </w:rPr>
        <w:t>.</w:t>
      </w:r>
      <w:r w:rsidR="00351E45">
        <w:rPr>
          <w:lang w:val="en-GB"/>
        </w:rPr>
        <w:t xml:space="preserve"> </w:t>
      </w:r>
      <w:r w:rsidRPr="00AE5A6A">
        <w:rPr>
          <w:lang w:val="en-GB"/>
        </w:rPr>
        <w:t>Build</w:t>
      </w:r>
      <w:r w:rsidR="0064574F">
        <w:rPr>
          <w:lang w:val="en-GB"/>
        </w:rPr>
        <w:t>ing</w:t>
      </w:r>
      <w:r w:rsidRPr="00AE5A6A">
        <w:rPr>
          <w:lang w:val="en-GB"/>
        </w:rPr>
        <w:t xml:space="preserve"> a control</w:t>
      </w:r>
      <w:r w:rsidR="0064574F">
        <w:rPr>
          <w:lang w:val="en-GB"/>
        </w:rPr>
        <w:t>led cash buffer for flexibility, utilization of</w:t>
      </w:r>
      <w:r w:rsidRPr="00AE5A6A">
        <w:rPr>
          <w:lang w:val="en-GB"/>
        </w:rPr>
        <w:t xml:space="preserve"> credit lines or sweep </w:t>
      </w:r>
      <w:r w:rsidR="00AE5A6A" w:rsidRPr="00AE5A6A">
        <w:rPr>
          <w:lang w:val="en-GB"/>
        </w:rPr>
        <w:t>accounts but</w:t>
      </w:r>
      <w:r w:rsidRPr="00AE5A6A">
        <w:rPr>
          <w:lang w:val="en-GB"/>
        </w:rPr>
        <w:t xml:space="preserve"> only </w:t>
      </w:r>
      <w:r w:rsidR="0064574F">
        <w:rPr>
          <w:lang w:val="en-GB"/>
        </w:rPr>
        <w:t xml:space="preserve">to </w:t>
      </w:r>
      <w:r w:rsidRPr="00AE5A6A">
        <w:rPr>
          <w:lang w:val="en-GB"/>
        </w:rPr>
        <w:t>use judiciously to avoid dependency</w:t>
      </w:r>
      <w:r w:rsidR="0064574F">
        <w:rPr>
          <w:lang w:val="en-GB"/>
        </w:rPr>
        <w:t xml:space="preserve"> is important</w:t>
      </w:r>
      <w:r w:rsidR="00AE3A22" w:rsidRPr="00AE5A6A">
        <w:rPr>
          <w:lang w:val="en-GB"/>
        </w:rPr>
        <w:t xml:space="preserve">. </w:t>
      </w:r>
      <w:r w:rsidRPr="00AE5A6A">
        <w:rPr>
          <w:lang w:val="en-GB"/>
        </w:rPr>
        <w:t>Adopt</w:t>
      </w:r>
      <w:r w:rsidR="0064574F">
        <w:rPr>
          <w:lang w:val="en-GB"/>
        </w:rPr>
        <w:t>ing</w:t>
      </w:r>
      <w:r w:rsidRPr="00AE5A6A">
        <w:rPr>
          <w:lang w:val="en-GB"/>
        </w:rPr>
        <w:t xml:space="preserve"> automated forecasting tools and dashboards for visibility and actionable insights</w:t>
      </w:r>
      <w:r w:rsidR="0064574F">
        <w:rPr>
          <w:lang w:val="en-GB"/>
        </w:rPr>
        <w:t>, u</w:t>
      </w:r>
      <w:r w:rsidRPr="00AE5A6A">
        <w:rPr>
          <w:lang w:val="en-GB"/>
        </w:rPr>
        <w:t>se</w:t>
      </w:r>
      <w:r w:rsidR="0064574F">
        <w:rPr>
          <w:lang w:val="en-GB"/>
        </w:rPr>
        <w:t xml:space="preserve"> of</w:t>
      </w:r>
      <w:r w:rsidRPr="00AE5A6A">
        <w:rPr>
          <w:lang w:val="en-GB"/>
        </w:rPr>
        <w:t xml:space="preserve"> ERP/cash-management systems to streamline AR/AP cycles and reveal early warning signs</w:t>
      </w:r>
      <w:r w:rsidR="007E42A5" w:rsidRPr="00AE5A6A">
        <w:rPr>
          <w:lang w:val="en-GB"/>
        </w:rPr>
        <w:t xml:space="preserve"> (Parsons and Titman, 2009)</w:t>
      </w:r>
      <w:r w:rsidRPr="00AE5A6A">
        <w:rPr>
          <w:lang w:val="en-GB"/>
        </w:rPr>
        <w:t>.</w:t>
      </w:r>
    </w:p>
    <w:p w14:paraId="033BFD1C" w14:textId="22C6CC2F" w:rsidR="00C7450D" w:rsidRDefault="00AE3A22" w:rsidP="00937AD8">
      <w:pPr>
        <w:pStyle w:val="NormalWeb"/>
        <w:spacing w:before="0" w:beforeAutospacing="0" w:after="0" w:afterAutospacing="0" w:line="360" w:lineRule="auto"/>
        <w:jc w:val="both"/>
        <w:rPr>
          <w:lang w:val="en-GB"/>
        </w:rPr>
      </w:pPr>
      <w:r w:rsidRPr="00AE5A6A">
        <w:rPr>
          <w:b/>
          <w:szCs w:val="22"/>
          <w:lang w:val="en-GB"/>
        </w:rPr>
        <w:t>Gearing Ratio:</w:t>
      </w:r>
      <w:r w:rsidR="00C7450D">
        <w:rPr>
          <w:b/>
          <w:szCs w:val="22"/>
          <w:lang w:val="en-GB"/>
        </w:rPr>
        <w:t xml:space="preserve"> R</w:t>
      </w:r>
      <w:r w:rsidRPr="00AE5A6A">
        <w:rPr>
          <w:rStyle w:val="Strong"/>
          <w:b w:val="0"/>
          <w:lang w:val="en-GB"/>
        </w:rPr>
        <w:t>efinance existing debt</w:t>
      </w:r>
      <w:r w:rsidRPr="00AE5A6A">
        <w:rPr>
          <w:rStyle w:val="relative"/>
          <w:lang w:val="en-GB"/>
        </w:rPr>
        <w:t xml:space="preserve"> at low</w:t>
      </w:r>
      <w:r w:rsidR="00C7450D">
        <w:rPr>
          <w:rStyle w:val="relative"/>
          <w:lang w:val="en-GB"/>
        </w:rPr>
        <w:t>er rates or extend maturities will</w:t>
      </w:r>
      <w:r w:rsidRPr="00AE5A6A">
        <w:rPr>
          <w:rStyle w:val="relative"/>
          <w:lang w:val="en-GB"/>
        </w:rPr>
        <w:t xml:space="preserve"> reduce interest burden and convert current liabilities into long-term obligations—freeing up short-term liquidity</w:t>
      </w:r>
      <w:r w:rsidR="00C7450D">
        <w:rPr>
          <w:lang w:val="en-GB"/>
        </w:rPr>
        <w:t xml:space="preserve"> by</w:t>
      </w:r>
      <w:r w:rsidRPr="00AE5A6A">
        <w:rPr>
          <w:lang w:val="en-GB"/>
        </w:rPr>
        <w:t xml:space="preserve"> </w:t>
      </w:r>
      <w:r w:rsidR="00C7450D">
        <w:rPr>
          <w:rStyle w:val="relative"/>
          <w:lang w:val="en-GB"/>
        </w:rPr>
        <w:t>c</w:t>
      </w:r>
      <w:r w:rsidRPr="00AE5A6A">
        <w:rPr>
          <w:rStyle w:val="relative"/>
          <w:lang w:val="en-GB"/>
        </w:rPr>
        <w:t>onsider</w:t>
      </w:r>
      <w:r w:rsidR="0064574F">
        <w:rPr>
          <w:rStyle w:val="relative"/>
          <w:lang w:val="en-GB"/>
        </w:rPr>
        <w:t>ing</w:t>
      </w:r>
      <w:r w:rsidRPr="00AE5A6A">
        <w:rPr>
          <w:rStyle w:val="relative"/>
          <w:lang w:val="en-GB"/>
        </w:rPr>
        <w:t xml:space="preserve"> </w:t>
      </w:r>
      <w:r w:rsidRPr="00AE5A6A">
        <w:rPr>
          <w:rStyle w:val="Strong"/>
          <w:b w:val="0"/>
          <w:lang w:val="en-GB"/>
        </w:rPr>
        <w:t>debt-for-equity swaps</w:t>
      </w:r>
      <w:r w:rsidRPr="00AE5A6A">
        <w:rPr>
          <w:rStyle w:val="relative"/>
          <w:lang w:val="en-GB"/>
        </w:rPr>
        <w:t xml:space="preserve"> o</w:t>
      </w:r>
      <w:r w:rsidR="0064574F">
        <w:rPr>
          <w:rStyle w:val="relative"/>
          <w:lang w:val="en-GB"/>
        </w:rPr>
        <w:t>r equity recapitalization</w:t>
      </w:r>
      <w:r w:rsidRPr="00AE5A6A">
        <w:rPr>
          <w:rStyle w:val="relative"/>
          <w:lang w:val="en-GB"/>
        </w:rPr>
        <w:t xml:space="preserve"> lower debt load and improve debt-to-equity, though they may dilute shareholders</w:t>
      </w:r>
      <w:r w:rsidRPr="00AE5A6A">
        <w:rPr>
          <w:lang w:val="en-GB"/>
        </w:rPr>
        <w:t xml:space="preserve">. </w:t>
      </w:r>
      <w:r w:rsidR="00C7450D">
        <w:rPr>
          <w:lang w:val="en-GB"/>
        </w:rPr>
        <w:t xml:space="preserve">Additionally, </w:t>
      </w:r>
      <w:r w:rsidR="00C7450D">
        <w:rPr>
          <w:rStyle w:val="Strong"/>
          <w:b w:val="0"/>
          <w:lang w:val="en-GB"/>
        </w:rPr>
        <w:t>d</w:t>
      </w:r>
      <w:r w:rsidRPr="00AE5A6A">
        <w:rPr>
          <w:rStyle w:val="Strong"/>
          <w:b w:val="0"/>
          <w:lang w:val="en-GB"/>
        </w:rPr>
        <w:t>e-gearing</w:t>
      </w:r>
      <w:r w:rsidRPr="00AE5A6A">
        <w:rPr>
          <w:rStyle w:val="relative"/>
          <w:lang w:val="en-GB"/>
        </w:rPr>
        <w:t xml:space="preserve"> through replacing debt with equity adds flexibility and reduces interest expenses</w:t>
      </w:r>
      <w:r w:rsidR="00C7450D">
        <w:rPr>
          <w:rStyle w:val="relative"/>
          <w:lang w:val="en-GB"/>
        </w:rPr>
        <w:t xml:space="preserve"> will have an impact on it</w:t>
      </w:r>
      <w:r w:rsidR="00C7450D">
        <w:rPr>
          <w:lang w:val="en-GB"/>
        </w:rPr>
        <w:t xml:space="preserve"> which will p</w:t>
      </w:r>
      <w:r w:rsidRPr="00AE5A6A">
        <w:rPr>
          <w:rStyle w:val="Strong"/>
          <w:b w:val="0"/>
          <w:lang w:val="en-GB"/>
        </w:rPr>
        <w:t xml:space="preserve">rioritize debt </w:t>
      </w:r>
      <w:r w:rsidR="00C7450D" w:rsidRPr="00AE5A6A">
        <w:rPr>
          <w:rStyle w:val="Strong"/>
          <w:b w:val="0"/>
          <w:lang w:val="en-GB"/>
        </w:rPr>
        <w:t>pay downs</w:t>
      </w:r>
      <w:r w:rsidR="00C7450D">
        <w:rPr>
          <w:rStyle w:val="relative"/>
          <w:lang w:val="en-GB"/>
        </w:rPr>
        <w:t xml:space="preserve"> using</w:t>
      </w:r>
      <w:r w:rsidRPr="00AE5A6A">
        <w:rPr>
          <w:rStyle w:val="relative"/>
          <w:lang w:val="en-GB"/>
        </w:rPr>
        <w:t xml:space="preserve"> strong free cash flow (£349 m), reducing both nominal debt and leverage ratios</w:t>
      </w:r>
      <w:r w:rsidRPr="00AE5A6A">
        <w:rPr>
          <w:lang w:val="en-GB"/>
        </w:rPr>
        <w:t xml:space="preserve">. </w:t>
      </w:r>
      <w:r w:rsidRPr="00AE5A6A">
        <w:rPr>
          <w:rStyle w:val="relative"/>
          <w:lang w:val="en-GB"/>
        </w:rPr>
        <w:t xml:space="preserve">Maintain a balance: allocate some FCF toward </w:t>
      </w:r>
      <w:r w:rsidRPr="00AE5A6A">
        <w:rPr>
          <w:rStyle w:val="Strong"/>
          <w:b w:val="0"/>
          <w:lang w:val="en-GB"/>
        </w:rPr>
        <w:t>liquidity buffers</w:t>
      </w:r>
      <w:r w:rsidRPr="00AE5A6A">
        <w:rPr>
          <w:rStyle w:val="relative"/>
          <w:lang w:val="en-GB"/>
        </w:rPr>
        <w:t xml:space="preserve"> (e.g., cash reserves or undrawn revolving credit lines), whil</w:t>
      </w:r>
      <w:r w:rsidR="00C7450D">
        <w:rPr>
          <w:rStyle w:val="relative"/>
          <w:lang w:val="en-GB"/>
        </w:rPr>
        <w:t xml:space="preserve">e continuing to reduce debt to </w:t>
      </w:r>
      <w:r w:rsidRPr="00AE5A6A">
        <w:rPr>
          <w:rStyle w:val="relative"/>
          <w:lang w:val="en-GB"/>
        </w:rPr>
        <w:t xml:space="preserve">rive efficient </w:t>
      </w:r>
      <w:r w:rsidRPr="00AE5A6A">
        <w:rPr>
          <w:rStyle w:val="Strong"/>
          <w:b w:val="0"/>
          <w:lang w:val="en-GB"/>
        </w:rPr>
        <w:t>revenue growth</w:t>
      </w:r>
      <w:r w:rsidRPr="00AE5A6A">
        <w:rPr>
          <w:rStyle w:val="relative"/>
          <w:lang w:val="en-GB"/>
        </w:rPr>
        <w:t xml:space="preserve">, </w:t>
      </w:r>
      <w:r w:rsidRPr="00AE5A6A">
        <w:rPr>
          <w:rStyle w:val="relative"/>
          <w:lang w:val="en-GB"/>
        </w:rPr>
        <w:lastRenderedPageBreak/>
        <w:t>cost controls, or margin improvements</w:t>
      </w:r>
      <w:r w:rsidR="00C7450D">
        <w:rPr>
          <w:rStyle w:val="relative"/>
          <w:lang w:val="en-GB"/>
        </w:rPr>
        <w:t xml:space="preserve"> to boost. More cash flow enhances</w:t>
      </w:r>
      <w:r w:rsidRPr="00AE5A6A">
        <w:rPr>
          <w:rStyle w:val="relative"/>
          <w:lang w:val="en-GB"/>
        </w:rPr>
        <w:t xml:space="preserve"> ability to reduce debt and improves all gearing ratios</w:t>
      </w:r>
      <w:r w:rsidR="00C7450D">
        <w:rPr>
          <w:lang w:val="en-GB"/>
        </w:rPr>
        <w:t xml:space="preserve"> w</w:t>
      </w:r>
      <w:r w:rsidRPr="00AE5A6A">
        <w:rPr>
          <w:rStyle w:val="relative"/>
          <w:lang w:val="en-GB"/>
        </w:rPr>
        <w:t>ith confirmed cost savings (£120 m), reinvest a portion into growth initiatives for compounded gains in both profitability and liquidity</w:t>
      </w:r>
      <w:r w:rsidR="007E42A5" w:rsidRPr="00AE5A6A">
        <w:rPr>
          <w:rStyle w:val="relative"/>
          <w:lang w:val="en-GB"/>
        </w:rPr>
        <w:t xml:space="preserve"> (Pike and Neale, 2019)</w:t>
      </w:r>
      <w:r w:rsidRPr="00AE5A6A">
        <w:rPr>
          <w:rStyle w:val="relative"/>
          <w:lang w:val="en-GB"/>
        </w:rPr>
        <w:t>.</w:t>
      </w:r>
      <w:r w:rsidR="00C7450D">
        <w:rPr>
          <w:rStyle w:val="relative"/>
          <w:lang w:val="en-GB"/>
        </w:rPr>
        <w:t xml:space="preserve"> </w:t>
      </w:r>
      <w:r w:rsidRPr="00AE5A6A">
        <w:rPr>
          <w:rStyle w:val="relative"/>
          <w:lang w:val="en-GB"/>
        </w:rPr>
        <w:t>Further</w:t>
      </w:r>
      <w:r w:rsidR="00C7450D">
        <w:rPr>
          <w:rStyle w:val="relative"/>
          <w:lang w:val="en-GB"/>
        </w:rPr>
        <w:t xml:space="preserve">, </w:t>
      </w:r>
      <w:r w:rsidRPr="00AE5A6A">
        <w:rPr>
          <w:rStyle w:val="relative"/>
          <w:lang w:val="en-GB"/>
        </w:rPr>
        <w:t>lower inventory levels, free working capital, and e</w:t>
      </w:r>
      <w:r w:rsidR="00C7450D">
        <w:rPr>
          <w:rStyle w:val="relative"/>
          <w:lang w:val="en-GB"/>
        </w:rPr>
        <w:t>xtend payables to conserve cash will s</w:t>
      </w:r>
      <w:r w:rsidRPr="00AE5A6A">
        <w:rPr>
          <w:rStyle w:val="relative"/>
          <w:lang w:val="en-GB"/>
        </w:rPr>
        <w:t>peed up receivables collections to convert sales into cash faster</w:t>
      </w:r>
      <w:r w:rsidR="00C7450D">
        <w:rPr>
          <w:lang w:val="en-GB"/>
        </w:rPr>
        <w:t xml:space="preserve"> with n</w:t>
      </w:r>
      <w:r w:rsidRPr="00AE5A6A">
        <w:rPr>
          <w:rStyle w:val="Strong"/>
          <w:b w:val="0"/>
          <w:lang w:val="en-GB"/>
        </w:rPr>
        <w:t>on-core assets</w:t>
      </w:r>
      <w:r w:rsidRPr="00AE5A6A">
        <w:rPr>
          <w:rStyle w:val="relative"/>
          <w:lang w:val="en-GB"/>
        </w:rPr>
        <w:t xml:space="preserve"> or underused assets to unlock capital and reduce debt or bolster </w:t>
      </w:r>
      <w:r w:rsidR="00937AD8" w:rsidRPr="00AE5A6A">
        <w:rPr>
          <w:rStyle w:val="relative"/>
          <w:lang w:val="en-GB"/>
        </w:rPr>
        <w:t>liquidity</w:t>
      </w:r>
      <w:r w:rsidR="00C7450D">
        <w:rPr>
          <w:rStyle w:val="relative"/>
          <w:lang w:val="en-GB"/>
        </w:rPr>
        <w:t xml:space="preserve"> etc</w:t>
      </w:r>
      <w:r w:rsidR="00937AD8" w:rsidRPr="00AE5A6A">
        <w:rPr>
          <w:lang w:val="en-GB"/>
        </w:rPr>
        <w:t>. Issu</w:t>
      </w:r>
      <w:r w:rsidR="00C7450D">
        <w:rPr>
          <w:lang w:val="en-GB"/>
        </w:rPr>
        <w:t xml:space="preserve">ance </w:t>
      </w:r>
      <w:proofErr w:type="gramStart"/>
      <w:r w:rsidR="00C7450D">
        <w:rPr>
          <w:lang w:val="en-GB"/>
        </w:rPr>
        <w:t xml:space="preserve">of </w:t>
      </w:r>
      <w:r w:rsidR="00C7450D">
        <w:rPr>
          <w:rStyle w:val="relative"/>
          <w:lang w:val="en-GB"/>
        </w:rPr>
        <w:t xml:space="preserve"> new</w:t>
      </w:r>
      <w:proofErr w:type="gramEnd"/>
      <w:r w:rsidR="00C7450D">
        <w:rPr>
          <w:rStyle w:val="relative"/>
          <w:lang w:val="en-GB"/>
        </w:rPr>
        <w:t xml:space="preserve"> shares to repay debt </w:t>
      </w:r>
      <w:r w:rsidRPr="00AE5A6A">
        <w:rPr>
          <w:rStyle w:val="relative"/>
          <w:lang w:val="en-GB"/>
        </w:rPr>
        <w:t xml:space="preserve">improves gearing but dilutes existing equity—best used when share prices are </w:t>
      </w:r>
      <w:r w:rsidR="00C7450D" w:rsidRPr="00AE5A6A">
        <w:rPr>
          <w:rStyle w:val="relative"/>
          <w:lang w:val="en-GB"/>
        </w:rPr>
        <w:t>favourable</w:t>
      </w:r>
      <w:r w:rsidRPr="00AE5A6A">
        <w:rPr>
          <w:lang w:val="en-GB"/>
        </w:rPr>
        <w:t xml:space="preserve">. </w:t>
      </w:r>
      <w:r w:rsidRPr="00AE5A6A">
        <w:rPr>
          <w:rStyle w:val="relative"/>
          <w:lang w:val="en-GB"/>
        </w:rPr>
        <w:t>Track</w:t>
      </w:r>
      <w:r w:rsidR="00C7450D">
        <w:rPr>
          <w:rStyle w:val="relative"/>
          <w:lang w:val="en-GB"/>
        </w:rPr>
        <w:t>ing</w:t>
      </w:r>
      <w:r w:rsidRPr="00AE5A6A">
        <w:rPr>
          <w:rStyle w:val="relative"/>
          <w:lang w:val="en-GB"/>
        </w:rPr>
        <w:t xml:space="preserve"> </w:t>
      </w:r>
      <w:r w:rsidRPr="00AE5A6A">
        <w:rPr>
          <w:rStyle w:val="Strong"/>
          <w:b w:val="0"/>
          <w:lang w:val="en-GB"/>
        </w:rPr>
        <w:t>cash-flow-to-debt</w:t>
      </w:r>
      <w:r w:rsidRPr="00AE5A6A">
        <w:rPr>
          <w:rStyle w:val="relative"/>
          <w:lang w:val="en-GB"/>
        </w:rPr>
        <w:t xml:space="preserve"> ratios to monitor how quickly operations can pay down debt</w:t>
      </w:r>
      <w:r w:rsidR="00C7450D">
        <w:rPr>
          <w:lang w:val="en-GB"/>
        </w:rPr>
        <w:t>, u</w:t>
      </w:r>
      <w:r w:rsidR="00C7450D">
        <w:rPr>
          <w:rStyle w:val="relative"/>
          <w:lang w:val="en-GB"/>
        </w:rPr>
        <w:t>sing</w:t>
      </w:r>
      <w:r w:rsidRPr="00AE5A6A">
        <w:rPr>
          <w:rStyle w:val="relative"/>
          <w:lang w:val="en-GB"/>
        </w:rPr>
        <w:t xml:space="preserve"> leverage benchmarks (e.g., D/E &lt;50% is normal; &lt;25% is low-risk) to guide targets and signal lender/investor confidence</w:t>
      </w:r>
      <w:r w:rsidR="00C7450D">
        <w:rPr>
          <w:lang w:val="en-GB"/>
        </w:rPr>
        <w:t xml:space="preserve">, </w:t>
      </w:r>
      <w:r w:rsidR="00C7450D">
        <w:rPr>
          <w:rStyle w:val="relative"/>
          <w:lang w:val="en-GB"/>
        </w:rPr>
        <w:t>r</w:t>
      </w:r>
      <w:r w:rsidRPr="00AE5A6A">
        <w:rPr>
          <w:rStyle w:val="relative"/>
          <w:lang w:val="en-GB"/>
        </w:rPr>
        <w:t>egularly review and compare with industry peers to set optimal capital-structure goals</w:t>
      </w:r>
      <w:r w:rsidR="00C7450D">
        <w:rPr>
          <w:rStyle w:val="relative"/>
          <w:lang w:val="en-GB"/>
        </w:rPr>
        <w:t xml:space="preserve"> are needed</w:t>
      </w:r>
      <w:r w:rsidR="004805E4" w:rsidRPr="00AE5A6A">
        <w:rPr>
          <w:lang w:val="en-GB"/>
        </w:rPr>
        <w:t xml:space="preserve">. </w:t>
      </w:r>
      <w:r w:rsidRPr="00AE5A6A">
        <w:rPr>
          <w:rStyle w:val="Strong"/>
          <w:b w:val="0"/>
          <w:lang w:val="en-GB"/>
        </w:rPr>
        <w:t>Refinance and extend</w:t>
      </w:r>
      <w:r w:rsidRPr="00AE5A6A">
        <w:rPr>
          <w:lang w:val="en-GB"/>
        </w:rPr>
        <w:t xml:space="preserve"> existing debt to ease short-term pressures</w:t>
      </w:r>
      <w:r w:rsidR="00C7450D">
        <w:rPr>
          <w:lang w:val="en-GB"/>
        </w:rPr>
        <w:t xml:space="preserve"> to u</w:t>
      </w:r>
      <w:r w:rsidRPr="00AE5A6A">
        <w:rPr>
          <w:rStyle w:val="Strong"/>
          <w:b w:val="0"/>
          <w:lang w:val="en-GB"/>
        </w:rPr>
        <w:t>se</w:t>
      </w:r>
      <w:r w:rsidR="00C7450D">
        <w:rPr>
          <w:rStyle w:val="Strong"/>
          <w:b w:val="0"/>
          <w:lang w:val="en-GB"/>
        </w:rPr>
        <w:t xml:space="preserve"> </w:t>
      </w:r>
      <w:r w:rsidRPr="00AE5A6A">
        <w:rPr>
          <w:rStyle w:val="Strong"/>
          <w:b w:val="0"/>
          <w:lang w:val="en-GB"/>
        </w:rPr>
        <w:t>strong free cash flow</w:t>
      </w:r>
      <w:r w:rsidRPr="00AE5A6A">
        <w:rPr>
          <w:lang w:val="en-GB"/>
        </w:rPr>
        <w:t xml:space="preserve"> strategically—primarily to reduce net debt, but also maintain liquidity.</w:t>
      </w:r>
      <w:r w:rsidR="00C7450D">
        <w:rPr>
          <w:lang w:val="en-GB"/>
        </w:rPr>
        <w:t xml:space="preserve"> </w:t>
      </w:r>
      <w:r w:rsidRPr="00AE5A6A">
        <w:rPr>
          <w:lang w:val="en-GB"/>
        </w:rPr>
        <w:t xml:space="preserve">Optimize </w:t>
      </w:r>
      <w:r w:rsidRPr="00AE5A6A">
        <w:rPr>
          <w:rStyle w:val="Strong"/>
          <w:b w:val="0"/>
          <w:lang w:val="en-GB"/>
        </w:rPr>
        <w:t>working capital and asset usage</w:t>
      </w:r>
      <w:r w:rsidRPr="00AE5A6A">
        <w:rPr>
          <w:lang w:val="en-GB"/>
        </w:rPr>
        <w:t xml:space="preserve"> to enhance both liquidity</w:t>
      </w:r>
      <w:r w:rsidR="00C7450D">
        <w:rPr>
          <w:lang w:val="en-GB"/>
        </w:rPr>
        <w:t xml:space="preserve"> and overall capital efficiency i</w:t>
      </w:r>
      <w:r w:rsidRPr="00AE5A6A">
        <w:rPr>
          <w:lang w:val="en-GB"/>
        </w:rPr>
        <w:t xml:space="preserve">f needed, </w:t>
      </w:r>
      <w:r w:rsidRPr="00AE5A6A">
        <w:rPr>
          <w:rStyle w:val="Strong"/>
          <w:b w:val="0"/>
          <w:lang w:val="en-GB"/>
        </w:rPr>
        <w:t>de-gear via equity</w:t>
      </w:r>
      <w:r w:rsidRPr="00AE5A6A">
        <w:rPr>
          <w:lang w:val="en-GB"/>
        </w:rPr>
        <w:t xml:space="preserve"> w</w:t>
      </w:r>
      <w:r w:rsidR="00C7450D">
        <w:rPr>
          <w:lang w:val="en-GB"/>
        </w:rPr>
        <w:t xml:space="preserve">hile keeping an eye on dilution it requires to </w:t>
      </w:r>
      <w:r w:rsidR="00D462C1">
        <w:rPr>
          <w:lang w:val="en-GB"/>
        </w:rPr>
        <w:t xml:space="preserve">monitor </w:t>
      </w:r>
      <w:r w:rsidR="00D462C1" w:rsidRPr="00AE5A6A">
        <w:rPr>
          <w:lang w:val="en-GB"/>
        </w:rPr>
        <w:t>industry</w:t>
      </w:r>
      <w:r w:rsidRPr="00AE5A6A">
        <w:rPr>
          <w:rStyle w:val="Strong"/>
          <w:b w:val="0"/>
          <w:lang w:val="en-GB"/>
        </w:rPr>
        <w:t>-standard metrics</w:t>
      </w:r>
      <w:r w:rsidRPr="00AE5A6A">
        <w:rPr>
          <w:lang w:val="en-GB"/>
        </w:rPr>
        <w:t xml:space="preserve"> to ensure </w:t>
      </w:r>
      <w:r w:rsidR="00D462C1">
        <w:rPr>
          <w:lang w:val="en-GB"/>
        </w:rPr>
        <w:t>M&amp;S</w:t>
      </w:r>
      <w:r w:rsidRPr="00AE5A6A">
        <w:rPr>
          <w:lang w:val="en-GB"/>
        </w:rPr>
        <w:t xml:space="preserve"> remain on a solid financial footing.</w:t>
      </w:r>
      <w:r w:rsidR="00C7450D">
        <w:rPr>
          <w:lang w:val="en-GB"/>
        </w:rPr>
        <w:t xml:space="preserve"> </w:t>
      </w:r>
    </w:p>
    <w:p w14:paraId="2F69C835" w14:textId="77777777" w:rsidR="001D15D0" w:rsidRPr="00AE5A6A" w:rsidRDefault="0040750E" w:rsidP="00937AD8">
      <w:pPr>
        <w:pStyle w:val="NormalWeb"/>
        <w:spacing w:before="0" w:beforeAutospacing="0" w:after="0" w:afterAutospacing="0" w:line="360" w:lineRule="auto"/>
        <w:jc w:val="both"/>
        <w:rPr>
          <w:lang w:val="en-GB"/>
        </w:rPr>
      </w:pPr>
      <w:r w:rsidRPr="00AE5A6A">
        <w:rPr>
          <w:b/>
          <w:lang w:val="en-GB"/>
        </w:rPr>
        <w:t>Investment expansion</w:t>
      </w:r>
      <w:r w:rsidRPr="00AE5A6A">
        <w:rPr>
          <w:lang w:val="en-GB"/>
        </w:rPr>
        <w:t>: To enhance liquidity and positively influence investor ratios—particularly P/E which, while below high-growth peers, remains elevated relative to FTSE retail—c</w:t>
      </w:r>
      <w:r w:rsidR="00C5313C">
        <w:rPr>
          <w:lang w:val="en-GB"/>
        </w:rPr>
        <w:t>onsider some strategic levers to a</w:t>
      </w:r>
      <w:r w:rsidRPr="00AE5A6A">
        <w:rPr>
          <w:lang w:val="en-GB"/>
        </w:rPr>
        <w:t>mplify Fre</w:t>
      </w:r>
      <w:r w:rsidR="00C5313C">
        <w:rPr>
          <w:lang w:val="en-GB"/>
        </w:rPr>
        <w:t>e Cash Generation &amp; Efficiency a</w:t>
      </w:r>
      <w:r w:rsidRPr="00AE5A6A">
        <w:rPr>
          <w:lang w:val="en-GB"/>
        </w:rPr>
        <w:t>ccelerate collections and optimize working capital (tightening receivables, extending payables, liquidating idle assets) to enhance cash flow—a foundational driver for earnings and liquidity. Deploy Cash Flow toward Shareholder Value With strong cash reserves, initiate share buybacks to reduce shares outstanding, driving up EPS and improving the P/E ratio</w:t>
      </w:r>
      <w:r w:rsidR="007E42A5" w:rsidRPr="00AE5A6A">
        <w:rPr>
          <w:lang w:val="en-GB"/>
        </w:rPr>
        <w:t xml:space="preserve"> (Ryan and Ryan, 2022)</w:t>
      </w:r>
      <w:r w:rsidRPr="00AE5A6A">
        <w:rPr>
          <w:lang w:val="en-GB"/>
        </w:rPr>
        <w:t xml:space="preserve">. Optionally, fund special dividends </w:t>
      </w:r>
      <w:r w:rsidR="00C5313C">
        <w:rPr>
          <w:lang w:val="en-GB"/>
        </w:rPr>
        <w:t xml:space="preserve">required </w:t>
      </w:r>
      <w:r w:rsidRPr="00AE5A6A">
        <w:rPr>
          <w:lang w:val="en-GB"/>
        </w:rPr>
        <w:t xml:space="preserve">to signal confidence and </w:t>
      </w:r>
      <w:r w:rsidR="00C5313C">
        <w:rPr>
          <w:lang w:val="en-GB"/>
        </w:rPr>
        <w:t>strengthen investor sentiment, r</w:t>
      </w:r>
      <w:r w:rsidRPr="00AE5A6A">
        <w:rPr>
          <w:lang w:val="en-GB"/>
        </w:rPr>
        <w:t>einvest</w:t>
      </w:r>
      <w:r w:rsidR="00C5313C">
        <w:rPr>
          <w:lang w:val="en-GB"/>
        </w:rPr>
        <w:t>ment strategically in growth to a</w:t>
      </w:r>
      <w:r w:rsidRPr="00AE5A6A">
        <w:rPr>
          <w:lang w:val="en-GB"/>
        </w:rPr>
        <w:t>llocate portions of cost savings into high-ROI initiatives (e.g., digital enhancements and margin expansion)</w:t>
      </w:r>
      <w:r w:rsidR="007E42A5" w:rsidRPr="00AE5A6A">
        <w:rPr>
          <w:lang w:val="en-GB"/>
        </w:rPr>
        <w:t xml:space="preserve"> (BBC, 2024)</w:t>
      </w:r>
      <w:r w:rsidRPr="00AE5A6A">
        <w:rPr>
          <w:lang w:val="en-GB"/>
        </w:rPr>
        <w:t xml:space="preserve">. </w:t>
      </w:r>
      <w:r w:rsidR="00C5313C">
        <w:rPr>
          <w:lang w:val="en-GB"/>
        </w:rPr>
        <w:t>Additionally, i</w:t>
      </w:r>
      <w:r w:rsidRPr="00AE5A6A">
        <w:rPr>
          <w:lang w:val="en-GB"/>
        </w:rPr>
        <w:t xml:space="preserve">mproved profitability can </w:t>
      </w:r>
      <w:r w:rsidR="00C5313C">
        <w:rPr>
          <w:lang w:val="en-GB"/>
        </w:rPr>
        <w:t>minimize</w:t>
      </w:r>
      <w:r w:rsidRPr="00AE5A6A">
        <w:rPr>
          <w:lang w:val="en-GB"/>
        </w:rPr>
        <w:t xml:space="preserve"> the P/E gap relative to high-growth players</w:t>
      </w:r>
      <w:r w:rsidR="00C5313C">
        <w:rPr>
          <w:lang w:val="en-GB"/>
        </w:rPr>
        <w:t xml:space="preserve"> which will enhance transparency &amp; forecasting p</w:t>
      </w:r>
      <w:r w:rsidRPr="00AE5A6A">
        <w:rPr>
          <w:lang w:val="en-GB"/>
        </w:rPr>
        <w:t>ublish robust financial forecast</w:t>
      </w:r>
      <w:r w:rsidR="00C5313C">
        <w:rPr>
          <w:lang w:val="en-GB"/>
        </w:rPr>
        <w:t>s and forward P/E projections to reduce</w:t>
      </w:r>
      <w:r w:rsidRPr="00AE5A6A">
        <w:rPr>
          <w:lang w:val="en-GB"/>
        </w:rPr>
        <w:t xml:space="preserve"> investor uncertainty—particularly around cyber risks—and shifts emphasis onto earnings potential rather than past ratios. Benchmark &amp; Communicate Positioning Regularly </w:t>
      </w:r>
      <w:r w:rsidR="00C5313C">
        <w:rPr>
          <w:lang w:val="en-GB"/>
        </w:rPr>
        <w:t xml:space="preserve">needs to </w:t>
      </w:r>
      <w:r w:rsidRPr="00AE5A6A">
        <w:rPr>
          <w:lang w:val="en-GB"/>
        </w:rPr>
        <w:t xml:space="preserve">compare P/E, P/S, and EV/EBIT metrics to both FTSE retail peers </w:t>
      </w:r>
      <w:r w:rsidR="00C5313C">
        <w:rPr>
          <w:lang w:val="en-GB"/>
        </w:rPr>
        <w:t>and growth-focused benchmarks those h</w:t>
      </w:r>
      <w:r w:rsidRPr="00AE5A6A">
        <w:rPr>
          <w:lang w:val="en-GB"/>
        </w:rPr>
        <w:t>ighlight risk-adjusted valuation advantages to counter any perceived overva</w:t>
      </w:r>
      <w:r w:rsidR="000F1BF7">
        <w:rPr>
          <w:lang w:val="en-GB"/>
        </w:rPr>
        <w:t xml:space="preserve">luation due to cyber exposure. </w:t>
      </w:r>
      <w:r w:rsidR="000F1BF7">
        <w:rPr>
          <w:lang w:val="en-GB"/>
        </w:rPr>
        <w:lastRenderedPageBreak/>
        <w:t>Finally, b</w:t>
      </w:r>
      <w:r w:rsidRPr="00AE5A6A">
        <w:rPr>
          <w:lang w:val="en-GB"/>
        </w:rPr>
        <w:t xml:space="preserve">y refining cash operations, rewarding shareholders, reinvesting wisely, and offering clearer valuation narrative, </w:t>
      </w:r>
      <w:r w:rsidR="000F1BF7">
        <w:rPr>
          <w:lang w:val="en-GB"/>
        </w:rPr>
        <w:t>the company can</w:t>
      </w:r>
      <w:r w:rsidRPr="00AE5A6A">
        <w:rPr>
          <w:lang w:val="en-GB"/>
        </w:rPr>
        <w:t xml:space="preserve"> bolster liquidity, support stronger EPS, and enhance investor confidence—driving investor ratios upward in line with peer groups.</w:t>
      </w:r>
    </w:p>
    <w:p w14:paraId="0832531B" w14:textId="77777777" w:rsidR="00AE5A6A" w:rsidRDefault="007C228E" w:rsidP="00937AD8">
      <w:pPr>
        <w:pStyle w:val="NormalWeb"/>
        <w:spacing w:before="0" w:beforeAutospacing="0" w:after="0" w:afterAutospacing="0" w:line="360" w:lineRule="auto"/>
        <w:jc w:val="both"/>
        <w:rPr>
          <w:rStyle w:val="Heading1Char"/>
          <w:rFonts w:cs="Times New Roman"/>
          <w:lang w:val="en-GB"/>
        </w:rPr>
      </w:pPr>
      <w:bookmarkStart w:id="10" w:name="_Toc202268838"/>
      <w:r w:rsidRPr="00AE5A6A">
        <w:rPr>
          <w:rStyle w:val="Heading1Char"/>
          <w:rFonts w:cs="Times New Roman"/>
          <w:lang w:val="en-GB"/>
        </w:rPr>
        <w:t>P</w:t>
      </w:r>
      <w:r w:rsidR="0009430E" w:rsidRPr="00AE5A6A">
        <w:rPr>
          <w:rStyle w:val="Heading1Char"/>
          <w:rFonts w:cs="Times New Roman"/>
          <w:lang w:val="en-GB"/>
        </w:rPr>
        <w:t>a</w:t>
      </w:r>
      <w:r w:rsidRPr="00AE5A6A">
        <w:rPr>
          <w:rStyle w:val="Heading1Char"/>
          <w:rFonts w:cs="Times New Roman"/>
          <w:lang w:val="en-GB"/>
        </w:rPr>
        <w:t xml:space="preserve">rt 2: Business report of </w:t>
      </w:r>
      <w:r w:rsidR="00AE5A6A" w:rsidRPr="00AE5A6A">
        <w:rPr>
          <w:rStyle w:val="Heading1Char"/>
          <w:rFonts w:cs="Times New Roman"/>
          <w:lang w:val="en-GB"/>
        </w:rPr>
        <w:t>Jordon’s</w:t>
      </w:r>
      <w:r w:rsidR="00820538" w:rsidRPr="00AE5A6A">
        <w:rPr>
          <w:rStyle w:val="Heading1Char"/>
          <w:rFonts w:cs="Times New Roman"/>
          <w:lang w:val="en-GB"/>
        </w:rPr>
        <w:t>’</w:t>
      </w:r>
      <w:r w:rsidRPr="00AE5A6A">
        <w:rPr>
          <w:rStyle w:val="Heading1Char"/>
          <w:rFonts w:cs="Times New Roman"/>
          <w:lang w:val="en-GB"/>
        </w:rPr>
        <w:t xml:space="preserve"> PLC.</w:t>
      </w:r>
      <w:bookmarkEnd w:id="10"/>
    </w:p>
    <w:p w14:paraId="0DAADF9E" w14:textId="77777777" w:rsidR="007C228E" w:rsidRPr="00AE5A6A" w:rsidRDefault="007C228E" w:rsidP="00937AD8">
      <w:pPr>
        <w:pStyle w:val="NormalWeb"/>
        <w:spacing w:before="0" w:beforeAutospacing="0" w:after="0" w:afterAutospacing="0" w:line="360" w:lineRule="auto"/>
        <w:jc w:val="both"/>
        <w:rPr>
          <w:rFonts w:eastAsiaTheme="majorEastAsia"/>
          <w:b/>
          <w:sz w:val="28"/>
          <w:szCs w:val="32"/>
          <w:lang w:val="en-GB"/>
        </w:rPr>
      </w:pPr>
      <w:r w:rsidRPr="00AE5A6A">
        <w:rPr>
          <w:lang w:val="en-GB"/>
        </w:rPr>
        <w:t xml:space="preserve">A discounted-cash-flow appraisal at a 6 % cost of capital shows that </w:t>
      </w:r>
      <w:r w:rsidRPr="00AE5A6A">
        <w:rPr>
          <w:bCs/>
          <w:lang w:val="en-GB"/>
        </w:rPr>
        <w:t>Option B (on-line sales expansion) delivers the highest net present value (£0.92 m) and the best internal rate of return (~36 %)</w:t>
      </w:r>
      <w:r w:rsidRPr="00AE5A6A">
        <w:rPr>
          <w:lang w:val="en-GB"/>
        </w:rPr>
        <w:t xml:space="preserve"> after tax and capital-allowance benefits. Under a £2 m capital ceiling, the optimal divisible mix is to undertake Option B in full, Option A in full, and one-quarter of Option C, giving a combined NPV of c. £1.64 m. NPV is preferred because it measures absolute wealth creation and properly recognizes the time value of money. Nevertheless, pay-back and other non-discounting rules persist in practice because they are simple and data-light. Before committing, the Board should weigh strategic fit, execution risk and financing capacity; a blend of retained earnings, medium-term bank debt and possibly asset-backed leasing gives a balanced funding structure</w:t>
      </w:r>
      <w:r w:rsidR="007E42A5" w:rsidRPr="00AE5A6A">
        <w:rPr>
          <w:lang w:val="en-GB"/>
        </w:rPr>
        <w:t xml:space="preserve"> (Wirtz, 2022)</w:t>
      </w:r>
      <w:r w:rsidRPr="00AE5A6A">
        <w:rPr>
          <w:lang w:val="en-GB"/>
        </w:rPr>
        <w:t>.</w:t>
      </w:r>
    </w:p>
    <w:p w14:paraId="6F517BB3" w14:textId="77777777" w:rsidR="0009430E" w:rsidRPr="00AE5A6A" w:rsidRDefault="0044640A" w:rsidP="007B68F1">
      <w:pPr>
        <w:pStyle w:val="Heading2"/>
        <w:rPr>
          <w:lang w:val="en-GB"/>
        </w:rPr>
      </w:pPr>
      <w:bookmarkStart w:id="11" w:name="_Toc202268839"/>
      <w:r w:rsidRPr="00AE5A6A">
        <w:rPr>
          <w:lang w:val="en-GB"/>
        </w:rPr>
        <w:t>Investment analysis</w:t>
      </w:r>
      <w:bookmarkEnd w:id="11"/>
    </w:p>
    <w:p w14:paraId="240370EC" w14:textId="77777777" w:rsidR="00565FB9" w:rsidRPr="00AE5A6A" w:rsidRDefault="00565FB9" w:rsidP="00937AD8">
      <w:pPr>
        <w:pStyle w:val="NormalWeb"/>
        <w:spacing w:before="0" w:beforeAutospacing="0" w:after="0" w:afterAutospacing="0" w:line="360" w:lineRule="auto"/>
        <w:jc w:val="both"/>
        <w:rPr>
          <w:lang w:val="en-GB"/>
        </w:rPr>
      </w:pPr>
      <w:r w:rsidRPr="00AE5A6A">
        <w:rPr>
          <w:lang w:val="en-GB"/>
        </w:rPr>
        <w:t>T</w:t>
      </w:r>
      <w:r w:rsidRPr="00AE5A6A">
        <w:rPr>
          <w:rStyle w:val="relative"/>
          <w:lang w:val="en-GB"/>
        </w:rPr>
        <w:t xml:space="preserve">he net present value (NPV) framework was applied to assess the three proposed projects using a 6 % cost of capital to discount future cash flows. This method offers a precise assessment of value generation, as it accounts for the time value of money and quantifies net economic benefits in present-day </w:t>
      </w:r>
      <w:r w:rsidR="00AE5A6A" w:rsidRPr="00AE5A6A">
        <w:rPr>
          <w:rStyle w:val="relative"/>
          <w:lang w:val="en-GB"/>
        </w:rPr>
        <w:t>terms</w:t>
      </w:r>
      <w:r w:rsidRPr="00AE5A6A">
        <w:rPr>
          <w:lang w:val="en-GB"/>
        </w:rPr>
        <w:t xml:space="preserve">. </w:t>
      </w:r>
      <w:r w:rsidRPr="00AE5A6A">
        <w:rPr>
          <w:rStyle w:val="relative"/>
          <w:lang w:val="en-GB"/>
        </w:rPr>
        <w:t>The analysis incorporates a 25 % corporate tax rate and a 20 % straight-line capital allowance, treating all cash flows as occurring at year-end to maintain consistency</w:t>
      </w:r>
      <w:r w:rsidRPr="00AE5A6A">
        <w:rPr>
          <w:lang w:val="en-GB"/>
        </w:rPr>
        <w:t>.</w:t>
      </w:r>
    </w:p>
    <w:p w14:paraId="330FE0FB" w14:textId="77777777" w:rsidR="00565FB9" w:rsidRPr="00AE5A6A" w:rsidRDefault="00565FB9" w:rsidP="00937AD8">
      <w:pPr>
        <w:pStyle w:val="NormalWeb"/>
        <w:spacing w:before="0" w:beforeAutospacing="0" w:after="0" w:afterAutospacing="0" w:line="360" w:lineRule="auto"/>
        <w:jc w:val="both"/>
        <w:rPr>
          <w:lang w:val="en-GB"/>
        </w:rPr>
      </w:pPr>
      <w:r w:rsidRPr="00AE5A6A">
        <w:rPr>
          <w:rStyle w:val="Strong"/>
          <w:lang w:val="en-GB"/>
        </w:rPr>
        <w:t>Option A</w:t>
      </w:r>
      <w:r w:rsidRPr="00AE5A6A">
        <w:rPr>
          <w:lang w:val="en-GB"/>
        </w:rPr>
        <w:t xml:space="preserve"> involves a £600,000 investment to expand the retail outlet and diversify the product offering, capitalizing on existing market strengths. Cash flow projections indicate moderate improvements in customer satisfaction and steady revenue streams.</w:t>
      </w:r>
    </w:p>
    <w:p w14:paraId="0336CF75" w14:textId="77777777" w:rsidR="00565FB9" w:rsidRPr="00AE5A6A" w:rsidRDefault="00565FB9" w:rsidP="00937AD8">
      <w:pPr>
        <w:pStyle w:val="NormalWeb"/>
        <w:spacing w:before="0" w:beforeAutospacing="0" w:after="0" w:afterAutospacing="0" w:line="360" w:lineRule="auto"/>
        <w:jc w:val="both"/>
        <w:rPr>
          <w:lang w:val="en-GB"/>
        </w:rPr>
      </w:pPr>
      <w:r w:rsidRPr="00AE5A6A">
        <w:rPr>
          <w:rStyle w:val="Strong"/>
          <w:lang w:val="en-GB"/>
        </w:rPr>
        <w:t>Option B</w:t>
      </w:r>
      <w:r w:rsidRPr="00AE5A6A">
        <w:rPr>
          <w:lang w:val="en-GB"/>
        </w:rPr>
        <w:t xml:space="preserve"> proposes a £1,000,000 investment in an e-commerce platform. This aligns with broader market trends toward online retailing, and cash flow estimates show accelerating returns in later years, reflecting the platform's scaling potential.</w:t>
      </w:r>
    </w:p>
    <w:p w14:paraId="68C17FE9" w14:textId="77777777" w:rsidR="00565FB9" w:rsidRPr="00AE5A6A" w:rsidRDefault="00565FB9" w:rsidP="00937AD8">
      <w:pPr>
        <w:pStyle w:val="NormalWeb"/>
        <w:spacing w:before="0" w:beforeAutospacing="0" w:after="0" w:afterAutospacing="0" w:line="360" w:lineRule="auto"/>
        <w:jc w:val="both"/>
        <w:rPr>
          <w:lang w:val="en-GB"/>
        </w:rPr>
      </w:pPr>
      <w:r w:rsidRPr="00AE5A6A">
        <w:rPr>
          <w:rStyle w:val="Strong"/>
          <w:lang w:val="en-GB"/>
        </w:rPr>
        <w:t>Option C</w:t>
      </w:r>
      <w:r w:rsidRPr="00AE5A6A">
        <w:rPr>
          <w:lang w:val="en-GB"/>
        </w:rPr>
        <w:t xml:space="preserve"> requires a £1.5 million outlay to diversify into curtains and Roman blinds. Cash flow projections for this project are significantly higher than for Options A or B, suggesting robust demand and the potential for economies of scale.</w:t>
      </w:r>
    </w:p>
    <w:p w14:paraId="625507A1" w14:textId="77777777" w:rsidR="00565FB9" w:rsidRPr="00AE5A6A" w:rsidRDefault="00565FB9" w:rsidP="00937AD8">
      <w:pPr>
        <w:pStyle w:val="NormalWeb"/>
        <w:spacing w:before="0" w:beforeAutospacing="0" w:after="0" w:afterAutospacing="0" w:line="360" w:lineRule="auto"/>
        <w:jc w:val="both"/>
        <w:rPr>
          <w:lang w:val="en-GB"/>
        </w:rPr>
      </w:pPr>
      <w:r w:rsidRPr="00AE5A6A">
        <w:rPr>
          <w:rStyle w:val="relative"/>
          <w:lang w:val="en-GB"/>
        </w:rPr>
        <w:t>Comparative NPV results (see Appendix A) reveal that Option C delivers the highest net present value, followed by Option B, with Option A trailing. Thus, Option C is the only project that generates substantial value after accounting for investment costs and financing structure</w:t>
      </w:r>
      <w:r w:rsidRPr="00AE5A6A">
        <w:rPr>
          <w:lang w:val="en-GB"/>
        </w:rPr>
        <w:t xml:space="preserve">. </w:t>
      </w:r>
      <w:r w:rsidRPr="00AE5A6A">
        <w:rPr>
          <w:rStyle w:val="relative"/>
          <w:lang w:val="en-GB"/>
        </w:rPr>
        <w:lastRenderedPageBreak/>
        <w:t>Strategically, this option not only broadens the product portfolio but also mitigates overreliance on a single market segment and enhances competitive positioning. Consequently, Option C is recommended as the primary growth initiative</w:t>
      </w:r>
      <w:r w:rsidRPr="00AE5A6A">
        <w:rPr>
          <w:lang w:val="en-GB"/>
        </w:rPr>
        <w:t>.</w:t>
      </w:r>
    </w:p>
    <w:p w14:paraId="7312913D" w14:textId="77777777" w:rsidR="00565FB9" w:rsidRPr="00AE5A6A" w:rsidRDefault="00565FB9" w:rsidP="00937AD8">
      <w:pPr>
        <w:spacing w:after="0"/>
        <w:jc w:val="both"/>
        <w:rPr>
          <w:rFonts w:ascii="Times New Roman" w:eastAsia="Times New Roman" w:hAnsi="Times New Roman" w:cs="Times New Roman"/>
          <w:szCs w:val="24"/>
          <w:lang w:val="en-GB"/>
        </w:rPr>
      </w:pPr>
      <w:r w:rsidRPr="00AE5A6A">
        <w:rPr>
          <w:rFonts w:ascii="Times New Roman" w:hAnsi="Times New Roman" w:cs="Times New Roman"/>
          <w:lang w:val="en-GB"/>
        </w:rPr>
        <w:t xml:space="preserve">Recommendation: </w:t>
      </w:r>
      <w:r w:rsidRPr="00AE5A6A">
        <w:rPr>
          <w:rFonts w:ascii="Times New Roman" w:eastAsia="Times New Roman" w:hAnsi="Times New Roman" w:cs="Times New Roman"/>
          <w:szCs w:val="24"/>
          <w:lang w:val="en-GB"/>
        </w:rPr>
        <w:t>Because Option B offers the highest NPV and profitability index, it maximizes shareholder wealth and should be selected, subject to qualitative checks (Section 3).</w:t>
      </w:r>
    </w:p>
    <w:p w14:paraId="2A5AC4A0" w14:textId="77777777" w:rsidR="0044640A" w:rsidRPr="00AE5A6A" w:rsidRDefault="0044640A" w:rsidP="007B68F1">
      <w:pPr>
        <w:pStyle w:val="Heading2"/>
        <w:rPr>
          <w:lang w:val="en-GB"/>
        </w:rPr>
      </w:pPr>
      <w:bookmarkStart w:id="12" w:name="_Toc202268840"/>
      <w:r w:rsidRPr="00AE5A6A">
        <w:rPr>
          <w:lang w:val="en-GB"/>
        </w:rPr>
        <w:t>Interpreting the results for management</w:t>
      </w:r>
      <w:bookmarkEnd w:id="12"/>
    </w:p>
    <w:p w14:paraId="77360484" w14:textId="77777777" w:rsidR="0044640A" w:rsidRPr="00AE5A6A" w:rsidRDefault="0044640A" w:rsidP="007B68F1">
      <w:pPr>
        <w:pStyle w:val="Heading3"/>
        <w:spacing w:before="0" w:beforeAutospacing="0" w:after="0" w:afterAutospacing="0" w:line="360" w:lineRule="auto"/>
        <w:rPr>
          <w:lang w:val="en-GB"/>
        </w:rPr>
      </w:pPr>
      <w:bookmarkStart w:id="13" w:name="_Toc202268841"/>
      <w:r w:rsidRPr="00AE5A6A">
        <w:rPr>
          <w:lang w:val="en-GB"/>
        </w:rPr>
        <w:t>Superiority of the NPV method</w:t>
      </w:r>
      <w:bookmarkEnd w:id="13"/>
    </w:p>
    <w:p w14:paraId="6E582659" w14:textId="77777777" w:rsidR="0044640A" w:rsidRPr="00AE5A6A" w:rsidRDefault="0044640A" w:rsidP="007B68F1">
      <w:pPr>
        <w:pStyle w:val="NormalWeb"/>
        <w:spacing w:before="0" w:beforeAutospacing="0" w:after="0" w:afterAutospacing="0" w:line="360" w:lineRule="auto"/>
        <w:jc w:val="both"/>
        <w:rPr>
          <w:lang w:val="en-GB"/>
        </w:rPr>
      </w:pPr>
      <w:r w:rsidRPr="00AE5A6A">
        <w:rPr>
          <w:rStyle w:val="Strong"/>
          <w:b w:val="0"/>
          <w:lang w:val="en-GB"/>
        </w:rPr>
        <w:t>NPV expresses value in absolute monetary terms</w:t>
      </w:r>
      <w:r w:rsidRPr="00AE5A6A">
        <w:rPr>
          <w:rStyle w:val="relative"/>
          <w:lang w:val="en-GB"/>
        </w:rPr>
        <w:t>, directly estimating the change in firm value today and fully incorporating the time value of money—making it a clear indicator of value creation</w:t>
      </w:r>
      <w:r w:rsidRPr="00AE5A6A">
        <w:rPr>
          <w:lang w:val="en-GB"/>
        </w:rPr>
        <w:t xml:space="preserve">. </w:t>
      </w:r>
      <w:r w:rsidRPr="00AE5A6A">
        <w:rPr>
          <w:rStyle w:val="relative"/>
          <w:lang w:val="en-GB"/>
        </w:rPr>
        <w:t xml:space="preserve">It </w:t>
      </w:r>
      <w:r w:rsidRPr="00AE5A6A">
        <w:rPr>
          <w:rStyle w:val="Strong"/>
          <w:b w:val="0"/>
          <w:lang w:val="en-GB"/>
        </w:rPr>
        <w:t>aligns with shareholder expectations</w:t>
      </w:r>
      <w:r w:rsidRPr="00AE5A6A">
        <w:rPr>
          <w:rStyle w:val="relative"/>
          <w:lang w:val="en-GB"/>
        </w:rPr>
        <w:t xml:space="preserve"> by using the company’s weighted average cost of capital, thus appropriately reflecting investment risk.</w:t>
      </w:r>
      <w:r w:rsidR="0051077C">
        <w:rPr>
          <w:rStyle w:val="relative"/>
          <w:lang w:val="en-GB"/>
        </w:rPr>
        <w:t xml:space="preserve"> </w:t>
      </w:r>
      <w:r w:rsidRPr="00AE5A6A">
        <w:rPr>
          <w:rStyle w:val="relative"/>
          <w:lang w:val="en-GB"/>
        </w:rPr>
        <w:t xml:space="preserve">For mutually exclusive projects with different scales or timing, </w:t>
      </w:r>
      <w:r w:rsidRPr="00AE5A6A">
        <w:rPr>
          <w:rStyle w:val="Strong"/>
          <w:b w:val="0"/>
          <w:lang w:val="en-GB"/>
        </w:rPr>
        <w:t>NPV provides unambiguous rankings</w:t>
      </w:r>
      <w:r w:rsidRPr="00AE5A6A">
        <w:rPr>
          <w:rStyle w:val="relative"/>
          <w:lang w:val="en-GB"/>
        </w:rPr>
        <w:t>, unlike IRR which can mislead under such circumstances</w:t>
      </w:r>
      <w:r w:rsidR="007E42A5" w:rsidRPr="00AE5A6A">
        <w:rPr>
          <w:rStyle w:val="relative"/>
          <w:lang w:val="en-GB"/>
        </w:rPr>
        <w:t xml:space="preserve"> (Chen, 2019)</w:t>
      </w:r>
      <w:r w:rsidRPr="00AE5A6A">
        <w:rPr>
          <w:lang w:val="en-GB"/>
        </w:rPr>
        <w:t>.</w:t>
      </w:r>
    </w:p>
    <w:p w14:paraId="46C421D6" w14:textId="77777777" w:rsidR="0044640A" w:rsidRPr="00AE5A6A" w:rsidRDefault="0044640A" w:rsidP="007B68F1">
      <w:pPr>
        <w:pStyle w:val="Heading3"/>
        <w:spacing w:before="0" w:beforeAutospacing="0" w:after="0" w:afterAutospacing="0" w:line="360" w:lineRule="auto"/>
        <w:rPr>
          <w:lang w:val="en-GB"/>
        </w:rPr>
      </w:pPr>
      <w:bookmarkStart w:id="14" w:name="_Toc202268842"/>
      <w:r w:rsidRPr="00AE5A6A">
        <w:rPr>
          <w:lang w:val="en-GB"/>
        </w:rPr>
        <w:t>Why simpler metrics remain in use</w:t>
      </w:r>
      <w:bookmarkEnd w:id="14"/>
    </w:p>
    <w:p w14:paraId="6D52F22B" w14:textId="77777777" w:rsidR="0044640A" w:rsidRPr="00AE5A6A" w:rsidRDefault="0044640A" w:rsidP="007B68F1">
      <w:pPr>
        <w:pStyle w:val="NormalWeb"/>
        <w:spacing w:before="0" w:beforeAutospacing="0" w:after="0" w:afterAutospacing="0" w:line="360" w:lineRule="auto"/>
        <w:jc w:val="both"/>
        <w:rPr>
          <w:lang w:val="en-GB"/>
        </w:rPr>
      </w:pPr>
      <w:r w:rsidRPr="00AE5A6A">
        <w:rPr>
          <w:rStyle w:val="Strong"/>
          <w:b w:val="0"/>
          <w:lang w:val="en-GB"/>
        </w:rPr>
        <w:t>Payback period and accounting rate of return</w:t>
      </w:r>
      <w:r w:rsidRPr="00AE5A6A">
        <w:rPr>
          <w:rStyle w:val="relative"/>
          <w:lang w:val="en-GB"/>
        </w:rPr>
        <w:t xml:space="preserve"> are still frequently cited in management circles due to their </w:t>
      </w:r>
      <w:r w:rsidRPr="00AE5A6A">
        <w:rPr>
          <w:rStyle w:val="Strong"/>
          <w:b w:val="0"/>
          <w:lang w:val="en-GB"/>
        </w:rPr>
        <w:t>intuitive simplicity</w:t>
      </w:r>
      <w:r w:rsidRPr="00AE5A6A">
        <w:rPr>
          <w:rStyle w:val="relative"/>
          <w:lang w:val="en-GB"/>
        </w:rPr>
        <w:t xml:space="preserve"> and low data requirements. They offer quick, preliminary insights—especially useful for small or liquidity-constrained projects</w:t>
      </w:r>
      <w:r w:rsidRPr="00AE5A6A">
        <w:rPr>
          <w:lang w:val="en-GB"/>
        </w:rPr>
        <w:t>.</w:t>
      </w:r>
    </w:p>
    <w:p w14:paraId="22215D40" w14:textId="77777777" w:rsidR="0044640A" w:rsidRPr="00AE5A6A" w:rsidRDefault="0044640A" w:rsidP="007B68F1">
      <w:pPr>
        <w:pStyle w:val="Heading3"/>
        <w:spacing w:before="0" w:beforeAutospacing="0" w:after="0" w:afterAutospacing="0" w:line="360" w:lineRule="auto"/>
        <w:rPr>
          <w:lang w:val="en-GB"/>
        </w:rPr>
      </w:pPr>
      <w:bookmarkStart w:id="15" w:name="_Toc202268843"/>
      <w:r w:rsidRPr="00AE5A6A">
        <w:rPr>
          <w:lang w:val="en-GB"/>
        </w:rPr>
        <w:t>Additional qualitative factors</w:t>
      </w:r>
      <w:bookmarkEnd w:id="15"/>
    </w:p>
    <w:p w14:paraId="75031D04" w14:textId="77777777" w:rsidR="00A40BE2" w:rsidRPr="00AE5A6A" w:rsidRDefault="0044640A" w:rsidP="007B68F1">
      <w:pPr>
        <w:pStyle w:val="NormalWeb"/>
        <w:spacing w:before="0" w:beforeAutospacing="0" w:after="0" w:afterAutospacing="0" w:line="360" w:lineRule="auto"/>
        <w:jc w:val="both"/>
        <w:rPr>
          <w:lang w:val="en-GB"/>
        </w:rPr>
      </w:pPr>
      <w:r w:rsidRPr="00AE5A6A">
        <w:rPr>
          <w:lang w:val="en-GB"/>
        </w:rPr>
        <w:t xml:space="preserve">Management should also </w:t>
      </w:r>
      <w:r w:rsidR="00AE5A6A" w:rsidRPr="00AE5A6A">
        <w:rPr>
          <w:lang w:val="en-GB"/>
        </w:rPr>
        <w:t>consider</w:t>
      </w:r>
      <w:r w:rsidRPr="00AE5A6A">
        <w:rPr>
          <w:lang w:val="en-GB"/>
        </w:rPr>
        <w:t xml:space="preserve"> strategic alignment with Jordons’ brand and manufacturing strengths; supply-side constraints like timber sourcing and skilled </w:t>
      </w:r>
      <w:proofErr w:type="spellStart"/>
      <w:r w:rsidRPr="00AE5A6A">
        <w:rPr>
          <w:lang w:val="en-GB"/>
        </w:rPr>
        <w:t>labor</w:t>
      </w:r>
      <w:proofErr w:type="spellEnd"/>
      <w:r w:rsidRPr="00AE5A6A">
        <w:rPr>
          <w:lang w:val="en-GB"/>
        </w:rPr>
        <w:t>; potential competitive responses; execution risk across initiatives (e.g., e-commerce build-out, store refurbishments, learning curves in the curtains segment); and macroeconomic influences affecting housing markets and consumer discretionary spending.</w:t>
      </w:r>
    </w:p>
    <w:p w14:paraId="137D0835" w14:textId="77777777" w:rsidR="0044640A" w:rsidRPr="00AE5A6A" w:rsidRDefault="0044640A" w:rsidP="007B68F1">
      <w:pPr>
        <w:pStyle w:val="NormalWeb"/>
        <w:spacing w:before="0" w:beforeAutospacing="0" w:after="0" w:afterAutospacing="0" w:line="360" w:lineRule="auto"/>
        <w:jc w:val="both"/>
        <w:rPr>
          <w:lang w:val="en-GB"/>
        </w:rPr>
      </w:pPr>
      <w:r w:rsidRPr="00AE5A6A">
        <w:rPr>
          <w:lang w:val="en-GB"/>
        </w:rPr>
        <w:t xml:space="preserve">In summary, while IRR (~36%) confirms Option B's financial viability, </w:t>
      </w:r>
      <w:r w:rsidRPr="00AE5A6A">
        <w:rPr>
          <w:rStyle w:val="Strong"/>
          <w:b w:val="0"/>
          <w:lang w:val="en-GB"/>
        </w:rPr>
        <w:t>NPV remains the gold standard</w:t>
      </w:r>
      <w:r w:rsidRPr="00AE5A6A">
        <w:rPr>
          <w:lang w:val="en-GB"/>
        </w:rPr>
        <w:t xml:space="preserve"> for decision-making, supported by supplementary metrics and essential qualitative considerations to ensure a balanced investment evaluation.</w:t>
      </w:r>
    </w:p>
    <w:p w14:paraId="3EB0A681" w14:textId="77777777" w:rsidR="004875E2" w:rsidRPr="00AE5A6A" w:rsidRDefault="004875E2" w:rsidP="007B68F1">
      <w:pPr>
        <w:pStyle w:val="Heading3"/>
        <w:spacing w:before="0" w:beforeAutospacing="0" w:after="0" w:afterAutospacing="0" w:line="360" w:lineRule="auto"/>
        <w:rPr>
          <w:rStyle w:val="relative"/>
          <w:b w:val="0"/>
          <w:lang w:val="en-GB"/>
        </w:rPr>
      </w:pPr>
      <w:bookmarkStart w:id="16" w:name="_Toc202268844"/>
      <w:r w:rsidRPr="00AE5A6A">
        <w:rPr>
          <w:rStyle w:val="relative"/>
          <w:lang w:val="en-GB"/>
        </w:rPr>
        <w:t>Non-discounting method</w:t>
      </w:r>
      <w:bookmarkEnd w:id="16"/>
    </w:p>
    <w:p w14:paraId="19F0871F" w14:textId="77777777" w:rsidR="00404CAC" w:rsidRPr="00AE5A6A" w:rsidRDefault="00404CAC" w:rsidP="007B68F1">
      <w:pPr>
        <w:pStyle w:val="NormalWeb"/>
        <w:spacing w:before="0" w:beforeAutospacing="0" w:after="0" w:afterAutospacing="0" w:line="360" w:lineRule="auto"/>
        <w:jc w:val="both"/>
        <w:rPr>
          <w:lang w:val="en-GB"/>
        </w:rPr>
      </w:pPr>
      <w:r w:rsidRPr="00AE5A6A">
        <w:rPr>
          <w:rStyle w:val="relative"/>
          <w:lang w:val="en-GB"/>
        </w:rPr>
        <w:t xml:space="preserve">Non-discounting methods like the </w:t>
      </w:r>
      <w:r w:rsidRPr="00AE5A6A">
        <w:rPr>
          <w:rStyle w:val="Strong"/>
          <w:b w:val="0"/>
          <w:lang w:val="en-GB"/>
        </w:rPr>
        <w:t>payback period</w:t>
      </w:r>
      <w:r w:rsidRPr="00AE5A6A">
        <w:rPr>
          <w:rStyle w:val="relative"/>
          <w:lang w:val="en-GB"/>
        </w:rPr>
        <w:t xml:space="preserve"> and</w:t>
      </w:r>
      <w:r w:rsidR="0051077C">
        <w:rPr>
          <w:rStyle w:val="relative"/>
          <w:lang w:val="en-GB"/>
        </w:rPr>
        <w:t xml:space="preserve"> </w:t>
      </w:r>
      <w:r w:rsidRPr="00AE5A6A">
        <w:rPr>
          <w:rStyle w:val="Strong"/>
          <w:b w:val="0"/>
          <w:lang w:val="en-GB"/>
        </w:rPr>
        <w:t>accounting rate of return (ARR)</w:t>
      </w:r>
      <w:r w:rsidRPr="00AE5A6A">
        <w:rPr>
          <w:rStyle w:val="relative"/>
          <w:lang w:val="en-GB"/>
        </w:rPr>
        <w:t xml:space="preserve"> remain popular among managers and executives mainly for their </w:t>
      </w:r>
      <w:r w:rsidRPr="00AE5A6A">
        <w:rPr>
          <w:rStyle w:val="Strong"/>
          <w:b w:val="0"/>
          <w:lang w:val="en-GB"/>
        </w:rPr>
        <w:t>simplicity, speed, and focus on liquidity</w:t>
      </w:r>
      <w:r w:rsidR="00DE4615" w:rsidRPr="00AE5A6A">
        <w:rPr>
          <w:rStyle w:val="relative"/>
          <w:b/>
          <w:lang w:val="en-GB"/>
        </w:rPr>
        <w:t>.</w:t>
      </w:r>
      <w:r w:rsidR="008F75F1">
        <w:rPr>
          <w:rStyle w:val="relative"/>
          <w:b/>
          <w:lang w:val="en-GB"/>
        </w:rPr>
        <w:t xml:space="preserve"> </w:t>
      </w:r>
      <w:r w:rsidRPr="00AE5A6A">
        <w:rPr>
          <w:rStyle w:val="relative"/>
          <w:lang w:val="en-GB"/>
        </w:rPr>
        <w:t>These methods require minimal data and no complex calculations. A quick payback calculation (investment ÷ annual cash flow) is intuitive and accessible even to non-finance personnel</w:t>
      </w:r>
      <w:r w:rsidR="00DE4615" w:rsidRPr="00AE5A6A">
        <w:rPr>
          <w:lang w:val="en-GB"/>
        </w:rPr>
        <w:t xml:space="preserve">. </w:t>
      </w:r>
      <w:r w:rsidRPr="00AE5A6A">
        <w:rPr>
          <w:rStyle w:val="relative"/>
          <w:lang w:val="en-GB"/>
        </w:rPr>
        <w:t xml:space="preserve">They </w:t>
      </w:r>
      <w:r w:rsidRPr="00AE5A6A">
        <w:rPr>
          <w:rStyle w:val="relative"/>
          <w:lang w:val="en-GB"/>
        </w:rPr>
        <w:lastRenderedPageBreak/>
        <w:t xml:space="preserve">demand fewer resources and can be done rapidly without heavy analytics or </w:t>
      </w:r>
      <w:r w:rsidR="008F75F1" w:rsidRPr="00AE5A6A">
        <w:rPr>
          <w:rStyle w:val="relative"/>
          <w:lang w:val="en-GB"/>
        </w:rPr>
        <w:t>modelling</w:t>
      </w:r>
      <w:r w:rsidR="00DE4615" w:rsidRPr="00AE5A6A">
        <w:rPr>
          <w:rStyle w:val="Strong"/>
          <w:lang w:val="en-GB"/>
        </w:rPr>
        <w:t>.</w:t>
      </w:r>
      <w:r w:rsidRPr="00AE5A6A">
        <w:rPr>
          <w:rStyle w:val="relative"/>
          <w:lang w:val="en-GB"/>
        </w:rPr>
        <w:t xml:space="preserve"> By highlighting how quickly an investment can return its initial outlay, these metrics help firms—particularly smaller or cash-constrained ones—manage risk and maintain flexibility</w:t>
      </w:r>
      <w:r w:rsidR="00DE4615" w:rsidRPr="00AE5A6A">
        <w:rPr>
          <w:lang w:val="en-GB"/>
        </w:rPr>
        <w:t>.</w:t>
      </w:r>
      <w:r w:rsidR="008F75F1">
        <w:rPr>
          <w:lang w:val="en-GB"/>
        </w:rPr>
        <w:t xml:space="preserve"> </w:t>
      </w:r>
      <w:r w:rsidRPr="00AE5A6A">
        <w:rPr>
          <w:rStyle w:val="relative"/>
          <w:lang w:val="en-GB"/>
        </w:rPr>
        <w:t>Payback provides early feedback, enabling quicker evaluation of whether projected returns materialize, which is valuable for oversight</w:t>
      </w:r>
      <w:r w:rsidR="00DE4615" w:rsidRPr="00AE5A6A">
        <w:rPr>
          <w:lang w:val="en-GB"/>
        </w:rPr>
        <w:t>.</w:t>
      </w:r>
      <w:r w:rsidR="008F75F1">
        <w:rPr>
          <w:lang w:val="en-GB"/>
        </w:rPr>
        <w:t xml:space="preserve"> </w:t>
      </w:r>
      <w:r w:rsidRPr="00AE5A6A">
        <w:rPr>
          <w:rStyle w:val="relative"/>
          <w:lang w:val="en-GB"/>
        </w:rPr>
        <w:t>Despite their limitations—ignoring time value, long-term profitability, and overall risk—these traits make non-discounting methods valuable in preliminary screening or under liquidity-constrained scenarios, supplementing more rigorous techniques like NPV and IRR</w:t>
      </w:r>
      <w:r w:rsidR="00DE4615" w:rsidRPr="00AE5A6A">
        <w:rPr>
          <w:rStyle w:val="relative"/>
          <w:lang w:val="en-GB"/>
        </w:rPr>
        <w:t>.</w:t>
      </w:r>
    </w:p>
    <w:p w14:paraId="3B7C6516" w14:textId="77777777" w:rsidR="00E72F7F" w:rsidRPr="00AE5A6A" w:rsidRDefault="00412942" w:rsidP="007B68F1">
      <w:pPr>
        <w:pStyle w:val="Heading3"/>
        <w:spacing w:before="0" w:beforeAutospacing="0" w:after="0" w:afterAutospacing="0" w:line="360" w:lineRule="auto"/>
        <w:rPr>
          <w:lang w:val="en-GB"/>
        </w:rPr>
      </w:pPr>
      <w:bookmarkStart w:id="17" w:name="_Toc202268845"/>
      <w:r w:rsidRPr="00AE5A6A">
        <w:rPr>
          <w:lang w:val="en-GB"/>
        </w:rPr>
        <w:t>Investment analysis:</w:t>
      </w:r>
      <w:bookmarkEnd w:id="17"/>
    </w:p>
    <w:p w14:paraId="2E3ED901" w14:textId="61A8A437" w:rsidR="00412942" w:rsidRPr="00AE5A6A" w:rsidRDefault="00412942" w:rsidP="007B68F1">
      <w:pPr>
        <w:pStyle w:val="NormalWeb"/>
        <w:spacing w:before="0" w:beforeAutospacing="0" w:after="0" w:afterAutospacing="0" w:line="360" w:lineRule="auto"/>
        <w:jc w:val="both"/>
        <w:rPr>
          <w:lang w:val="en-GB"/>
        </w:rPr>
      </w:pPr>
      <w:r w:rsidRPr="00AE5A6A">
        <w:rPr>
          <w:rStyle w:val="relative"/>
          <w:lang w:val="en-GB"/>
        </w:rPr>
        <w:t xml:space="preserve">When evaluating investment opportunities, decision-makers should look beyond purely financial metrics and include several </w:t>
      </w:r>
      <w:r w:rsidRPr="00AE5A6A">
        <w:rPr>
          <w:rStyle w:val="Strong"/>
          <w:b w:val="0"/>
          <w:lang w:val="en-GB"/>
        </w:rPr>
        <w:t>critical qualitative and contextual factors</w:t>
      </w:r>
      <w:r w:rsidRPr="00AE5A6A">
        <w:rPr>
          <w:rStyle w:val="relative"/>
          <w:b/>
          <w:lang w:val="en-GB"/>
        </w:rPr>
        <w:t>.</w:t>
      </w:r>
      <w:r w:rsidR="008F75F1">
        <w:rPr>
          <w:rStyle w:val="relative"/>
          <w:b/>
          <w:lang w:val="en-GB"/>
        </w:rPr>
        <w:t xml:space="preserve"> </w:t>
      </w:r>
      <w:r w:rsidRPr="00AE5A6A">
        <w:rPr>
          <w:rStyle w:val="Strong"/>
          <w:b w:val="0"/>
          <w:lang w:val="en-GB"/>
        </w:rPr>
        <w:t>Strategic alignment &amp; competitive position</w:t>
      </w:r>
      <w:r w:rsidRPr="00AE5A6A">
        <w:rPr>
          <w:rStyle w:val="Strong"/>
          <w:lang w:val="en-GB"/>
        </w:rPr>
        <w:t>.</w:t>
      </w:r>
      <w:r w:rsidRPr="00AE5A6A">
        <w:rPr>
          <w:rStyle w:val="relative"/>
          <w:lang w:val="en-GB"/>
        </w:rPr>
        <w:t xml:space="preserve"> Ensure the project fits the company's long-term objectives and leverages or enhances its competitive advantages—such as brand strength, proprietary technology, or operational synergies</w:t>
      </w:r>
      <w:r w:rsidRPr="00AE5A6A">
        <w:rPr>
          <w:lang w:val="en-GB"/>
        </w:rPr>
        <w:t xml:space="preserve">. </w:t>
      </w:r>
      <w:r w:rsidR="00D462C1" w:rsidRPr="00AE5A6A">
        <w:rPr>
          <w:rStyle w:val="relative"/>
          <w:lang w:val="en-GB"/>
        </w:rPr>
        <w:t>Analyse</w:t>
      </w:r>
      <w:r w:rsidRPr="00AE5A6A">
        <w:rPr>
          <w:rStyle w:val="relative"/>
          <w:lang w:val="en-GB"/>
        </w:rPr>
        <w:t xml:space="preserve"> demand trends, industry dynamics (e.g., Porter’s Five Forces), regulatory environment, and macroeconomic indicators like inflation and house price cycles to assess market viability and risk</w:t>
      </w:r>
      <w:r w:rsidRPr="00AE5A6A">
        <w:rPr>
          <w:lang w:val="en-GB"/>
        </w:rPr>
        <w:t xml:space="preserve">. </w:t>
      </w:r>
      <w:r w:rsidRPr="00AE5A6A">
        <w:rPr>
          <w:rStyle w:val="relative"/>
          <w:lang w:val="en-GB"/>
        </w:rPr>
        <w:t xml:space="preserve">Confirm </w:t>
      </w:r>
      <w:r w:rsidR="00D462C1">
        <w:rPr>
          <w:rStyle w:val="relative"/>
          <w:lang w:val="en-GB"/>
        </w:rPr>
        <w:t>M&amp;S</w:t>
      </w:r>
      <w:r w:rsidRPr="00AE5A6A">
        <w:rPr>
          <w:rStyle w:val="relative"/>
          <w:lang w:val="en-GB"/>
        </w:rPr>
        <w:t xml:space="preserve"> have—or can acquire—the necessary resources: skilled </w:t>
      </w:r>
      <w:r w:rsidR="00D462C1" w:rsidRPr="00AE5A6A">
        <w:rPr>
          <w:rStyle w:val="relative"/>
          <w:lang w:val="en-GB"/>
        </w:rPr>
        <w:t>labour</w:t>
      </w:r>
      <w:r w:rsidRPr="00AE5A6A">
        <w:rPr>
          <w:rStyle w:val="relative"/>
          <w:lang w:val="en-GB"/>
        </w:rPr>
        <w:t>, supply chain capacity, technical capabilities, and infrastructure to execute the project effectively</w:t>
      </w:r>
      <w:r w:rsidR="007E42A5" w:rsidRPr="00AE5A6A">
        <w:rPr>
          <w:rStyle w:val="relative"/>
          <w:lang w:val="en-GB"/>
        </w:rPr>
        <w:t xml:space="preserve"> (Coombs, Hobbs and Jenkins, 2015)</w:t>
      </w:r>
      <w:r w:rsidRPr="00AE5A6A">
        <w:rPr>
          <w:lang w:val="en-GB"/>
        </w:rPr>
        <w:t xml:space="preserve">. </w:t>
      </w:r>
      <w:r w:rsidRPr="00AE5A6A">
        <w:rPr>
          <w:rStyle w:val="relative"/>
          <w:lang w:val="en-GB"/>
        </w:rPr>
        <w:t>Evaluate the complexity of implementation—whether e-commerce platforms, new product lines, or store renovations—and plan for potential delays, cost overruns, and learning curves</w:t>
      </w:r>
      <w:r w:rsidRPr="00AE5A6A">
        <w:rPr>
          <w:rStyle w:val="Strong"/>
          <w:lang w:val="en-GB"/>
        </w:rPr>
        <w:t xml:space="preserve">. </w:t>
      </w:r>
      <w:r w:rsidRPr="00AE5A6A">
        <w:rPr>
          <w:rStyle w:val="relative"/>
          <w:lang w:val="en-GB"/>
        </w:rPr>
        <w:t>Consider environmental and social implications, regulatory compliance, and corporate governance to protect reputational capital and satisfy growing investor expectations</w:t>
      </w:r>
      <w:r w:rsidRPr="00AE5A6A">
        <w:rPr>
          <w:lang w:val="en-GB"/>
        </w:rPr>
        <w:t>.</w:t>
      </w:r>
      <w:r w:rsidR="008F75F1">
        <w:rPr>
          <w:lang w:val="en-GB"/>
        </w:rPr>
        <w:t xml:space="preserve"> </w:t>
      </w:r>
      <w:r w:rsidRPr="00AE5A6A">
        <w:rPr>
          <w:rStyle w:val="relative"/>
          <w:lang w:val="en-GB"/>
        </w:rPr>
        <w:t xml:space="preserve">Align project size with available funds or financing </w:t>
      </w:r>
      <w:r w:rsidR="00AE5A6A" w:rsidRPr="00AE5A6A">
        <w:rPr>
          <w:rStyle w:val="relative"/>
          <w:lang w:val="en-GB"/>
        </w:rPr>
        <w:t>options and</w:t>
      </w:r>
      <w:r w:rsidRPr="00AE5A6A">
        <w:rPr>
          <w:rStyle w:val="relative"/>
          <w:lang w:val="en-GB"/>
        </w:rPr>
        <w:t xml:space="preserve"> be cautious of sunk-cost bias when allocating limited </w:t>
      </w:r>
      <w:r w:rsidR="00937AD8" w:rsidRPr="00AE5A6A">
        <w:rPr>
          <w:rStyle w:val="relative"/>
          <w:lang w:val="en-GB"/>
        </w:rPr>
        <w:t>capital</w:t>
      </w:r>
      <w:r w:rsidR="00937AD8" w:rsidRPr="00AE5A6A">
        <w:rPr>
          <w:lang w:val="en-GB"/>
        </w:rPr>
        <w:t>. Incorporating</w:t>
      </w:r>
      <w:r w:rsidRPr="00AE5A6A">
        <w:rPr>
          <w:lang w:val="en-GB"/>
        </w:rPr>
        <w:t xml:space="preserve"> these factors—alongside quantitative analysis like NPV and IRR—ensures a holistic investment appraisal that balances value creation with strategic fit, execution viability, and stakeholder alignment.</w:t>
      </w:r>
    </w:p>
    <w:p w14:paraId="3C17D74D" w14:textId="66E2897E" w:rsidR="003A4C3F" w:rsidRPr="00AE5A6A" w:rsidRDefault="003A4C3F" w:rsidP="007B68F1">
      <w:pPr>
        <w:pStyle w:val="NormalWeb"/>
        <w:spacing w:before="0" w:beforeAutospacing="0" w:after="0" w:afterAutospacing="0" w:line="360" w:lineRule="auto"/>
        <w:jc w:val="both"/>
        <w:rPr>
          <w:b/>
          <w:lang w:val="en-GB"/>
        </w:rPr>
      </w:pPr>
      <w:r w:rsidRPr="00AE5A6A">
        <w:rPr>
          <w:b/>
          <w:lang w:val="en-GB"/>
        </w:rPr>
        <w:t>Search for excellent strategic fit:</w:t>
      </w:r>
    </w:p>
    <w:p w14:paraId="79AB79F0" w14:textId="77777777" w:rsidR="003A4C3F" w:rsidRPr="00AE5A6A" w:rsidRDefault="00AE5A6A" w:rsidP="007B68F1">
      <w:pPr>
        <w:pStyle w:val="NormalWeb"/>
        <w:spacing w:before="0" w:beforeAutospacing="0" w:after="0" w:afterAutospacing="0" w:line="360" w:lineRule="auto"/>
        <w:jc w:val="both"/>
        <w:rPr>
          <w:lang w:val="en-GB"/>
        </w:rPr>
      </w:pPr>
      <w:r w:rsidRPr="00AE5A6A">
        <w:rPr>
          <w:rStyle w:val="relative"/>
          <w:lang w:val="en-GB"/>
        </w:rPr>
        <w:t>Jordon’s</w:t>
      </w:r>
      <w:r w:rsidR="003A4C3F" w:rsidRPr="00AE5A6A">
        <w:rPr>
          <w:rStyle w:val="relative"/>
          <w:lang w:val="en-GB"/>
        </w:rPr>
        <w:t xml:space="preserve"> Plc requires approximately </w:t>
      </w:r>
      <w:r w:rsidR="003A4C3F" w:rsidRPr="00AE5A6A">
        <w:rPr>
          <w:rStyle w:val="Strong"/>
          <w:b w:val="0"/>
          <w:lang w:val="en-GB"/>
        </w:rPr>
        <w:t>£1.6 million</w:t>
      </w:r>
      <w:r w:rsidR="003A4C3F" w:rsidRPr="00AE5A6A">
        <w:rPr>
          <w:rStyle w:val="relative"/>
          <w:lang w:val="en-GB"/>
        </w:rPr>
        <w:t xml:space="preserve"> to execute Option C, and it must carefully evaluate the mix of </w:t>
      </w:r>
      <w:r w:rsidR="003A4C3F" w:rsidRPr="00AE5A6A">
        <w:rPr>
          <w:rStyle w:val="Strong"/>
          <w:b w:val="0"/>
          <w:lang w:val="en-GB"/>
        </w:rPr>
        <w:t>equity, debt, and retained earnings</w:t>
      </w:r>
      <w:r w:rsidR="003A4C3F" w:rsidRPr="00AE5A6A">
        <w:rPr>
          <w:rStyle w:val="relative"/>
          <w:lang w:val="en-GB"/>
        </w:rPr>
        <w:t xml:space="preserve"> financing—each offering different trade-offs. </w:t>
      </w:r>
      <w:r w:rsidR="003A4C3F" w:rsidRPr="00AE5A6A">
        <w:rPr>
          <w:rStyle w:val="Strong"/>
          <w:b w:val="0"/>
          <w:lang w:val="en-GB"/>
        </w:rPr>
        <w:t>Equity financing</w:t>
      </w:r>
      <w:r w:rsidR="003A4C3F" w:rsidRPr="00AE5A6A">
        <w:rPr>
          <w:rStyle w:val="relative"/>
          <w:b/>
          <w:lang w:val="en-GB"/>
        </w:rPr>
        <w:t>,</w:t>
      </w:r>
      <w:r w:rsidR="003A4C3F" w:rsidRPr="00AE5A6A">
        <w:rPr>
          <w:rStyle w:val="relative"/>
          <w:lang w:val="en-GB"/>
        </w:rPr>
        <w:t xml:space="preserve"> achieved by issuing new shares, injects capital without creating debt or fixed payment obligations, preserves operational cash flow, and can signal market confidence; however, it dilutes existing ownership, can reduce control, and incurs significant underwriting and regulatory </w:t>
      </w:r>
      <w:r w:rsidR="003A4C3F" w:rsidRPr="00AE5A6A">
        <w:rPr>
          <w:rStyle w:val="relative"/>
          <w:lang w:val="en-GB"/>
        </w:rPr>
        <w:lastRenderedPageBreak/>
        <w:t>expenses</w:t>
      </w:r>
      <w:r w:rsidR="003A4C3F" w:rsidRPr="00AE5A6A">
        <w:rPr>
          <w:lang w:val="en-GB"/>
        </w:rPr>
        <w:t xml:space="preserve">. </w:t>
      </w:r>
      <w:r w:rsidR="003A4C3F" w:rsidRPr="00AE5A6A">
        <w:rPr>
          <w:rStyle w:val="Strong"/>
          <w:b w:val="0"/>
          <w:lang w:val="en-GB"/>
        </w:rPr>
        <w:t>Debt financing</w:t>
      </w:r>
      <w:r w:rsidR="003A4C3F" w:rsidRPr="00AE5A6A">
        <w:rPr>
          <w:rStyle w:val="relative"/>
          <w:lang w:val="en-GB"/>
        </w:rPr>
        <w:t xml:space="preserve">, via bank loans or corporate bonds, avoids dilution and benefits from tax-deductible interest, which lowers financing costs; </w:t>
      </w:r>
      <w:r w:rsidRPr="00AE5A6A">
        <w:rPr>
          <w:rStyle w:val="relative"/>
          <w:lang w:val="en-GB"/>
        </w:rPr>
        <w:t>yet</w:t>
      </w:r>
      <w:r w:rsidR="003A4C3F" w:rsidRPr="00AE5A6A">
        <w:rPr>
          <w:rStyle w:val="relative"/>
          <w:lang w:val="en-GB"/>
        </w:rPr>
        <w:t xml:space="preserve"> it imposes mandatory repayments regardless of project performance, may restrict flexibility through covenants, and adds financial risk—potentially deterring stakeholders concerned about high leverage</w:t>
      </w:r>
      <w:r w:rsidR="003A4C3F" w:rsidRPr="00AE5A6A">
        <w:rPr>
          <w:lang w:val="en-GB"/>
        </w:rPr>
        <w:t xml:space="preserve">. </w:t>
      </w:r>
      <w:r w:rsidR="003A4C3F" w:rsidRPr="00AE5A6A">
        <w:rPr>
          <w:rStyle w:val="Strong"/>
          <w:b w:val="0"/>
          <w:lang w:val="en-GB"/>
        </w:rPr>
        <w:t>Retained earnings</w:t>
      </w:r>
      <w:r w:rsidR="003A4C3F" w:rsidRPr="00AE5A6A">
        <w:rPr>
          <w:rStyle w:val="relative"/>
          <w:lang w:val="en-GB"/>
        </w:rPr>
        <w:t xml:space="preserve"> stand out as the cheapest and least burdensome source—requiring no external approval, no interest or dilution, and reinforcing financial discipline—although heavy reliance can constrain growth when profits are limited and may disappoint shareholders seeking returns</w:t>
      </w:r>
      <w:r w:rsidR="007E42A5" w:rsidRPr="00AE5A6A">
        <w:rPr>
          <w:rStyle w:val="relative"/>
          <w:lang w:val="en-GB"/>
        </w:rPr>
        <w:t xml:space="preserve"> (Brealey, Myers and Allen, 2020)</w:t>
      </w:r>
      <w:r w:rsidR="003A4C3F" w:rsidRPr="00AE5A6A">
        <w:rPr>
          <w:lang w:val="en-GB"/>
        </w:rPr>
        <w:t>.</w:t>
      </w:r>
    </w:p>
    <w:p w14:paraId="4271EBA4" w14:textId="77777777" w:rsidR="003A4C3F" w:rsidRPr="00AE5A6A" w:rsidRDefault="003A4C3F" w:rsidP="007B68F1">
      <w:pPr>
        <w:pStyle w:val="NormalWeb"/>
        <w:spacing w:before="0" w:beforeAutospacing="0" w:after="0" w:afterAutospacing="0" w:line="360" w:lineRule="auto"/>
        <w:jc w:val="both"/>
        <w:rPr>
          <w:lang w:val="en-GB"/>
        </w:rPr>
      </w:pPr>
      <w:r w:rsidRPr="00AE5A6A">
        <w:rPr>
          <w:rStyle w:val="relative"/>
          <w:lang w:val="en-GB"/>
        </w:rPr>
        <w:t xml:space="preserve">A </w:t>
      </w:r>
      <w:r w:rsidRPr="00AE5A6A">
        <w:rPr>
          <w:rStyle w:val="Strong"/>
          <w:b w:val="0"/>
          <w:lang w:val="en-GB"/>
        </w:rPr>
        <w:t>pecking-order approach</w:t>
      </w:r>
      <w:r w:rsidRPr="00AE5A6A">
        <w:rPr>
          <w:rStyle w:val="relative"/>
          <w:lang w:val="en-GB"/>
        </w:rPr>
        <w:t xml:space="preserve"> suggests using approximately </w:t>
      </w:r>
      <w:r w:rsidRPr="00AE5A6A">
        <w:rPr>
          <w:rStyle w:val="Strong"/>
          <w:b w:val="0"/>
          <w:lang w:val="en-GB"/>
        </w:rPr>
        <w:t>£800k from retained earnings</w:t>
      </w:r>
      <w:r w:rsidRPr="00AE5A6A">
        <w:rPr>
          <w:rStyle w:val="relative"/>
          <w:lang w:val="en-GB"/>
        </w:rPr>
        <w:t xml:space="preserve">, with the remaining </w:t>
      </w:r>
      <w:r w:rsidRPr="00AE5A6A">
        <w:rPr>
          <w:rStyle w:val="Strong"/>
          <w:b w:val="0"/>
          <w:lang w:val="en-GB"/>
        </w:rPr>
        <w:t>£800k financed through debt</w:t>
      </w:r>
      <w:r w:rsidRPr="00AE5A6A">
        <w:rPr>
          <w:rStyle w:val="relative"/>
          <w:lang w:val="en-GB"/>
        </w:rPr>
        <w:t xml:space="preserve"> at </w:t>
      </w:r>
      <w:r w:rsidR="00AE5A6A" w:rsidRPr="00AE5A6A">
        <w:rPr>
          <w:rStyle w:val="relative"/>
          <w:lang w:val="en-GB"/>
        </w:rPr>
        <w:t>favourable</w:t>
      </w:r>
      <w:r w:rsidRPr="00AE5A6A">
        <w:rPr>
          <w:rStyle w:val="relative"/>
          <w:lang w:val="en-GB"/>
        </w:rPr>
        <w:t xml:space="preserve"> rates—balancing cost efficiency, control preservation, and prudent credit usage</w:t>
      </w:r>
      <w:r w:rsidRPr="00AE5A6A">
        <w:rPr>
          <w:lang w:val="en-GB"/>
        </w:rPr>
        <w:t xml:space="preserve">. The Board should conduct detailed cash flow projections and consult financial advisors to optimize this blend, ensuring alignment with the company’s risk profile and strategic vision. Given the high NPV and robust IRR of Option C, along with its excellent strategic fit and market appeal, adopting this financing plan presents a pragmatic and growth-focused path forward—positioning </w:t>
      </w:r>
      <w:r w:rsidR="00AE5A6A" w:rsidRPr="00AE5A6A">
        <w:rPr>
          <w:lang w:val="en-GB"/>
        </w:rPr>
        <w:t>Jordon’s</w:t>
      </w:r>
      <w:r w:rsidRPr="00AE5A6A">
        <w:rPr>
          <w:lang w:val="en-GB"/>
        </w:rPr>
        <w:t xml:space="preserve"> Plc for sustainable expansion and enhanced shareholder value.</w:t>
      </w:r>
    </w:p>
    <w:p w14:paraId="2769CB5F" w14:textId="77777777" w:rsidR="003A4C3F" w:rsidRDefault="003A4C3F" w:rsidP="00937AD8">
      <w:pPr>
        <w:pStyle w:val="Heading1"/>
        <w:rPr>
          <w:rFonts w:cs="Times New Roman"/>
          <w:lang w:val="en-GB"/>
        </w:rPr>
      </w:pPr>
      <w:bookmarkStart w:id="18" w:name="_Toc202268846"/>
      <w:r w:rsidRPr="00AE5A6A">
        <w:rPr>
          <w:rFonts w:cs="Times New Roman"/>
          <w:lang w:val="en-GB"/>
        </w:rPr>
        <w:t>Conclusion</w:t>
      </w:r>
      <w:bookmarkEnd w:id="18"/>
    </w:p>
    <w:p w14:paraId="748B7424" w14:textId="77777777" w:rsidR="009C2E49" w:rsidRDefault="009C2E49" w:rsidP="009C2E49">
      <w:pPr>
        <w:spacing w:after="0"/>
        <w:jc w:val="both"/>
        <w:rPr>
          <w:lang w:val="en-GB"/>
        </w:rPr>
      </w:pPr>
      <w:r w:rsidRPr="009C2E49">
        <w:rPr>
          <w:lang w:val="en-GB"/>
        </w:rPr>
        <w:t>M&amp;S's financial performance presents a mixed picture. Profitability ratios weakened in FY2025, reflecting margin pressures from exceptional items such as the Ocado impairment and the cyber-attack. Liquidity remains below industry averages, with declines in quick and cash ratios suggesting increased short-term risk and reliance on inventory. However, slight improvement in the current ratio and a reduction in overall gearing reflect improved balance sheet discipline, bolstered by strong free cash flow and cost efficiencies. Despite a dip in investor ratios like P/E, valuation remains relatively strong in context, supported by confidence in the firm’s recovery trajectory. These findings highlight the importance of interpreting ratios holistically—adjusting for one-off events, sector benchmarks, and broader strategic developments.</w:t>
      </w:r>
      <w:r>
        <w:rPr>
          <w:lang w:val="en-GB"/>
        </w:rPr>
        <w:t xml:space="preserve"> </w:t>
      </w:r>
      <w:r w:rsidR="0095204D" w:rsidRPr="00AE5A6A">
        <w:rPr>
          <w:lang w:val="en-GB"/>
        </w:rPr>
        <w:t xml:space="preserve">M&amp;S combines enduring brand equity with disciplined execution and a clear strategic vision. While the cyber incident posed short-term challenges, planned investments in tech, operational resilience, and digital transformation are critical to solidify its current resurgence and build sustainable, future-ready growth. </w:t>
      </w:r>
    </w:p>
    <w:p w14:paraId="20ABB85B" w14:textId="1D8AE54D" w:rsidR="00951F94" w:rsidRPr="009C2E49" w:rsidRDefault="0095204D" w:rsidP="009C2E49">
      <w:pPr>
        <w:spacing w:after="0"/>
        <w:jc w:val="both"/>
        <w:rPr>
          <w:lang w:val="en-GB"/>
        </w:rPr>
      </w:pPr>
      <w:r w:rsidRPr="00AE5A6A">
        <w:rPr>
          <w:lang w:val="en-GB"/>
        </w:rPr>
        <w:t xml:space="preserve">Option B meets both quantitative (highest NPV and IRR) and strategic tests, while the capital-rationed mix of B + A + ¼ C maximizes value given funding limits of Jordon’s PLC. </w:t>
      </w:r>
      <w:r w:rsidR="00951F94">
        <w:t xml:space="preserve">In conclusion, the analysis clearly indicates that Option B—the online sales expansion—offers the most </w:t>
      </w:r>
      <w:r w:rsidR="00951F94">
        <w:lastRenderedPageBreak/>
        <w:t>compelling financial return under the 6% cost of capital, delivering the highest NPV (£0.92 m) and an impressive IRR (~36%), even factoring in tax and capital allowance benefits. Under the £2 m investment constraint, the optimal mix—to proceed with Option B fully, Option A in full, and one</w:t>
      </w:r>
      <w:r w:rsidR="00951F94">
        <w:noBreakHyphen/>
        <w:t>quarter of option C—yields a combined NPV of approximately £1.64 m, reflecting strong absolute value creation. While non</w:t>
      </w:r>
      <w:r w:rsidR="00951F94">
        <w:noBreakHyphen/>
        <w:t>discounting metrics like pay</w:t>
      </w:r>
      <w:r w:rsidR="00951F94">
        <w:noBreakHyphen/>
        <w:t>back remain useful for their simplicity, only NPV appropriately accounts for the time value of money and aligns with shareholder wealth maximization.</w:t>
      </w:r>
    </w:p>
    <w:p w14:paraId="76CC416A" w14:textId="77777777" w:rsidR="00951F94" w:rsidRDefault="00951F94" w:rsidP="009C2E49">
      <w:pPr>
        <w:pStyle w:val="NormalWeb"/>
        <w:spacing w:before="0" w:beforeAutospacing="0" w:after="0" w:afterAutospacing="0" w:line="360" w:lineRule="auto"/>
        <w:jc w:val="both"/>
      </w:pPr>
      <w:r>
        <w:t>Nevertheless, before moving ahead, the Board should apply essential qualitative filters, including strategic alignment, execution capability, and financing flexibility. A balanced funding approach—blending retained earnings, medium</w:t>
      </w:r>
      <w:r>
        <w:noBreakHyphen/>
        <w:t>term debt, and asset</w:t>
      </w:r>
      <w:r>
        <w:noBreakHyphen/>
        <w:t>backed leasing—will help manage risk, preserve capital structure, and support execution. With its combination of robust quantitative appeal and strategic synergy, the recommended investment blend positions Jordons’ PLC for sustainable growth, financial resilience, and enhanced long</w:t>
      </w:r>
      <w:r>
        <w:noBreakHyphen/>
        <w:t>term shareholder value.</w:t>
      </w:r>
    </w:p>
    <w:p w14:paraId="14F66EDB" w14:textId="77777777" w:rsidR="00951F94" w:rsidRPr="00951F94" w:rsidRDefault="00951F94" w:rsidP="009C2E49">
      <w:pPr>
        <w:spacing w:after="0"/>
        <w:jc w:val="both"/>
        <w:rPr>
          <w:lang w:val="en-GB"/>
        </w:rPr>
      </w:pPr>
    </w:p>
    <w:p w14:paraId="4D077809" w14:textId="77777777" w:rsidR="0009430E" w:rsidRPr="00AE5A6A" w:rsidRDefault="0009430E" w:rsidP="0009430E">
      <w:pPr>
        <w:rPr>
          <w:rFonts w:ascii="Times New Roman" w:hAnsi="Times New Roman" w:cs="Times New Roman"/>
          <w:lang w:val="en-GB"/>
        </w:rPr>
      </w:pPr>
    </w:p>
    <w:p w14:paraId="3294DF1E" w14:textId="77777777" w:rsidR="001D15D0" w:rsidRPr="00AE5A6A" w:rsidRDefault="001D15D0" w:rsidP="00914F46">
      <w:pPr>
        <w:spacing w:before="100" w:beforeAutospacing="1" w:after="100" w:afterAutospacing="1"/>
        <w:jc w:val="both"/>
        <w:rPr>
          <w:rFonts w:ascii="Times New Roman" w:eastAsia="Times New Roman" w:hAnsi="Times New Roman" w:cs="Times New Roman"/>
          <w:szCs w:val="24"/>
          <w:lang w:val="en-GB"/>
        </w:rPr>
      </w:pPr>
    </w:p>
    <w:p w14:paraId="14404051" w14:textId="77777777" w:rsidR="007D45FC" w:rsidRPr="00AE5A6A" w:rsidRDefault="007D45FC" w:rsidP="00914F46">
      <w:pPr>
        <w:spacing w:before="100" w:beforeAutospacing="1" w:after="100" w:afterAutospacing="1"/>
        <w:jc w:val="both"/>
        <w:rPr>
          <w:rFonts w:ascii="Times New Roman" w:eastAsia="Times New Roman" w:hAnsi="Times New Roman" w:cs="Times New Roman"/>
          <w:szCs w:val="24"/>
          <w:lang w:val="en-GB"/>
        </w:rPr>
      </w:pPr>
    </w:p>
    <w:p w14:paraId="7FF022A9" w14:textId="77777777" w:rsidR="007D45FC" w:rsidRPr="00AE5A6A" w:rsidRDefault="007D45FC" w:rsidP="00914F46">
      <w:pPr>
        <w:spacing w:before="100" w:beforeAutospacing="1" w:after="100" w:afterAutospacing="1"/>
        <w:jc w:val="both"/>
        <w:rPr>
          <w:rFonts w:ascii="Times New Roman" w:eastAsia="Times New Roman" w:hAnsi="Times New Roman" w:cs="Times New Roman"/>
          <w:szCs w:val="24"/>
          <w:lang w:val="en-GB"/>
        </w:rPr>
      </w:pPr>
    </w:p>
    <w:p w14:paraId="3A6EB949" w14:textId="77777777" w:rsidR="007D45FC" w:rsidRPr="00AE5A6A" w:rsidRDefault="007D45FC" w:rsidP="00914F46">
      <w:pPr>
        <w:spacing w:before="100" w:beforeAutospacing="1" w:after="100" w:afterAutospacing="1"/>
        <w:jc w:val="both"/>
        <w:rPr>
          <w:rFonts w:ascii="Times New Roman" w:eastAsia="Times New Roman" w:hAnsi="Times New Roman" w:cs="Times New Roman"/>
          <w:szCs w:val="24"/>
          <w:lang w:val="en-GB"/>
        </w:rPr>
      </w:pPr>
    </w:p>
    <w:p w14:paraId="44C70427" w14:textId="77777777" w:rsidR="007D45FC" w:rsidRPr="00AE5A6A" w:rsidRDefault="007D45FC" w:rsidP="00914F46">
      <w:pPr>
        <w:spacing w:before="100" w:beforeAutospacing="1" w:after="100" w:afterAutospacing="1"/>
        <w:jc w:val="both"/>
        <w:rPr>
          <w:rFonts w:ascii="Times New Roman" w:eastAsia="Times New Roman" w:hAnsi="Times New Roman" w:cs="Times New Roman"/>
          <w:szCs w:val="24"/>
          <w:lang w:val="en-GB"/>
        </w:rPr>
      </w:pPr>
    </w:p>
    <w:p w14:paraId="21F735D2" w14:textId="77777777" w:rsidR="007D45FC" w:rsidRPr="00AE5A6A" w:rsidRDefault="007D45FC" w:rsidP="00914F46">
      <w:pPr>
        <w:spacing w:before="100" w:beforeAutospacing="1" w:after="100" w:afterAutospacing="1"/>
        <w:jc w:val="both"/>
        <w:rPr>
          <w:rFonts w:ascii="Times New Roman" w:eastAsia="Times New Roman" w:hAnsi="Times New Roman" w:cs="Times New Roman"/>
          <w:szCs w:val="24"/>
          <w:lang w:val="en-GB"/>
        </w:rPr>
      </w:pPr>
    </w:p>
    <w:p w14:paraId="23D8711D" w14:textId="77777777" w:rsidR="007D45FC" w:rsidRPr="00AE5A6A" w:rsidRDefault="007D45FC" w:rsidP="00914F46">
      <w:pPr>
        <w:spacing w:before="100" w:beforeAutospacing="1" w:after="100" w:afterAutospacing="1"/>
        <w:jc w:val="both"/>
        <w:rPr>
          <w:rFonts w:ascii="Times New Roman" w:eastAsia="Times New Roman" w:hAnsi="Times New Roman" w:cs="Times New Roman"/>
          <w:szCs w:val="24"/>
          <w:lang w:val="en-GB"/>
        </w:rPr>
      </w:pPr>
    </w:p>
    <w:p w14:paraId="2B8D9C02" w14:textId="77777777" w:rsidR="009C2E49" w:rsidRDefault="009C2E49">
      <w:pPr>
        <w:spacing w:line="276" w:lineRule="auto"/>
        <w:rPr>
          <w:rFonts w:ascii="Times New Roman" w:eastAsiaTheme="majorEastAsia" w:hAnsi="Times New Roman" w:cs="Times New Roman"/>
          <w:b/>
          <w:sz w:val="28"/>
          <w:szCs w:val="32"/>
          <w:lang w:val="en-GB"/>
        </w:rPr>
      </w:pPr>
      <w:bookmarkStart w:id="19" w:name="_Toc202268847"/>
      <w:r>
        <w:rPr>
          <w:rFonts w:cs="Times New Roman"/>
          <w:lang w:val="en-GB"/>
        </w:rPr>
        <w:br w:type="page"/>
      </w:r>
    </w:p>
    <w:p w14:paraId="41782560" w14:textId="24F3799F" w:rsidR="0009430E" w:rsidRPr="00AE5A6A" w:rsidRDefault="0009430E" w:rsidP="00937AD8">
      <w:pPr>
        <w:pStyle w:val="Heading1"/>
        <w:rPr>
          <w:rFonts w:cs="Times New Roman"/>
          <w:lang w:val="en-GB"/>
        </w:rPr>
      </w:pPr>
      <w:r w:rsidRPr="00AE5A6A">
        <w:rPr>
          <w:rFonts w:cs="Times New Roman"/>
          <w:lang w:val="en-GB"/>
        </w:rPr>
        <w:lastRenderedPageBreak/>
        <w:t>Reference</w:t>
      </w:r>
      <w:bookmarkEnd w:id="19"/>
      <w:r w:rsidR="000435C5">
        <w:rPr>
          <w:rFonts w:cs="Times New Roman"/>
          <w:lang w:val="en-GB"/>
        </w:rPr>
        <w:t>s:</w:t>
      </w:r>
    </w:p>
    <w:p w14:paraId="393EA46C"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BBC (2024). </w:t>
      </w:r>
      <w:r w:rsidRPr="00AE5A6A">
        <w:rPr>
          <w:i/>
          <w:iCs/>
          <w:lang w:val="en-GB"/>
        </w:rPr>
        <w:t>Internal and External Sources of Finance - Sources of Finance - Eduqas - GCSE Business Revision - Eduqas</w:t>
      </w:r>
      <w:r w:rsidRPr="00AE5A6A">
        <w:rPr>
          <w:lang w:val="en-GB"/>
        </w:rPr>
        <w:t>. [online] BBC Bitesize. Available at: https://www.bbc.co.uk/bitesize/guides/zj7yy9q/revision/1.</w:t>
      </w:r>
    </w:p>
    <w:p w14:paraId="3336A731" w14:textId="77777777" w:rsidR="0009430E" w:rsidRPr="00AE5A6A" w:rsidRDefault="007B68F1" w:rsidP="007B68F1">
      <w:pPr>
        <w:pStyle w:val="NormalWeb"/>
        <w:spacing w:before="0" w:beforeAutospacing="0" w:after="0" w:afterAutospacing="0" w:line="360" w:lineRule="auto"/>
        <w:jc w:val="both"/>
        <w:rPr>
          <w:lang w:val="en-GB"/>
        </w:rPr>
      </w:pPr>
      <w:r w:rsidRPr="00AE5A6A">
        <w:rPr>
          <w:lang w:val="en-GB"/>
        </w:rPr>
        <w:t>Brandon,</w:t>
      </w:r>
      <w:r w:rsidR="0009430E" w:rsidRPr="00AE5A6A">
        <w:rPr>
          <w:lang w:val="en-GB"/>
        </w:rPr>
        <w:t xml:space="preserve"> J. (2024). </w:t>
      </w:r>
      <w:r w:rsidR="0009430E" w:rsidRPr="00AE5A6A">
        <w:rPr>
          <w:i/>
          <w:iCs/>
          <w:lang w:val="en-GB"/>
        </w:rPr>
        <w:t>Marks &amp; Spencer Group PLC Company Financials and Reports | MKS | GB0031274896 | Fidelity</w:t>
      </w:r>
      <w:r w:rsidR="0009430E" w:rsidRPr="00AE5A6A">
        <w:rPr>
          <w:lang w:val="en-GB"/>
        </w:rPr>
        <w:t>. [online] www.fidelity.co.uk. Available at: https://www.fidelity.co.uk/factsheet-data/factsheet/GB0031274896-marks--spencer-group/financials.</w:t>
      </w:r>
    </w:p>
    <w:p w14:paraId="52B8C21D"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Brealey, R.A., Myers, S.C. and Allen, F. (2020). </w:t>
      </w:r>
      <w:r w:rsidRPr="00AE5A6A">
        <w:rPr>
          <w:i/>
          <w:iCs/>
          <w:lang w:val="en-GB"/>
        </w:rPr>
        <w:t>Principles of Corporate Finance</w:t>
      </w:r>
      <w:r w:rsidRPr="00AE5A6A">
        <w:rPr>
          <w:lang w:val="en-GB"/>
        </w:rPr>
        <w:t xml:space="preserve">. 13th ed. New York: </w:t>
      </w:r>
      <w:r w:rsidR="00AE5A6A" w:rsidRPr="00AE5A6A">
        <w:rPr>
          <w:lang w:val="en-GB"/>
        </w:rPr>
        <w:t>McGraw-Hill</w:t>
      </w:r>
      <w:r w:rsidRPr="00AE5A6A">
        <w:rPr>
          <w:lang w:val="en-GB"/>
        </w:rPr>
        <w:t xml:space="preserve"> Education.</w:t>
      </w:r>
    </w:p>
    <w:p w14:paraId="14FBBF09"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CFI (2022). </w:t>
      </w:r>
      <w:r w:rsidRPr="00AE5A6A">
        <w:rPr>
          <w:i/>
          <w:iCs/>
          <w:lang w:val="en-GB"/>
        </w:rPr>
        <w:t>Limitations of Ratio Analysis</w:t>
      </w:r>
      <w:r w:rsidRPr="00AE5A6A">
        <w:rPr>
          <w:lang w:val="en-GB"/>
        </w:rPr>
        <w:t>. [online] Corporate Finance Institute. Available at: https://corporatefinanceinstitute.com/resources/accounting/limitations-ratio-analysis/.</w:t>
      </w:r>
    </w:p>
    <w:p w14:paraId="18DC7059"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Chen, J. (2019). </w:t>
      </w:r>
      <w:r w:rsidRPr="00AE5A6A">
        <w:rPr>
          <w:i/>
          <w:iCs/>
          <w:lang w:val="en-GB"/>
        </w:rPr>
        <w:t>Understanding Hybrid Security</w:t>
      </w:r>
      <w:r w:rsidRPr="00AE5A6A">
        <w:rPr>
          <w:lang w:val="en-GB"/>
        </w:rPr>
        <w:t>. [online] Investopedia. Available at: https://www.investopedia.com/terms/h/hybridsecurity.asp.</w:t>
      </w:r>
    </w:p>
    <w:p w14:paraId="5BCEC306"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Chopra, S. and Meindl, P. (2016). </w:t>
      </w:r>
      <w:r w:rsidRPr="00AE5A6A">
        <w:rPr>
          <w:i/>
          <w:iCs/>
          <w:lang w:val="en-GB"/>
        </w:rPr>
        <w:t xml:space="preserve">Supply Chain </w:t>
      </w:r>
      <w:r w:rsidR="007B68F1" w:rsidRPr="00AE5A6A">
        <w:rPr>
          <w:i/>
          <w:iCs/>
          <w:lang w:val="en-GB"/>
        </w:rPr>
        <w:t>Management:</w:t>
      </w:r>
      <w:r w:rsidRPr="00AE5A6A">
        <w:rPr>
          <w:i/>
          <w:iCs/>
          <w:lang w:val="en-GB"/>
        </w:rPr>
        <w:t xml:space="preserve"> Strategy, Planning, and Operation</w:t>
      </w:r>
      <w:r w:rsidRPr="00AE5A6A">
        <w:rPr>
          <w:lang w:val="en-GB"/>
        </w:rPr>
        <w:t>. 6th ed. Boston: Pearson.</w:t>
      </w:r>
    </w:p>
    <w:p w14:paraId="261C9BF7"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Coombs, H., Hobbs, D. and Jenkins, E. (2015). </w:t>
      </w:r>
      <w:r w:rsidRPr="00AE5A6A">
        <w:rPr>
          <w:i/>
          <w:iCs/>
          <w:lang w:val="en-GB"/>
        </w:rPr>
        <w:t>Management Accounting: Principles and Applications</w:t>
      </w:r>
      <w:r w:rsidRPr="00AE5A6A">
        <w:rPr>
          <w:lang w:val="en-GB"/>
        </w:rPr>
        <w:t>. 1 Oliver’s Yard, 55 City Road, London, Ec1y 1Sp, United Kingdom Sage Publications Ltd.</w:t>
      </w:r>
    </w:p>
    <w:p w14:paraId="329823F4"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Damodaran, A. (2015). </w:t>
      </w:r>
      <w:r w:rsidRPr="00AE5A6A">
        <w:rPr>
          <w:i/>
          <w:iCs/>
          <w:lang w:val="en-GB"/>
        </w:rPr>
        <w:t>Applied Corporate Finance</w:t>
      </w:r>
      <w:r w:rsidRPr="00AE5A6A">
        <w:rPr>
          <w:lang w:val="en-GB"/>
        </w:rPr>
        <w:t>. 4th ed. Hoboken: Wiley.</w:t>
      </w:r>
    </w:p>
    <w:p w14:paraId="11A81D96"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Drury, C. (2018). </w:t>
      </w:r>
      <w:r w:rsidRPr="00AE5A6A">
        <w:rPr>
          <w:i/>
          <w:iCs/>
          <w:lang w:val="en-GB"/>
        </w:rPr>
        <w:t>Management and Cost Accounting</w:t>
      </w:r>
      <w:r w:rsidRPr="00AE5A6A">
        <w:rPr>
          <w:lang w:val="en-GB"/>
        </w:rPr>
        <w:t>. 10th ed. Andover, Hampshire Cengage.</w:t>
      </w:r>
    </w:p>
    <w:p w14:paraId="7983C414"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Ehrhardt, M.C. and Brigham, E.F. (2017). </w:t>
      </w:r>
      <w:r w:rsidRPr="00AE5A6A">
        <w:rPr>
          <w:i/>
          <w:iCs/>
          <w:lang w:val="en-GB"/>
        </w:rPr>
        <w:t>Financial Management: Theory &amp; Practice</w:t>
      </w:r>
      <w:r w:rsidRPr="00AE5A6A">
        <w:rPr>
          <w:lang w:val="en-GB"/>
        </w:rPr>
        <w:t>. 15th ed. Boston, MA: Cengage.</w:t>
      </w:r>
    </w:p>
    <w:p w14:paraId="4F062322"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Ehrhardt, M.C. and Brigham, E.F. (2019). </w:t>
      </w:r>
      <w:r w:rsidRPr="00AE5A6A">
        <w:rPr>
          <w:i/>
          <w:iCs/>
          <w:lang w:val="en-GB"/>
        </w:rPr>
        <w:t>Financial Management: Theory &amp; Practice</w:t>
      </w:r>
      <w:r w:rsidRPr="00AE5A6A">
        <w:rPr>
          <w:lang w:val="en-GB"/>
        </w:rPr>
        <w:t>. 16th ed. Boston, MA: Cengage.</w:t>
      </w:r>
    </w:p>
    <w:p w14:paraId="397EB089"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Fradin, D.B. and Judith Bloom Fradin (2021). </w:t>
      </w:r>
      <w:r w:rsidRPr="00AE5A6A">
        <w:rPr>
          <w:i/>
          <w:iCs/>
          <w:lang w:val="en-GB"/>
        </w:rPr>
        <w:t>Investing</w:t>
      </w:r>
      <w:r w:rsidRPr="00AE5A6A">
        <w:rPr>
          <w:lang w:val="en-GB"/>
        </w:rPr>
        <w:t>. Tarrytown, Ny: Marshall Cavendish Benchmark.</w:t>
      </w:r>
    </w:p>
    <w:p w14:paraId="4C4741CC"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Fridson, M.S. and Alvarez, F. (2022). </w:t>
      </w:r>
      <w:r w:rsidRPr="00AE5A6A">
        <w:rPr>
          <w:i/>
          <w:iCs/>
          <w:lang w:val="en-GB"/>
        </w:rPr>
        <w:t xml:space="preserve">Financial Statement </w:t>
      </w:r>
      <w:r w:rsidR="007B68F1" w:rsidRPr="00AE5A6A">
        <w:rPr>
          <w:i/>
          <w:iCs/>
          <w:lang w:val="en-GB"/>
        </w:rPr>
        <w:t>Analysis:</w:t>
      </w:r>
      <w:r w:rsidRPr="00AE5A6A">
        <w:rPr>
          <w:i/>
          <w:iCs/>
          <w:lang w:val="en-GB"/>
        </w:rPr>
        <w:t xml:space="preserve"> a practitioner’s Guide</w:t>
      </w:r>
      <w:r w:rsidRPr="00AE5A6A">
        <w:rPr>
          <w:lang w:val="en-GB"/>
        </w:rPr>
        <w:t>. New York: John Wiley &amp; Sons.</w:t>
      </w:r>
    </w:p>
    <w:p w14:paraId="64B41AA1" w14:textId="77777777" w:rsidR="0009430E" w:rsidRPr="00AE5A6A" w:rsidRDefault="00A0601B" w:rsidP="007B68F1">
      <w:pPr>
        <w:pStyle w:val="NormalWeb"/>
        <w:spacing w:before="0" w:beforeAutospacing="0" w:after="0" w:afterAutospacing="0" w:line="360" w:lineRule="auto"/>
        <w:jc w:val="both"/>
        <w:rPr>
          <w:lang w:val="en-GB"/>
        </w:rPr>
      </w:pPr>
      <w:r w:rsidRPr="00AE5A6A">
        <w:rPr>
          <w:lang w:val="en-GB"/>
        </w:rPr>
        <w:t>Gold,</w:t>
      </w:r>
      <w:r w:rsidR="0009430E" w:rsidRPr="00AE5A6A">
        <w:rPr>
          <w:lang w:val="en-GB"/>
        </w:rPr>
        <w:t xml:space="preserve"> W. (2024). </w:t>
      </w:r>
      <w:r w:rsidR="0009430E" w:rsidRPr="00AE5A6A">
        <w:rPr>
          <w:i/>
          <w:iCs/>
          <w:lang w:val="en-GB"/>
        </w:rPr>
        <w:t>Advantages of Debt Financing</w:t>
      </w:r>
      <w:r w:rsidR="0009430E" w:rsidRPr="00AE5A6A">
        <w:rPr>
          <w:lang w:val="en-GB"/>
        </w:rPr>
        <w:t>. [online] Liquiditygroup.com. Available at: https://www.liquiditygroup.com/resource-funding/advantages-of-debt-financing2.</w:t>
      </w:r>
    </w:p>
    <w:p w14:paraId="6C6E856D"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lastRenderedPageBreak/>
        <w:t xml:space="preserve">Gorimbo, J. (2025). </w:t>
      </w:r>
      <w:r w:rsidRPr="00AE5A6A">
        <w:rPr>
          <w:i/>
          <w:iCs/>
          <w:lang w:val="en-GB"/>
        </w:rPr>
        <w:t>International Journal of Petroleum Technology</w:t>
      </w:r>
      <w:r w:rsidRPr="00AE5A6A">
        <w:rPr>
          <w:lang w:val="en-GB"/>
        </w:rPr>
        <w:t>. [online] Avantipublishers.com. Available at: https://www.avantipublishers.com/index.php/ijpt [Accessed 23 Jun. 2025].</w:t>
      </w:r>
    </w:p>
    <w:p w14:paraId="670198DC"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Graham, J.R. and Harvey, C.R. (2021). The Theory and Practice of Corporate finance: Evidence from the Field. </w:t>
      </w:r>
      <w:r w:rsidRPr="00AE5A6A">
        <w:rPr>
          <w:i/>
          <w:iCs/>
          <w:lang w:val="en-GB"/>
        </w:rPr>
        <w:t>Journal of Financial Economics</w:t>
      </w:r>
      <w:r w:rsidRPr="00AE5A6A">
        <w:rPr>
          <w:lang w:val="en-GB"/>
        </w:rPr>
        <w:t xml:space="preserve">, [online] 60(2-3), pp.187–243. </w:t>
      </w:r>
    </w:p>
    <w:p w14:paraId="43523046"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Graham, J.R. and Harvey, C.R. (2022). How Do CFOs Make Capital Budgeting and Capital Structure Decisions? </w:t>
      </w:r>
      <w:r w:rsidRPr="00AE5A6A">
        <w:rPr>
          <w:i/>
          <w:iCs/>
          <w:lang w:val="en-GB"/>
        </w:rPr>
        <w:t>SSRN Electronic Journal</w:t>
      </w:r>
      <w:r w:rsidRPr="00AE5A6A">
        <w:rPr>
          <w:lang w:val="en-GB"/>
        </w:rPr>
        <w:t xml:space="preserve">, 15(1). </w:t>
      </w:r>
    </w:p>
    <w:p w14:paraId="4312CD0A"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Grant, R.M. (2021). </w:t>
      </w:r>
      <w:r w:rsidRPr="00AE5A6A">
        <w:rPr>
          <w:i/>
          <w:iCs/>
          <w:lang w:val="en-GB"/>
        </w:rPr>
        <w:t>Contemporary Strategy Analysis</w:t>
      </w:r>
      <w:r w:rsidRPr="00AE5A6A">
        <w:rPr>
          <w:lang w:val="en-GB"/>
        </w:rPr>
        <w:t xml:space="preserve">. Hoboken, N.J.: </w:t>
      </w:r>
      <w:r w:rsidR="007B68F1" w:rsidRPr="00AE5A6A">
        <w:rPr>
          <w:lang w:val="en-GB"/>
        </w:rPr>
        <w:t>Wiley;</w:t>
      </w:r>
      <w:r w:rsidRPr="00AE5A6A">
        <w:rPr>
          <w:lang w:val="en-GB"/>
        </w:rPr>
        <w:t xml:space="preserve"> Chichester.</w:t>
      </w:r>
    </w:p>
    <w:p w14:paraId="4350C9C8"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Hayes, A. (2022). </w:t>
      </w:r>
      <w:r w:rsidRPr="00AE5A6A">
        <w:rPr>
          <w:i/>
          <w:iCs/>
          <w:lang w:val="en-GB"/>
        </w:rPr>
        <w:t>Introduction to Capital Rationing</w:t>
      </w:r>
      <w:r w:rsidRPr="00AE5A6A">
        <w:rPr>
          <w:lang w:val="en-GB"/>
        </w:rPr>
        <w:t>. [online] Investopedia. Available at: https://www.investopedia.com/terms/c/capitalrationing.asp.</w:t>
      </w:r>
    </w:p>
    <w:p w14:paraId="0D59CCA2"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Isaac, D. and </w:t>
      </w:r>
      <w:proofErr w:type="spellStart"/>
      <w:r w:rsidRPr="00AE5A6A">
        <w:rPr>
          <w:lang w:val="en-GB"/>
        </w:rPr>
        <w:t>Steley</w:t>
      </w:r>
      <w:proofErr w:type="spellEnd"/>
      <w:r w:rsidRPr="00AE5A6A">
        <w:rPr>
          <w:lang w:val="en-GB"/>
        </w:rPr>
        <w:t xml:space="preserve">, T. (2021). Traditional Method of Investment Valuation. </w:t>
      </w:r>
      <w:r w:rsidRPr="00AE5A6A">
        <w:rPr>
          <w:i/>
          <w:iCs/>
          <w:lang w:val="en-GB"/>
        </w:rPr>
        <w:t>Property Valuation Techniques</w:t>
      </w:r>
      <w:r w:rsidRPr="00AE5A6A">
        <w:rPr>
          <w:lang w:val="en-GB"/>
        </w:rPr>
        <w:t xml:space="preserve">, pp.16–23. </w:t>
      </w:r>
    </w:p>
    <w:p w14:paraId="490C2790"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Kaplan, R.S. and Atkinson, A.A. (1998). </w:t>
      </w:r>
      <w:r w:rsidRPr="00AE5A6A">
        <w:rPr>
          <w:i/>
          <w:iCs/>
          <w:lang w:val="en-GB"/>
        </w:rPr>
        <w:t>Advanced management accounting</w:t>
      </w:r>
      <w:r w:rsidRPr="00AE5A6A">
        <w:rPr>
          <w:lang w:val="en-GB"/>
        </w:rPr>
        <w:t>. Upper Saddle River, N.J.: Prentice Hall.</w:t>
      </w:r>
    </w:p>
    <w:p w14:paraId="72568871"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Kengatharan, L. (2016). </w:t>
      </w:r>
      <w:r w:rsidRPr="00AE5A6A">
        <w:rPr>
          <w:i/>
          <w:iCs/>
          <w:lang w:val="en-GB"/>
        </w:rPr>
        <w:t xml:space="preserve">(PDF) Capital Budgeting Theory and Practice: </w:t>
      </w:r>
      <w:proofErr w:type="gramStart"/>
      <w:r w:rsidRPr="00AE5A6A">
        <w:rPr>
          <w:i/>
          <w:iCs/>
          <w:lang w:val="en-GB"/>
        </w:rPr>
        <w:t>a</w:t>
      </w:r>
      <w:proofErr w:type="gramEnd"/>
      <w:r w:rsidRPr="00AE5A6A">
        <w:rPr>
          <w:i/>
          <w:iCs/>
          <w:lang w:val="en-GB"/>
        </w:rPr>
        <w:t xml:space="preserve"> Review and Agenda for Future Research</w:t>
      </w:r>
      <w:r w:rsidRPr="00AE5A6A">
        <w:rPr>
          <w:lang w:val="en-GB"/>
        </w:rPr>
        <w:t>. [online] ResearchGate. Available at: https://www.researchgate.net/publication/293026616_Capital_Budgeting_Theory_and_Practice_A_Review_and_Agenda_for_Future_Research.</w:t>
      </w:r>
    </w:p>
    <w:p w14:paraId="7CBD3BAD"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Kenny, G. (2024). </w:t>
      </w:r>
      <w:r w:rsidRPr="00AE5A6A">
        <w:rPr>
          <w:i/>
          <w:iCs/>
          <w:lang w:val="en-GB"/>
        </w:rPr>
        <w:t>4 Rules for Diversifying Your Business</w:t>
      </w:r>
      <w:r w:rsidRPr="00AE5A6A">
        <w:rPr>
          <w:lang w:val="en-GB"/>
        </w:rPr>
        <w:t>. [online] Harvard Business Review. Available at: https://hbr.org/2024/03/4-rules-for-diversifying-your-business.</w:t>
      </w:r>
    </w:p>
    <w:p w14:paraId="02A759F5"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Kieso, D.E. and Weygandt, J.J. (2022). </w:t>
      </w:r>
      <w:r w:rsidRPr="00AE5A6A">
        <w:rPr>
          <w:i/>
          <w:iCs/>
          <w:lang w:val="en-GB"/>
        </w:rPr>
        <w:t>Intermediate accounting</w:t>
      </w:r>
      <w:r w:rsidRPr="00AE5A6A">
        <w:rPr>
          <w:lang w:val="en-GB"/>
        </w:rPr>
        <w:t>. Hoboken, Nj Wiley.</w:t>
      </w:r>
    </w:p>
    <w:p w14:paraId="6932B417" w14:textId="745ADBD2"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M&amp;S (2025). </w:t>
      </w:r>
      <w:r w:rsidRPr="00AE5A6A">
        <w:rPr>
          <w:i/>
          <w:iCs/>
          <w:lang w:val="en-GB"/>
        </w:rPr>
        <w:t>2025 Annual Report</w:t>
      </w:r>
      <w:r w:rsidRPr="00AE5A6A">
        <w:rPr>
          <w:lang w:val="en-GB"/>
        </w:rPr>
        <w:t xml:space="preserve">. [online] Marks &amp; Spencer. Available at: </w:t>
      </w:r>
      <w:r w:rsidR="009C2E49" w:rsidRPr="00D462C1">
        <w:rPr>
          <w:lang w:val="en-GB"/>
        </w:rPr>
        <w:t>https://corporate.marksandspencer.com/investors/our-performance-updates/2025-annual-report</w:t>
      </w:r>
      <w:r w:rsidR="009C2E49" w:rsidRPr="00AE5A6A">
        <w:rPr>
          <w:lang w:val="en-GB"/>
        </w:rPr>
        <w:t xml:space="preserve"> [</w:t>
      </w:r>
      <w:r w:rsidR="000435C5" w:rsidRPr="00AE5A6A">
        <w:rPr>
          <w:lang w:val="en-GB"/>
        </w:rPr>
        <w:t xml:space="preserve">Accessed </w:t>
      </w:r>
      <w:r w:rsidR="000435C5">
        <w:rPr>
          <w:lang w:val="en-GB"/>
        </w:rPr>
        <w:t>19</w:t>
      </w:r>
      <w:r w:rsidR="000435C5" w:rsidRPr="00AE5A6A">
        <w:rPr>
          <w:lang w:val="en-GB"/>
        </w:rPr>
        <w:t xml:space="preserve"> Jun. 2025].</w:t>
      </w:r>
    </w:p>
    <w:p w14:paraId="5933B704"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Magni, C.A. (2021). Average Internal Rate of Return and Investment Decisions: A New Perspective. </w:t>
      </w:r>
      <w:r w:rsidRPr="00AE5A6A">
        <w:rPr>
          <w:i/>
          <w:iCs/>
          <w:lang w:val="en-GB"/>
        </w:rPr>
        <w:t>The Engineering Economist</w:t>
      </w:r>
      <w:r w:rsidRPr="00AE5A6A">
        <w:rPr>
          <w:lang w:val="en-GB"/>
        </w:rPr>
        <w:t xml:space="preserve">, 55(2), pp.150–180. </w:t>
      </w:r>
    </w:p>
    <w:p w14:paraId="3000EB12"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Marx, J., Johan, Mpofu, R.T. and Ronald Henry Mynhardt (2017). </w:t>
      </w:r>
      <w:r w:rsidRPr="00AE5A6A">
        <w:rPr>
          <w:i/>
          <w:iCs/>
          <w:lang w:val="en-GB"/>
        </w:rPr>
        <w:t>Investment management</w:t>
      </w:r>
      <w:r w:rsidRPr="00AE5A6A">
        <w:rPr>
          <w:lang w:val="en-GB"/>
        </w:rPr>
        <w:t>. Pretoria: Van Schaik.</w:t>
      </w:r>
    </w:p>
    <w:p w14:paraId="2E46EA7B"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Mclaney, E.J. and Atrill, P. (2020). </w:t>
      </w:r>
      <w:r w:rsidRPr="00AE5A6A">
        <w:rPr>
          <w:i/>
          <w:iCs/>
          <w:lang w:val="en-GB"/>
        </w:rPr>
        <w:t xml:space="preserve">Accounting and </w:t>
      </w:r>
      <w:r w:rsidR="007B68F1" w:rsidRPr="00AE5A6A">
        <w:rPr>
          <w:i/>
          <w:iCs/>
          <w:lang w:val="en-GB"/>
        </w:rPr>
        <w:t>Finance:</w:t>
      </w:r>
      <w:r w:rsidRPr="00AE5A6A">
        <w:rPr>
          <w:i/>
          <w:iCs/>
          <w:lang w:val="en-GB"/>
        </w:rPr>
        <w:t xml:space="preserve"> An Introduction</w:t>
      </w:r>
      <w:r w:rsidRPr="00AE5A6A">
        <w:rPr>
          <w:lang w:val="en-GB"/>
        </w:rPr>
        <w:t>. Upper Saddle River: Pearson.</w:t>
      </w:r>
    </w:p>
    <w:p w14:paraId="719E3B76"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lastRenderedPageBreak/>
        <w:t xml:space="preserve">Open Access, Sunday, A., Abanis Turyahebwa and Eliab Mpora Byamukama (2023). </w:t>
      </w:r>
      <w:r w:rsidRPr="00AE5A6A">
        <w:rPr>
          <w:i/>
          <w:iCs/>
          <w:lang w:val="en-GB"/>
        </w:rPr>
        <w:t>Working Capital Management Practices and Performance of Small and Medium Enterprises</w:t>
      </w:r>
      <w:r w:rsidRPr="00AE5A6A">
        <w:rPr>
          <w:lang w:val="en-GB"/>
        </w:rPr>
        <w:t xml:space="preserve">. [online] ResearchGate. </w:t>
      </w:r>
    </w:p>
    <w:p w14:paraId="5E5C0258"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Palepu, K.G., Healy, P.M., Bernard, V.L., Wright, S., Bradbury, M. and Lee, P. (2018a). </w:t>
      </w:r>
      <w:r w:rsidRPr="00AE5A6A">
        <w:rPr>
          <w:i/>
          <w:iCs/>
          <w:lang w:val="en-GB"/>
        </w:rPr>
        <w:t>Business analysis &amp;</w:t>
      </w:r>
      <w:r w:rsidR="007B68F1" w:rsidRPr="00AE5A6A">
        <w:rPr>
          <w:i/>
          <w:iCs/>
          <w:lang w:val="en-GB"/>
        </w:rPr>
        <w:t>valuation:</w:t>
      </w:r>
      <w:r w:rsidRPr="00AE5A6A">
        <w:rPr>
          <w:i/>
          <w:iCs/>
          <w:lang w:val="en-GB"/>
        </w:rPr>
        <w:t xml:space="preserve"> using financial statements</w:t>
      </w:r>
      <w:r w:rsidRPr="00AE5A6A">
        <w:rPr>
          <w:lang w:val="en-GB"/>
        </w:rPr>
        <w:t>. South Melbourne, Victoria: Cengage Learning Australia.</w:t>
      </w:r>
    </w:p>
    <w:p w14:paraId="0AD2DA24"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Palepu, K.G., Healy, P.M., Bernard, V.L., Wright, S., Bradbury, M. and Lee, P. (2018b). </w:t>
      </w:r>
      <w:r w:rsidRPr="00AE5A6A">
        <w:rPr>
          <w:i/>
          <w:iCs/>
          <w:lang w:val="en-GB"/>
        </w:rPr>
        <w:t>Business analysis &amp;</w:t>
      </w:r>
      <w:r w:rsidR="007B68F1" w:rsidRPr="00AE5A6A">
        <w:rPr>
          <w:i/>
          <w:iCs/>
          <w:lang w:val="en-GB"/>
        </w:rPr>
        <w:t>valuation:</w:t>
      </w:r>
      <w:r w:rsidRPr="00AE5A6A">
        <w:rPr>
          <w:i/>
          <w:iCs/>
          <w:lang w:val="en-GB"/>
        </w:rPr>
        <w:t xml:space="preserve"> using financial statements</w:t>
      </w:r>
      <w:r w:rsidRPr="00AE5A6A">
        <w:rPr>
          <w:lang w:val="en-GB"/>
        </w:rPr>
        <w:t>. South Melbourne, Victoria: Cengage Learning Australia.</w:t>
      </w:r>
    </w:p>
    <w:p w14:paraId="56074755"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Parsons, C. and Titman, S. (2009). </w:t>
      </w:r>
      <w:r w:rsidRPr="00AE5A6A">
        <w:rPr>
          <w:i/>
          <w:iCs/>
          <w:lang w:val="en-GB"/>
        </w:rPr>
        <w:t xml:space="preserve">Empirical Capital </w:t>
      </w:r>
      <w:r w:rsidR="007B68F1" w:rsidRPr="00AE5A6A">
        <w:rPr>
          <w:i/>
          <w:iCs/>
          <w:lang w:val="en-GB"/>
        </w:rPr>
        <w:t>Structure:</w:t>
      </w:r>
      <w:r w:rsidRPr="00AE5A6A">
        <w:rPr>
          <w:i/>
          <w:iCs/>
          <w:lang w:val="en-GB"/>
        </w:rPr>
        <w:t xml:space="preserve"> a Review</w:t>
      </w:r>
      <w:r w:rsidRPr="00AE5A6A">
        <w:rPr>
          <w:lang w:val="en-GB"/>
        </w:rPr>
        <w:t>. Hanover, Ma: Now.</w:t>
      </w:r>
    </w:p>
    <w:p w14:paraId="704860D1"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Peng, Y., Liu, Y., Qu, H., Dong, F. and Wang, J. (2024). </w:t>
      </w:r>
      <w:r w:rsidRPr="00AE5A6A">
        <w:rPr>
          <w:i/>
          <w:iCs/>
          <w:lang w:val="en-GB"/>
        </w:rPr>
        <w:t>Production Technology for Deep Reservoirs</w:t>
      </w:r>
      <w:r w:rsidRPr="00AE5A6A">
        <w:rPr>
          <w:lang w:val="en-GB"/>
        </w:rPr>
        <w:t>. Frontiers Media SA.</w:t>
      </w:r>
    </w:p>
    <w:p w14:paraId="23B72312"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Pennypacker, J., San </w:t>
      </w:r>
      <w:proofErr w:type="spellStart"/>
      <w:r w:rsidRPr="00AE5A6A">
        <w:rPr>
          <w:lang w:val="en-GB"/>
        </w:rPr>
        <w:t>Retna</w:t>
      </w:r>
      <w:proofErr w:type="spellEnd"/>
      <w:r w:rsidRPr="00AE5A6A">
        <w:rPr>
          <w:lang w:val="en-GB"/>
        </w:rPr>
        <w:t xml:space="preserve">, Council, M. and Project Management Institute (2009). </w:t>
      </w:r>
      <w:r w:rsidRPr="00AE5A6A">
        <w:rPr>
          <w:i/>
          <w:iCs/>
          <w:lang w:val="en-GB"/>
        </w:rPr>
        <w:t xml:space="preserve">Project portfolio </w:t>
      </w:r>
      <w:r w:rsidR="007B68F1" w:rsidRPr="00AE5A6A">
        <w:rPr>
          <w:i/>
          <w:iCs/>
          <w:lang w:val="en-GB"/>
        </w:rPr>
        <w:t>management:</w:t>
      </w:r>
      <w:r w:rsidRPr="00AE5A6A">
        <w:rPr>
          <w:i/>
          <w:iCs/>
          <w:lang w:val="en-GB"/>
        </w:rPr>
        <w:t xml:space="preserve"> a view for the management trenches</w:t>
      </w:r>
      <w:r w:rsidRPr="00AE5A6A">
        <w:rPr>
          <w:lang w:val="en-GB"/>
        </w:rPr>
        <w:t>. Hoboken, N.J.: J. Wiley &amp; Sons.</w:t>
      </w:r>
    </w:p>
    <w:p w14:paraId="43C927CE"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Peter Martin Schwarz (2018). </w:t>
      </w:r>
      <w:r w:rsidRPr="00AE5A6A">
        <w:rPr>
          <w:i/>
          <w:iCs/>
          <w:lang w:val="en-GB"/>
        </w:rPr>
        <w:t>Energy economics</w:t>
      </w:r>
      <w:r w:rsidRPr="00AE5A6A">
        <w:rPr>
          <w:lang w:val="en-GB"/>
        </w:rPr>
        <w:t>. London Routledge.</w:t>
      </w:r>
    </w:p>
    <w:p w14:paraId="1708E181"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Pike, R. and Neale, B. (2019). </w:t>
      </w:r>
      <w:r w:rsidRPr="00AE5A6A">
        <w:rPr>
          <w:i/>
          <w:iCs/>
          <w:lang w:val="en-GB"/>
        </w:rPr>
        <w:t>Corporate finance and investment decisions and strategies</w:t>
      </w:r>
      <w:r w:rsidRPr="00AE5A6A">
        <w:rPr>
          <w:lang w:val="en-GB"/>
        </w:rPr>
        <w:t>. Harlow Prentice Hall.</w:t>
      </w:r>
    </w:p>
    <w:p w14:paraId="4ABFD945"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Porter, M. (1980a). </w:t>
      </w:r>
      <w:r w:rsidRPr="00AE5A6A">
        <w:rPr>
          <w:i/>
          <w:iCs/>
          <w:lang w:val="en-GB"/>
        </w:rPr>
        <w:t xml:space="preserve">Competitive strategy: Techniques for </w:t>
      </w:r>
      <w:r w:rsidR="000435C5" w:rsidRPr="00AE5A6A">
        <w:rPr>
          <w:i/>
          <w:iCs/>
          <w:lang w:val="en-GB"/>
        </w:rPr>
        <w:t>Analysing</w:t>
      </w:r>
      <w:r w:rsidRPr="00AE5A6A">
        <w:rPr>
          <w:i/>
          <w:iCs/>
          <w:lang w:val="en-GB"/>
        </w:rPr>
        <w:t xml:space="preserve"> Industries and Competitors</w:t>
      </w:r>
      <w:r w:rsidRPr="00AE5A6A">
        <w:rPr>
          <w:lang w:val="en-GB"/>
        </w:rPr>
        <w:t>. [online] Hbs.edu. Available at: https://www.hbs.edu/faculty/Pages/item.aspx?num=195 [Accessed 21 Jun. 2025].</w:t>
      </w:r>
    </w:p>
    <w:p w14:paraId="3CFF09E1"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Reilly, F.K. (2020). </w:t>
      </w:r>
      <w:r w:rsidRPr="00AE5A6A">
        <w:rPr>
          <w:i/>
          <w:iCs/>
          <w:lang w:val="en-GB"/>
        </w:rPr>
        <w:t>Investment Analysis &amp; Portfolio Management</w:t>
      </w:r>
      <w:r w:rsidRPr="00AE5A6A">
        <w:rPr>
          <w:lang w:val="en-GB"/>
        </w:rPr>
        <w:t>. South Melbourne, Victoria: Cengage Learning Australia.</w:t>
      </w:r>
    </w:p>
    <w:p w14:paraId="1F2AC01A"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Ryan, P.A. and Ryan, G.P. (2022). Capital Budgeting Practices of the Fortune 1000: How Have Things Changed. </w:t>
      </w:r>
      <w:r w:rsidRPr="00AE5A6A">
        <w:rPr>
          <w:i/>
          <w:iCs/>
          <w:lang w:val="en-GB"/>
        </w:rPr>
        <w:t>Journal of Business and Management</w:t>
      </w:r>
      <w:r w:rsidRPr="00AE5A6A">
        <w:rPr>
          <w:lang w:val="en-GB"/>
        </w:rPr>
        <w:t xml:space="preserve">, 8(4), pp.355–364. </w:t>
      </w:r>
    </w:p>
    <w:p w14:paraId="4618643C"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Sanchez-Rodriguez, A. (2024). Investment decisions in the context of SMEs: A non-financial factor approach. </w:t>
      </w:r>
      <w:r w:rsidRPr="00AE5A6A">
        <w:rPr>
          <w:i/>
          <w:iCs/>
          <w:lang w:val="en-GB"/>
        </w:rPr>
        <w:t>International Journal of Applied Economics, Finance and Accounting</w:t>
      </w:r>
      <w:r w:rsidRPr="00AE5A6A">
        <w:rPr>
          <w:lang w:val="en-GB"/>
        </w:rPr>
        <w:t>, [online] 18(2), pp.375–385. Available at: https://ideas.repec.org/a/oap/ijaefa/v18y2024i2p375-385id1411.html.</w:t>
      </w:r>
    </w:p>
    <w:p w14:paraId="30CA33E1"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Sanzida (2025). </w:t>
      </w:r>
      <w:r w:rsidRPr="00AE5A6A">
        <w:rPr>
          <w:i/>
          <w:iCs/>
          <w:lang w:val="en-GB"/>
        </w:rPr>
        <w:t>Marks &amp; Spencer Case Study | Adthena</w:t>
      </w:r>
      <w:r w:rsidRPr="00AE5A6A">
        <w:rPr>
          <w:lang w:val="en-GB"/>
        </w:rPr>
        <w:t>. [online] Adthena. Available at: https://www.adthena.com/resources/case-study/marks-and-spencer/ [Accessed 29 Jun. 2025].</w:t>
      </w:r>
    </w:p>
    <w:p w14:paraId="58350FA9"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Trigeorgis, L. (2024). </w:t>
      </w:r>
      <w:r w:rsidRPr="00AE5A6A">
        <w:rPr>
          <w:i/>
          <w:iCs/>
          <w:lang w:val="en-GB"/>
        </w:rPr>
        <w:t xml:space="preserve">Real </w:t>
      </w:r>
      <w:r w:rsidR="007B68F1" w:rsidRPr="00AE5A6A">
        <w:rPr>
          <w:i/>
          <w:iCs/>
          <w:lang w:val="en-GB"/>
        </w:rPr>
        <w:t>Options:</w:t>
      </w:r>
      <w:r w:rsidRPr="00AE5A6A">
        <w:rPr>
          <w:i/>
          <w:iCs/>
          <w:lang w:val="en-GB"/>
        </w:rPr>
        <w:t xml:space="preserve"> Managerial Flexibility and Strategy in Resource Allocation</w:t>
      </w:r>
      <w:r w:rsidRPr="00AE5A6A">
        <w:rPr>
          <w:lang w:val="en-GB"/>
        </w:rPr>
        <w:t>. Cambridge, Mass. U.A.: Mit Press.</w:t>
      </w:r>
    </w:p>
    <w:p w14:paraId="06A6A6D5"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lastRenderedPageBreak/>
        <w:t xml:space="preserve">Uwe Götze, Deryl Northcott and Schuster, P. (2018). </w:t>
      </w:r>
      <w:r w:rsidRPr="00AE5A6A">
        <w:rPr>
          <w:i/>
          <w:iCs/>
          <w:lang w:val="en-GB"/>
        </w:rPr>
        <w:t xml:space="preserve">Investment </w:t>
      </w:r>
      <w:r w:rsidR="007B68F1" w:rsidRPr="00AE5A6A">
        <w:rPr>
          <w:i/>
          <w:iCs/>
          <w:lang w:val="en-GB"/>
        </w:rPr>
        <w:t>Appraisal:</w:t>
      </w:r>
      <w:r w:rsidRPr="00AE5A6A">
        <w:rPr>
          <w:i/>
          <w:iCs/>
          <w:lang w:val="en-GB"/>
        </w:rPr>
        <w:t xml:space="preserve"> Methods and Models</w:t>
      </w:r>
      <w:r w:rsidRPr="00AE5A6A">
        <w:rPr>
          <w:lang w:val="en-GB"/>
        </w:rPr>
        <w:t>. Berlin, Heidelberg: Springer-Verlag Berlin Heidelberg.</w:t>
      </w:r>
    </w:p>
    <w:p w14:paraId="425AE417"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Whittington, R., Angwin, D., Regner, P., Scholes, K. and Johnson, G. (2023). </w:t>
      </w:r>
      <w:r w:rsidRPr="00AE5A6A">
        <w:rPr>
          <w:i/>
          <w:iCs/>
          <w:lang w:val="en-GB"/>
        </w:rPr>
        <w:t>Exploring strategy: Text and Cases</w:t>
      </w:r>
      <w:r w:rsidRPr="00AE5A6A">
        <w:rPr>
          <w:lang w:val="en-GB"/>
        </w:rPr>
        <w:t>. 13th ed. Harlow, England: Pearson.</w:t>
      </w:r>
    </w:p>
    <w:p w14:paraId="33ED0E5D"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Wills, S. (2025). </w:t>
      </w:r>
      <w:r w:rsidRPr="00AE5A6A">
        <w:rPr>
          <w:i/>
          <w:iCs/>
          <w:lang w:val="en-GB"/>
        </w:rPr>
        <w:t>Marks and Spencer: A Case Study in International Retailing - The Case Centre</w:t>
      </w:r>
      <w:r w:rsidRPr="00AE5A6A">
        <w:rPr>
          <w:lang w:val="en-GB"/>
        </w:rPr>
        <w:t>. [online] The Case Centre. Available at: https://www.thecasecentre.org/products/view?id=22064 [Accessed 29 Jun. 2025].</w:t>
      </w:r>
    </w:p>
    <w:p w14:paraId="284CCE9E"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Wirtz, B.W. (2022). </w:t>
      </w:r>
      <w:r w:rsidRPr="00AE5A6A">
        <w:rPr>
          <w:i/>
          <w:iCs/>
          <w:lang w:val="en-GB"/>
        </w:rPr>
        <w:t>Digital Business and Electronic Commerce</w:t>
      </w:r>
      <w:r w:rsidRPr="00AE5A6A">
        <w:rPr>
          <w:lang w:val="en-GB"/>
        </w:rPr>
        <w:t>. Springer Nature.</w:t>
      </w:r>
    </w:p>
    <w:p w14:paraId="259F4C28"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Womack, J.P. and Jones, D.T. (2013). </w:t>
      </w:r>
      <w:r w:rsidRPr="00AE5A6A">
        <w:rPr>
          <w:i/>
          <w:iCs/>
          <w:lang w:val="en-GB"/>
        </w:rPr>
        <w:t xml:space="preserve">Lean </w:t>
      </w:r>
      <w:r w:rsidR="007B68F1" w:rsidRPr="00AE5A6A">
        <w:rPr>
          <w:i/>
          <w:iCs/>
          <w:lang w:val="en-GB"/>
        </w:rPr>
        <w:t>Thinking:</w:t>
      </w:r>
      <w:r w:rsidRPr="00AE5A6A">
        <w:rPr>
          <w:i/>
          <w:iCs/>
          <w:lang w:val="en-GB"/>
        </w:rPr>
        <w:t xml:space="preserve"> Banish Waste and Create Wealth in Your Corporation</w:t>
      </w:r>
      <w:r w:rsidRPr="00AE5A6A">
        <w:rPr>
          <w:lang w:val="en-GB"/>
        </w:rPr>
        <w:t>. London: Simon &amp; Schuster, Limited.</w:t>
      </w:r>
    </w:p>
    <w:p w14:paraId="6B395C51" w14:textId="77777777" w:rsidR="0009430E" w:rsidRPr="00AE5A6A" w:rsidRDefault="0009430E" w:rsidP="007B68F1">
      <w:pPr>
        <w:pStyle w:val="NormalWeb"/>
        <w:spacing w:before="0" w:beforeAutospacing="0" w:after="0" w:afterAutospacing="0" w:line="360" w:lineRule="auto"/>
        <w:jc w:val="both"/>
        <w:rPr>
          <w:lang w:val="en-GB"/>
        </w:rPr>
      </w:pPr>
      <w:r w:rsidRPr="00AE5A6A">
        <w:rPr>
          <w:lang w:val="en-GB"/>
        </w:rPr>
        <w:t xml:space="preserve">Zaytsev, A. (2023). </w:t>
      </w:r>
      <w:r w:rsidRPr="00AE5A6A">
        <w:rPr>
          <w:i/>
          <w:iCs/>
          <w:lang w:val="en-GB"/>
        </w:rPr>
        <w:t>Case Study: Data, AI, and the Evolution of Marks &amp; Spencer</w:t>
      </w:r>
      <w:r w:rsidRPr="00AE5A6A">
        <w:rPr>
          <w:lang w:val="en-GB"/>
        </w:rPr>
        <w:t>. [online] AIX. Available at: https://aiexpert.network/case-study-data-ai-and-the-evolution-of-marks-spencer/.</w:t>
      </w:r>
    </w:p>
    <w:p w14:paraId="12977BB3" w14:textId="77777777" w:rsidR="00DF30EA" w:rsidRPr="00AE5A6A" w:rsidRDefault="00DF30EA" w:rsidP="00914F46">
      <w:pPr>
        <w:spacing w:before="100" w:beforeAutospacing="1" w:after="100" w:afterAutospacing="1"/>
        <w:jc w:val="both"/>
        <w:rPr>
          <w:rFonts w:ascii="Times New Roman" w:eastAsia="Times New Roman" w:hAnsi="Times New Roman" w:cs="Times New Roman"/>
          <w:szCs w:val="24"/>
          <w:lang w:val="en-GB"/>
        </w:rPr>
      </w:pPr>
    </w:p>
    <w:p w14:paraId="587147A2" w14:textId="77777777" w:rsidR="001D15D0" w:rsidRPr="00AE5A6A" w:rsidRDefault="001D15D0" w:rsidP="00914F46">
      <w:pPr>
        <w:spacing w:before="100" w:beforeAutospacing="1" w:after="100" w:afterAutospacing="1"/>
        <w:jc w:val="both"/>
        <w:rPr>
          <w:rFonts w:ascii="Times New Roman" w:eastAsia="Times New Roman" w:hAnsi="Times New Roman" w:cs="Times New Roman"/>
          <w:szCs w:val="24"/>
          <w:lang w:val="en-GB"/>
        </w:rPr>
      </w:pPr>
    </w:p>
    <w:p w14:paraId="0CD6083E" w14:textId="77777777" w:rsidR="001D15D0" w:rsidRPr="00AE5A6A" w:rsidRDefault="001D15D0" w:rsidP="00914F46">
      <w:pPr>
        <w:spacing w:before="100" w:beforeAutospacing="1" w:after="100" w:afterAutospacing="1"/>
        <w:jc w:val="both"/>
        <w:rPr>
          <w:rFonts w:ascii="Times New Roman" w:eastAsia="Times New Roman" w:hAnsi="Times New Roman" w:cs="Times New Roman"/>
          <w:szCs w:val="24"/>
          <w:lang w:val="en-GB"/>
        </w:rPr>
      </w:pPr>
    </w:p>
    <w:p w14:paraId="0A06E5B4" w14:textId="77777777" w:rsidR="001D15D0" w:rsidRPr="00AE5A6A" w:rsidRDefault="001D15D0" w:rsidP="00914F46">
      <w:pPr>
        <w:spacing w:before="100" w:beforeAutospacing="1" w:after="100" w:afterAutospacing="1"/>
        <w:jc w:val="both"/>
        <w:rPr>
          <w:rFonts w:ascii="Times New Roman" w:eastAsia="Times New Roman" w:hAnsi="Times New Roman" w:cs="Times New Roman"/>
          <w:szCs w:val="24"/>
          <w:lang w:val="en-GB"/>
        </w:rPr>
      </w:pPr>
    </w:p>
    <w:p w14:paraId="45A6E030" w14:textId="77777777" w:rsidR="001D15D0" w:rsidRPr="00AE5A6A" w:rsidRDefault="001D15D0" w:rsidP="00914F46">
      <w:pPr>
        <w:spacing w:before="100" w:beforeAutospacing="1" w:after="100" w:afterAutospacing="1"/>
        <w:jc w:val="both"/>
        <w:rPr>
          <w:rFonts w:ascii="Times New Roman" w:eastAsia="Times New Roman" w:hAnsi="Times New Roman" w:cs="Times New Roman"/>
          <w:szCs w:val="24"/>
          <w:lang w:val="en-GB"/>
        </w:rPr>
      </w:pPr>
    </w:p>
    <w:p w14:paraId="2DF37B50" w14:textId="77777777" w:rsidR="001D15D0" w:rsidRPr="00AE5A6A" w:rsidRDefault="001D15D0" w:rsidP="00914F46">
      <w:pPr>
        <w:spacing w:before="100" w:beforeAutospacing="1" w:after="100" w:afterAutospacing="1"/>
        <w:jc w:val="both"/>
        <w:rPr>
          <w:rFonts w:ascii="Times New Roman" w:eastAsia="Times New Roman" w:hAnsi="Times New Roman" w:cs="Times New Roman"/>
          <w:szCs w:val="24"/>
          <w:lang w:val="en-GB"/>
        </w:rPr>
      </w:pPr>
    </w:p>
    <w:p w14:paraId="70CE78C9" w14:textId="77777777" w:rsidR="00A0601B" w:rsidRPr="00AE5A6A" w:rsidRDefault="00A0601B">
      <w:pPr>
        <w:spacing w:line="276" w:lineRule="auto"/>
        <w:rPr>
          <w:rFonts w:ascii="Times New Roman" w:eastAsia="Times New Roman" w:hAnsi="Times New Roman" w:cs="Times New Roman"/>
          <w:b/>
          <w:sz w:val="28"/>
          <w:szCs w:val="32"/>
          <w:lang w:val="en-GB"/>
        </w:rPr>
      </w:pPr>
      <w:r w:rsidRPr="00AE5A6A">
        <w:rPr>
          <w:rFonts w:ascii="Times New Roman" w:eastAsia="Times New Roman" w:hAnsi="Times New Roman" w:cs="Times New Roman"/>
          <w:lang w:val="en-GB"/>
        </w:rPr>
        <w:br w:type="page"/>
      </w:r>
    </w:p>
    <w:p w14:paraId="3BFCB739" w14:textId="77777777" w:rsidR="001D15D0" w:rsidRPr="00AE5A6A" w:rsidRDefault="0009430E" w:rsidP="00937AD8">
      <w:pPr>
        <w:pStyle w:val="Heading1"/>
        <w:rPr>
          <w:rFonts w:eastAsia="Times New Roman" w:cs="Times New Roman"/>
          <w:lang w:val="en-GB"/>
        </w:rPr>
      </w:pPr>
      <w:bookmarkStart w:id="20" w:name="_Toc202268848"/>
      <w:r w:rsidRPr="00AE5A6A">
        <w:rPr>
          <w:rFonts w:eastAsia="Times New Roman" w:cs="Times New Roman"/>
          <w:lang w:val="en-GB"/>
        </w:rPr>
        <w:lastRenderedPageBreak/>
        <w:t>Appendices</w:t>
      </w:r>
      <w:bookmarkEnd w:id="20"/>
    </w:p>
    <w:p w14:paraId="690DD774" w14:textId="77777777" w:rsidR="00273CB1" w:rsidRPr="00AE5A6A" w:rsidRDefault="003B5062" w:rsidP="00453D2F">
      <w:pPr>
        <w:pStyle w:val="Heading2"/>
        <w:rPr>
          <w:rStyle w:val="Heading2Char"/>
          <w:b/>
          <w:bCs/>
          <w:lang w:val="en-GB"/>
        </w:rPr>
      </w:pPr>
      <w:bookmarkStart w:id="21" w:name="_Toc202268849"/>
      <w:r w:rsidRPr="00AE5A6A">
        <w:rPr>
          <w:rStyle w:val="Heading2Char"/>
          <w:b/>
          <w:bCs/>
          <w:lang w:val="en-GB"/>
        </w:rPr>
        <w:t xml:space="preserve">Appendix </w:t>
      </w:r>
      <w:r w:rsidR="00AE5A6A" w:rsidRPr="00AE5A6A">
        <w:rPr>
          <w:rStyle w:val="Heading2Char"/>
          <w:b/>
          <w:bCs/>
          <w:lang w:val="en-GB"/>
        </w:rPr>
        <w:t>1</w:t>
      </w:r>
      <w:r w:rsidRPr="00AE5A6A">
        <w:rPr>
          <w:rStyle w:val="Heading2Char"/>
          <w:b/>
          <w:bCs/>
          <w:lang w:val="en-GB"/>
        </w:rPr>
        <w:t xml:space="preserve"> -</w:t>
      </w:r>
      <w:r w:rsidR="00453D2F" w:rsidRPr="00AE5A6A">
        <w:rPr>
          <w:lang w:val="en-GB"/>
        </w:rPr>
        <w:t xml:space="preserve"> Consolidated Statement of Financial Position for M&amp;S</w:t>
      </w:r>
      <w:bookmarkEnd w:id="21"/>
    </w:p>
    <w:p w14:paraId="530F5D7F" w14:textId="77777777" w:rsidR="0061150F" w:rsidRPr="00AE5A6A" w:rsidRDefault="00453D2F" w:rsidP="00453D2F">
      <w:pPr>
        <w:rPr>
          <w:rFonts w:ascii="Times New Roman" w:hAnsi="Times New Roman" w:cs="Times New Roman"/>
          <w:lang w:val="en-GB"/>
        </w:rPr>
      </w:pPr>
      <w:r w:rsidRPr="00AE5A6A">
        <w:rPr>
          <w:rFonts w:ascii="Times New Roman" w:hAnsi="Times New Roman" w:cs="Times New Roman"/>
          <w:noProof/>
        </w:rPr>
        <w:drawing>
          <wp:inline distT="0" distB="0" distL="0" distR="0" wp14:anchorId="43E77383" wp14:editId="2147491A">
            <wp:extent cx="6400800" cy="4176806"/>
            <wp:effectExtent l="0" t="0" r="0" b="0"/>
            <wp:docPr id="523558162" name="Picture 4" descr="A close-up of a financial stat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558162" name="Picture 4" descr="A close-up of a financial state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400800" cy="4176806"/>
                    </a:xfrm>
                    <a:prstGeom prst="rect">
                      <a:avLst/>
                    </a:prstGeom>
                  </pic:spPr>
                </pic:pic>
              </a:graphicData>
            </a:graphic>
          </wp:inline>
        </w:drawing>
      </w:r>
    </w:p>
    <w:p w14:paraId="0F82C19B" w14:textId="77777777" w:rsidR="00453D2F" w:rsidRPr="00AE5A6A" w:rsidRDefault="00453D2F">
      <w:pPr>
        <w:spacing w:line="276" w:lineRule="auto"/>
        <w:rPr>
          <w:rFonts w:ascii="Times New Roman" w:eastAsia="Times New Roman" w:hAnsi="Times New Roman" w:cs="Times New Roman"/>
          <w:b/>
          <w:bCs/>
          <w:sz w:val="36"/>
          <w:szCs w:val="36"/>
          <w:lang w:val="en-GB"/>
        </w:rPr>
      </w:pPr>
      <w:r w:rsidRPr="00AE5A6A">
        <w:rPr>
          <w:rFonts w:ascii="Times New Roman" w:eastAsia="Times New Roman" w:hAnsi="Times New Roman" w:cs="Times New Roman"/>
          <w:b/>
          <w:bCs/>
          <w:sz w:val="36"/>
          <w:szCs w:val="36"/>
          <w:lang w:val="en-GB"/>
        </w:rPr>
        <w:br w:type="page"/>
      </w:r>
    </w:p>
    <w:p w14:paraId="264A2370" w14:textId="77777777" w:rsidR="00453D2F" w:rsidRPr="00AE5A6A" w:rsidRDefault="00453D2F" w:rsidP="00453D2F">
      <w:pPr>
        <w:pStyle w:val="Heading2"/>
        <w:rPr>
          <w:rStyle w:val="Heading2Char"/>
          <w:rFonts w:eastAsia="Times New Roman"/>
          <w:szCs w:val="26"/>
          <w:lang w:val="en-GB"/>
        </w:rPr>
      </w:pPr>
      <w:bookmarkStart w:id="22" w:name="_Toc202268850"/>
      <w:r w:rsidRPr="00AE5A6A">
        <w:rPr>
          <w:rStyle w:val="Heading2Char"/>
          <w:b/>
          <w:bCs/>
          <w:lang w:val="en-GB"/>
        </w:rPr>
        <w:lastRenderedPageBreak/>
        <w:t xml:space="preserve">Appendix </w:t>
      </w:r>
      <w:r w:rsidR="00AE5A6A" w:rsidRPr="00AE5A6A">
        <w:rPr>
          <w:rStyle w:val="Heading2Char"/>
          <w:b/>
          <w:bCs/>
          <w:lang w:val="en-GB"/>
        </w:rPr>
        <w:t>2</w:t>
      </w:r>
      <w:r w:rsidRPr="00AE5A6A">
        <w:rPr>
          <w:rStyle w:val="Heading2Char"/>
          <w:lang w:val="en-GB"/>
        </w:rPr>
        <w:t xml:space="preserve"> -</w:t>
      </w:r>
      <w:r w:rsidRPr="00AE5A6A">
        <w:rPr>
          <w:lang w:val="en-GB"/>
        </w:rPr>
        <w:t xml:space="preserve"> Consolidated Income Statement for M&amp;S</w:t>
      </w:r>
      <w:bookmarkEnd w:id="22"/>
    </w:p>
    <w:p w14:paraId="053E4826" w14:textId="77777777" w:rsidR="00453D2F" w:rsidRPr="00AE5A6A" w:rsidRDefault="00453D2F" w:rsidP="00453D2F">
      <w:pPr>
        <w:rPr>
          <w:rFonts w:ascii="Times New Roman" w:hAnsi="Times New Roman" w:cs="Times New Roman"/>
          <w:lang w:val="en-GB"/>
        </w:rPr>
      </w:pPr>
      <w:r w:rsidRPr="00AE5A6A">
        <w:rPr>
          <w:rFonts w:ascii="Times New Roman" w:hAnsi="Times New Roman" w:cs="Times New Roman"/>
          <w:noProof/>
        </w:rPr>
        <w:drawing>
          <wp:inline distT="0" distB="0" distL="0" distR="0" wp14:anchorId="46CC1C1F" wp14:editId="1F5FBB83">
            <wp:extent cx="6400800" cy="3819876"/>
            <wp:effectExtent l="0" t="0" r="0" b="9525"/>
            <wp:docPr id="1817723559" name="Picture 5" descr="A screenshot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23559" name="Picture 5" descr="A screenshot of a for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400800" cy="3819876"/>
                    </a:xfrm>
                    <a:prstGeom prst="rect">
                      <a:avLst/>
                    </a:prstGeom>
                  </pic:spPr>
                </pic:pic>
              </a:graphicData>
            </a:graphic>
          </wp:inline>
        </w:drawing>
      </w:r>
    </w:p>
    <w:p w14:paraId="41627FB8" w14:textId="77777777" w:rsidR="00453D2F" w:rsidRPr="00AE5A6A" w:rsidRDefault="00453D2F">
      <w:pPr>
        <w:spacing w:line="276" w:lineRule="auto"/>
        <w:rPr>
          <w:rFonts w:ascii="Times New Roman" w:hAnsi="Times New Roman" w:cs="Times New Roman"/>
          <w:lang w:val="en-GB"/>
        </w:rPr>
      </w:pPr>
      <w:r w:rsidRPr="00AE5A6A">
        <w:rPr>
          <w:rFonts w:ascii="Times New Roman" w:hAnsi="Times New Roman" w:cs="Times New Roman"/>
          <w:lang w:val="en-GB"/>
        </w:rPr>
        <w:br w:type="page"/>
      </w:r>
    </w:p>
    <w:p w14:paraId="7ACA8C3C" w14:textId="77777777" w:rsidR="00453D2F" w:rsidRPr="00AE5A6A" w:rsidRDefault="00453D2F" w:rsidP="0023033C">
      <w:pPr>
        <w:pStyle w:val="Heading2"/>
        <w:rPr>
          <w:lang w:val="en-GB"/>
        </w:rPr>
      </w:pPr>
      <w:bookmarkStart w:id="23" w:name="_Toc202268851"/>
      <w:r w:rsidRPr="00AE5A6A">
        <w:rPr>
          <w:lang w:val="en-GB"/>
        </w:rPr>
        <w:lastRenderedPageBreak/>
        <w:t xml:space="preserve">Appendix </w:t>
      </w:r>
      <w:r w:rsidR="00AE5A6A" w:rsidRPr="00AE5A6A">
        <w:rPr>
          <w:lang w:val="en-GB"/>
        </w:rPr>
        <w:t>3</w:t>
      </w:r>
      <w:r w:rsidRPr="00AE5A6A">
        <w:rPr>
          <w:lang w:val="en-GB"/>
        </w:rPr>
        <w:t xml:space="preserve"> - Consolidated Statement of Chances in Equity for M&amp;S</w:t>
      </w:r>
      <w:bookmarkEnd w:id="23"/>
    </w:p>
    <w:p w14:paraId="4772C432" w14:textId="77777777" w:rsidR="00453D2F" w:rsidRPr="00AE5A6A" w:rsidRDefault="00453D2F" w:rsidP="00453D2F">
      <w:pPr>
        <w:spacing w:after="0"/>
        <w:rPr>
          <w:rFonts w:ascii="Times New Roman" w:hAnsi="Times New Roman" w:cs="Times New Roman"/>
          <w:lang w:val="en-GB"/>
        </w:rPr>
      </w:pPr>
      <w:r w:rsidRPr="00AE5A6A">
        <w:rPr>
          <w:rFonts w:ascii="Times New Roman" w:hAnsi="Times New Roman" w:cs="Times New Roman"/>
          <w:noProof/>
        </w:rPr>
        <w:drawing>
          <wp:inline distT="0" distB="0" distL="0" distR="0" wp14:anchorId="36A959CC" wp14:editId="19E6AC59">
            <wp:extent cx="6400800" cy="4197409"/>
            <wp:effectExtent l="0" t="0" r="0" b="0"/>
            <wp:docPr id="1227789132" name="Picture 6" descr="A spreadsheet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789132" name="Picture 6" descr="A spreadsheet with numbers and lin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400800" cy="4197409"/>
                    </a:xfrm>
                    <a:prstGeom prst="rect">
                      <a:avLst/>
                    </a:prstGeom>
                  </pic:spPr>
                </pic:pic>
              </a:graphicData>
            </a:graphic>
          </wp:inline>
        </w:drawing>
      </w:r>
    </w:p>
    <w:p w14:paraId="18DD894F" w14:textId="77777777" w:rsidR="00AE5A6A" w:rsidRPr="00AE5A6A" w:rsidRDefault="00453D2F" w:rsidP="00453D2F">
      <w:pPr>
        <w:spacing w:after="0"/>
        <w:rPr>
          <w:rFonts w:ascii="Times New Roman" w:hAnsi="Times New Roman" w:cs="Times New Roman"/>
          <w:lang w:val="en-GB"/>
        </w:rPr>
      </w:pPr>
      <w:r w:rsidRPr="00AE5A6A">
        <w:rPr>
          <w:rFonts w:ascii="Times New Roman" w:hAnsi="Times New Roman" w:cs="Times New Roman"/>
          <w:noProof/>
        </w:rPr>
        <w:drawing>
          <wp:inline distT="0" distB="0" distL="0" distR="0" wp14:anchorId="416E7F84" wp14:editId="471EB2BC">
            <wp:extent cx="6205547" cy="3657600"/>
            <wp:effectExtent l="0" t="0" r="5080" b="0"/>
            <wp:docPr id="1891683539" name="Picture 7"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83539" name="Picture 7" descr="A close-up of a char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205547" cy="3657600"/>
                    </a:xfrm>
                    <a:prstGeom prst="rect">
                      <a:avLst/>
                    </a:prstGeom>
                  </pic:spPr>
                </pic:pic>
              </a:graphicData>
            </a:graphic>
          </wp:inline>
        </w:drawing>
      </w:r>
    </w:p>
    <w:p w14:paraId="05E958B2" w14:textId="77777777" w:rsidR="00AE5A6A" w:rsidRPr="00AE5A6A" w:rsidRDefault="00AE5A6A" w:rsidP="00AE5A6A">
      <w:pPr>
        <w:pStyle w:val="Heading2"/>
        <w:rPr>
          <w:lang w:val="en-GB"/>
        </w:rPr>
      </w:pPr>
      <w:bookmarkStart w:id="24" w:name="_Toc202268852"/>
      <w:r w:rsidRPr="00AE5A6A">
        <w:rPr>
          <w:lang w:val="en-GB"/>
        </w:rPr>
        <w:lastRenderedPageBreak/>
        <w:t>Appendix 4: Ratio Analysis Calculation</w:t>
      </w:r>
      <w:bookmarkEnd w:id="24"/>
    </w:p>
    <w:p w14:paraId="63FC5298" w14:textId="77777777" w:rsidR="00AE5A6A" w:rsidRPr="00AE5A6A" w:rsidRDefault="00AE5A6A" w:rsidP="00AE5A6A">
      <w:pPr>
        <w:spacing w:after="0"/>
        <w:jc w:val="both"/>
        <w:rPr>
          <w:rFonts w:ascii="Times New Roman" w:eastAsia="Times New Roman" w:hAnsi="Times New Roman" w:cs="Times New Roman"/>
          <w:szCs w:val="24"/>
          <w:lang w:val="en-GB"/>
        </w:rPr>
      </w:pPr>
      <w:r w:rsidRPr="00AE5A6A">
        <w:rPr>
          <w:rFonts w:ascii="Times New Roman" w:hAnsi="Times New Roman" w:cs="Times New Roman"/>
          <w:noProof/>
        </w:rPr>
        <w:drawing>
          <wp:inline distT="0" distB="0" distL="0" distR="0" wp14:anchorId="7FBBB095" wp14:editId="5E723F9C">
            <wp:extent cx="6566099" cy="3383280"/>
            <wp:effectExtent l="0" t="0" r="6350" b="7620"/>
            <wp:docPr id="17662155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66099" cy="3383280"/>
                    </a:xfrm>
                    <a:prstGeom prst="rect">
                      <a:avLst/>
                    </a:prstGeom>
                    <a:noFill/>
                    <a:ln>
                      <a:noFill/>
                    </a:ln>
                  </pic:spPr>
                </pic:pic>
              </a:graphicData>
            </a:graphic>
          </wp:inline>
        </w:drawing>
      </w:r>
    </w:p>
    <w:p w14:paraId="61F97851" w14:textId="77777777" w:rsidR="00AE5A6A" w:rsidRPr="00AE5A6A" w:rsidRDefault="00AE5A6A" w:rsidP="00AE5A6A">
      <w:pPr>
        <w:ind w:left="-990"/>
        <w:rPr>
          <w:rFonts w:ascii="Times New Roman" w:eastAsia="Times New Roman" w:hAnsi="Times New Roman" w:cs="Times New Roman"/>
          <w:szCs w:val="24"/>
          <w:lang w:val="en-GB"/>
        </w:rPr>
      </w:pPr>
    </w:p>
    <w:p w14:paraId="3A89B93B" w14:textId="77777777" w:rsidR="00AE5A6A" w:rsidRPr="00AE5A6A" w:rsidRDefault="00AE5A6A" w:rsidP="00AE5A6A">
      <w:pPr>
        <w:spacing w:line="276" w:lineRule="auto"/>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br w:type="page"/>
      </w:r>
    </w:p>
    <w:p w14:paraId="5093E54C" w14:textId="77777777" w:rsidR="001D15D0" w:rsidRPr="00AE5A6A" w:rsidRDefault="003B5062" w:rsidP="007B68F1">
      <w:pPr>
        <w:pStyle w:val="Heading2"/>
        <w:rPr>
          <w:lang w:val="en-GB"/>
        </w:rPr>
      </w:pPr>
      <w:bookmarkStart w:id="25" w:name="_Toc202268853"/>
      <w:r w:rsidRPr="00AE5A6A">
        <w:rPr>
          <w:lang w:val="en-GB"/>
        </w:rPr>
        <w:lastRenderedPageBreak/>
        <w:t xml:space="preserve">Appendix </w:t>
      </w:r>
      <w:r w:rsidR="00453D2F" w:rsidRPr="00AE5A6A">
        <w:rPr>
          <w:lang w:val="en-GB"/>
        </w:rPr>
        <w:t xml:space="preserve">5 - </w:t>
      </w:r>
      <w:r w:rsidR="001D15D0" w:rsidRPr="00AE5A6A">
        <w:rPr>
          <w:lang w:val="en-GB"/>
        </w:rPr>
        <w:t>Financial evaluation of the three options (NPV @ 6 %)</w:t>
      </w:r>
      <w:bookmarkEnd w:id="25"/>
    </w:p>
    <w:tbl>
      <w:tblPr>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14"/>
        <w:gridCol w:w="1363"/>
        <w:gridCol w:w="2619"/>
        <w:gridCol w:w="948"/>
        <w:gridCol w:w="2496"/>
      </w:tblGrid>
      <w:tr w:rsidR="001D15D0" w:rsidRPr="00AE5A6A" w14:paraId="5FADA312" w14:textId="77777777" w:rsidTr="003B5062">
        <w:trPr>
          <w:tblHeader/>
          <w:tblCellSpacing w:w="15" w:type="dxa"/>
        </w:trPr>
        <w:tc>
          <w:tcPr>
            <w:tcW w:w="1166" w:type="pct"/>
            <w:vAlign w:val="center"/>
            <w:hideMark/>
          </w:tcPr>
          <w:p w14:paraId="54D07EC8" w14:textId="77777777" w:rsidR="001D15D0" w:rsidRPr="00AE5A6A" w:rsidRDefault="001D15D0" w:rsidP="00A0601B">
            <w:pPr>
              <w:spacing w:after="0"/>
              <w:jc w:val="center"/>
              <w:rPr>
                <w:rFonts w:ascii="Times New Roman" w:eastAsia="Times New Roman" w:hAnsi="Times New Roman" w:cs="Times New Roman"/>
                <w:b/>
                <w:bCs/>
                <w:szCs w:val="24"/>
                <w:lang w:val="en-GB"/>
              </w:rPr>
            </w:pPr>
          </w:p>
        </w:tc>
        <w:tc>
          <w:tcPr>
            <w:tcW w:w="685" w:type="pct"/>
            <w:vAlign w:val="center"/>
            <w:hideMark/>
          </w:tcPr>
          <w:p w14:paraId="5D9CA741" w14:textId="77777777" w:rsidR="001D15D0" w:rsidRPr="00AE5A6A" w:rsidRDefault="001D15D0" w:rsidP="00A0601B">
            <w:pPr>
              <w:spacing w:after="0"/>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Initial outlay (£000)</w:t>
            </w:r>
          </w:p>
        </w:tc>
        <w:tc>
          <w:tcPr>
            <w:tcW w:w="1331" w:type="pct"/>
            <w:vAlign w:val="center"/>
            <w:hideMark/>
          </w:tcPr>
          <w:p w14:paraId="5DC95854" w14:textId="77777777" w:rsidR="001D15D0" w:rsidRPr="00AE5A6A" w:rsidRDefault="001D15D0" w:rsidP="00A0601B">
            <w:pPr>
              <w:spacing w:after="0"/>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PV of 4-year after-tax cash inflows* (£000)</w:t>
            </w:r>
          </w:p>
        </w:tc>
        <w:tc>
          <w:tcPr>
            <w:tcW w:w="472" w:type="pct"/>
            <w:vAlign w:val="center"/>
            <w:hideMark/>
          </w:tcPr>
          <w:p w14:paraId="104E880D" w14:textId="77777777" w:rsidR="001D15D0" w:rsidRPr="00AE5A6A" w:rsidRDefault="001D15D0" w:rsidP="00A0601B">
            <w:pPr>
              <w:spacing w:after="0"/>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NPV (£000)</w:t>
            </w:r>
          </w:p>
        </w:tc>
        <w:tc>
          <w:tcPr>
            <w:tcW w:w="1260" w:type="pct"/>
            <w:vAlign w:val="center"/>
            <w:hideMark/>
          </w:tcPr>
          <w:p w14:paraId="2FC62607" w14:textId="77777777" w:rsidR="001D15D0" w:rsidRPr="00AE5A6A" w:rsidRDefault="001D15D0" w:rsidP="00A0601B">
            <w:pPr>
              <w:spacing w:after="0"/>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Profitability index (PV / cost)</w:t>
            </w:r>
          </w:p>
        </w:tc>
      </w:tr>
      <w:tr w:rsidR="001D15D0" w:rsidRPr="00AE5A6A" w14:paraId="6589E222" w14:textId="77777777" w:rsidTr="00A0601B">
        <w:trPr>
          <w:tblCellSpacing w:w="15" w:type="dxa"/>
        </w:trPr>
        <w:tc>
          <w:tcPr>
            <w:tcW w:w="1166" w:type="pct"/>
            <w:vAlign w:val="center"/>
            <w:hideMark/>
          </w:tcPr>
          <w:p w14:paraId="2355E326"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A – expand retail</w:t>
            </w:r>
          </w:p>
        </w:tc>
        <w:tc>
          <w:tcPr>
            <w:tcW w:w="685" w:type="pct"/>
            <w:vAlign w:val="center"/>
            <w:hideMark/>
          </w:tcPr>
          <w:p w14:paraId="30F7FB14"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600</w:t>
            </w:r>
          </w:p>
        </w:tc>
        <w:tc>
          <w:tcPr>
            <w:tcW w:w="1331" w:type="pct"/>
            <w:vAlign w:val="center"/>
            <w:hideMark/>
          </w:tcPr>
          <w:p w14:paraId="3467F2AD"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1 098.6</w:t>
            </w:r>
          </w:p>
        </w:tc>
        <w:tc>
          <w:tcPr>
            <w:tcW w:w="472" w:type="pct"/>
            <w:vAlign w:val="center"/>
            <w:hideMark/>
          </w:tcPr>
          <w:p w14:paraId="12D5AA79"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498.6</w:t>
            </w:r>
          </w:p>
        </w:tc>
        <w:tc>
          <w:tcPr>
            <w:tcW w:w="1260" w:type="pct"/>
            <w:vAlign w:val="center"/>
            <w:hideMark/>
          </w:tcPr>
          <w:p w14:paraId="29F98C58"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1.83</w:t>
            </w:r>
          </w:p>
        </w:tc>
      </w:tr>
      <w:tr w:rsidR="001D15D0" w:rsidRPr="00AE5A6A" w14:paraId="6A94E1E4" w14:textId="77777777" w:rsidTr="00A0601B">
        <w:trPr>
          <w:tblCellSpacing w:w="15" w:type="dxa"/>
        </w:trPr>
        <w:tc>
          <w:tcPr>
            <w:tcW w:w="1166" w:type="pct"/>
            <w:vAlign w:val="center"/>
            <w:hideMark/>
          </w:tcPr>
          <w:p w14:paraId="75B52E34"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B – online sales</w:t>
            </w:r>
          </w:p>
        </w:tc>
        <w:tc>
          <w:tcPr>
            <w:tcW w:w="685" w:type="pct"/>
            <w:vAlign w:val="center"/>
            <w:hideMark/>
          </w:tcPr>
          <w:p w14:paraId="42BA8AC2"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1 000</w:t>
            </w:r>
          </w:p>
        </w:tc>
        <w:tc>
          <w:tcPr>
            <w:tcW w:w="1331" w:type="pct"/>
            <w:vAlign w:val="center"/>
            <w:hideMark/>
          </w:tcPr>
          <w:p w14:paraId="096A16B6"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1 921.4</w:t>
            </w:r>
          </w:p>
        </w:tc>
        <w:tc>
          <w:tcPr>
            <w:tcW w:w="472" w:type="pct"/>
            <w:vAlign w:val="center"/>
            <w:hideMark/>
          </w:tcPr>
          <w:p w14:paraId="45F5FC9D"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921.4</w:t>
            </w:r>
          </w:p>
        </w:tc>
        <w:tc>
          <w:tcPr>
            <w:tcW w:w="1260" w:type="pct"/>
            <w:vAlign w:val="center"/>
            <w:hideMark/>
          </w:tcPr>
          <w:p w14:paraId="08E8EB3B"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1.92</w:t>
            </w:r>
          </w:p>
        </w:tc>
      </w:tr>
      <w:tr w:rsidR="001D15D0" w:rsidRPr="00AE5A6A" w14:paraId="47AAE9C5" w14:textId="77777777" w:rsidTr="00A0601B">
        <w:trPr>
          <w:tblCellSpacing w:w="15" w:type="dxa"/>
        </w:trPr>
        <w:tc>
          <w:tcPr>
            <w:tcW w:w="1166" w:type="pct"/>
            <w:vAlign w:val="center"/>
            <w:hideMark/>
          </w:tcPr>
          <w:p w14:paraId="6CAACF27"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C – curtains/Roman blinds</w:t>
            </w:r>
          </w:p>
        </w:tc>
        <w:tc>
          <w:tcPr>
            <w:tcW w:w="685" w:type="pct"/>
            <w:vAlign w:val="center"/>
            <w:hideMark/>
          </w:tcPr>
          <w:p w14:paraId="6FD9F783"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1 600</w:t>
            </w:r>
          </w:p>
        </w:tc>
        <w:tc>
          <w:tcPr>
            <w:tcW w:w="1331" w:type="pct"/>
            <w:vAlign w:val="center"/>
            <w:hideMark/>
          </w:tcPr>
          <w:p w14:paraId="17F94F9C"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2 493.4</w:t>
            </w:r>
          </w:p>
        </w:tc>
        <w:tc>
          <w:tcPr>
            <w:tcW w:w="472" w:type="pct"/>
            <w:vAlign w:val="center"/>
            <w:hideMark/>
          </w:tcPr>
          <w:p w14:paraId="526FC041"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893.4</w:t>
            </w:r>
          </w:p>
        </w:tc>
        <w:tc>
          <w:tcPr>
            <w:tcW w:w="1260" w:type="pct"/>
            <w:vAlign w:val="center"/>
            <w:hideMark/>
          </w:tcPr>
          <w:p w14:paraId="242F5A60"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1.56</w:t>
            </w:r>
          </w:p>
        </w:tc>
      </w:tr>
    </w:tbl>
    <w:p w14:paraId="02D6FCB1" w14:textId="77777777" w:rsidR="001D15D0" w:rsidRPr="00AE5A6A" w:rsidRDefault="003B5062" w:rsidP="00A0601B">
      <w:pPr>
        <w:pStyle w:val="Heading2"/>
        <w:rPr>
          <w:lang w:val="en-GB"/>
        </w:rPr>
      </w:pPr>
      <w:bookmarkStart w:id="26" w:name="_Toc202268854"/>
      <w:r w:rsidRPr="00AE5A6A">
        <w:rPr>
          <w:lang w:val="en-GB"/>
        </w:rPr>
        <w:t xml:space="preserve">Appendix </w:t>
      </w:r>
      <w:r w:rsidR="00453D2F" w:rsidRPr="00AE5A6A">
        <w:rPr>
          <w:lang w:val="en-GB"/>
        </w:rPr>
        <w:t>6 -</w:t>
      </w:r>
      <w:r w:rsidR="001D15D0" w:rsidRPr="00AE5A6A">
        <w:rPr>
          <w:lang w:val="en-GB"/>
        </w:rPr>
        <w:t>Calculation notes (all £000)</w:t>
      </w:r>
      <w:bookmarkEnd w:id="26"/>
    </w:p>
    <w:p w14:paraId="0CA8C8C7"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Example – Option B, Year 1</w:t>
      </w:r>
    </w:p>
    <w:tbl>
      <w:tblPr>
        <w:tblW w:w="1013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75"/>
        <w:gridCol w:w="3960"/>
      </w:tblGrid>
      <w:tr w:rsidR="001D15D0" w:rsidRPr="00AE5A6A" w14:paraId="4E6034E2" w14:textId="77777777" w:rsidTr="0061150F">
        <w:trPr>
          <w:tblHeader/>
          <w:tblCellSpacing w:w="15" w:type="dxa"/>
        </w:trPr>
        <w:tc>
          <w:tcPr>
            <w:tcW w:w="6130" w:type="dxa"/>
            <w:vAlign w:val="center"/>
            <w:hideMark/>
          </w:tcPr>
          <w:p w14:paraId="422B2FCB" w14:textId="77777777" w:rsidR="001D15D0" w:rsidRPr="00AE5A6A" w:rsidRDefault="001D15D0" w:rsidP="00A0601B">
            <w:pPr>
              <w:spacing w:after="0"/>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Item</w:t>
            </w:r>
          </w:p>
        </w:tc>
        <w:tc>
          <w:tcPr>
            <w:tcW w:w="3915" w:type="dxa"/>
            <w:vAlign w:val="center"/>
            <w:hideMark/>
          </w:tcPr>
          <w:p w14:paraId="0DD563BE" w14:textId="77777777" w:rsidR="001D15D0" w:rsidRPr="00AE5A6A" w:rsidRDefault="001D15D0" w:rsidP="00A0601B">
            <w:pPr>
              <w:spacing w:after="0"/>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Amount</w:t>
            </w:r>
          </w:p>
        </w:tc>
      </w:tr>
      <w:tr w:rsidR="001D15D0" w:rsidRPr="00AE5A6A" w14:paraId="39729C25" w14:textId="77777777" w:rsidTr="0061150F">
        <w:trPr>
          <w:tblCellSpacing w:w="15" w:type="dxa"/>
        </w:trPr>
        <w:tc>
          <w:tcPr>
            <w:tcW w:w="6130" w:type="dxa"/>
            <w:vAlign w:val="center"/>
            <w:hideMark/>
          </w:tcPr>
          <w:p w14:paraId="5BD9992B"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Pre-tax cash inflow</w:t>
            </w:r>
          </w:p>
        </w:tc>
        <w:tc>
          <w:tcPr>
            <w:tcW w:w="3915" w:type="dxa"/>
            <w:vAlign w:val="center"/>
            <w:hideMark/>
          </w:tcPr>
          <w:p w14:paraId="45D5E302"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400</w:t>
            </w:r>
          </w:p>
        </w:tc>
      </w:tr>
      <w:tr w:rsidR="001D15D0" w:rsidRPr="00AE5A6A" w14:paraId="6C5CA3BA" w14:textId="77777777" w:rsidTr="0061150F">
        <w:trPr>
          <w:tblCellSpacing w:w="15" w:type="dxa"/>
        </w:trPr>
        <w:tc>
          <w:tcPr>
            <w:tcW w:w="6130" w:type="dxa"/>
            <w:vAlign w:val="center"/>
            <w:hideMark/>
          </w:tcPr>
          <w:p w14:paraId="7CDCF7CD"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Less capital allowance (20 % × 1 000)</w:t>
            </w:r>
          </w:p>
        </w:tc>
        <w:tc>
          <w:tcPr>
            <w:tcW w:w="3915" w:type="dxa"/>
            <w:vAlign w:val="center"/>
            <w:hideMark/>
          </w:tcPr>
          <w:p w14:paraId="441B74CD"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(200)</w:t>
            </w:r>
          </w:p>
        </w:tc>
      </w:tr>
      <w:tr w:rsidR="001D15D0" w:rsidRPr="00AE5A6A" w14:paraId="3473589E" w14:textId="77777777" w:rsidTr="0061150F">
        <w:trPr>
          <w:tblCellSpacing w:w="15" w:type="dxa"/>
        </w:trPr>
        <w:tc>
          <w:tcPr>
            <w:tcW w:w="6130" w:type="dxa"/>
            <w:vAlign w:val="center"/>
            <w:hideMark/>
          </w:tcPr>
          <w:p w14:paraId="39020CCF"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Taxable profit</w:t>
            </w:r>
          </w:p>
        </w:tc>
        <w:tc>
          <w:tcPr>
            <w:tcW w:w="3915" w:type="dxa"/>
            <w:vAlign w:val="center"/>
            <w:hideMark/>
          </w:tcPr>
          <w:p w14:paraId="1EB22CF4"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200</w:t>
            </w:r>
          </w:p>
        </w:tc>
      </w:tr>
      <w:tr w:rsidR="001D15D0" w:rsidRPr="00AE5A6A" w14:paraId="5DB95E7D" w14:textId="77777777" w:rsidTr="0061150F">
        <w:trPr>
          <w:tblCellSpacing w:w="15" w:type="dxa"/>
        </w:trPr>
        <w:tc>
          <w:tcPr>
            <w:tcW w:w="6130" w:type="dxa"/>
            <w:vAlign w:val="center"/>
            <w:hideMark/>
          </w:tcPr>
          <w:p w14:paraId="481B8648"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Corporation tax @ 25 %</w:t>
            </w:r>
          </w:p>
        </w:tc>
        <w:tc>
          <w:tcPr>
            <w:tcW w:w="3915" w:type="dxa"/>
            <w:vAlign w:val="center"/>
            <w:hideMark/>
          </w:tcPr>
          <w:p w14:paraId="62FB4CAC"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(50)</w:t>
            </w:r>
          </w:p>
        </w:tc>
      </w:tr>
      <w:tr w:rsidR="001D15D0" w:rsidRPr="00AE5A6A" w14:paraId="5E441DAE" w14:textId="77777777" w:rsidTr="0061150F">
        <w:trPr>
          <w:tblCellSpacing w:w="15" w:type="dxa"/>
        </w:trPr>
        <w:tc>
          <w:tcPr>
            <w:tcW w:w="6130" w:type="dxa"/>
            <w:vAlign w:val="center"/>
            <w:hideMark/>
          </w:tcPr>
          <w:p w14:paraId="2B6AD2DA"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After-tax operating cash flow</w:t>
            </w:r>
          </w:p>
        </w:tc>
        <w:tc>
          <w:tcPr>
            <w:tcW w:w="3915" w:type="dxa"/>
            <w:vAlign w:val="center"/>
            <w:hideMark/>
          </w:tcPr>
          <w:p w14:paraId="3C27CF2F"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350</w:t>
            </w:r>
          </w:p>
        </w:tc>
      </w:tr>
      <w:tr w:rsidR="001D15D0" w:rsidRPr="00AE5A6A" w14:paraId="0C02A2F0" w14:textId="77777777" w:rsidTr="0061150F">
        <w:trPr>
          <w:tblCellSpacing w:w="15" w:type="dxa"/>
        </w:trPr>
        <w:tc>
          <w:tcPr>
            <w:tcW w:w="6130" w:type="dxa"/>
            <w:vAlign w:val="center"/>
            <w:hideMark/>
          </w:tcPr>
          <w:p w14:paraId="763393B8"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Add tax saving on capital allowance (200 × 25 %)</w:t>
            </w:r>
          </w:p>
        </w:tc>
        <w:tc>
          <w:tcPr>
            <w:tcW w:w="3915" w:type="dxa"/>
            <w:vAlign w:val="center"/>
            <w:hideMark/>
          </w:tcPr>
          <w:p w14:paraId="33B6EF2F"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50</w:t>
            </w:r>
          </w:p>
        </w:tc>
      </w:tr>
      <w:tr w:rsidR="001D15D0" w:rsidRPr="00AE5A6A" w14:paraId="244FEA66" w14:textId="77777777" w:rsidTr="0061150F">
        <w:trPr>
          <w:tblCellSpacing w:w="15" w:type="dxa"/>
        </w:trPr>
        <w:tc>
          <w:tcPr>
            <w:tcW w:w="6130" w:type="dxa"/>
            <w:vAlign w:val="center"/>
            <w:hideMark/>
          </w:tcPr>
          <w:p w14:paraId="5C3181E4"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Net cash Year 1</w:t>
            </w:r>
          </w:p>
        </w:tc>
        <w:tc>
          <w:tcPr>
            <w:tcW w:w="3915" w:type="dxa"/>
            <w:vAlign w:val="center"/>
            <w:hideMark/>
          </w:tcPr>
          <w:p w14:paraId="7250E436"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400</w:t>
            </w:r>
          </w:p>
        </w:tc>
      </w:tr>
    </w:tbl>
    <w:p w14:paraId="28E00B6B" w14:textId="77777777" w:rsidR="001D15D0" w:rsidRPr="00AE5A6A" w:rsidRDefault="003B5062" w:rsidP="00A0601B">
      <w:pPr>
        <w:pStyle w:val="Heading2"/>
        <w:rPr>
          <w:lang w:val="en-GB"/>
        </w:rPr>
      </w:pPr>
      <w:bookmarkStart w:id="27" w:name="_Toc202268855"/>
      <w:r w:rsidRPr="00AE5A6A">
        <w:rPr>
          <w:lang w:val="en-GB"/>
        </w:rPr>
        <w:t xml:space="preserve">Appendix </w:t>
      </w:r>
      <w:r w:rsidR="00453D2F" w:rsidRPr="00AE5A6A">
        <w:rPr>
          <w:lang w:val="en-GB"/>
        </w:rPr>
        <w:t>7 -</w:t>
      </w:r>
      <w:r w:rsidR="001D15D0" w:rsidRPr="00AE5A6A">
        <w:rPr>
          <w:lang w:val="en-GB"/>
        </w:rPr>
        <w:t>Capital rationing: optimal policy with a £2 m limit</w:t>
      </w:r>
      <w:bookmarkEnd w:id="27"/>
    </w:p>
    <w:p w14:paraId="3622E2D6"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Rank B (1.92) → A (1.83) → C (1.56).</w:t>
      </w:r>
    </w:p>
    <w:p w14:paraId="7364F2D9" w14:textId="77777777" w:rsidR="001D15D0" w:rsidRPr="00AE5A6A" w:rsidRDefault="001D15D0" w:rsidP="00A0601B">
      <w:pPr>
        <w:numPr>
          <w:ilvl w:val="0"/>
          <w:numId w:val="18"/>
        </w:num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Invest fully in B (£1 m).</w:t>
      </w:r>
    </w:p>
    <w:p w14:paraId="02C55723" w14:textId="77777777" w:rsidR="001D15D0" w:rsidRPr="00AE5A6A" w:rsidRDefault="001D15D0" w:rsidP="00A0601B">
      <w:pPr>
        <w:numPr>
          <w:ilvl w:val="0"/>
          <w:numId w:val="18"/>
        </w:num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Invest fully in A (£0.6 m).</w:t>
      </w:r>
    </w:p>
    <w:p w14:paraId="67AC8732" w14:textId="77777777" w:rsidR="001D15D0" w:rsidRPr="00AE5A6A" w:rsidRDefault="001D15D0" w:rsidP="00A0601B">
      <w:pPr>
        <w:numPr>
          <w:ilvl w:val="0"/>
          <w:numId w:val="18"/>
        </w:num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Use remaining £0.4 m (¼) in C.</w:t>
      </w:r>
    </w:p>
    <w:p w14:paraId="60CB6CD2"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Resulting total NPV:</w:t>
      </w:r>
      <w:r w:rsidRPr="00AE5A6A">
        <w:rPr>
          <w:rFonts w:ascii="Times New Roman" w:eastAsia="Times New Roman" w:hAnsi="Times New Roman" w:cs="Times New Roman"/>
          <w:szCs w:val="24"/>
          <w:lang w:val="en-GB"/>
        </w:rPr>
        <w:br/>
        <w:t xml:space="preserve">0.921 m + 0.499 m + 0.25 × 0.893 m ≈ </w:t>
      </w:r>
      <w:r w:rsidRPr="00AE5A6A">
        <w:rPr>
          <w:rFonts w:ascii="Times New Roman" w:eastAsia="Times New Roman" w:hAnsi="Times New Roman" w:cs="Times New Roman"/>
          <w:b/>
          <w:bCs/>
          <w:szCs w:val="24"/>
          <w:lang w:val="en-GB"/>
        </w:rPr>
        <w:t>£1.64 m</w:t>
      </w:r>
      <w:r w:rsidRPr="00AE5A6A">
        <w:rPr>
          <w:rFonts w:ascii="Times New Roman" w:eastAsia="Times New Roman" w:hAnsi="Times New Roman" w:cs="Times New Roman"/>
          <w:szCs w:val="24"/>
          <w:lang w:val="en-GB"/>
        </w:rPr>
        <w:t>.</w:t>
      </w:r>
    </w:p>
    <w:p w14:paraId="771A9518" w14:textId="77777777" w:rsidR="003B5062" w:rsidRPr="00AE5A6A" w:rsidRDefault="003B5062">
      <w:pPr>
        <w:spacing w:line="276" w:lineRule="auto"/>
        <w:rPr>
          <w:rFonts w:ascii="Times New Roman" w:eastAsia="Times New Roman" w:hAnsi="Times New Roman" w:cs="Times New Roman"/>
          <w:b/>
          <w:bCs/>
          <w:sz w:val="36"/>
          <w:szCs w:val="36"/>
          <w:lang w:val="en-GB"/>
        </w:rPr>
      </w:pPr>
      <w:r w:rsidRPr="00AE5A6A">
        <w:rPr>
          <w:rFonts w:ascii="Times New Roman" w:eastAsia="Times New Roman" w:hAnsi="Times New Roman" w:cs="Times New Roman"/>
          <w:b/>
          <w:bCs/>
          <w:sz w:val="36"/>
          <w:szCs w:val="36"/>
          <w:lang w:val="en-GB"/>
        </w:rPr>
        <w:br w:type="page"/>
      </w:r>
    </w:p>
    <w:p w14:paraId="51D6ADA2" w14:textId="77777777" w:rsidR="001D15D0" w:rsidRPr="00AE5A6A" w:rsidRDefault="003B5062" w:rsidP="007B68F1">
      <w:pPr>
        <w:pStyle w:val="Heading2"/>
        <w:rPr>
          <w:lang w:val="en-GB"/>
        </w:rPr>
      </w:pPr>
      <w:bookmarkStart w:id="28" w:name="_Toc202268856"/>
      <w:r w:rsidRPr="00AE5A6A">
        <w:rPr>
          <w:lang w:val="en-GB"/>
        </w:rPr>
        <w:lastRenderedPageBreak/>
        <w:t xml:space="preserve">Appendix </w:t>
      </w:r>
      <w:r w:rsidR="00453D2F" w:rsidRPr="00AE5A6A">
        <w:rPr>
          <w:lang w:val="en-GB"/>
        </w:rPr>
        <w:t>8 -</w:t>
      </w:r>
      <w:r w:rsidR="001D15D0" w:rsidRPr="00AE5A6A">
        <w:rPr>
          <w:lang w:val="en-GB"/>
        </w:rPr>
        <w:t>Financing the programme</w:t>
      </w:r>
      <w:bookmarkEnd w:id="2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7"/>
        <w:gridCol w:w="2804"/>
        <w:gridCol w:w="2082"/>
        <w:gridCol w:w="2367"/>
      </w:tblGrid>
      <w:tr w:rsidR="001D15D0" w:rsidRPr="00AE5A6A" w14:paraId="41355F34" w14:textId="77777777" w:rsidTr="00D33CBA">
        <w:trPr>
          <w:tblHeader/>
          <w:tblCellSpacing w:w="15" w:type="dxa"/>
        </w:trPr>
        <w:tc>
          <w:tcPr>
            <w:tcW w:w="0" w:type="auto"/>
            <w:shd w:val="clear" w:color="auto" w:fill="C6D9F1" w:themeFill="text2" w:themeFillTint="33"/>
            <w:vAlign w:val="center"/>
            <w:hideMark/>
          </w:tcPr>
          <w:p w14:paraId="33CFF9B1" w14:textId="77777777" w:rsidR="001D15D0" w:rsidRPr="00AE5A6A" w:rsidRDefault="001D15D0" w:rsidP="00D33CBA">
            <w:pPr>
              <w:spacing w:after="0" w:line="240" w:lineRule="auto"/>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Source</w:t>
            </w:r>
          </w:p>
        </w:tc>
        <w:tc>
          <w:tcPr>
            <w:tcW w:w="0" w:type="auto"/>
            <w:shd w:val="clear" w:color="auto" w:fill="C6D9F1" w:themeFill="text2" w:themeFillTint="33"/>
            <w:vAlign w:val="center"/>
            <w:hideMark/>
          </w:tcPr>
          <w:p w14:paraId="4CAACCF9" w14:textId="77777777" w:rsidR="001D15D0" w:rsidRPr="00AE5A6A" w:rsidRDefault="001D15D0" w:rsidP="00D33CBA">
            <w:pPr>
              <w:spacing w:after="0" w:line="240" w:lineRule="auto"/>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Advantages</w:t>
            </w:r>
          </w:p>
        </w:tc>
        <w:tc>
          <w:tcPr>
            <w:tcW w:w="0" w:type="auto"/>
            <w:shd w:val="clear" w:color="auto" w:fill="C6D9F1" w:themeFill="text2" w:themeFillTint="33"/>
            <w:vAlign w:val="center"/>
            <w:hideMark/>
          </w:tcPr>
          <w:p w14:paraId="4F8645D9" w14:textId="77777777" w:rsidR="001D15D0" w:rsidRPr="00AE5A6A" w:rsidRDefault="001D15D0" w:rsidP="00D33CBA">
            <w:pPr>
              <w:spacing w:after="0" w:line="240" w:lineRule="auto"/>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Disadvantages</w:t>
            </w:r>
          </w:p>
        </w:tc>
        <w:tc>
          <w:tcPr>
            <w:tcW w:w="0" w:type="auto"/>
            <w:shd w:val="clear" w:color="auto" w:fill="C6D9F1" w:themeFill="text2" w:themeFillTint="33"/>
            <w:vAlign w:val="center"/>
            <w:hideMark/>
          </w:tcPr>
          <w:p w14:paraId="6D32640E" w14:textId="77777777" w:rsidR="001D15D0" w:rsidRPr="00AE5A6A" w:rsidRDefault="001D15D0" w:rsidP="00D33CBA">
            <w:pPr>
              <w:spacing w:after="0" w:line="240" w:lineRule="auto"/>
              <w:jc w:val="center"/>
              <w:rPr>
                <w:rFonts w:ascii="Times New Roman" w:eastAsia="Times New Roman" w:hAnsi="Times New Roman" w:cs="Times New Roman"/>
                <w:b/>
                <w:bCs/>
                <w:szCs w:val="24"/>
                <w:lang w:val="en-GB"/>
              </w:rPr>
            </w:pPr>
            <w:r w:rsidRPr="00AE5A6A">
              <w:rPr>
                <w:rFonts w:ascii="Times New Roman" w:eastAsia="Times New Roman" w:hAnsi="Times New Roman" w:cs="Times New Roman"/>
                <w:b/>
                <w:bCs/>
                <w:szCs w:val="24"/>
                <w:lang w:val="en-GB"/>
              </w:rPr>
              <w:t>Suitability for Jordons</w:t>
            </w:r>
          </w:p>
        </w:tc>
      </w:tr>
      <w:tr w:rsidR="001D15D0" w:rsidRPr="00AE5A6A" w14:paraId="65EB0F57" w14:textId="77777777" w:rsidTr="00D33CBA">
        <w:trPr>
          <w:tblCellSpacing w:w="15" w:type="dxa"/>
        </w:trPr>
        <w:tc>
          <w:tcPr>
            <w:tcW w:w="0" w:type="auto"/>
            <w:vAlign w:val="center"/>
            <w:hideMark/>
          </w:tcPr>
          <w:p w14:paraId="379219F2"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Retained earnings</w:t>
            </w:r>
          </w:p>
        </w:tc>
        <w:tc>
          <w:tcPr>
            <w:tcW w:w="0" w:type="auto"/>
            <w:vAlign w:val="center"/>
            <w:hideMark/>
          </w:tcPr>
          <w:p w14:paraId="7AFA1A66"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No interest cost; maintains control</w:t>
            </w:r>
          </w:p>
        </w:tc>
        <w:tc>
          <w:tcPr>
            <w:tcW w:w="0" w:type="auto"/>
            <w:vAlign w:val="center"/>
            <w:hideMark/>
          </w:tcPr>
          <w:p w14:paraId="67D3B1D0"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Finite; may limit dividend</w:t>
            </w:r>
          </w:p>
        </w:tc>
        <w:tc>
          <w:tcPr>
            <w:tcW w:w="0" w:type="auto"/>
            <w:vAlign w:val="center"/>
            <w:hideMark/>
          </w:tcPr>
          <w:p w14:paraId="3F597505"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Can cover part of £1–2 m plan</w:t>
            </w:r>
          </w:p>
        </w:tc>
      </w:tr>
      <w:tr w:rsidR="001D15D0" w:rsidRPr="00AE5A6A" w14:paraId="71758BA9" w14:textId="77777777" w:rsidTr="00D33CBA">
        <w:trPr>
          <w:tblCellSpacing w:w="15" w:type="dxa"/>
        </w:trPr>
        <w:tc>
          <w:tcPr>
            <w:tcW w:w="0" w:type="auto"/>
            <w:vAlign w:val="center"/>
            <w:hideMark/>
          </w:tcPr>
          <w:p w14:paraId="05B8643C"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Bank term loan</w:t>
            </w:r>
          </w:p>
        </w:tc>
        <w:tc>
          <w:tcPr>
            <w:tcW w:w="0" w:type="auto"/>
            <w:vAlign w:val="center"/>
            <w:hideMark/>
          </w:tcPr>
          <w:p w14:paraId="0DEA0D4B"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Predictable repayments; tax-deductible interest</w:t>
            </w:r>
          </w:p>
        </w:tc>
        <w:tc>
          <w:tcPr>
            <w:tcW w:w="0" w:type="auto"/>
            <w:vAlign w:val="center"/>
            <w:hideMark/>
          </w:tcPr>
          <w:p w14:paraId="670CB243"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Covenants, security</w:t>
            </w:r>
          </w:p>
        </w:tc>
        <w:tc>
          <w:tcPr>
            <w:tcW w:w="0" w:type="auto"/>
            <w:vAlign w:val="center"/>
            <w:hideMark/>
          </w:tcPr>
          <w:p w14:paraId="6D1FA122"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Good match for 4-year horizon</w:t>
            </w:r>
          </w:p>
        </w:tc>
      </w:tr>
      <w:tr w:rsidR="001D15D0" w:rsidRPr="00AE5A6A" w14:paraId="2AC25964" w14:textId="77777777" w:rsidTr="00D33CBA">
        <w:trPr>
          <w:tblCellSpacing w:w="15" w:type="dxa"/>
        </w:trPr>
        <w:tc>
          <w:tcPr>
            <w:tcW w:w="0" w:type="auto"/>
            <w:vAlign w:val="center"/>
            <w:hideMark/>
          </w:tcPr>
          <w:p w14:paraId="457BCB67"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Hire purchase / equipment leasing</w:t>
            </w:r>
          </w:p>
        </w:tc>
        <w:tc>
          <w:tcPr>
            <w:tcW w:w="0" w:type="auto"/>
            <w:vAlign w:val="center"/>
            <w:hideMark/>
          </w:tcPr>
          <w:p w14:paraId="393715BF"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Conserves cash; flexibility</w:t>
            </w:r>
          </w:p>
        </w:tc>
        <w:tc>
          <w:tcPr>
            <w:tcW w:w="0" w:type="auto"/>
            <w:vAlign w:val="center"/>
            <w:hideMark/>
          </w:tcPr>
          <w:p w14:paraId="114A065F"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Higher implicit cost</w:t>
            </w:r>
          </w:p>
        </w:tc>
        <w:tc>
          <w:tcPr>
            <w:tcW w:w="0" w:type="auto"/>
            <w:vAlign w:val="center"/>
            <w:hideMark/>
          </w:tcPr>
          <w:p w14:paraId="5FE33703"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Useful for specialised cutters &amp; looms</w:t>
            </w:r>
          </w:p>
        </w:tc>
      </w:tr>
      <w:tr w:rsidR="001D15D0" w:rsidRPr="00AE5A6A" w14:paraId="336F0D53" w14:textId="77777777" w:rsidTr="00D33CBA">
        <w:trPr>
          <w:tblCellSpacing w:w="15" w:type="dxa"/>
        </w:trPr>
        <w:tc>
          <w:tcPr>
            <w:tcW w:w="0" w:type="auto"/>
            <w:vAlign w:val="center"/>
            <w:hideMark/>
          </w:tcPr>
          <w:p w14:paraId="7CEC08FF"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Corporate bond / private placement</w:t>
            </w:r>
          </w:p>
        </w:tc>
        <w:tc>
          <w:tcPr>
            <w:tcW w:w="0" w:type="auto"/>
            <w:vAlign w:val="center"/>
            <w:hideMark/>
          </w:tcPr>
          <w:p w14:paraId="06221D45"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Fixed-rate long-term funds; large sums</w:t>
            </w:r>
          </w:p>
        </w:tc>
        <w:tc>
          <w:tcPr>
            <w:tcW w:w="0" w:type="auto"/>
            <w:vAlign w:val="center"/>
            <w:hideMark/>
          </w:tcPr>
          <w:p w14:paraId="65C992A4"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Issue costs; disclosure</w:t>
            </w:r>
          </w:p>
        </w:tc>
        <w:tc>
          <w:tcPr>
            <w:tcW w:w="0" w:type="auto"/>
            <w:vAlign w:val="center"/>
            <w:hideMark/>
          </w:tcPr>
          <w:p w14:paraId="010B8EB9"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Oversized for current need</w:t>
            </w:r>
          </w:p>
        </w:tc>
      </w:tr>
      <w:tr w:rsidR="001D15D0" w:rsidRPr="00AE5A6A" w14:paraId="5D2A5DCD" w14:textId="77777777" w:rsidTr="00D33CBA">
        <w:trPr>
          <w:tblCellSpacing w:w="15" w:type="dxa"/>
        </w:trPr>
        <w:tc>
          <w:tcPr>
            <w:tcW w:w="0" w:type="auto"/>
            <w:vAlign w:val="center"/>
            <w:hideMark/>
          </w:tcPr>
          <w:p w14:paraId="465EF2E2"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New equity</w:t>
            </w:r>
          </w:p>
        </w:tc>
        <w:tc>
          <w:tcPr>
            <w:tcW w:w="0" w:type="auto"/>
            <w:vAlign w:val="center"/>
            <w:hideMark/>
          </w:tcPr>
          <w:p w14:paraId="4398A340"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No fixed charges; strengthens balance sheet</w:t>
            </w:r>
          </w:p>
        </w:tc>
        <w:tc>
          <w:tcPr>
            <w:tcW w:w="0" w:type="auto"/>
            <w:vAlign w:val="center"/>
            <w:hideMark/>
          </w:tcPr>
          <w:p w14:paraId="51BBB9FF"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Dilution; underwriting fees</w:t>
            </w:r>
          </w:p>
        </w:tc>
        <w:tc>
          <w:tcPr>
            <w:tcW w:w="0" w:type="auto"/>
            <w:vAlign w:val="center"/>
            <w:hideMark/>
          </w:tcPr>
          <w:p w14:paraId="29DB4D1F"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Consider only if gearing is high</w:t>
            </w:r>
          </w:p>
        </w:tc>
      </w:tr>
      <w:tr w:rsidR="001D15D0" w:rsidRPr="00AE5A6A" w14:paraId="455680EA" w14:textId="77777777" w:rsidTr="00D33CBA">
        <w:trPr>
          <w:tblCellSpacing w:w="15" w:type="dxa"/>
        </w:trPr>
        <w:tc>
          <w:tcPr>
            <w:tcW w:w="0" w:type="auto"/>
            <w:vAlign w:val="center"/>
            <w:hideMark/>
          </w:tcPr>
          <w:p w14:paraId="3D5D5C83" w14:textId="77777777" w:rsidR="001D15D0" w:rsidRPr="00AE5A6A" w:rsidRDefault="001D15D0" w:rsidP="00A0601B">
            <w:pPr>
              <w:spacing w:after="0"/>
              <w:rPr>
                <w:rFonts w:ascii="Times New Roman" w:eastAsia="Times New Roman" w:hAnsi="Times New Roman" w:cs="Times New Roman"/>
                <w:szCs w:val="24"/>
                <w:lang w:val="en-GB"/>
              </w:rPr>
            </w:pPr>
            <w:r w:rsidRPr="00AE5A6A">
              <w:rPr>
                <w:rFonts w:ascii="Times New Roman" w:eastAsia="Times New Roman" w:hAnsi="Times New Roman" w:cs="Times New Roman"/>
                <w:b/>
                <w:bCs/>
                <w:szCs w:val="24"/>
                <w:lang w:val="en-GB"/>
              </w:rPr>
              <w:t>Government grants / green loans</w:t>
            </w:r>
          </w:p>
        </w:tc>
        <w:tc>
          <w:tcPr>
            <w:tcW w:w="0" w:type="auto"/>
            <w:vAlign w:val="center"/>
            <w:hideMark/>
          </w:tcPr>
          <w:p w14:paraId="41B2DBAA"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Low cost if available</w:t>
            </w:r>
          </w:p>
        </w:tc>
        <w:tc>
          <w:tcPr>
            <w:tcW w:w="0" w:type="auto"/>
            <w:vAlign w:val="center"/>
            <w:hideMark/>
          </w:tcPr>
          <w:p w14:paraId="05A1ECF1"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Eligibility conditions</w:t>
            </w:r>
          </w:p>
        </w:tc>
        <w:tc>
          <w:tcPr>
            <w:tcW w:w="0" w:type="auto"/>
            <w:vAlign w:val="center"/>
            <w:hideMark/>
          </w:tcPr>
          <w:p w14:paraId="300B8768" w14:textId="77777777" w:rsidR="001D15D0" w:rsidRPr="00AE5A6A" w:rsidRDefault="001D15D0" w:rsidP="00A0601B">
            <w:pPr>
              <w:spacing w:after="0"/>
              <w:jc w:val="center"/>
              <w:rPr>
                <w:rFonts w:ascii="Times New Roman" w:eastAsia="Times New Roman" w:hAnsi="Times New Roman" w:cs="Times New Roman"/>
                <w:szCs w:val="24"/>
                <w:lang w:val="en-GB"/>
              </w:rPr>
            </w:pPr>
            <w:r w:rsidRPr="00AE5A6A">
              <w:rPr>
                <w:rFonts w:ascii="Times New Roman" w:eastAsia="Times New Roman" w:hAnsi="Times New Roman" w:cs="Times New Roman"/>
                <w:szCs w:val="24"/>
                <w:lang w:val="en-GB"/>
              </w:rPr>
              <w:t>Possible for energy-efficient plant</w:t>
            </w:r>
          </w:p>
        </w:tc>
      </w:tr>
    </w:tbl>
    <w:p w14:paraId="229C6C93" w14:textId="77777777" w:rsidR="0022576E" w:rsidRPr="00AE5A6A" w:rsidRDefault="0022576E" w:rsidP="0061150F">
      <w:pPr>
        <w:tabs>
          <w:tab w:val="left" w:pos="3870"/>
        </w:tabs>
        <w:spacing w:before="100" w:beforeAutospacing="1" w:after="100" w:afterAutospacing="1"/>
        <w:jc w:val="both"/>
        <w:rPr>
          <w:rFonts w:ascii="Times New Roman" w:eastAsia="Times New Roman" w:hAnsi="Times New Roman" w:cs="Times New Roman"/>
          <w:szCs w:val="24"/>
          <w:lang w:val="en-GB"/>
        </w:rPr>
      </w:pPr>
    </w:p>
    <w:p w14:paraId="65FDF587" w14:textId="77777777" w:rsidR="0022576E" w:rsidRPr="00AE5A6A" w:rsidRDefault="0022576E" w:rsidP="00914F46">
      <w:pPr>
        <w:pStyle w:val="NormalWeb"/>
        <w:spacing w:line="360" w:lineRule="auto"/>
        <w:ind w:left="720"/>
        <w:rPr>
          <w:lang w:val="en-GB"/>
        </w:rPr>
      </w:pPr>
    </w:p>
    <w:p w14:paraId="5AC129BD" w14:textId="77777777" w:rsidR="003B5062" w:rsidRPr="00AE5A6A" w:rsidRDefault="003B5062">
      <w:pPr>
        <w:spacing w:line="276" w:lineRule="auto"/>
        <w:rPr>
          <w:rFonts w:ascii="Times New Roman" w:eastAsia="Times New Roman" w:hAnsi="Times New Roman" w:cs="Times New Roman"/>
          <w:szCs w:val="24"/>
          <w:lang w:val="en-GB"/>
        </w:rPr>
      </w:pPr>
      <w:r w:rsidRPr="00AE5A6A">
        <w:rPr>
          <w:rFonts w:ascii="Times New Roman" w:hAnsi="Times New Roman" w:cs="Times New Roman"/>
          <w:lang w:val="en-GB"/>
        </w:rPr>
        <w:br w:type="page"/>
      </w:r>
    </w:p>
    <w:p w14:paraId="3F6B0E81" w14:textId="77777777" w:rsidR="0022576E" w:rsidRPr="00AE5A6A" w:rsidRDefault="0022576E" w:rsidP="007B68F1">
      <w:pPr>
        <w:pStyle w:val="Heading2"/>
        <w:rPr>
          <w:lang w:val="en-GB"/>
        </w:rPr>
      </w:pPr>
      <w:bookmarkStart w:id="29" w:name="_Toc202268857"/>
      <w:r w:rsidRPr="00AE5A6A">
        <w:rPr>
          <w:lang w:val="en-GB"/>
        </w:rPr>
        <w:lastRenderedPageBreak/>
        <w:t xml:space="preserve">Appendix </w:t>
      </w:r>
      <w:r w:rsidR="00453D2F" w:rsidRPr="00AE5A6A">
        <w:rPr>
          <w:lang w:val="en-GB"/>
        </w:rPr>
        <w:t>9 -</w:t>
      </w:r>
      <w:r w:rsidRPr="00AE5A6A">
        <w:rPr>
          <w:lang w:val="en-GB"/>
        </w:rPr>
        <w:t xml:space="preserve"> AI Declaration: Acknowledgement of Not Using Any AI Tools</w:t>
      </w:r>
      <w:bookmarkEnd w:id="29"/>
    </w:p>
    <w:tbl>
      <w:tblPr>
        <w:tblStyle w:val="TableGrid"/>
        <w:tblW w:w="5000" w:type="pct"/>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443"/>
        <w:gridCol w:w="5861"/>
        <w:gridCol w:w="1539"/>
      </w:tblGrid>
      <w:tr w:rsidR="0022576E" w:rsidRPr="00AE5A6A" w14:paraId="39E99EBD" w14:textId="77777777" w:rsidTr="003B5062">
        <w:trPr>
          <w:trHeight w:val="300"/>
        </w:trPr>
        <w:tc>
          <w:tcPr>
            <w:tcW w:w="1241" w:type="pct"/>
            <w:tcMar>
              <w:left w:w="105" w:type="dxa"/>
              <w:right w:w="105" w:type="dxa"/>
            </w:tcMar>
          </w:tcPr>
          <w:p w14:paraId="09183259"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RESEARCH</w:t>
            </w:r>
          </w:p>
        </w:tc>
        <w:tc>
          <w:tcPr>
            <w:tcW w:w="2977" w:type="pct"/>
            <w:tcMar>
              <w:left w:w="105" w:type="dxa"/>
              <w:right w:w="105" w:type="dxa"/>
            </w:tcMar>
          </w:tcPr>
          <w:p w14:paraId="00503EC0" w14:textId="77777777" w:rsidR="0022576E" w:rsidRPr="00AE5A6A" w:rsidRDefault="0022576E" w:rsidP="00027E98">
            <w:pPr>
              <w:jc w:val="both"/>
              <w:rPr>
                <w:rFonts w:ascii="Times New Roman" w:eastAsia="Calibri" w:hAnsi="Times New Roman"/>
                <w:szCs w:val="24"/>
              </w:rPr>
            </w:pPr>
            <w:r w:rsidRPr="00AE5A6A">
              <w:rPr>
                <w:rFonts w:ascii="Times New Roman" w:eastAsia="Calibri" w:hAnsi="Times New Roman"/>
                <w:szCs w:val="24"/>
              </w:rPr>
              <w:t>For this assessment, you can use Generative AI to support you in research, including searching for bibliography, using tools to summarise, compare and interrogate materials.</w:t>
            </w:r>
          </w:p>
        </w:tc>
        <w:tc>
          <w:tcPr>
            <w:tcW w:w="782" w:type="pct"/>
          </w:tcPr>
          <w:p w14:paraId="21840AFE"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Yes </w:t>
            </w:r>
            <w:sdt>
              <w:sdtPr>
                <w:rPr>
                  <w:rFonts w:ascii="Times New Roman" w:hAnsi="Times New Roman"/>
                  <w:szCs w:val="24"/>
                </w:rPr>
                <w:id w:val="2132582787"/>
              </w:sdtPr>
              <w:sdtContent>
                <w:r w:rsidRPr="00AE5A6A">
                  <w:rPr>
                    <w:rFonts w:ascii="Segoe UI Symbol" w:eastAsia="MS Gothic" w:hAnsi="Segoe UI Symbol" w:cs="Segoe UI Symbol"/>
                    <w:szCs w:val="24"/>
                  </w:rPr>
                  <w:t>☐</w:t>
                </w:r>
              </w:sdtContent>
            </w:sdt>
          </w:p>
          <w:p w14:paraId="61A67170" w14:textId="77777777" w:rsidR="0022576E" w:rsidRPr="00AE5A6A" w:rsidRDefault="0022576E" w:rsidP="00027E98">
            <w:pPr>
              <w:rPr>
                <w:rFonts w:ascii="Times New Roman" w:eastAsia="Calibri" w:hAnsi="Times New Roman"/>
                <w:szCs w:val="24"/>
              </w:rPr>
            </w:pPr>
          </w:p>
          <w:p w14:paraId="495AC2A2"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No  </w:t>
            </w:r>
            <w:sdt>
              <w:sdtPr>
                <w:rPr>
                  <w:rFonts w:ascii="Times New Roman" w:hAnsi="Times New Roman"/>
                  <w:szCs w:val="24"/>
                </w:rPr>
                <w:id w:val="232746510"/>
              </w:sdtPr>
              <w:sdtContent>
                <w:r w:rsidRPr="00AE5A6A">
                  <w:rPr>
                    <w:rFonts w:ascii="Segoe UI Symbol" w:eastAsia="MS Gothic" w:hAnsi="Segoe UI Symbol" w:cs="Segoe UI Symbol"/>
                    <w:szCs w:val="24"/>
                  </w:rPr>
                  <w:t>☒</w:t>
                </w:r>
              </w:sdtContent>
            </w:sdt>
          </w:p>
        </w:tc>
      </w:tr>
      <w:tr w:rsidR="0022576E" w:rsidRPr="00AE5A6A" w14:paraId="01AB5BBF" w14:textId="77777777" w:rsidTr="003B5062">
        <w:trPr>
          <w:trHeight w:val="300"/>
        </w:trPr>
        <w:tc>
          <w:tcPr>
            <w:tcW w:w="1241" w:type="pct"/>
            <w:tcMar>
              <w:left w:w="105" w:type="dxa"/>
              <w:right w:w="105" w:type="dxa"/>
            </w:tcMar>
          </w:tcPr>
          <w:p w14:paraId="527B82FD"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STRUCTURE</w:t>
            </w:r>
          </w:p>
        </w:tc>
        <w:tc>
          <w:tcPr>
            <w:tcW w:w="2977" w:type="pct"/>
            <w:tcMar>
              <w:left w:w="105" w:type="dxa"/>
              <w:right w:w="105" w:type="dxa"/>
            </w:tcMar>
          </w:tcPr>
          <w:p w14:paraId="675D04F1" w14:textId="77777777" w:rsidR="0022576E" w:rsidRPr="00AE5A6A" w:rsidRDefault="0022576E" w:rsidP="00027E98">
            <w:pPr>
              <w:jc w:val="both"/>
              <w:rPr>
                <w:rFonts w:ascii="Times New Roman" w:eastAsia="Calibri" w:hAnsi="Times New Roman"/>
                <w:szCs w:val="24"/>
              </w:rPr>
            </w:pPr>
            <w:r w:rsidRPr="00AE5A6A">
              <w:rPr>
                <w:rFonts w:ascii="Times New Roman" w:eastAsia="Calibri" w:hAnsi="Times New Roman"/>
                <w:szCs w:val="24"/>
              </w:rPr>
              <w:t>For this assessment, you can use Generative AI to support you in structuring your submission, including creating a draft argument structure, identifying parts and headings, etc.</w:t>
            </w:r>
          </w:p>
        </w:tc>
        <w:tc>
          <w:tcPr>
            <w:tcW w:w="782" w:type="pct"/>
          </w:tcPr>
          <w:p w14:paraId="76937401"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Yes </w:t>
            </w:r>
            <w:sdt>
              <w:sdtPr>
                <w:rPr>
                  <w:rFonts w:ascii="Times New Roman" w:hAnsi="Times New Roman"/>
                  <w:szCs w:val="24"/>
                </w:rPr>
                <w:id w:val="-1963106295"/>
              </w:sdtPr>
              <w:sdtContent>
                <w:r w:rsidRPr="00AE5A6A">
                  <w:rPr>
                    <w:rFonts w:ascii="Segoe UI Symbol" w:eastAsia="MS Gothic" w:hAnsi="Segoe UI Symbol" w:cs="Segoe UI Symbol"/>
                    <w:szCs w:val="24"/>
                  </w:rPr>
                  <w:t>☐</w:t>
                </w:r>
              </w:sdtContent>
            </w:sdt>
          </w:p>
          <w:p w14:paraId="11D63E21" w14:textId="77777777" w:rsidR="0022576E" w:rsidRPr="00AE5A6A" w:rsidRDefault="0022576E" w:rsidP="00027E98">
            <w:pPr>
              <w:rPr>
                <w:rFonts w:ascii="Times New Roman" w:eastAsia="Calibri" w:hAnsi="Times New Roman"/>
                <w:szCs w:val="24"/>
              </w:rPr>
            </w:pPr>
          </w:p>
          <w:p w14:paraId="631A43E4"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No  </w:t>
            </w:r>
            <w:sdt>
              <w:sdtPr>
                <w:rPr>
                  <w:rFonts w:ascii="Times New Roman" w:hAnsi="Times New Roman"/>
                  <w:szCs w:val="24"/>
                </w:rPr>
                <w:id w:val="-1770765072"/>
              </w:sdtPr>
              <w:sdtContent>
                <w:r w:rsidRPr="00AE5A6A">
                  <w:rPr>
                    <w:rFonts w:ascii="Segoe UI Symbol" w:eastAsia="MS Gothic" w:hAnsi="Segoe UI Symbol" w:cs="Segoe UI Symbol"/>
                    <w:szCs w:val="24"/>
                  </w:rPr>
                  <w:t>☒</w:t>
                </w:r>
              </w:sdtContent>
            </w:sdt>
          </w:p>
        </w:tc>
      </w:tr>
      <w:tr w:rsidR="0022576E" w:rsidRPr="00AE5A6A" w14:paraId="6379DA59" w14:textId="77777777" w:rsidTr="003B5062">
        <w:trPr>
          <w:trHeight w:val="300"/>
        </w:trPr>
        <w:tc>
          <w:tcPr>
            <w:tcW w:w="1241" w:type="pct"/>
            <w:tcMar>
              <w:left w:w="105" w:type="dxa"/>
              <w:right w:w="105" w:type="dxa"/>
            </w:tcMar>
          </w:tcPr>
          <w:p w14:paraId="25EB60AA"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PROOFREADING</w:t>
            </w:r>
          </w:p>
        </w:tc>
        <w:tc>
          <w:tcPr>
            <w:tcW w:w="2977" w:type="pct"/>
            <w:tcMar>
              <w:left w:w="105" w:type="dxa"/>
              <w:right w:w="105" w:type="dxa"/>
            </w:tcMar>
          </w:tcPr>
          <w:p w14:paraId="51E82F07" w14:textId="77777777" w:rsidR="0022576E" w:rsidRPr="00AE5A6A" w:rsidRDefault="0022576E" w:rsidP="00027E98">
            <w:pPr>
              <w:jc w:val="both"/>
              <w:rPr>
                <w:rFonts w:ascii="Times New Roman" w:eastAsia="Calibri" w:hAnsi="Times New Roman"/>
                <w:szCs w:val="24"/>
              </w:rPr>
            </w:pPr>
            <w:r w:rsidRPr="00AE5A6A">
              <w:rPr>
                <w:rFonts w:ascii="Times New Roman" w:eastAsia="Calibri" w:hAnsi="Times New Roman"/>
                <w:szCs w:val="24"/>
              </w:rPr>
              <w:t>For this assessment, you can use Generative AI to check your own text/creation for grammatical and syntactical mistakes, including rephrasing of your own work within specific standards.</w:t>
            </w:r>
          </w:p>
        </w:tc>
        <w:tc>
          <w:tcPr>
            <w:tcW w:w="782" w:type="pct"/>
          </w:tcPr>
          <w:p w14:paraId="53610525"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Yes </w:t>
            </w:r>
            <w:sdt>
              <w:sdtPr>
                <w:rPr>
                  <w:rFonts w:ascii="Times New Roman" w:hAnsi="Times New Roman"/>
                  <w:szCs w:val="24"/>
                </w:rPr>
                <w:id w:val="-1324893659"/>
              </w:sdtPr>
              <w:sdtContent>
                <w:r w:rsidRPr="00AE5A6A">
                  <w:rPr>
                    <w:rFonts w:ascii="Segoe UI Symbol" w:eastAsia="MS Gothic" w:hAnsi="Segoe UI Symbol" w:cs="Segoe UI Symbol"/>
                    <w:szCs w:val="24"/>
                  </w:rPr>
                  <w:t>☐</w:t>
                </w:r>
              </w:sdtContent>
            </w:sdt>
          </w:p>
          <w:p w14:paraId="4C0F41F8" w14:textId="77777777" w:rsidR="0022576E" w:rsidRPr="00AE5A6A" w:rsidRDefault="0022576E" w:rsidP="00027E98">
            <w:pPr>
              <w:rPr>
                <w:rFonts w:ascii="Times New Roman" w:eastAsia="Calibri" w:hAnsi="Times New Roman"/>
                <w:szCs w:val="24"/>
              </w:rPr>
            </w:pPr>
          </w:p>
          <w:p w14:paraId="0062A5A8"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No  </w:t>
            </w:r>
            <w:sdt>
              <w:sdtPr>
                <w:rPr>
                  <w:rFonts w:ascii="Times New Roman" w:hAnsi="Times New Roman"/>
                  <w:szCs w:val="24"/>
                </w:rPr>
                <w:id w:val="-2147112077"/>
              </w:sdtPr>
              <w:sdtContent>
                <w:r w:rsidRPr="00AE5A6A">
                  <w:rPr>
                    <w:rFonts w:ascii="Segoe UI Symbol" w:eastAsia="MS Gothic" w:hAnsi="Segoe UI Symbol" w:cs="Segoe UI Symbol"/>
                    <w:szCs w:val="24"/>
                  </w:rPr>
                  <w:t>☒</w:t>
                </w:r>
              </w:sdtContent>
            </w:sdt>
          </w:p>
        </w:tc>
      </w:tr>
      <w:tr w:rsidR="0022576E" w:rsidRPr="00AE5A6A" w14:paraId="01AE3705" w14:textId="77777777" w:rsidTr="003B5062">
        <w:trPr>
          <w:trHeight w:val="300"/>
        </w:trPr>
        <w:tc>
          <w:tcPr>
            <w:tcW w:w="1241" w:type="pct"/>
            <w:tcMar>
              <w:left w:w="105" w:type="dxa"/>
              <w:right w:w="105" w:type="dxa"/>
            </w:tcMar>
          </w:tcPr>
          <w:p w14:paraId="54BA6AA3"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WRITING</w:t>
            </w:r>
          </w:p>
        </w:tc>
        <w:tc>
          <w:tcPr>
            <w:tcW w:w="2977" w:type="pct"/>
            <w:tcMar>
              <w:left w:w="105" w:type="dxa"/>
              <w:right w:w="105" w:type="dxa"/>
            </w:tcMar>
          </w:tcPr>
          <w:p w14:paraId="0E99E36F" w14:textId="77777777" w:rsidR="0022576E" w:rsidRPr="00AE5A6A" w:rsidRDefault="0022576E" w:rsidP="00027E98">
            <w:pPr>
              <w:jc w:val="both"/>
              <w:rPr>
                <w:rFonts w:ascii="Times New Roman" w:eastAsia="Calibri" w:hAnsi="Times New Roman"/>
                <w:szCs w:val="24"/>
              </w:rPr>
            </w:pPr>
            <w:r w:rsidRPr="00AE5A6A">
              <w:rPr>
                <w:rFonts w:ascii="Times New Roman" w:eastAsia="Calibri" w:hAnsi="Times New Roman"/>
                <w:szCs w:val="24"/>
              </w:rPr>
              <w:t>For this assessment, you can use Generative AI to create text for submission.</w:t>
            </w:r>
          </w:p>
        </w:tc>
        <w:tc>
          <w:tcPr>
            <w:tcW w:w="782" w:type="pct"/>
          </w:tcPr>
          <w:p w14:paraId="40B6C23C"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Yes </w:t>
            </w:r>
            <w:sdt>
              <w:sdtPr>
                <w:rPr>
                  <w:rFonts w:ascii="Times New Roman" w:hAnsi="Times New Roman"/>
                  <w:szCs w:val="24"/>
                </w:rPr>
                <w:id w:val="-369145368"/>
              </w:sdtPr>
              <w:sdtContent>
                <w:r w:rsidRPr="00AE5A6A">
                  <w:rPr>
                    <w:rFonts w:ascii="Segoe UI Symbol" w:eastAsia="MS Gothic" w:hAnsi="Segoe UI Symbol" w:cs="Segoe UI Symbol"/>
                    <w:szCs w:val="24"/>
                  </w:rPr>
                  <w:t>☐</w:t>
                </w:r>
              </w:sdtContent>
            </w:sdt>
          </w:p>
          <w:p w14:paraId="3E465861" w14:textId="77777777" w:rsidR="0022576E" w:rsidRPr="00AE5A6A" w:rsidRDefault="0022576E" w:rsidP="00027E98">
            <w:pPr>
              <w:rPr>
                <w:rFonts w:ascii="Times New Roman" w:eastAsia="Calibri" w:hAnsi="Times New Roman"/>
                <w:szCs w:val="24"/>
              </w:rPr>
            </w:pPr>
          </w:p>
          <w:p w14:paraId="2BB96040"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No  </w:t>
            </w:r>
            <w:sdt>
              <w:sdtPr>
                <w:rPr>
                  <w:rFonts w:ascii="Times New Roman" w:hAnsi="Times New Roman"/>
                  <w:szCs w:val="24"/>
                </w:rPr>
                <w:id w:val="-1362739539"/>
              </w:sdtPr>
              <w:sdtContent>
                <w:r w:rsidRPr="00AE5A6A">
                  <w:rPr>
                    <w:rFonts w:ascii="Segoe UI Symbol" w:eastAsia="MS Gothic" w:hAnsi="Segoe UI Symbol" w:cs="Segoe UI Symbol"/>
                    <w:szCs w:val="24"/>
                  </w:rPr>
                  <w:t>☒</w:t>
                </w:r>
              </w:sdtContent>
            </w:sdt>
          </w:p>
        </w:tc>
      </w:tr>
      <w:tr w:rsidR="0022576E" w:rsidRPr="00AE5A6A" w14:paraId="11035BCF" w14:textId="77777777" w:rsidTr="003B5062">
        <w:trPr>
          <w:trHeight w:val="300"/>
        </w:trPr>
        <w:tc>
          <w:tcPr>
            <w:tcW w:w="1241" w:type="pct"/>
            <w:tcMar>
              <w:left w:w="105" w:type="dxa"/>
              <w:right w:w="105" w:type="dxa"/>
            </w:tcMar>
          </w:tcPr>
          <w:p w14:paraId="13815E09"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CREATIVE</w:t>
            </w:r>
          </w:p>
        </w:tc>
        <w:tc>
          <w:tcPr>
            <w:tcW w:w="2977" w:type="pct"/>
            <w:tcMar>
              <w:left w:w="105" w:type="dxa"/>
              <w:right w:w="105" w:type="dxa"/>
            </w:tcMar>
          </w:tcPr>
          <w:p w14:paraId="650140FB" w14:textId="77777777" w:rsidR="0022576E" w:rsidRPr="00AE5A6A" w:rsidRDefault="0022576E" w:rsidP="00027E98">
            <w:pPr>
              <w:jc w:val="both"/>
              <w:rPr>
                <w:rFonts w:ascii="Times New Roman" w:eastAsia="Calibri" w:hAnsi="Times New Roman"/>
                <w:szCs w:val="24"/>
              </w:rPr>
            </w:pPr>
            <w:r w:rsidRPr="00AE5A6A">
              <w:rPr>
                <w:rFonts w:ascii="Times New Roman" w:eastAsia="Calibri" w:hAnsi="Times New Roman"/>
                <w:szCs w:val="24"/>
              </w:rPr>
              <w:t>For this assessment, you can use Generative AI to create creative materials, such as images.</w:t>
            </w:r>
          </w:p>
        </w:tc>
        <w:tc>
          <w:tcPr>
            <w:tcW w:w="782" w:type="pct"/>
          </w:tcPr>
          <w:p w14:paraId="7C26D97C"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Yes </w:t>
            </w:r>
            <w:sdt>
              <w:sdtPr>
                <w:rPr>
                  <w:rFonts w:ascii="Times New Roman" w:hAnsi="Times New Roman"/>
                  <w:szCs w:val="24"/>
                </w:rPr>
                <w:id w:val="2010552085"/>
              </w:sdtPr>
              <w:sdtContent>
                <w:r w:rsidRPr="00AE5A6A">
                  <w:rPr>
                    <w:rFonts w:ascii="Segoe UI Symbol" w:eastAsia="MS Gothic" w:hAnsi="Segoe UI Symbol" w:cs="Segoe UI Symbol"/>
                    <w:szCs w:val="24"/>
                  </w:rPr>
                  <w:t>☐</w:t>
                </w:r>
              </w:sdtContent>
            </w:sdt>
          </w:p>
          <w:p w14:paraId="7972775C" w14:textId="77777777" w:rsidR="0022576E" w:rsidRPr="00AE5A6A" w:rsidRDefault="0022576E" w:rsidP="00027E98">
            <w:pPr>
              <w:rPr>
                <w:rFonts w:ascii="Times New Roman" w:eastAsia="Calibri" w:hAnsi="Times New Roman"/>
                <w:szCs w:val="24"/>
              </w:rPr>
            </w:pPr>
          </w:p>
          <w:p w14:paraId="3759F471"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No  </w:t>
            </w:r>
            <w:sdt>
              <w:sdtPr>
                <w:rPr>
                  <w:rFonts w:ascii="Times New Roman" w:hAnsi="Times New Roman"/>
                  <w:szCs w:val="24"/>
                </w:rPr>
                <w:id w:val="1717855451"/>
              </w:sdtPr>
              <w:sdtContent>
                <w:r w:rsidRPr="00AE5A6A">
                  <w:rPr>
                    <w:rFonts w:ascii="Segoe UI Symbol" w:eastAsia="MS Gothic" w:hAnsi="Segoe UI Symbol" w:cs="Segoe UI Symbol"/>
                    <w:szCs w:val="24"/>
                  </w:rPr>
                  <w:t>☒</w:t>
                </w:r>
              </w:sdtContent>
            </w:sdt>
          </w:p>
        </w:tc>
      </w:tr>
      <w:tr w:rsidR="0022576E" w:rsidRPr="00AE5A6A" w14:paraId="419AC772" w14:textId="77777777" w:rsidTr="003B5062">
        <w:trPr>
          <w:trHeight w:val="300"/>
        </w:trPr>
        <w:tc>
          <w:tcPr>
            <w:tcW w:w="1241" w:type="pct"/>
            <w:tcMar>
              <w:left w:w="105" w:type="dxa"/>
              <w:right w:w="105" w:type="dxa"/>
            </w:tcMar>
          </w:tcPr>
          <w:p w14:paraId="48E5D5FC" w14:textId="77777777" w:rsidR="0022576E" w:rsidRPr="00AE5A6A" w:rsidRDefault="0022576E" w:rsidP="00027E98">
            <w:pPr>
              <w:rPr>
                <w:rFonts w:ascii="Times New Roman" w:hAnsi="Times New Roman"/>
                <w:szCs w:val="24"/>
              </w:rPr>
            </w:pPr>
            <w:r w:rsidRPr="00AE5A6A">
              <w:rPr>
                <w:rFonts w:ascii="Times New Roman" w:eastAsia="Calibri" w:hAnsi="Times New Roman"/>
                <w:szCs w:val="24"/>
              </w:rPr>
              <w:t>PROGRAMING</w:t>
            </w:r>
          </w:p>
        </w:tc>
        <w:tc>
          <w:tcPr>
            <w:tcW w:w="2977" w:type="pct"/>
            <w:tcMar>
              <w:left w:w="105" w:type="dxa"/>
              <w:right w:w="105" w:type="dxa"/>
            </w:tcMar>
          </w:tcPr>
          <w:p w14:paraId="344F10D2" w14:textId="77777777" w:rsidR="0022576E" w:rsidRPr="00AE5A6A" w:rsidRDefault="0022576E" w:rsidP="00027E98">
            <w:pPr>
              <w:jc w:val="both"/>
              <w:rPr>
                <w:rFonts w:ascii="Times New Roman" w:eastAsia="Calibri" w:hAnsi="Times New Roman"/>
                <w:szCs w:val="24"/>
              </w:rPr>
            </w:pPr>
            <w:r w:rsidRPr="00AE5A6A">
              <w:rPr>
                <w:rFonts w:ascii="Times New Roman" w:eastAsia="Calibri" w:hAnsi="Times New Roman"/>
                <w:szCs w:val="24"/>
              </w:rPr>
              <w:t>For this assessment, you can use Generative AI to create and check code.</w:t>
            </w:r>
          </w:p>
        </w:tc>
        <w:tc>
          <w:tcPr>
            <w:tcW w:w="782" w:type="pct"/>
          </w:tcPr>
          <w:p w14:paraId="58450DD2"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Yes </w:t>
            </w:r>
            <w:sdt>
              <w:sdtPr>
                <w:rPr>
                  <w:rFonts w:ascii="Times New Roman" w:hAnsi="Times New Roman"/>
                  <w:szCs w:val="24"/>
                </w:rPr>
                <w:id w:val="1136687853"/>
              </w:sdtPr>
              <w:sdtContent>
                <w:r w:rsidRPr="00AE5A6A">
                  <w:rPr>
                    <w:rFonts w:ascii="Segoe UI Symbol" w:eastAsia="MS Gothic" w:hAnsi="Segoe UI Symbol" w:cs="Segoe UI Symbol"/>
                    <w:szCs w:val="24"/>
                  </w:rPr>
                  <w:t>☐</w:t>
                </w:r>
              </w:sdtContent>
            </w:sdt>
          </w:p>
          <w:p w14:paraId="6C3020B4" w14:textId="77777777" w:rsidR="0022576E" w:rsidRPr="00AE5A6A" w:rsidRDefault="0022576E" w:rsidP="00027E98">
            <w:pPr>
              <w:rPr>
                <w:rFonts w:ascii="Times New Roman" w:eastAsia="Calibri" w:hAnsi="Times New Roman"/>
                <w:szCs w:val="24"/>
              </w:rPr>
            </w:pPr>
          </w:p>
          <w:p w14:paraId="0D639D6B"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No  </w:t>
            </w:r>
            <w:sdt>
              <w:sdtPr>
                <w:rPr>
                  <w:rFonts w:ascii="Times New Roman" w:hAnsi="Times New Roman"/>
                  <w:szCs w:val="24"/>
                </w:rPr>
                <w:id w:val="648559774"/>
              </w:sdtPr>
              <w:sdtContent>
                <w:r w:rsidRPr="00AE5A6A">
                  <w:rPr>
                    <w:rFonts w:ascii="Segoe UI Symbol" w:eastAsia="MS Gothic" w:hAnsi="Segoe UI Symbol" w:cs="Segoe UI Symbol"/>
                    <w:szCs w:val="24"/>
                  </w:rPr>
                  <w:t>☒</w:t>
                </w:r>
              </w:sdtContent>
            </w:sdt>
          </w:p>
        </w:tc>
      </w:tr>
      <w:tr w:rsidR="0022576E" w:rsidRPr="00AE5A6A" w14:paraId="3DCAA243" w14:textId="77777777" w:rsidTr="003B5062">
        <w:trPr>
          <w:trHeight w:val="300"/>
        </w:trPr>
        <w:tc>
          <w:tcPr>
            <w:tcW w:w="1241" w:type="pct"/>
            <w:tcMar>
              <w:left w:w="105" w:type="dxa"/>
              <w:right w:w="105" w:type="dxa"/>
            </w:tcMar>
          </w:tcPr>
          <w:p w14:paraId="69E23561"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NONE</w:t>
            </w:r>
          </w:p>
        </w:tc>
        <w:tc>
          <w:tcPr>
            <w:tcW w:w="2977" w:type="pct"/>
            <w:tcMar>
              <w:left w:w="105" w:type="dxa"/>
              <w:right w:w="105" w:type="dxa"/>
            </w:tcMar>
          </w:tcPr>
          <w:p w14:paraId="2626C9B1" w14:textId="77777777" w:rsidR="0022576E" w:rsidRPr="00AE5A6A" w:rsidRDefault="0022576E" w:rsidP="00027E98">
            <w:pPr>
              <w:jc w:val="both"/>
              <w:rPr>
                <w:rFonts w:ascii="Times New Roman" w:eastAsia="Calibri" w:hAnsi="Times New Roman"/>
                <w:szCs w:val="24"/>
              </w:rPr>
            </w:pPr>
            <w:r w:rsidRPr="00AE5A6A">
              <w:rPr>
                <w:rFonts w:ascii="Times New Roman" w:eastAsia="Calibri" w:hAnsi="Times New Roman"/>
                <w:szCs w:val="24"/>
              </w:rPr>
              <w:t xml:space="preserve">For this assessment, you are not allowed to use </w:t>
            </w:r>
            <w:r w:rsidRPr="00AE5A6A">
              <w:rPr>
                <w:rFonts w:ascii="Times New Roman" w:eastAsia="Calibri" w:hAnsi="Times New Roman"/>
                <w:b/>
                <w:bCs/>
                <w:szCs w:val="24"/>
              </w:rPr>
              <w:t>any</w:t>
            </w:r>
            <w:r w:rsidRPr="00AE5A6A">
              <w:rPr>
                <w:rFonts w:ascii="Times New Roman" w:eastAsia="Calibri" w:hAnsi="Times New Roman"/>
                <w:szCs w:val="24"/>
              </w:rPr>
              <w:t xml:space="preserve"> type of Generative AI support. This includes research support, structure support, writing/proofreading support and creative support.</w:t>
            </w:r>
          </w:p>
        </w:tc>
        <w:tc>
          <w:tcPr>
            <w:tcW w:w="782" w:type="pct"/>
          </w:tcPr>
          <w:p w14:paraId="39146404"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Yes </w:t>
            </w:r>
            <w:sdt>
              <w:sdtPr>
                <w:rPr>
                  <w:rFonts w:ascii="Times New Roman" w:hAnsi="Times New Roman"/>
                  <w:szCs w:val="24"/>
                </w:rPr>
                <w:id w:val="1610168832"/>
              </w:sdtPr>
              <w:sdtContent>
                <w:r w:rsidRPr="00AE5A6A">
                  <w:rPr>
                    <w:rFonts w:ascii="Segoe UI Symbol" w:eastAsia="MS Gothic" w:hAnsi="Segoe UI Symbol" w:cs="Segoe UI Symbol"/>
                    <w:szCs w:val="24"/>
                  </w:rPr>
                  <w:t>☒</w:t>
                </w:r>
              </w:sdtContent>
            </w:sdt>
          </w:p>
          <w:p w14:paraId="5E4DC9B0" w14:textId="77777777" w:rsidR="0022576E" w:rsidRPr="00AE5A6A" w:rsidRDefault="0022576E" w:rsidP="00027E98">
            <w:pPr>
              <w:rPr>
                <w:rFonts w:ascii="Times New Roman" w:eastAsia="Calibri" w:hAnsi="Times New Roman"/>
                <w:szCs w:val="24"/>
              </w:rPr>
            </w:pPr>
          </w:p>
          <w:p w14:paraId="693F55C7" w14:textId="77777777" w:rsidR="0022576E" w:rsidRPr="00AE5A6A" w:rsidRDefault="0022576E" w:rsidP="00027E98">
            <w:pPr>
              <w:rPr>
                <w:rFonts w:ascii="Times New Roman" w:eastAsia="Calibri" w:hAnsi="Times New Roman"/>
                <w:szCs w:val="24"/>
              </w:rPr>
            </w:pPr>
            <w:r w:rsidRPr="00AE5A6A">
              <w:rPr>
                <w:rFonts w:ascii="Times New Roman" w:eastAsia="Calibri" w:hAnsi="Times New Roman"/>
                <w:szCs w:val="24"/>
              </w:rPr>
              <w:t xml:space="preserve">No  </w:t>
            </w:r>
            <w:sdt>
              <w:sdtPr>
                <w:rPr>
                  <w:rFonts w:ascii="Times New Roman" w:hAnsi="Times New Roman"/>
                  <w:szCs w:val="24"/>
                </w:rPr>
                <w:id w:val="1628280607"/>
              </w:sdtPr>
              <w:sdtContent>
                <w:r w:rsidRPr="00AE5A6A">
                  <w:rPr>
                    <w:rFonts w:ascii="Segoe UI Symbol" w:eastAsia="MS Gothic" w:hAnsi="Segoe UI Symbol" w:cs="Segoe UI Symbol"/>
                    <w:szCs w:val="24"/>
                  </w:rPr>
                  <w:t>☐</w:t>
                </w:r>
              </w:sdtContent>
            </w:sdt>
          </w:p>
        </w:tc>
      </w:tr>
    </w:tbl>
    <w:p w14:paraId="21BFBE8E" w14:textId="77777777" w:rsidR="0022576E" w:rsidRPr="00AE5A6A" w:rsidRDefault="0022576E" w:rsidP="00027E98">
      <w:pPr>
        <w:spacing w:after="0"/>
        <w:jc w:val="both"/>
        <w:rPr>
          <w:rFonts w:ascii="Times New Roman" w:hAnsi="Times New Roman" w:cs="Times New Roman"/>
          <w:szCs w:val="24"/>
          <w:lang w:val="en-GB"/>
        </w:rPr>
      </w:pPr>
      <w:r w:rsidRPr="00AE5A6A">
        <w:rPr>
          <w:rFonts w:ascii="Times New Roman" w:hAnsi="Times New Roman" w:cs="Times New Roman"/>
          <w:szCs w:val="24"/>
          <w:lang w:val="en-GB"/>
        </w:rPr>
        <w:t xml:space="preserve">I used Grammarly on </w:t>
      </w:r>
      <w:r w:rsidR="00F657A5" w:rsidRPr="00AE5A6A">
        <w:rPr>
          <w:rFonts w:ascii="Times New Roman" w:hAnsi="Times New Roman" w:cs="Times New Roman"/>
          <w:szCs w:val="24"/>
          <w:lang w:val="en-GB"/>
        </w:rPr>
        <w:t>6</w:t>
      </w:r>
      <w:r w:rsidR="00F657A5" w:rsidRPr="00AE5A6A">
        <w:rPr>
          <w:rFonts w:ascii="Times New Roman" w:hAnsi="Times New Roman" w:cs="Times New Roman"/>
          <w:szCs w:val="24"/>
          <w:vertAlign w:val="superscript"/>
          <w:lang w:val="en-GB"/>
        </w:rPr>
        <w:t>th</w:t>
      </w:r>
      <w:r w:rsidR="00F657A5" w:rsidRPr="00AE5A6A">
        <w:rPr>
          <w:rFonts w:ascii="Times New Roman" w:hAnsi="Times New Roman" w:cs="Times New Roman"/>
          <w:szCs w:val="24"/>
          <w:lang w:val="en-GB"/>
        </w:rPr>
        <w:t xml:space="preserve"> July </w:t>
      </w:r>
      <w:r w:rsidRPr="00AE5A6A">
        <w:rPr>
          <w:rFonts w:ascii="Times New Roman" w:hAnsi="Times New Roman" w:cs="Times New Roman"/>
          <w:szCs w:val="24"/>
          <w:lang w:val="en-GB"/>
        </w:rPr>
        <w:t>to check my work (UK English). I certify that: No artificial intelligence (AI) tools were used in the research or development of this assignment. I have not claimed any AI-generated content as my own.</w:t>
      </w:r>
    </w:p>
    <w:sectPr w:rsidR="0022576E" w:rsidRPr="00AE5A6A" w:rsidSect="0061150F">
      <w:footerReference w:type="default" r:id="rId14"/>
      <w:pgSz w:w="12240" w:h="15840"/>
      <w:pgMar w:top="1440" w:right="117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E80E9" w14:textId="77777777" w:rsidR="000750C3" w:rsidRDefault="000750C3" w:rsidP="00994A46">
      <w:pPr>
        <w:spacing w:after="0" w:line="240" w:lineRule="auto"/>
      </w:pPr>
      <w:r>
        <w:separator/>
      </w:r>
    </w:p>
  </w:endnote>
  <w:endnote w:type="continuationSeparator" w:id="0">
    <w:p w14:paraId="67552221" w14:textId="77777777" w:rsidR="000750C3" w:rsidRDefault="000750C3" w:rsidP="00994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005090"/>
      <w:docPartObj>
        <w:docPartGallery w:val="Page Numbers (Bottom of Page)"/>
        <w:docPartUnique/>
      </w:docPartObj>
    </w:sdtPr>
    <w:sdtEndPr>
      <w:rPr>
        <w:noProof/>
      </w:rPr>
    </w:sdtEndPr>
    <w:sdtContent>
      <w:p w14:paraId="46CBB9B8" w14:textId="77777777" w:rsidR="00027E98" w:rsidRDefault="00C03CFD">
        <w:pPr>
          <w:pStyle w:val="Footer"/>
          <w:jc w:val="center"/>
        </w:pPr>
        <w:r>
          <w:fldChar w:fldCharType="begin"/>
        </w:r>
        <w:r w:rsidR="00027E98">
          <w:instrText xml:space="preserve"> PAGE   \* MERGEFORMAT </w:instrText>
        </w:r>
        <w:r>
          <w:fldChar w:fldCharType="separate"/>
        </w:r>
        <w:r w:rsidR="0095204D">
          <w:rPr>
            <w:noProof/>
          </w:rPr>
          <w:t>13</w:t>
        </w:r>
        <w:r>
          <w:rPr>
            <w:noProof/>
          </w:rPr>
          <w:fldChar w:fldCharType="end"/>
        </w:r>
      </w:p>
    </w:sdtContent>
  </w:sdt>
  <w:p w14:paraId="10A09E64" w14:textId="77777777" w:rsidR="00994A46" w:rsidRDefault="00994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7645C" w14:textId="77777777" w:rsidR="000750C3" w:rsidRDefault="000750C3" w:rsidP="00994A46">
      <w:pPr>
        <w:spacing w:after="0" w:line="240" w:lineRule="auto"/>
      </w:pPr>
      <w:r>
        <w:separator/>
      </w:r>
    </w:p>
  </w:footnote>
  <w:footnote w:type="continuationSeparator" w:id="0">
    <w:p w14:paraId="671ED037" w14:textId="77777777" w:rsidR="000750C3" w:rsidRDefault="000750C3" w:rsidP="00994A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10C0"/>
    <w:multiLevelType w:val="multilevel"/>
    <w:tmpl w:val="B2447A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0AD27A4"/>
    <w:multiLevelType w:val="multilevel"/>
    <w:tmpl w:val="FD46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F44ED0"/>
    <w:multiLevelType w:val="multilevel"/>
    <w:tmpl w:val="6D62D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9630AE"/>
    <w:multiLevelType w:val="multilevel"/>
    <w:tmpl w:val="7070D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DA576F"/>
    <w:multiLevelType w:val="multilevel"/>
    <w:tmpl w:val="2F66A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875393"/>
    <w:multiLevelType w:val="multilevel"/>
    <w:tmpl w:val="105E6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D5696B"/>
    <w:multiLevelType w:val="multilevel"/>
    <w:tmpl w:val="E1DC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4223BE"/>
    <w:multiLevelType w:val="multilevel"/>
    <w:tmpl w:val="E7E85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1B0E2E"/>
    <w:multiLevelType w:val="multilevel"/>
    <w:tmpl w:val="3C96C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6A0584"/>
    <w:multiLevelType w:val="multilevel"/>
    <w:tmpl w:val="A97E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A05630"/>
    <w:multiLevelType w:val="multilevel"/>
    <w:tmpl w:val="9176E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EF1A35"/>
    <w:multiLevelType w:val="multilevel"/>
    <w:tmpl w:val="4F1EB8B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AE60CCE"/>
    <w:multiLevelType w:val="multilevel"/>
    <w:tmpl w:val="F2EAC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78704E"/>
    <w:multiLevelType w:val="multilevel"/>
    <w:tmpl w:val="45C0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D91155"/>
    <w:multiLevelType w:val="multilevel"/>
    <w:tmpl w:val="4244A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4E34B3"/>
    <w:multiLevelType w:val="multilevel"/>
    <w:tmpl w:val="05782808"/>
    <w:lvl w:ilvl="0">
      <w:start w:val="3"/>
      <w:numFmt w:val="decimal"/>
      <w:lvlText w:val="%1"/>
      <w:lvlJc w:val="left"/>
      <w:pPr>
        <w:ind w:left="360" w:hanging="360"/>
      </w:pPr>
      <w:rPr>
        <w:rFonts w:hint="default"/>
        <w:b w:val="0"/>
      </w:rPr>
    </w:lvl>
    <w:lvl w:ilvl="1">
      <w:start w:val="4"/>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6" w15:restartNumberingAfterBreak="0">
    <w:nsid w:val="208D7EF3"/>
    <w:multiLevelType w:val="multilevel"/>
    <w:tmpl w:val="18049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BD17CE"/>
    <w:multiLevelType w:val="multilevel"/>
    <w:tmpl w:val="E536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587D13"/>
    <w:multiLevelType w:val="multilevel"/>
    <w:tmpl w:val="48C87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1633BC"/>
    <w:multiLevelType w:val="multilevel"/>
    <w:tmpl w:val="ED42AEA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66F7D71"/>
    <w:multiLevelType w:val="multilevel"/>
    <w:tmpl w:val="4F025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992D78"/>
    <w:multiLevelType w:val="multilevel"/>
    <w:tmpl w:val="27540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F52884"/>
    <w:multiLevelType w:val="multilevel"/>
    <w:tmpl w:val="2B8CD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5204A3"/>
    <w:multiLevelType w:val="multilevel"/>
    <w:tmpl w:val="31342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32642B"/>
    <w:multiLevelType w:val="multilevel"/>
    <w:tmpl w:val="0950B52E"/>
    <w:lvl w:ilvl="0">
      <w:start w:val="3"/>
      <w:numFmt w:val="decimal"/>
      <w:lvlText w:val="%1"/>
      <w:lvlJc w:val="left"/>
      <w:pPr>
        <w:ind w:left="360" w:hanging="360"/>
      </w:pPr>
      <w:rPr>
        <w:rFonts w:hint="default"/>
        <w:color w:val="00B050"/>
      </w:rPr>
    </w:lvl>
    <w:lvl w:ilvl="1">
      <w:start w:val="5"/>
      <w:numFmt w:val="decimal"/>
      <w:lvlText w:val="%1.%2"/>
      <w:lvlJc w:val="left"/>
      <w:pPr>
        <w:ind w:left="360" w:hanging="360"/>
      </w:pPr>
      <w:rPr>
        <w:rFonts w:hint="default"/>
        <w:color w:val="00B050"/>
      </w:rPr>
    </w:lvl>
    <w:lvl w:ilvl="2">
      <w:start w:val="1"/>
      <w:numFmt w:val="decimal"/>
      <w:lvlText w:val="%1.%2.%3"/>
      <w:lvlJc w:val="left"/>
      <w:pPr>
        <w:ind w:left="720" w:hanging="720"/>
      </w:pPr>
      <w:rPr>
        <w:rFonts w:hint="default"/>
        <w:color w:val="00B050"/>
      </w:rPr>
    </w:lvl>
    <w:lvl w:ilvl="3">
      <w:start w:val="1"/>
      <w:numFmt w:val="decimal"/>
      <w:lvlText w:val="%1.%2.%3.%4"/>
      <w:lvlJc w:val="left"/>
      <w:pPr>
        <w:ind w:left="720" w:hanging="720"/>
      </w:pPr>
      <w:rPr>
        <w:rFonts w:hint="default"/>
        <w:color w:val="00B050"/>
      </w:rPr>
    </w:lvl>
    <w:lvl w:ilvl="4">
      <w:start w:val="1"/>
      <w:numFmt w:val="decimal"/>
      <w:lvlText w:val="%1.%2.%3.%4.%5"/>
      <w:lvlJc w:val="left"/>
      <w:pPr>
        <w:ind w:left="1080" w:hanging="1080"/>
      </w:pPr>
      <w:rPr>
        <w:rFonts w:hint="default"/>
        <w:color w:val="00B050"/>
      </w:rPr>
    </w:lvl>
    <w:lvl w:ilvl="5">
      <w:start w:val="1"/>
      <w:numFmt w:val="decimal"/>
      <w:lvlText w:val="%1.%2.%3.%4.%5.%6"/>
      <w:lvlJc w:val="left"/>
      <w:pPr>
        <w:ind w:left="1080" w:hanging="1080"/>
      </w:pPr>
      <w:rPr>
        <w:rFonts w:hint="default"/>
        <w:color w:val="00B050"/>
      </w:rPr>
    </w:lvl>
    <w:lvl w:ilvl="6">
      <w:start w:val="1"/>
      <w:numFmt w:val="decimal"/>
      <w:lvlText w:val="%1.%2.%3.%4.%5.%6.%7"/>
      <w:lvlJc w:val="left"/>
      <w:pPr>
        <w:ind w:left="1440" w:hanging="1440"/>
      </w:pPr>
      <w:rPr>
        <w:rFonts w:hint="default"/>
        <w:color w:val="00B050"/>
      </w:rPr>
    </w:lvl>
    <w:lvl w:ilvl="7">
      <w:start w:val="1"/>
      <w:numFmt w:val="decimal"/>
      <w:lvlText w:val="%1.%2.%3.%4.%5.%6.%7.%8"/>
      <w:lvlJc w:val="left"/>
      <w:pPr>
        <w:ind w:left="1440" w:hanging="1440"/>
      </w:pPr>
      <w:rPr>
        <w:rFonts w:hint="default"/>
        <w:color w:val="00B050"/>
      </w:rPr>
    </w:lvl>
    <w:lvl w:ilvl="8">
      <w:start w:val="1"/>
      <w:numFmt w:val="decimal"/>
      <w:lvlText w:val="%1.%2.%3.%4.%5.%6.%7.%8.%9"/>
      <w:lvlJc w:val="left"/>
      <w:pPr>
        <w:ind w:left="1800" w:hanging="1800"/>
      </w:pPr>
      <w:rPr>
        <w:rFonts w:hint="default"/>
        <w:color w:val="00B050"/>
      </w:rPr>
    </w:lvl>
  </w:abstractNum>
  <w:abstractNum w:abstractNumId="25" w15:restartNumberingAfterBreak="0">
    <w:nsid w:val="453A7B00"/>
    <w:multiLevelType w:val="multilevel"/>
    <w:tmpl w:val="EC4A9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5D0EB8"/>
    <w:multiLevelType w:val="multilevel"/>
    <w:tmpl w:val="93943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F80B2B"/>
    <w:multiLevelType w:val="multilevel"/>
    <w:tmpl w:val="22DA7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3758D5"/>
    <w:multiLevelType w:val="multilevel"/>
    <w:tmpl w:val="42947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3376F5"/>
    <w:multiLevelType w:val="multilevel"/>
    <w:tmpl w:val="745C5D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5CB14280"/>
    <w:multiLevelType w:val="multilevel"/>
    <w:tmpl w:val="D7B84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7F15AC"/>
    <w:multiLevelType w:val="multilevel"/>
    <w:tmpl w:val="51EAD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E02749"/>
    <w:multiLevelType w:val="multilevel"/>
    <w:tmpl w:val="C0F62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5230EB"/>
    <w:multiLevelType w:val="multilevel"/>
    <w:tmpl w:val="D0A25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312751"/>
    <w:multiLevelType w:val="multilevel"/>
    <w:tmpl w:val="FDCC0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441997"/>
    <w:multiLevelType w:val="multilevel"/>
    <w:tmpl w:val="CDF24E4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2707FF4"/>
    <w:multiLevelType w:val="multilevel"/>
    <w:tmpl w:val="1B46C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FC54EB"/>
    <w:multiLevelType w:val="multilevel"/>
    <w:tmpl w:val="049AF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35046C"/>
    <w:multiLevelType w:val="multilevel"/>
    <w:tmpl w:val="B5400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7C244C"/>
    <w:multiLevelType w:val="multilevel"/>
    <w:tmpl w:val="66066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061016"/>
    <w:multiLevelType w:val="multilevel"/>
    <w:tmpl w:val="8620E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9D3AA8"/>
    <w:multiLevelType w:val="multilevel"/>
    <w:tmpl w:val="54803A9E"/>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E09753E"/>
    <w:multiLevelType w:val="multilevel"/>
    <w:tmpl w:val="26CA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5F5B39"/>
    <w:multiLevelType w:val="multilevel"/>
    <w:tmpl w:val="ACA263C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7FC7485D"/>
    <w:multiLevelType w:val="multilevel"/>
    <w:tmpl w:val="A942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9211141">
    <w:abstractNumId w:val="29"/>
  </w:num>
  <w:num w:numId="2" w16cid:durableId="1106272927">
    <w:abstractNumId w:val="25"/>
  </w:num>
  <w:num w:numId="3" w16cid:durableId="288438950">
    <w:abstractNumId w:val="9"/>
  </w:num>
  <w:num w:numId="4" w16cid:durableId="512889027">
    <w:abstractNumId w:val="8"/>
  </w:num>
  <w:num w:numId="5" w16cid:durableId="2105034057">
    <w:abstractNumId w:val="35"/>
  </w:num>
  <w:num w:numId="6" w16cid:durableId="581569266">
    <w:abstractNumId w:val="21"/>
  </w:num>
  <w:num w:numId="7" w16cid:durableId="1649245570">
    <w:abstractNumId w:val="18"/>
  </w:num>
  <w:num w:numId="8" w16cid:durableId="1026785195">
    <w:abstractNumId w:val="17"/>
  </w:num>
  <w:num w:numId="9" w16cid:durableId="807087166">
    <w:abstractNumId w:val="22"/>
  </w:num>
  <w:num w:numId="10" w16cid:durableId="247888631">
    <w:abstractNumId w:val="37"/>
  </w:num>
  <w:num w:numId="11" w16cid:durableId="378433065">
    <w:abstractNumId w:val="23"/>
  </w:num>
  <w:num w:numId="12" w16cid:durableId="1946040076">
    <w:abstractNumId w:val="4"/>
  </w:num>
  <w:num w:numId="13" w16cid:durableId="2034308089">
    <w:abstractNumId w:val="34"/>
  </w:num>
  <w:num w:numId="14" w16cid:durableId="1907498160">
    <w:abstractNumId w:val="26"/>
  </w:num>
  <w:num w:numId="15" w16cid:durableId="1857114222">
    <w:abstractNumId w:val="7"/>
  </w:num>
  <w:num w:numId="16" w16cid:durableId="555699116">
    <w:abstractNumId w:val="44"/>
  </w:num>
  <w:num w:numId="17" w16cid:durableId="1461606802">
    <w:abstractNumId w:val="27"/>
  </w:num>
  <w:num w:numId="18" w16cid:durableId="1564364984">
    <w:abstractNumId w:val="39"/>
  </w:num>
  <w:num w:numId="19" w16cid:durableId="1050300596">
    <w:abstractNumId w:val="40"/>
  </w:num>
  <w:num w:numId="20" w16cid:durableId="1978412586">
    <w:abstractNumId w:val="1"/>
  </w:num>
  <w:num w:numId="21" w16cid:durableId="1716350847">
    <w:abstractNumId w:val="32"/>
  </w:num>
  <w:num w:numId="22" w16cid:durableId="1317101320">
    <w:abstractNumId w:val="14"/>
  </w:num>
  <w:num w:numId="23" w16cid:durableId="699940884">
    <w:abstractNumId w:val="3"/>
  </w:num>
  <w:num w:numId="24" w16cid:durableId="5333550">
    <w:abstractNumId w:val="33"/>
  </w:num>
  <w:num w:numId="25" w16cid:durableId="1898199774">
    <w:abstractNumId w:val="36"/>
  </w:num>
  <w:num w:numId="26" w16cid:durableId="1249273192">
    <w:abstractNumId w:val="2"/>
  </w:num>
  <w:num w:numId="27" w16cid:durableId="1977448088">
    <w:abstractNumId w:val="28"/>
  </w:num>
  <w:num w:numId="28" w16cid:durableId="1444886755">
    <w:abstractNumId w:val="38"/>
  </w:num>
  <w:num w:numId="29" w16cid:durableId="482478031">
    <w:abstractNumId w:val="42"/>
  </w:num>
  <w:num w:numId="30" w16cid:durableId="1060514205">
    <w:abstractNumId w:val="5"/>
  </w:num>
  <w:num w:numId="31" w16cid:durableId="1889681447">
    <w:abstractNumId w:val="10"/>
  </w:num>
  <w:num w:numId="32" w16cid:durableId="1103456196">
    <w:abstractNumId w:val="13"/>
  </w:num>
  <w:num w:numId="33" w16cid:durableId="1379668228">
    <w:abstractNumId w:val="12"/>
  </w:num>
  <w:num w:numId="34" w16cid:durableId="260071502">
    <w:abstractNumId w:val="6"/>
  </w:num>
  <w:num w:numId="35" w16cid:durableId="2140876395">
    <w:abstractNumId w:val="16"/>
  </w:num>
  <w:num w:numId="36" w16cid:durableId="561719794">
    <w:abstractNumId w:val="20"/>
  </w:num>
  <w:num w:numId="37" w16cid:durableId="1269773827">
    <w:abstractNumId w:val="31"/>
  </w:num>
  <w:num w:numId="38" w16cid:durableId="307586958">
    <w:abstractNumId w:val="43"/>
  </w:num>
  <w:num w:numId="39" w16cid:durableId="170221264">
    <w:abstractNumId w:val="11"/>
  </w:num>
  <w:num w:numId="40" w16cid:durableId="2050491621">
    <w:abstractNumId w:val="19"/>
  </w:num>
  <w:num w:numId="41" w16cid:durableId="1652834093">
    <w:abstractNumId w:val="30"/>
  </w:num>
  <w:num w:numId="42" w16cid:durableId="396706151">
    <w:abstractNumId w:val="15"/>
  </w:num>
  <w:num w:numId="43" w16cid:durableId="48262641">
    <w:abstractNumId w:val="0"/>
  </w:num>
  <w:num w:numId="44" w16cid:durableId="655692418">
    <w:abstractNumId w:val="24"/>
  </w:num>
  <w:num w:numId="45" w16cid:durableId="16740647">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1FF5"/>
    <w:rsid w:val="00006154"/>
    <w:rsid w:val="00017068"/>
    <w:rsid w:val="0002755C"/>
    <w:rsid w:val="00027E98"/>
    <w:rsid w:val="000435C5"/>
    <w:rsid w:val="000750C3"/>
    <w:rsid w:val="0009430E"/>
    <w:rsid w:val="00095433"/>
    <w:rsid w:val="000965B9"/>
    <w:rsid w:val="000C33E2"/>
    <w:rsid w:val="000C65E3"/>
    <w:rsid w:val="000C6757"/>
    <w:rsid w:val="000F1BF7"/>
    <w:rsid w:val="00150568"/>
    <w:rsid w:val="00161F04"/>
    <w:rsid w:val="00186EA1"/>
    <w:rsid w:val="00187BEA"/>
    <w:rsid w:val="001D15D0"/>
    <w:rsid w:val="001E1871"/>
    <w:rsid w:val="001E1882"/>
    <w:rsid w:val="00213B9C"/>
    <w:rsid w:val="0022576E"/>
    <w:rsid w:val="0022609C"/>
    <w:rsid w:val="0023033C"/>
    <w:rsid w:val="00234301"/>
    <w:rsid w:val="00250DC2"/>
    <w:rsid w:val="00265310"/>
    <w:rsid w:val="00273CB1"/>
    <w:rsid w:val="002C7268"/>
    <w:rsid w:val="002E7192"/>
    <w:rsid w:val="002F2B4A"/>
    <w:rsid w:val="002F502F"/>
    <w:rsid w:val="00336403"/>
    <w:rsid w:val="00351E45"/>
    <w:rsid w:val="003A4C3F"/>
    <w:rsid w:val="003B5062"/>
    <w:rsid w:val="003F6CFF"/>
    <w:rsid w:val="00404CAC"/>
    <w:rsid w:val="0040750E"/>
    <w:rsid w:val="00412942"/>
    <w:rsid w:val="0042379E"/>
    <w:rsid w:val="004261BC"/>
    <w:rsid w:val="00437D4E"/>
    <w:rsid w:val="0044640A"/>
    <w:rsid w:val="00453D2F"/>
    <w:rsid w:val="0045416A"/>
    <w:rsid w:val="004566A0"/>
    <w:rsid w:val="004805E4"/>
    <w:rsid w:val="004875E2"/>
    <w:rsid w:val="004B476A"/>
    <w:rsid w:val="004D5248"/>
    <w:rsid w:val="0051077C"/>
    <w:rsid w:val="00531582"/>
    <w:rsid w:val="00565FB9"/>
    <w:rsid w:val="00574A9E"/>
    <w:rsid w:val="00597FEF"/>
    <w:rsid w:val="005E2A17"/>
    <w:rsid w:val="0061150F"/>
    <w:rsid w:val="006220B6"/>
    <w:rsid w:val="0062426B"/>
    <w:rsid w:val="006422FE"/>
    <w:rsid w:val="0064574F"/>
    <w:rsid w:val="006571B5"/>
    <w:rsid w:val="00697F1E"/>
    <w:rsid w:val="006B351F"/>
    <w:rsid w:val="006F0349"/>
    <w:rsid w:val="007A5A24"/>
    <w:rsid w:val="007A5FCA"/>
    <w:rsid w:val="007A60C9"/>
    <w:rsid w:val="007B68F1"/>
    <w:rsid w:val="007C228E"/>
    <w:rsid w:val="007D45FC"/>
    <w:rsid w:val="007E42A5"/>
    <w:rsid w:val="00813B4F"/>
    <w:rsid w:val="00820538"/>
    <w:rsid w:val="008248E7"/>
    <w:rsid w:val="008415A1"/>
    <w:rsid w:val="00850D95"/>
    <w:rsid w:val="00896741"/>
    <w:rsid w:val="0089795A"/>
    <w:rsid w:val="008A7BC7"/>
    <w:rsid w:val="008C0846"/>
    <w:rsid w:val="008D7F2C"/>
    <w:rsid w:val="008F4776"/>
    <w:rsid w:val="008F75F1"/>
    <w:rsid w:val="0090620E"/>
    <w:rsid w:val="00914F46"/>
    <w:rsid w:val="00921316"/>
    <w:rsid w:val="009273F4"/>
    <w:rsid w:val="00937AD8"/>
    <w:rsid w:val="00937C9C"/>
    <w:rsid w:val="00951F94"/>
    <w:rsid w:val="0095204D"/>
    <w:rsid w:val="00994A46"/>
    <w:rsid w:val="009C2E49"/>
    <w:rsid w:val="00A0601B"/>
    <w:rsid w:val="00A40BE2"/>
    <w:rsid w:val="00A55497"/>
    <w:rsid w:val="00AE3A22"/>
    <w:rsid w:val="00AE5A6A"/>
    <w:rsid w:val="00B8038C"/>
    <w:rsid w:val="00C03CFD"/>
    <w:rsid w:val="00C5313C"/>
    <w:rsid w:val="00C57F34"/>
    <w:rsid w:val="00C7450D"/>
    <w:rsid w:val="00C77F72"/>
    <w:rsid w:val="00CA5440"/>
    <w:rsid w:val="00CE718F"/>
    <w:rsid w:val="00D259D9"/>
    <w:rsid w:val="00D462C1"/>
    <w:rsid w:val="00D93FCC"/>
    <w:rsid w:val="00DB60AC"/>
    <w:rsid w:val="00DB722E"/>
    <w:rsid w:val="00DD09EB"/>
    <w:rsid w:val="00DE4615"/>
    <w:rsid w:val="00DE693C"/>
    <w:rsid w:val="00DF30EA"/>
    <w:rsid w:val="00E0658D"/>
    <w:rsid w:val="00E204F2"/>
    <w:rsid w:val="00E232D7"/>
    <w:rsid w:val="00E23379"/>
    <w:rsid w:val="00E610DA"/>
    <w:rsid w:val="00E67444"/>
    <w:rsid w:val="00E72F7F"/>
    <w:rsid w:val="00E923AF"/>
    <w:rsid w:val="00E955A4"/>
    <w:rsid w:val="00EA61BD"/>
    <w:rsid w:val="00EB0A48"/>
    <w:rsid w:val="00ED1FF5"/>
    <w:rsid w:val="00EE354E"/>
    <w:rsid w:val="00F02CEC"/>
    <w:rsid w:val="00F62E9A"/>
    <w:rsid w:val="00F657A5"/>
    <w:rsid w:val="00F826E7"/>
    <w:rsid w:val="00FE18A3"/>
    <w:rsid w:val="00FE6B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439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D2F"/>
    <w:pPr>
      <w:spacing w:line="360" w:lineRule="auto"/>
    </w:pPr>
    <w:rPr>
      <w:rFonts w:asciiTheme="majorBidi" w:hAnsiTheme="majorBidi"/>
      <w:sz w:val="24"/>
    </w:rPr>
  </w:style>
  <w:style w:type="paragraph" w:styleId="Heading1">
    <w:name w:val="heading 1"/>
    <w:basedOn w:val="Normal"/>
    <w:next w:val="Normal"/>
    <w:link w:val="Heading1Char"/>
    <w:autoRedefine/>
    <w:uiPriority w:val="9"/>
    <w:qFormat/>
    <w:rsid w:val="00937AD8"/>
    <w:pPr>
      <w:keepNext/>
      <w:keepLines/>
      <w:spacing w:after="0"/>
      <w:outlineLvl w:val="0"/>
    </w:pPr>
    <w:rPr>
      <w:rFonts w:ascii="Times New Roman" w:eastAsiaTheme="majorEastAsia" w:hAnsi="Times New Roman" w:cstheme="majorBidi"/>
      <w:b/>
      <w:sz w:val="28"/>
      <w:szCs w:val="32"/>
    </w:rPr>
  </w:style>
  <w:style w:type="paragraph" w:styleId="Heading2">
    <w:name w:val="heading 2"/>
    <w:basedOn w:val="Normal"/>
    <w:link w:val="Heading2Char"/>
    <w:autoRedefine/>
    <w:uiPriority w:val="9"/>
    <w:qFormat/>
    <w:rsid w:val="00453D2F"/>
    <w:pPr>
      <w:spacing w:after="0"/>
      <w:jc w:val="both"/>
      <w:outlineLvl w:val="1"/>
    </w:pPr>
    <w:rPr>
      <w:rFonts w:ascii="Times New Roman" w:hAnsi="Times New Roman" w:cs="Times New Roman"/>
      <w:b/>
      <w:bCs/>
      <w:sz w:val="26"/>
      <w:szCs w:val="36"/>
    </w:rPr>
  </w:style>
  <w:style w:type="paragraph" w:styleId="Heading3">
    <w:name w:val="heading 3"/>
    <w:basedOn w:val="Normal"/>
    <w:link w:val="Heading3Char"/>
    <w:autoRedefine/>
    <w:uiPriority w:val="9"/>
    <w:qFormat/>
    <w:rsid w:val="007B68F1"/>
    <w:pPr>
      <w:spacing w:before="100" w:beforeAutospacing="1" w:after="100" w:afterAutospacing="1" w:line="240" w:lineRule="auto"/>
      <w:outlineLvl w:val="2"/>
    </w:pPr>
    <w:rPr>
      <w:rFonts w:ascii="Times New Roman" w:eastAsia="Times New Roman" w:hAnsi="Times New Roman" w:cs="Times New Roman"/>
      <w:b/>
      <w:bCs/>
      <w:szCs w:val="27"/>
    </w:rPr>
  </w:style>
  <w:style w:type="paragraph" w:styleId="Heading4">
    <w:name w:val="heading 4"/>
    <w:basedOn w:val="Normal"/>
    <w:next w:val="Normal"/>
    <w:link w:val="Heading4Char"/>
    <w:uiPriority w:val="9"/>
    <w:semiHidden/>
    <w:unhideWhenUsed/>
    <w:qFormat/>
    <w:rsid w:val="0044640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3D2F"/>
    <w:rPr>
      <w:rFonts w:ascii="Times New Roman" w:hAnsi="Times New Roman" w:cs="Times New Roman"/>
      <w:b/>
      <w:bCs/>
      <w:sz w:val="26"/>
      <w:szCs w:val="36"/>
    </w:rPr>
  </w:style>
  <w:style w:type="character" w:customStyle="1" w:styleId="Heading3Char">
    <w:name w:val="Heading 3 Char"/>
    <w:basedOn w:val="DefaultParagraphFont"/>
    <w:link w:val="Heading3"/>
    <w:uiPriority w:val="9"/>
    <w:rsid w:val="007B68F1"/>
    <w:rPr>
      <w:rFonts w:ascii="Times New Roman" w:eastAsia="Times New Roman" w:hAnsi="Times New Roman" w:cs="Times New Roman"/>
      <w:b/>
      <w:bCs/>
      <w:sz w:val="24"/>
      <w:szCs w:val="27"/>
    </w:rPr>
  </w:style>
  <w:style w:type="paragraph" w:styleId="NormalWeb">
    <w:name w:val="Normal (Web)"/>
    <w:basedOn w:val="Normal"/>
    <w:uiPriority w:val="99"/>
    <w:unhideWhenUsed/>
    <w:rsid w:val="00ED1FF5"/>
    <w:pPr>
      <w:spacing w:before="100" w:beforeAutospacing="1" w:after="100" w:afterAutospacing="1" w:line="240" w:lineRule="auto"/>
    </w:pPr>
    <w:rPr>
      <w:rFonts w:ascii="Times New Roman" w:eastAsia="Times New Roman" w:hAnsi="Times New Roman" w:cs="Times New Roman"/>
      <w:szCs w:val="24"/>
    </w:rPr>
  </w:style>
  <w:style w:type="character" w:customStyle="1" w:styleId="relative">
    <w:name w:val="relative"/>
    <w:basedOn w:val="DefaultParagraphFont"/>
    <w:rsid w:val="00ED1FF5"/>
  </w:style>
  <w:style w:type="character" w:styleId="Strong">
    <w:name w:val="Strong"/>
    <w:basedOn w:val="DefaultParagraphFont"/>
    <w:uiPriority w:val="22"/>
    <w:qFormat/>
    <w:rsid w:val="00ED1FF5"/>
    <w:rPr>
      <w:b/>
      <w:bCs/>
    </w:rPr>
  </w:style>
  <w:style w:type="character" w:customStyle="1" w:styleId="ms-1">
    <w:name w:val="ms-1"/>
    <w:basedOn w:val="DefaultParagraphFont"/>
    <w:rsid w:val="00ED1FF5"/>
  </w:style>
  <w:style w:type="character" w:customStyle="1" w:styleId="max-w-full">
    <w:name w:val="max-w-full"/>
    <w:basedOn w:val="DefaultParagraphFont"/>
    <w:rsid w:val="00ED1FF5"/>
  </w:style>
  <w:style w:type="character" w:customStyle="1" w:styleId="-me-1">
    <w:name w:val="-me-1"/>
    <w:basedOn w:val="DefaultParagraphFont"/>
    <w:rsid w:val="00ED1FF5"/>
  </w:style>
  <w:style w:type="table" w:styleId="TableGrid">
    <w:name w:val="Table Grid"/>
    <w:basedOn w:val="TableNormal"/>
    <w:uiPriority w:val="39"/>
    <w:rsid w:val="0022576E"/>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7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576E"/>
    <w:rPr>
      <w:rFonts w:ascii="Tahoma" w:hAnsi="Tahoma" w:cs="Tahoma"/>
      <w:sz w:val="16"/>
      <w:szCs w:val="16"/>
    </w:rPr>
  </w:style>
  <w:style w:type="character" w:styleId="Emphasis">
    <w:name w:val="Emphasis"/>
    <w:basedOn w:val="DefaultParagraphFont"/>
    <w:uiPriority w:val="20"/>
    <w:qFormat/>
    <w:rsid w:val="007A5FCA"/>
    <w:rPr>
      <w:i/>
      <w:iCs/>
    </w:rPr>
  </w:style>
  <w:style w:type="character" w:customStyle="1" w:styleId="Heading4Char">
    <w:name w:val="Heading 4 Char"/>
    <w:basedOn w:val="DefaultParagraphFont"/>
    <w:link w:val="Heading4"/>
    <w:uiPriority w:val="9"/>
    <w:semiHidden/>
    <w:rsid w:val="0044640A"/>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994A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4A46"/>
  </w:style>
  <w:style w:type="paragraph" w:styleId="Footer">
    <w:name w:val="footer"/>
    <w:basedOn w:val="Normal"/>
    <w:link w:val="FooterChar"/>
    <w:uiPriority w:val="99"/>
    <w:unhideWhenUsed/>
    <w:rsid w:val="00994A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4A46"/>
  </w:style>
  <w:style w:type="character" w:styleId="Hyperlink">
    <w:name w:val="Hyperlink"/>
    <w:basedOn w:val="DefaultParagraphFont"/>
    <w:uiPriority w:val="99"/>
    <w:unhideWhenUsed/>
    <w:rsid w:val="002C7268"/>
    <w:rPr>
      <w:color w:val="0000FF" w:themeColor="hyperlink"/>
      <w:u w:val="single"/>
    </w:rPr>
  </w:style>
  <w:style w:type="character" w:customStyle="1" w:styleId="Heading1Char">
    <w:name w:val="Heading 1 Char"/>
    <w:basedOn w:val="DefaultParagraphFont"/>
    <w:link w:val="Heading1"/>
    <w:uiPriority w:val="9"/>
    <w:rsid w:val="00937AD8"/>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09430E"/>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09430E"/>
    <w:pPr>
      <w:spacing w:after="100"/>
    </w:pPr>
  </w:style>
  <w:style w:type="paragraph" w:styleId="TOC3">
    <w:name w:val="toc 3"/>
    <w:basedOn w:val="Normal"/>
    <w:next w:val="Normal"/>
    <w:autoRedefine/>
    <w:uiPriority w:val="39"/>
    <w:unhideWhenUsed/>
    <w:rsid w:val="0009430E"/>
    <w:pPr>
      <w:spacing w:after="100"/>
      <w:ind w:left="480"/>
    </w:pPr>
  </w:style>
  <w:style w:type="paragraph" w:styleId="TOC2">
    <w:name w:val="toc 2"/>
    <w:basedOn w:val="Normal"/>
    <w:next w:val="Normal"/>
    <w:autoRedefine/>
    <w:uiPriority w:val="39"/>
    <w:unhideWhenUsed/>
    <w:rsid w:val="0009430E"/>
    <w:pPr>
      <w:spacing w:after="100"/>
      <w:ind w:left="240"/>
    </w:pPr>
  </w:style>
  <w:style w:type="character" w:customStyle="1" w:styleId="UnresolvedMention1">
    <w:name w:val="Unresolved Mention1"/>
    <w:basedOn w:val="DefaultParagraphFont"/>
    <w:uiPriority w:val="99"/>
    <w:semiHidden/>
    <w:unhideWhenUsed/>
    <w:rsid w:val="000435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73244">
      <w:bodyDiv w:val="1"/>
      <w:marLeft w:val="0"/>
      <w:marRight w:val="0"/>
      <w:marTop w:val="0"/>
      <w:marBottom w:val="0"/>
      <w:divBdr>
        <w:top w:val="none" w:sz="0" w:space="0" w:color="auto"/>
        <w:left w:val="none" w:sz="0" w:space="0" w:color="auto"/>
        <w:bottom w:val="none" w:sz="0" w:space="0" w:color="auto"/>
        <w:right w:val="none" w:sz="0" w:space="0" w:color="auto"/>
      </w:divBdr>
    </w:div>
    <w:div w:id="88277948">
      <w:bodyDiv w:val="1"/>
      <w:marLeft w:val="0"/>
      <w:marRight w:val="0"/>
      <w:marTop w:val="0"/>
      <w:marBottom w:val="0"/>
      <w:divBdr>
        <w:top w:val="none" w:sz="0" w:space="0" w:color="auto"/>
        <w:left w:val="none" w:sz="0" w:space="0" w:color="auto"/>
        <w:bottom w:val="none" w:sz="0" w:space="0" w:color="auto"/>
        <w:right w:val="none" w:sz="0" w:space="0" w:color="auto"/>
      </w:divBdr>
    </w:div>
    <w:div w:id="103576984">
      <w:bodyDiv w:val="1"/>
      <w:marLeft w:val="0"/>
      <w:marRight w:val="0"/>
      <w:marTop w:val="0"/>
      <w:marBottom w:val="0"/>
      <w:divBdr>
        <w:top w:val="none" w:sz="0" w:space="0" w:color="auto"/>
        <w:left w:val="none" w:sz="0" w:space="0" w:color="auto"/>
        <w:bottom w:val="none" w:sz="0" w:space="0" w:color="auto"/>
        <w:right w:val="none" w:sz="0" w:space="0" w:color="auto"/>
      </w:divBdr>
    </w:div>
    <w:div w:id="131561712">
      <w:bodyDiv w:val="1"/>
      <w:marLeft w:val="0"/>
      <w:marRight w:val="0"/>
      <w:marTop w:val="0"/>
      <w:marBottom w:val="0"/>
      <w:divBdr>
        <w:top w:val="none" w:sz="0" w:space="0" w:color="auto"/>
        <w:left w:val="none" w:sz="0" w:space="0" w:color="auto"/>
        <w:bottom w:val="none" w:sz="0" w:space="0" w:color="auto"/>
        <w:right w:val="none" w:sz="0" w:space="0" w:color="auto"/>
      </w:divBdr>
    </w:div>
    <w:div w:id="139687510">
      <w:bodyDiv w:val="1"/>
      <w:marLeft w:val="0"/>
      <w:marRight w:val="0"/>
      <w:marTop w:val="0"/>
      <w:marBottom w:val="0"/>
      <w:divBdr>
        <w:top w:val="none" w:sz="0" w:space="0" w:color="auto"/>
        <w:left w:val="none" w:sz="0" w:space="0" w:color="auto"/>
        <w:bottom w:val="none" w:sz="0" w:space="0" w:color="auto"/>
        <w:right w:val="none" w:sz="0" w:space="0" w:color="auto"/>
      </w:divBdr>
    </w:div>
    <w:div w:id="208301682">
      <w:bodyDiv w:val="1"/>
      <w:marLeft w:val="0"/>
      <w:marRight w:val="0"/>
      <w:marTop w:val="0"/>
      <w:marBottom w:val="0"/>
      <w:divBdr>
        <w:top w:val="none" w:sz="0" w:space="0" w:color="auto"/>
        <w:left w:val="none" w:sz="0" w:space="0" w:color="auto"/>
        <w:bottom w:val="none" w:sz="0" w:space="0" w:color="auto"/>
        <w:right w:val="none" w:sz="0" w:space="0" w:color="auto"/>
      </w:divBdr>
    </w:div>
    <w:div w:id="517156677">
      <w:bodyDiv w:val="1"/>
      <w:marLeft w:val="0"/>
      <w:marRight w:val="0"/>
      <w:marTop w:val="0"/>
      <w:marBottom w:val="0"/>
      <w:divBdr>
        <w:top w:val="none" w:sz="0" w:space="0" w:color="auto"/>
        <w:left w:val="none" w:sz="0" w:space="0" w:color="auto"/>
        <w:bottom w:val="none" w:sz="0" w:space="0" w:color="auto"/>
        <w:right w:val="none" w:sz="0" w:space="0" w:color="auto"/>
      </w:divBdr>
    </w:div>
    <w:div w:id="549414154">
      <w:bodyDiv w:val="1"/>
      <w:marLeft w:val="0"/>
      <w:marRight w:val="0"/>
      <w:marTop w:val="0"/>
      <w:marBottom w:val="0"/>
      <w:divBdr>
        <w:top w:val="none" w:sz="0" w:space="0" w:color="auto"/>
        <w:left w:val="none" w:sz="0" w:space="0" w:color="auto"/>
        <w:bottom w:val="none" w:sz="0" w:space="0" w:color="auto"/>
        <w:right w:val="none" w:sz="0" w:space="0" w:color="auto"/>
      </w:divBdr>
    </w:div>
    <w:div w:id="646252246">
      <w:bodyDiv w:val="1"/>
      <w:marLeft w:val="0"/>
      <w:marRight w:val="0"/>
      <w:marTop w:val="0"/>
      <w:marBottom w:val="0"/>
      <w:divBdr>
        <w:top w:val="none" w:sz="0" w:space="0" w:color="auto"/>
        <w:left w:val="none" w:sz="0" w:space="0" w:color="auto"/>
        <w:bottom w:val="none" w:sz="0" w:space="0" w:color="auto"/>
        <w:right w:val="none" w:sz="0" w:space="0" w:color="auto"/>
      </w:divBdr>
    </w:div>
    <w:div w:id="711810514">
      <w:bodyDiv w:val="1"/>
      <w:marLeft w:val="0"/>
      <w:marRight w:val="0"/>
      <w:marTop w:val="0"/>
      <w:marBottom w:val="0"/>
      <w:divBdr>
        <w:top w:val="none" w:sz="0" w:space="0" w:color="auto"/>
        <w:left w:val="none" w:sz="0" w:space="0" w:color="auto"/>
        <w:bottom w:val="none" w:sz="0" w:space="0" w:color="auto"/>
        <w:right w:val="none" w:sz="0" w:space="0" w:color="auto"/>
      </w:divBdr>
    </w:div>
    <w:div w:id="758451412">
      <w:bodyDiv w:val="1"/>
      <w:marLeft w:val="0"/>
      <w:marRight w:val="0"/>
      <w:marTop w:val="0"/>
      <w:marBottom w:val="0"/>
      <w:divBdr>
        <w:top w:val="none" w:sz="0" w:space="0" w:color="auto"/>
        <w:left w:val="none" w:sz="0" w:space="0" w:color="auto"/>
        <w:bottom w:val="none" w:sz="0" w:space="0" w:color="auto"/>
        <w:right w:val="none" w:sz="0" w:space="0" w:color="auto"/>
      </w:divBdr>
    </w:div>
    <w:div w:id="845553920">
      <w:bodyDiv w:val="1"/>
      <w:marLeft w:val="0"/>
      <w:marRight w:val="0"/>
      <w:marTop w:val="0"/>
      <w:marBottom w:val="0"/>
      <w:divBdr>
        <w:top w:val="none" w:sz="0" w:space="0" w:color="auto"/>
        <w:left w:val="none" w:sz="0" w:space="0" w:color="auto"/>
        <w:bottom w:val="none" w:sz="0" w:space="0" w:color="auto"/>
        <w:right w:val="none" w:sz="0" w:space="0" w:color="auto"/>
      </w:divBdr>
    </w:div>
    <w:div w:id="874662732">
      <w:bodyDiv w:val="1"/>
      <w:marLeft w:val="0"/>
      <w:marRight w:val="0"/>
      <w:marTop w:val="0"/>
      <w:marBottom w:val="0"/>
      <w:divBdr>
        <w:top w:val="none" w:sz="0" w:space="0" w:color="auto"/>
        <w:left w:val="none" w:sz="0" w:space="0" w:color="auto"/>
        <w:bottom w:val="none" w:sz="0" w:space="0" w:color="auto"/>
        <w:right w:val="none" w:sz="0" w:space="0" w:color="auto"/>
      </w:divBdr>
    </w:div>
    <w:div w:id="903642490">
      <w:bodyDiv w:val="1"/>
      <w:marLeft w:val="0"/>
      <w:marRight w:val="0"/>
      <w:marTop w:val="0"/>
      <w:marBottom w:val="0"/>
      <w:divBdr>
        <w:top w:val="none" w:sz="0" w:space="0" w:color="auto"/>
        <w:left w:val="none" w:sz="0" w:space="0" w:color="auto"/>
        <w:bottom w:val="none" w:sz="0" w:space="0" w:color="auto"/>
        <w:right w:val="none" w:sz="0" w:space="0" w:color="auto"/>
      </w:divBdr>
    </w:div>
    <w:div w:id="907032868">
      <w:bodyDiv w:val="1"/>
      <w:marLeft w:val="0"/>
      <w:marRight w:val="0"/>
      <w:marTop w:val="0"/>
      <w:marBottom w:val="0"/>
      <w:divBdr>
        <w:top w:val="none" w:sz="0" w:space="0" w:color="auto"/>
        <w:left w:val="none" w:sz="0" w:space="0" w:color="auto"/>
        <w:bottom w:val="none" w:sz="0" w:space="0" w:color="auto"/>
        <w:right w:val="none" w:sz="0" w:space="0" w:color="auto"/>
      </w:divBdr>
    </w:div>
    <w:div w:id="980039137">
      <w:bodyDiv w:val="1"/>
      <w:marLeft w:val="0"/>
      <w:marRight w:val="0"/>
      <w:marTop w:val="0"/>
      <w:marBottom w:val="0"/>
      <w:divBdr>
        <w:top w:val="none" w:sz="0" w:space="0" w:color="auto"/>
        <w:left w:val="none" w:sz="0" w:space="0" w:color="auto"/>
        <w:bottom w:val="none" w:sz="0" w:space="0" w:color="auto"/>
        <w:right w:val="none" w:sz="0" w:space="0" w:color="auto"/>
      </w:divBdr>
    </w:div>
    <w:div w:id="1035159495">
      <w:bodyDiv w:val="1"/>
      <w:marLeft w:val="0"/>
      <w:marRight w:val="0"/>
      <w:marTop w:val="0"/>
      <w:marBottom w:val="0"/>
      <w:divBdr>
        <w:top w:val="none" w:sz="0" w:space="0" w:color="auto"/>
        <w:left w:val="none" w:sz="0" w:space="0" w:color="auto"/>
        <w:bottom w:val="none" w:sz="0" w:space="0" w:color="auto"/>
        <w:right w:val="none" w:sz="0" w:space="0" w:color="auto"/>
      </w:divBdr>
    </w:div>
    <w:div w:id="1060710692">
      <w:bodyDiv w:val="1"/>
      <w:marLeft w:val="0"/>
      <w:marRight w:val="0"/>
      <w:marTop w:val="0"/>
      <w:marBottom w:val="0"/>
      <w:divBdr>
        <w:top w:val="none" w:sz="0" w:space="0" w:color="auto"/>
        <w:left w:val="none" w:sz="0" w:space="0" w:color="auto"/>
        <w:bottom w:val="none" w:sz="0" w:space="0" w:color="auto"/>
        <w:right w:val="none" w:sz="0" w:space="0" w:color="auto"/>
      </w:divBdr>
    </w:div>
    <w:div w:id="1077216119">
      <w:bodyDiv w:val="1"/>
      <w:marLeft w:val="0"/>
      <w:marRight w:val="0"/>
      <w:marTop w:val="0"/>
      <w:marBottom w:val="0"/>
      <w:divBdr>
        <w:top w:val="none" w:sz="0" w:space="0" w:color="auto"/>
        <w:left w:val="none" w:sz="0" w:space="0" w:color="auto"/>
        <w:bottom w:val="none" w:sz="0" w:space="0" w:color="auto"/>
        <w:right w:val="none" w:sz="0" w:space="0" w:color="auto"/>
      </w:divBdr>
    </w:div>
    <w:div w:id="1081487918">
      <w:bodyDiv w:val="1"/>
      <w:marLeft w:val="0"/>
      <w:marRight w:val="0"/>
      <w:marTop w:val="0"/>
      <w:marBottom w:val="0"/>
      <w:divBdr>
        <w:top w:val="none" w:sz="0" w:space="0" w:color="auto"/>
        <w:left w:val="none" w:sz="0" w:space="0" w:color="auto"/>
        <w:bottom w:val="none" w:sz="0" w:space="0" w:color="auto"/>
        <w:right w:val="none" w:sz="0" w:space="0" w:color="auto"/>
      </w:divBdr>
    </w:div>
    <w:div w:id="1088690926">
      <w:bodyDiv w:val="1"/>
      <w:marLeft w:val="0"/>
      <w:marRight w:val="0"/>
      <w:marTop w:val="0"/>
      <w:marBottom w:val="0"/>
      <w:divBdr>
        <w:top w:val="none" w:sz="0" w:space="0" w:color="auto"/>
        <w:left w:val="none" w:sz="0" w:space="0" w:color="auto"/>
        <w:bottom w:val="none" w:sz="0" w:space="0" w:color="auto"/>
        <w:right w:val="none" w:sz="0" w:space="0" w:color="auto"/>
      </w:divBdr>
    </w:div>
    <w:div w:id="1105539197">
      <w:bodyDiv w:val="1"/>
      <w:marLeft w:val="0"/>
      <w:marRight w:val="0"/>
      <w:marTop w:val="0"/>
      <w:marBottom w:val="0"/>
      <w:divBdr>
        <w:top w:val="none" w:sz="0" w:space="0" w:color="auto"/>
        <w:left w:val="none" w:sz="0" w:space="0" w:color="auto"/>
        <w:bottom w:val="none" w:sz="0" w:space="0" w:color="auto"/>
        <w:right w:val="none" w:sz="0" w:space="0" w:color="auto"/>
      </w:divBdr>
    </w:div>
    <w:div w:id="1218668995">
      <w:bodyDiv w:val="1"/>
      <w:marLeft w:val="0"/>
      <w:marRight w:val="0"/>
      <w:marTop w:val="0"/>
      <w:marBottom w:val="0"/>
      <w:divBdr>
        <w:top w:val="none" w:sz="0" w:space="0" w:color="auto"/>
        <w:left w:val="none" w:sz="0" w:space="0" w:color="auto"/>
        <w:bottom w:val="none" w:sz="0" w:space="0" w:color="auto"/>
        <w:right w:val="none" w:sz="0" w:space="0" w:color="auto"/>
      </w:divBdr>
    </w:div>
    <w:div w:id="1241134474">
      <w:bodyDiv w:val="1"/>
      <w:marLeft w:val="0"/>
      <w:marRight w:val="0"/>
      <w:marTop w:val="0"/>
      <w:marBottom w:val="0"/>
      <w:divBdr>
        <w:top w:val="none" w:sz="0" w:space="0" w:color="auto"/>
        <w:left w:val="none" w:sz="0" w:space="0" w:color="auto"/>
        <w:bottom w:val="none" w:sz="0" w:space="0" w:color="auto"/>
        <w:right w:val="none" w:sz="0" w:space="0" w:color="auto"/>
      </w:divBdr>
    </w:div>
    <w:div w:id="1253858056">
      <w:bodyDiv w:val="1"/>
      <w:marLeft w:val="0"/>
      <w:marRight w:val="0"/>
      <w:marTop w:val="0"/>
      <w:marBottom w:val="0"/>
      <w:divBdr>
        <w:top w:val="none" w:sz="0" w:space="0" w:color="auto"/>
        <w:left w:val="none" w:sz="0" w:space="0" w:color="auto"/>
        <w:bottom w:val="none" w:sz="0" w:space="0" w:color="auto"/>
        <w:right w:val="none" w:sz="0" w:space="0" w:color="auto"/>
      </w:divBdr>
    </w:div>
    <w:div w:id="1258177605">
      <w:bodyDiv w:val="1"/>
      <w:marLeft w:val="0"/>
      <w:marRight w:val="0"/>
      <w:marTop w:val="0"/>
      <w:marBottom w:val="0"/>
      <w:divBdr>
        <w:top w:val="none" w:sz="0" w:space="0" w:color="auto"/>
        <w:left w:val="none" w:sz="0" w:space="0" w:color="auto"/>
        <w:bottom w:val="none" w:sz="0" w:space="0" w:color="auto"/>
        <w:right w:val="none" w:sz="0" w:space="0" w:color="auto"/>
      </w:divBdr>
    </w:div>
    <w:div w:id="1276719091">
      <w:bodyDiv w:val="1"/>
      <w:marLeft w:val="0"/>
      <w:marRight w:val="0"/>
      <w:marTop w:val="0"/>
      <w:marBottom w:val="0"/>
      <w:divBdr>
        <w:top w:val="none" w:sz="0" w:space="0" w:color="auto"/>
        <w:left w:val="none" w:sz="0" w:space="0" w:color="auto"/>
        <w:bottom w:val="none" w:sz="0" w:space="0" w:color="auto"/>
        <w:right w:val="none" w:sz="0" w:space="0" w:color="auto"/>
      </w:divBdr>
    </w:div>
    <w:div w:id="1333022447">
      <w:bodyDiv w:val="1"/>
      <w:marLeft w:val="0"/>
      <w:marRight w:val="0"/>
      <w:marTop w:val="0"/>
      <w:marBottom w:val="0"/>
      <w:divBdr>
        <w:top w:val="none" w:sz="0" w:space="0" w:color="auto"/>
        <w:left w:val="none" w:sz="0" w:space="0" w:color="auto"/>
        <w:bottom w:val="none" w:sz="0" w:space="0" w:color="auto"/>
        <w:right w:val="none" w:sz="0" w:space="0" w:color="auto"/>
      </w:divBdr>
    </w:div>
    <w:div w:id="1346638490">
      <w:bodyDiv w:val="1"/>
      <w:marLeft w:val="0"/>
      <w:marRight w:val="0"/>
      <w:marTop w:val="0"/>
      <w:marBottom w:val="0"/>
      <w:divBdr>
        <w:top w:val="none" w:sz="0" w:space="0" w:color="auto"/>
        <w:left w:val="none" w:sz="0" w:space="0" w:color="auto"/>
        <w:bottom w:val="none" w:sz="0" w:space="0" w:color="auto"/>
        <w:right w:val="none" w:sz="0" w:space="0" w:color="auto"/>
      </w:divBdr>
    </w:div>
    <w:div w:id="1389062585">
      <w:bodyDiv w:val="1"/>
      <w:marLeft w:val="0"/>
      <w:marRight w:val="0"/>
      <w:marTop w:val="0"/>
      <w:marBottom w:val="0"/>
      <w:divBdr>
        <w:top w:val="none" w:sz="0" w:space="0" w:color="auto"/>
        <w:left w:val="none" w:sz="0" w:space="0" w:color="auto"/>
        <w:bottom w:val="none" w:sz="0" w:space="0" w:color="auto"/>
        <w:right w:val="none" w:sz="0" w:space="0" w:color="auto"/>
      </w:divBdr>
    </w:div>
    <w:div w:id="1433627170">
      <w:bodyDiv w:val="1"/>
      <w:marLeft w:val="0"/>
      <w:marRight w:val="0"/>
      <w:marTop w:val="0"/>
      <w:marBottom w:val="0"/>
      <w:divBdr>
        <w:top w:val="none" w:sz="0" w:space="0" w:color="auto"/>
        <w:left w:val="none" w:sz="0" w:space="0" w:color="auto"/>
        <w:bottom w:val="none" w:sz="0" w:space="0" w:color="auto"/>
        <w:right w:val="none" w:sz="0" w:space="0" w:color="auto"/>
      </w:divBdr>
    </w:div>
    <w:div w:id="1582178517">
      <w:bodyDiv w:val="1"/>
      <w:marLeft w:val="0"/>
      <w:marRight w:val="0"/>
      <w:marTop w:val="0"/>
      <w:marBottom w:val="0"/>
      <w:divBdr>
        <w:top w:val="none" w:sz="0" w:space="0" w:color="auto"/>
        <w:left w:val="none" w:sz="0" w:space="0" w:color="auto"/>
        <w:bottom w:val="none" w:sz="0" w:space="0" w:color="auto"/>
        <w:right w:val="none" w:sz="0" w:space="0" w:color="auto"/>
      </w:divBdr>
    </w:div>
    <w:div w:id="1666283316">
      <w:bodyDiv w:val="1"/>
      <w:marLeft w:val="0"/>
      <w:marRight w:val="0"/>
      <w:marTop w:val="0"/>
      <w:marBottom w:val="0"/>
      <w:divBdr>
        <w:top w:val="none" w:sz="0" w:space="0" w:color="auto"/>
        <w:left w:val="none" w:sz="0" w:space="0" w:color="auto"/>
        <w:bottom w:val="none" w:sz="0" w:space="0" w:color="auto"/>
        <w:right w:val="none" w:sz="0" w:space="0" w:color="auto"/>
      </w:divBdr>
    </w:div>
    <w:div w:id="1739591671">
      <w:bodyDiv w:val="1"/>
      <w:marLeft w:val="0"/>
      <w:marRight w:val="0"/>
      <w:marTop w:val="0"/>
      <w:marBottom w:val="0"/>
      <w:divBdr>
        <w:top w:val="none" w:sz="0" w:space="0" w:color="auto"/>
        <w:left w:val="none" w:sz="0" w:space="0" w:color="auto"/>
        <w:bottom w:val="none" w:sz="0" w:space="0" w:color="auto"/>
        <w:right w:val="none" w:sz="0" w:space="0" w:color="auto"/>
      </w:divBdr>
    </w:div>
    <w:div w:id="1759672868">
      <w:bodyDiv w:val="1"/>
      <w:marLeft w:val="0"/>
      <w:marRight w:val="0"/>
      <w:marTop w:val="0"/>
      <w:marBottom w:val="0"/>
      <w:divBdr>
        <w:top w:val="none" w:sz="0" w:space="0" w:color="auto"/>
        <w:left w:val="none" w:sz="0" w:space="0" w:color="auto"/>
        <w:bottom w:val="none" w:sz="0" w:space="0" w:color="auto"/>
        <w:right w:val="none" w:sz="0" w:space="0" w:color="auto"/>
      </w:divBdr>
    </w:div>
    <w:div w:id="1775396090">
      <w:bodyDiv w:val="1"/>
      <w:marLeft w:val="0"/>
      <w:marRight w:val="0"/>
      <w:marTop w:val="0"/>
      <w:marBottom w:val="0"/>
      <w:divBdr>
        <w:top w:val="none" w:sz="0" w:space="0" w:color="auto"/>
        <w:left w:val="none" w:sz="0" w:space="0" w:color="auto"/>
        <w:bottom w:val="none" w:sz="0" w:space="0" w:color="auto"/>
        <w:right w:val="none" w:sz="0" w:space="0" w:color="auto"/>
      </w:divBdr>
      <w:divsChild>
        <w:div w:id="1514689930">
          <w:marLeft w:val="0"/>
          <w:marRight w:val="0"/>
          <w:marTop w:val="0"/>
          <w:marBottom w:val="0"/>
          <w:divBdr>
            <w:top w:val="none" w:sz="0" w:space="0" w:color="auto"/>
            <w:left w:val="none" w:sz="0" w:space="0" w:color="auto"/>
            <w:bottom w:val="none" w:sz="0" w:space="0" w:color="auto"/>
            <w:right w:val="none" w:sz="0" w:space="0" w:color="auto"/>
          </w:divBdr>
          <w:divsChild>
            <w:div w:id="2000576691">
              <w:marLeft w:val="0"/>
              <w:marRight w:val="0"/>
              <w:marTop w:val="0"/>
              <w:marBottom w:val="0"/>
              <w:divBdr>
                <w:top w:val="none" w:sz="0" w:space="0" w:color="auto"/>
                <w:left w:val="none" w:sz="0" w:space="0" w:color="auto"/>
                <w:bottom w:val="none" w:sz="0" w:space="0" w:color="auto"/>
                <w:right w:val="none" w:sz="0" w:space="0" w:color="auto"/>
              </w:divBdr>
            </w:div>
          </w:divsChild>
        </w:div>
        <w:div w:id="223873265">
          <w:marLeft w:val="0"/>
          <w:marRight w:val="0"/>
          <w:marTop w:val="0"/>
          <w:marBottom w:val="0"/>
          <w:divBdr>
            <w:top w:val="none" w:sz="0" w:space="0" w:color="auto"/>
            <w:left w:val="none" w:sz="0" w:space="0" w:color="auto"/>
            <w:bottom w:val="none" w:sz="0" w:space="0" w:color="auto"/>
            <w:right w:val="none" w:sz="0" w:space="0" w:color="auto"/>
          </w:divBdr>
          <w:divsChild>
            <w:div w:id="578445062">
              <w:marLeft w:val="0"/>
              <w:marRight w:val="0"/>
              <w:marTop w:val="0"/>
              <w:marBottom w:val="0"/>
              <w:divBdr>
                <w:top w:val="none" w:sz="0" w:space="0" w:color="auto"/>
                <w:left w:val="none" w:sz="0" w:space="0" w:color="auto"/>
                <w:bottom w:val="none" w:sz="0" w:space="0" w:color="auto"/>
                <w:right w:val="none" w:sz="0" w:space="0" w:color="auto"/>
              </w:divBdr>
            </w:div>
          </w:divsChild>
        </w:div>
        <w:div w:id="301426661">
          <w:marLeft w:val="0"/>
          <w:marRight w:val="0"/>
          <w:marTop w:val="0"/>
          <w:marBottom w:val="0"/>
          <w:divBdr>
            <w:top w:val="none" w:sz="0" w:space="0" w:color="auto"/>
            <w:left w:val="none" w:sz="0" w:space="0" w:color="auto"/>
            <w:bottom w:val="none" w:sz="0" w:space="0" w:color="auto"/>
            <w:right w:val="none" w:sz="0" w:space="0" w:color="auto"/>
          </w:divBdr>
          <w:divsChild>
            <w:div w:id="173192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401004">
      <w:bodyDiv w:val="1"/>
      <w:marLeft w:val="0"/>
      <w:marRight w:val="0"/>
      <w:marTop w:val="0"/>
      <w:marBottom w:val="0"/>
      <w:divBdr>
        <w:top w:val="none" w:sz="0" w:space="0" w:color="auto"/>
        <w:left w:val="none" w:sz="0" w:space="0" w:color="auto"/>
        <w:bottom w:val="none" w:sz="0" w:space="0" w:color="auto"/>
        <w:right w:val="none" w:sz="0" w:space="0" w:color="auto"/>
      </w:divBdr>
    </w:div>
    <w:div w:id="1888686139">
      <w:bodyDiv w:val="1"/>
      <w:marLeft w:val="0"/>
      <w:marRight w:val="0"/>
      <w:marTop w:val="0"/>
      <w:marBottom w:val="0"/>
      <w:divBdr>
        <w:top w:val="none" w:sz="0" w:space="0" w:color="auto"/>
        <w:left w:val="none" w:sz="0" w:space="0" w:color="auto"/>
        <w:bottom w:val="none" w:sz="0" w:space="0" w:color="auto"/>
        <w:right w:val="none" w:sz="0" w:space="0" w:color="auto"/>
      </w:divBdr>
      <w:divsChild>
        <w:div w:id="1898317834">
          <w:marLeft w:val="0"/>
          <w:marRight w:val="0"/>
          <w:marTop w:val="0"/>
          <w:marBottom w:val="0"/>
          <w:divBdr>
            <w:top w:val="none" w:sz="0" w:space="0" w:color="auto"/>
            <w:left w:val="none" w:sz="0" w:space="0" w:color="auto"/>
            <w:bottom w:val="none" w:sz="0" w:space="0" w:color="auto"/>
            <w:right w:val="none" w:sz="0" w:space="0" w:color="auto"/>
          </w:divBdr>
        </w:div>
      </w:divsChild>
    </w:div>
    <w:div w:id="1890996770">
      <w:bodyDiv w:val="1"/>
      <w:marLeft w:val="0"/>
      <w:marRight w:val="0"/>
      <w:marTop w:val="0"/>
      <w:marBottom w:val="0"/>
      <w:divBdr>
        <w:top w:val="none" w:sz="0" w:space="0" w:color="auto"/>
        <w:left w:val="none" w:sz="0" w:space="0" w:color="auto"/>
        <w:bottom w:val="none" w:sz="0" w:space="0" w:color="auto"/>
        <w:right w:val="none" w:sz="0" w:space="0" w:color="auto"/>
      </w:divBdr>
    </w:div>
    <w:div w:id="1918857780">
      <w:bodyDiv w:val="1"/>
      <w:marLeft w:val="0"/>
      <w:marRight w:val="0"/>
      <w:marTop w:val="0"/>
      <w:marBottom w:val="0"/>
      <w:divBdr>
        <w:top w:val="none" w:sz="0" w:space="0" w:color="auto"/>
        <w:left w:val="none" w:sz="0" w:space="0" w:color="auto"/>
        <w:bottom w:val="none" w:sz="0" w:space="0" w:color="auto"/>
        <w:right w:val="none" w:sz="0" w:space="0" w:color="auto"/>
      </w:divBdr>
    </w:div>
    <w:div w:id="1959677010">
      <w:bodyDiv w:val="1"/>
      <w:marLeft w:val="0"/>
      <w:marRight w:val="0"/>
      <w:marTop w:val="0"/>
      <w:marBottom w:val="0"/>
      <w:divBdr>
        <w:top w:val="none" w:sz="0" w:space="0" w:color="auto"/>
        <w:left w:val="none" w:sz="0" w:space="0" w:color="auto"/>
        <w:bottom w:val="none" w:sz="0" w:space="0" w:color="auto"/>
        <w:right w:val="none" w:sz="0" w:space="0" w:color="auto"/>
      </w:divBdr>
    </w:div>
    <w:div w:id="1971980193">
      <w:bodyDiv w:val="1"/>
      <w:marLeft w:val="0"/>
      <w:marRight w:val="0"/>
      <w:marTop w:val="0"/>
      <w:marBottom w:val="0"/>
      <w:divBdr>
        <w:top w:val="none" w:sz="0" w:space="0" w:color="auto"/>
        <w:left w:val="none" w:sz="0" w:space="0" w:color="auto"/>
        <w:bottom w:val="none" w:sz="0" w:space="0" w:color="auto"/>
        <w:right w:val="none" w:sz="0" w:space="0" w:color="auto"/>
      </w:divBdr>
    </w:div>
    <w:div w:id="2012944624">
      <w:bodyDiv w:val="1"/>
      <w:marLeft w:val="0"/>
      <w:marRight w:val="0"/>
      <w:marTop w:val="0"/>
      <w:marBottom w:val="0"/>
      <w:divBdr>
        <w:top w:val="none" w:sz="0" w:space="0" w:color="auto"/>
        <w:left w:val="none" w:sz="0" w:space="0" w:color="auto"/>
        <w:bottom w:val="none" w:sz="0" w:space="0" w:color="auto"/>
        <w:right w:val="none" w:sz="0" w:space="0" w:color="auto"/>
      </w:divBdr>
    </w:div>
    <w:div w:id="2035418335">
      <w:bodyDiv w:val="1"/>
      <w:marLeft w:val="0"/>
      <w:marRight w:val="0"/>
      <w:marTop w:val="0"/>
      <w:marBottom w:val="0"/>
      <w:divBdr>
        <w:top w:val="none" w:sz="0" w:space="0" w:color="auto"/>
        <w:left w:val="none" w:sz="0" w:space="0" w:color="auto"/>
        <w:bottom w:val="none" w:sz="0" w:space="0" w:color="auto"/>
        <w:right w:val="none" w:sz="0" w:space="0" w:color="auto"/>
      </w:divBdr>
    </w:div>
    <w:div w:id="2041664805">
      <w:bodyDiv w:val="1"/>
      <w:marLeft w:val="0"/>
      <w:marRight w:val="0"/>
      <w:marTop w:val="0"/>
      <w:marBottom w:val="0"/>
      <w:divBdr>
        <w:top w:val="none" w:sz="0" w:space="0" w:color="auto"/>
        <w:left w:val="none" w:sz="0" w:space="0" w:color="auto"/>
        <w:bottom w:val="none" w:sz="0" w:space="0" w:color="auto"/>
        <w:right w:val="none" w:sz="0" w:space="0" w:color="auto"/>
      </w:divBdr>
    </w:div>
    <w:div w:id="2068408096">
      <w:bodyDiv w:val="1"/>
      <w:marLeft w:val="0"/>
      <w:marRight w:val="0"/>
      <w:marTop w:val="0"/>
      <w:marBottom w:val="0"/>
      <w:divBdr>
        <w:top w:val="none" w:sz="0" w:space="0" w:color="auto"/>
        <w:left w:val="none" w:sz="0" w:space="0" w:color="auto"/>
        <w:bottom w:val="none" w:sz="0" w:space="0" w:color="auto"/>
        <w:right w:val="none" w:sz="0" w:space="0" w:color="auto"/>
      </w:divBdr>
    </w:div>
    <w:div w:id="2093120938">
      <w:bodyDiv w:val="1"/>
      <w:marLeft w:val="0"/>
      <w:marRight w:val="0"/>
      <w:marTop w:val="0"/>
      <w:marBottom w:val="0"/>
      <w:divBdr>
        <w:top w:val="none" w:sz="0" w:space="0" w:color="auto"/>
        <w:left w:val="none" w:sz="0" w:space="0" w:color="auto"/>
        <w:bottom w:val="none" w:sz="0" w:space="0" w:color="auto"/>
        <w:right w:val="none" w:sz="0" w:space="0" w:color="auto"/>
      </w:divBdr>
    </w:div>
    <w:div w:id="2109348831">
      <w:bodyDiv w:val="1"/>
      <w:marLeft w:val="0"/>
      <w:marRight w:val="0"/>
      <w:marTop w:val="0"/>
      <w:marBottom w:val="0"/>
      <w:divBdr>
        <w:top w:val="none" w:sz="0" w:space="0" w:color="auto"/>
        <w:left w:val="none" w:sz="0" w:space="0" w:color="auto"/>
        <w:bottom w:val="none" w:sz="0" w:space="0" w:color="auto"/>
        <w:right w:val="none" w:sz="0" w:space="0" w:color="auto"/>
      </w:divBdr>
    </w:div>
    <w:div w:id="2147352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1682F-B014-4A91-AAA6-F3A533EBC875}">
  <ds:schemaRefs>
    <ds:schemaRef ds:uri="http://schemas.openxmlformats.org/officeDocument/2006/bibliography"/>
  </ds:schemaRefs>
</ds:datastoreItem>
</file>

<file path=docMetadata/LabelInfo.xml><?xml version="1.0" encoding="utf-8"?>
<clbl:labelList xmlns:clbl="http://schemas.microsoft.com/office/2020/mipLabelMetadata">
  <clbl:label id="{3741da7a-79c1-417c-b408-16c0bfe99fca}" enabled="1" method="Standard" siteId="{1e355c04-e0a4-42ed-8e2d-7351591f0ef1}" contentBits="0" removed="0"/>
</clbl:labelList>
</file>

<file path=docProps/app.xml><?xml version="1.0" encoding="utf-8"?>
<Properties xmlns="http://schemas.openxmlformats.org/officeDocument/2006/extended-properties" xmlns:vt="http://schemas.openxmlformats.org/officeDocument/2006/docPropsVTypes">
  <Template>Normal</Template>
  <TotalTime>0</TotalTime>
  <Pages>1</Pages>
  <Words>6192</Words>
  <Characters>38518</Characters>
  <Application>Microsoft Office Word</Application>
  <DocSecurity>0</DocSecurity>
  <Lines>740</Lines>
  <Paragraphs>300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2025-07-03T08:59:00Z</dcterms:created>
  <dcterms:modified xsi:type="dcterms:W3CDTF">2025-07-06T09:47:00Z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60f0ab64-33b2-485c-9aae-a0bb9f31e83b</vt:lpwstr>
  </property>
</Properties>
</file>