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9789F" w14:textId="7F407F52" w:rsidR="00574BC4" w:rsidRDefault="00574BC4" w:rsidP="00083758">
      <w:pPr>
        <w:spacing w:line="259" w:lineRule="auto"/>
        <w:jc w:val="center"/>
        <w:rPr>
          <w:sz w:val="40"/>
          <w:szCs w:val="40"/>
        </w:rPr>
      </w:pPr>
      <w:r>
        <w:rPr>
          <w:sz w:val="40"/>
          <w:szCs w:val="40"/>
        </w:rPr>
        <w:t xml:space="preserve">ASSESSMENT </w:t>
      </w:r>
    </w:p>
    <w:p w14:paraId="6162D3B9" w14:textId="26A95186" w:rsidR="00574BC4" w:rsidRDefault="00574BC4" w:rsidP="00574BC4">
      <w:pPr>
        <w:spacing w:line="259" w:lineRule="auto"/>
        <w:jc w:val="center"/>
        <w:rPr>
          <w:sz w:val="40"/>
          <w:szCs w:val="40"/>
        </w:rPr>
      </w:pPr>
      <w:r>
        <w:rPr>
          <w:sz w:val="40"/>
          <w:szCs w:val="40"/>
        </w:rPr>
        <w:t xml:space="preserve">2008 </w:t>
      </w:r>
      <w:r w:rsidRPr="00083758">
        <w:rPr>
          <w:sz w:val="40"/>
          <w:szCs w:val="40"/>
        </w:rPr>
        <w:t>Financial Crisis</w:t>
      </w:r>
      <w:r>
        <w:rPr>
          <w:sz w:val="40"/>
          <w:szCs w:val="40"/>
        </w:rPr>
        <w:t xml:space="preserve"> </w:t>
      </w:r>
    </w:p>
    <w:p w14:paraId="6650E224" w14:textId="480076D0" w:rsidR="00574BC4" w:rsidRDefault="00574BC4" w:rsidP="00083758">
      <w:pPr>
        <w:spacing w:line="259" w:lineRule="auto"/>
        <w:jc w:val="center"/>
        <w:rPr>
          <w:sz w:val="40"/>
          <w:szCs w:val="40"/>
        </w:rPr>
      </w:pPr>
    </w:p>
    <w:p w14:paraId="54DAED71" w14:textId="6DD3E6C2" w:rsidR="00574BC4" w:rsidRDefault="00574BC4" w:rsidP="00083758">
      <w:pPr>
        <w:spacing w:line="259" w:lineRule="auto"/>
        <w:jc w:val="center"/>
        <w:rPr>
          <w:sz w:val="40"/>
          <w:szCs w:val="40"/>
        </w:rPr>
      </w:pPr>
    </w:p>
    <w:p w14:paraId="75489117" w14:textId="7BF31FDB" w:rsidR="00574BC4" w:rsidRDefault="00574BC4" w:rsidP="00083758">
      <w:pPr>
        <w:spacing w:line="259" w:lineRule="auto"/>
        <w:jc w:val="center"/>
        <w:rPr>
          <w:sz w:val="40"/>
          <w:szCs w:val="40"/>
        </w:rPr>
      </w:pPr>
    </w:p>
    <w:p w14:paraId="391A022E" w14:textId="35D26EA9" w:rsidR="00574BC4" w:rsidRDefault="00574BC4" w:rsidP="00083758">
      <w:pPr>
        <w:spacing w:line="259" w:lineRule="auto"/>
        <w:jc w:val="center"/>
        <w:rPr>
          <w:sz w:val="40"/>
          <w:szCs w:val="40"/>
        </w:rPr>
      </w:pPr>
    </w:p>
    <w:p w14:paraId="64EC1BF7" w14:textId="50F9B303" w:rsidR="00574BC4" w:rsidRDefault="00574BC4" w:rsidP="00083758">
      <w:pPr>
        <w:spacing w:line="259" w:lineRule="auto"/>
        <w:jc w:val="center"/>
        <w:rPr>
          <w:sz w:val="40"/>
          <w:szCs w:val="40"/>
        </w:rPr>
      </w:pPr>
    </w:p>
    <w:p w14:paraId="16556397" w14:textId="64DA681A" w:rsidR="00574BC4" w:rsidRDefault="00574BC4" w:rsidP="00083758">
      <w:pPr>
        <w:spacing w:line="259" w:lineRule="auto"/>
        <w:jc w:val="center"/>
        <w:rPr>
          <w:sz w:val="40"/>
          <w:szCs w:val="40"/>
        </w:rPr>
      </w:pPr>
    </w:p>
    <w:p w14:paraId="29D89BE4" w14:textId="75E149A0" w:rsidR="00574BC4" w:rsidRDefault="00574BC4" w:rsidP="00083758">
      <w:pPr>
        <w:spacing w:line="259" w:lineRule="auto"/>
        <w:jc w:val="center"/>
        <w:rPr>
          <w:sz w:val="40"/>
          <w:szCs w:val="40"/>
        </w:rPr>
      </w:pPr>
    </w:p>
    <w:p w14:paraId="5ED26A1F" w14:textId="493E0FC9" w:rsidR="00574BC4" w:rsidRDefault="00574BC4" w:rsidP="00083758">
      <w:pPr>
        <w:spacing w:line="259" w:lineRule="auto"/>
        <w:jc w:val="center"/>
        <w:rPr>
          <w:sz w:val="40"/>
          <w:szCs w:val="40"/>
        </w:rPr>
      </w:pPr>
    </w:p>
    <w:p w14:paraId="6CF07AC4" w14:textId="60A2AEDB" w:rsidR="00574BC4" w:rsidRDefault="00574BC4" w:rsidP="00083758">
      <w:pPr>
        <w:spacing w:line="259" w:lineRule="auto"/>
        <w:jc w:val="center"/>
        <w:rPr>
          <w:sz w:val="40"/>
          <w:szCs w:val="40"/>
        </w:rPr>
      </w:pPr>
    </w:p>
    <w:p w14:paraId="5C1AF8EC" w14:textId="11CC6F1F" w:rsidR="00574BC4" w:rsidRDefault="00574BC4" w:rsidP="00083758">
      <w:pPr>
        <w:spacing w:line="259" w:lineRule="auto"/>
        <w:jc w:val="center"/>
        <w:rPr>
          <w:sz w:val="40"/>
          <w:szCs w:val="40"/>
        </w:rPr>
      </w:pPr>
    </w:p>
    <w:p w14:paraId="6ACFB5A0" w14:textId="77777777" w:rsidR="00574BC4" w:rsidRDefault="00574BC4" w:rsidP="00083758">
      <w:pPr>
        <w:spacing w:line="259" w:lineRule="auto"/>
        <w:jc w:val="center"/>
        <w:rPr>
          <w:sz w:val="40"/>
          <w:szCs w:val="40"/>
        </w:rPr>
      </w:pPr>
    </w:p>
    <w:p w14:paraId="6ADE9005" w14:textId="77777777" w:rsidR="00574BC4" w:rsidRDefault="00574BC4" w:rsidP="00083758">
      <w:pPr>
        <w:spacing w:line="259" w:lineRule="auto"/>
        <w:jc w:val="center"/>
        <w:rPr>
          <w:sz w:val="40"/>
          <w:szCs w:val="40"/>
        </w:rPr>
      </w:pPr>
    </w:p>
    <w:p w14:paraId="1FC9E1F4" w14:textId="77777777" w:rsidR="00574BC4" w:rsidRDefault="00574BC4" w:rsidP="00083758">
      <w:pPr>
        <w:spacing w:line="259" w:lineRule="auto"/>
        <w:jc w:val="center"/>
        <w:rPr>
          <w:sz w:val="40"/>
          <w:szCs w:val="40"/>
        </w:rPr>
      </w:pPr>
    </w:p>
    <w:p w14:paraId="1EEDFF52" w14:textId="77777777" w:rsidR="00574BC4" w:rsidRPr="00642495" w:rsidRDefault="00574BC4" w:rsidP="00574BC4">
      <w:pPr>
        <w:spacing w:line="276" w:lineRule="auto"/>
        <w:jc w:val="left"/>
      </w:pPr>
      <w:r w:rsidRPr="00642495">
        <w:t>Student name: Alina Dinca</w:t>
      </w:r>
    </w:p>
    <w:p w14:paraId="2B68B0AD" w14:textId="77777777" w:rsidR="00574BC4" w:rsidRDefault="00574BC4" w:rsidP="00574BC4">
      <w:pPr>
        <w:spacing w:line="276" w:lineRule="auto"/>
        <w:jc w:val="left"/>
      </w:pPr>
      <w:r>
        <w:t>Student ID: 2028809</w:t>
      </w:r>
    </w:p>
    <w:p w14:paraId="6A4EA60D" w14:textId="77777777" w:rsidR="00574BC4" w:rsidRDefault="00574BC4" w:rsidP="00574BC4">
      <w:pPr>
        <w:spacing w:line="276" w:lineRule="auto"/>
        <w:jc w:val="left"/>
      </w:pPr>
      <w:r>
        <w:t>University Name: University of Wales Trinity Saint David</w:t>
      </w:r>
    </w:p>
    <w:p w14:paraId="66452C51" w14:textId="1A350A01" w:rsidR="00574BC4" w:rsidRDefault="00574BC4" w:rsidP="00574BC4">
      <w:pPr>
        <w:spacing w:line="276" w:lineRule="auto"/>
        <w:jc w:val="left"/>
      </w:pPr>
      <w:r>
        <w:t xml:space="preserve">Module code: </w:t>
      </w:r>
      <w:r w:rsidRPr="004F3B2C">
        <w:t>LCMB70</w:t>
      </w:r>
      <w:r w:rsidR="00F87BA1">
        <w:t>12</w:t>
      </w:r>
    </w:p>
    <w:p w14:paraId="6750786B" w14:textId="576A5BD6" w:rsidR="00083758" w:rsidRPr="00574BC4" w:rsidRDefault="00574BC4" w:rsidP="00574BC4">
      <w:pPr>
        <w:spacing w:line="276" w:lineRule="auto"/>
        <w:jc w:val="left"/>
      </w:pPr>
      <w:r>
        <w:t xml:space="preserve">Lecturer: </w:t>
      </w:r>
      <w:r w:rsidR="007504CD" w:rsidRPr="007504CD">
        <w:t>Konstantina Mari</w:t>
      </w:r>
    </w:p>
    <w:sdt>
      <w:sdtPr>
        <w:rPr>
          <w:rFonts w:ascii="Times New Roman" w:eastAsiaTheme="minorHAnsi" w:hAnsi="Times New Roman" w:cstheme="minorBidi"/>
          <w:b w:val="0"/>
          <w:bCs w:val="0"/>
          <w:color w:val="auto"/>
          <w:sz w:val="24"/>
          <w:szCs w:val="22"/>
          <w:lang w:val="en-GB"/>
        </w:rPr>
        <w:id w:val="180407282"/>
        <w:docPartObj>
          <w:docPartGallery w:val="Table of Contents"/>
          <w:docPartUnique/>
        </w:docPartObj>
      </w:sdtPr>
      <w:sdtEndPr/>
      <w:sdtContent>
        <w:p w14:paraId="15289BD5" w14:textId="77777777" w:rsidR="00B4657B" w:rsidRDefault="00B4657B">
          <w:pPr>
            <w:pStyle w:val="TOCHeading"/>
          </w:pPr>
          <w:r>
            <w:t>Table of Contents</w:t>
          </w:r>
        </w:p>
        <w:p w14:paraId="51EEF0A0" w14:textId="77777777" w:rsidR="00B4657B" w:rsidRDefault="00B4657B">
          <w:pPr>
            <w:pStyle w:val="TOC1"/>
            <w:tabs>
              <w:tab w:val="right" w:leader="dot" w:pos="9350"/>
            </w:tabs>
            <w:rPr>
              <w:noProof/>
            </w:rPr>
          </w:pPr>
          <w:r>
            <w:fldChar w:fldCharType="begin"/>
          </w:r>
          <w:r>
            <w:instrText xml:space="preserve"> TOC \o "1-3" \h \z \u </w:instrText>
          </w:r>
          <w:r>
            <w:fldChar w:fldCharType="separate"/>
          </w:r>
          <w:hyperlink w:anchor="_Toc89372755" w:history="1">
            <w:r w:rsidRPr="00480E4E">
              <w:rPr>
                <w:rStyle w:val="Hyperlink"/>
                <w:noProof/>
              </w:rPr>
              <w:t>Introduction</w:t>
            </w:r>
            <w:r>
              <w:rPr>
                <w:noProof/>
                <w:webHidden/>
              </w:rPr>
              <w:tab/>
            </w:r>
            <w:r>
              <w:rPr>
                <w:noProof/>
                <w:webHidden/>
              </w:rPr>
              <w:fldChar w:fldCharType="begin"/>
            </w:r>
            <w:r>
              <w:rPr>
                <w:noProof/>
                <w:webHidden/>
              </w:rPr>
              <w:instrText xml:space="preserve"> PAGEREF _Toc89372755 \h </w:instrText>
            </w:r>
            <w:r>
              <w:rPr>
                <w:noProof/>
                <w:webHidden/>
              </w:rPr>
            </w:r>
            <w:r>
              <w:rPr>
                <w:noProof/>
                <w:webHidden/>
              </w:rPr>
              <w:fldChar w:fldCharType="separate"/>
            </w:r>
            <w:r>
              <w:rPr>
                <w:noProof/>
                <w:webHidden/>
              </w:rPr>
              <w:t>3</w:t>
            </w:r>
            <w:r>
              <w:rPr>
                <w:noProof/>
                <w:webHidden/>
              </w:rPr>
              <w:fldChar w:fldCharType="end"/>
            </w:r>
          </w:hyperlink>
        </w:p>
        <w:p w14:paraId="56921772" w14:textId="77777777" w:rsidR="00B4657B" w:rsidRDefault="007F1850">
          <w:pPr>
            <w:pStyle w:val="TOC1"/>
            <w:tabs>
              <w:tab w:val="right" w:leader="dot" w:pos="9350"/>
            </w:tabs>
            <w:rPr>
              <w:noProof/>
            </w:rPr>
          </w:pPr>
          <w:hyperlink w:anchor="_Toc89372756" w:history="1">
            <w:r w:rsidR="00B4657B" w:rsidRPr="00480E4E">
              <w:rPr>
                <w:rStyle w:val="Hyperlink"/>
                <w:noProof/>
              </w:rPr>
              <w:t>1. Identify the key laws, regulations and contracts that were enacted post the 2008 financial crisis by the UK</w:t>
            </w:r>
            <w:r w:rsidR="00B4657B">
              <w:rPr>
                <w:noProof/>
                <w:webHidden/>
              </w:rPr>
              <w:tab/>
            </w:r>
            <w:r w:rsidR="00B4657B">
              <w:rPr>
                <w:noProof/>
                <w:webHidden/>
              </w:rPr>
              <w:fldChar w:fldCharType="begin"/>
            </w:r>
            <w:r w:rsidR="00B4657B">
              <w:rPr>
                <w:noProof/>
                <w:webHidden/>
              </w:rPr>
              <w:instrText xml:space="preserve"> PAGEREF _Toc89372756 \h </w:instrText>
            </w:r>
            <w:r w:rsidR="00B4657B">
              <w:rPr>
                <w:noProof/>
                <w:webHidden/>
              </w:rPr>
            </w:r>
            <w:r w:rsidR="00B4657B">
              <w:rPr>
                <w:noProof/>
                <w:webHidden/>
              </w:rPr>
              <w:fldChar w:fldCharType="separate"/>
            </w:r>
            <w:r w:rsidR="00B4657B">
              <w:rPr>
                <w:noProof/>
                <w:webHidden/>
              </w:rPr>
              <w:t>4</w:t>
            </w:r>
            <w:r w:rsidR="00B4657B">
              <w:rPr>
                <w:noProof/>
                <w:webHidden/>
              </w:rPr>
              <w:fldChar w:fldCharType="end"/>
            </w:r>
          </w:hyperlink>
        </w:p>
        <w:p w14:paraId="3D9A4AC7" w14:textId="77777777" w:rsidR="00B4657B" w:rsidRDefault="007F1850">
          <w:pPr>
            <w:pStyle w:val="TOC1"/>
            <w:tabs>
              <w:tab w:val="right" w:leader="dot" w:pos="9350"/>
            </w:tabs>
            <w:rPr>
              <w:noProof/>
            </w:rPr>
          </w:pPr>
          <w:hyperlink w:anchor="_Toc89372757" w:history="1">
            <w:r w:rsidR="00B4657B" w:rsidRPr="00480E4E">
              <w:rPr>
                <w:rStyle w:val="Hyperlink"/>
                <w:noProof/>
              </w:rPr>
              <w:t>2. Critically review the extent to which you think that these reforms have contributed towards stabilising the financial system, and the different banking institutions post the 2008 crises.</w:t>
            </w:r>
            <w:r w:rsidR="00B4657B">
              <w:rPr>
                <w:noProof/>
                <w:webHidden/>
              </w:rPr>
              <w:tab/>
            </w:r>
            <w:r w:rsidR="00B4657B">
              <w:rPr>
                <w:noProof/>
                <w:webHidden/>
              </w:rPr>
              <w:fldChar w:fldCharType="begin"/>
            </w:r>
            <w:r w:rsidR="00B4657B">
              <w:rPr>
                <w:noProof/>
                <w:webHidden/>
              </w:rPr>
              <w:instrText xml:space="preserve"> PAGEREF _Toc89372757 \h </w:instrText>
            </w:r>
            <w:r w:rsidR="00B4657B">
              <w:rPr>
                <w:noProof/>
                <w:webHidden/>
              </w:rPr>
            </w:r>
            <w:r w:rsidR="00B4657B">
              <w:rPr>
                <w:noProof/>
                <w:webHidden/>
              </w:rPr>
              <w:fldChar w:fldCharType="separate"/>
            </w:r>
            <w:r w:rsidR="00B4657B">
              <w:rPr>
                <w:noProof/>
                <w:webHidden/>
              </w:rPr>
              <w:t>11</w:t>
            </w:r>
            <w:r w:rsidR="00B4657B">
              <w:rPr>
                <w:noProof/>
                <w:webHidden/>
              </w:rPr>
              <w:fldChar w:fldCharType="end"/>
            </w:r>
          </w:hyperlink>
        </w:p>
        <w:p w14:paraId="63339061" w14:textId="77777777" w:rsidR="00B4657B" w:rsidRDefault="007F1850">
          <w:pPr>
            <w:pStyle w:val="TOC1"/>
            <w:tabs>
              <w:tab w:val="right" w:leader="dot" w:pos="9350"/>
            </w:tabs>
            <w:rPr>
              <w:noProof/>
            </w:rPr>
          </w:pPr>
          <w:hyperlink w:anchor="_Toc89372758" w:history="1">
            <w:r w:rsidR="00B4657B" w:rsidRPr="00480E4E">
              <w:rPr>
                <w:rStyle w:val="Hyperlink"/>
                <w:noProof/>
                <w:shd w:val="clear" w:color="auto" w:fill="FFFFFF"/>
              </w:rPr>
              <w:t>3. Analyse the extent to which these reforms have hadan impact on their business model and their level of compliance/non-compliance to thesereforms.</w:t>
            </w:r>
            <w:r w:rsidR="00B4657B">
              <w:rPr>
                <w:noProof/>
                <w:webHidden/>
              </w:rPr>
              <w:tab/>
            </w:r>
            <w:r w:rsidR="00B4657B">
              <w:rPr>
                <w:noProof/>
                <w:webHidden/>
              </w:rPr>
              <w:fldChar w:fldCharType="begin"/>
            </w:r>
            <w:r w:rsidR="00B4657B">
              <w:rPr>
                <w:noProof/>
                <w:webHidden/>
              </w:rPr>
              <w:instrText xml:space="preserve"> PAGEREF _Toc89372758 \h </w:instrText>
            </w:r>
            <w:r w:rsidR="00B4657B">
              <w:rPr>
                <w:noProof/>
                <w:webHidden/>
              </w:rPr>
            </w:r>
            <w:r w:rsidR="00B4657B">
              <w:rPr>
                <w:noProof/>
                <w:webHidden/>
              </w:rPr>
              <w:fldChar w:fldCharType="separate"/>
            </w:r>
            <w:r w:rsidR="00B4657B">
              <w:rPr>
                <w:noProof/>
                <w:webHidden/>
              </w:rPr>
              <w:t>18</w:t>
            </w:r>
            <w:r w:rsidR="00B4657B">
              <w:rPr>
                <w:noProof/>
                <w:webHidden/>
              </w:rPr>
              <w:fldChar w:fldCharType="end"/>
            </w:r>
          </w:hyperlink>
        </w:p>
        <w:p w14:paraId="4C36BC25" w14:textId="77777777" w:rsidR="00B4657B" w:rsidRDefault="007F1850">
          <w:pPr>
            <w:pStyle w:val="TOC1"/>
            <w:tabs>
              <w:tab w:val="right" w:leader="dot" w:pos="9350"/>
            </w:tabs>
            <w:rPr>
              <w:noProof/>
            </w:rPr>
          </w:pPr>
          <w:hyperlink w:anchor="_Toc89372759" w:history="1">
            <w:r w:rsidR="00B4657B" w:rsidRPr="00480E4E">
              <w:rPr>
                <w:rStyle w:val="Hyperlink"/>
                <w:rFonts w:eastAsia="Times New Roman"/>
                <w:noProof/>
              </w:rPr>
              <w:t>Conclusion</w:t>
            </w:r>
            <w:r w:rsidR="00B4657B">
              <w:rPr>
                <w:noProof/>
                <w:webHidden/>
              </w:rPr>
              <w:tab/>
            </w:r>
            <w:r w:rsidR="00B4657B">
              <w:rPr>
                <w:noProof/>
                <w:webHidden/>
              </w:rPr>
              <w:fldChar w:fldCharType="begin"/>
            </w:r>
            <w:r w:rsidR="00B4657B">
              <w:rPr>
                <w:noProof/>
                <w:webHidden/>
              </w:rPr>
              <w:instrText xml:space="preserve"> PAGEREF _Toc89372759 \h </w:instrText>
            </w:r>
            <w:r w:rsidR="00B4657B">
              <w:rPr>
                <w:noProof/>
                <w:webHidden/>
              </w:rPr>
            </w:r>
            <w:r w:rsidR="00B4657B">
              <w:rPr>
                <w:noProof/>
                <w:webHidden/>
              </w:rPr>
              <w:fldChar w:fldCharType="separate"/>
            </w:r>
            <w:r w:rsidR="00B4657B">
              <w:rPr>
                <w:noProof/>
                <w:webHidden/>
              </w:rPr>
              <w:t>23</w:t>
            </w:r>
            <w:r w:rsidR="00B4657B">
              <w:rPr>
                <w:noProof/>
                <w:webHidden/>
              </w:rPr>
              <w:fldChar w:fldCharType="end"/>
            </w:r>
          </w:hyperlink>
        </w:p>
        <w:p w14:paraId="6ADCA849" w14:textId="77777777" w:rsidR="00B4657B" w:rsidRDefault="007F1850">
          <w:pPr>
            <w:pStyle w:val="TOC1"/>
            <w:tabs>
              <w:tab w:val="right" w:leader="dot" w:pos="9350"/>
            </w:tabs>
            <w:rPr>
              <w:noProof/>
            </w:rPr>
          </w:pPr>
          <w:hyperlink w:anchor="_Toc89372760" w:history="1">
            <w:r w:rsidR="00B4657B" w:rsidRPr="00480E4E">
              <w:rPr>
                <w:rStyle w:val="Hyperlink"/>
                <w:rFonts w:eastAsia="Times New Roman"/>
                <w:noProof/>
              </w:rPr>
              <w:t>References</w:t>
            </w:r>
            <w:r w:rsidR="00B4657B">
              <w:rPr>
                <w:noProof/>
                <w:webHidden/>
              </w:rPr>
              <w:tab/>
            </w:r>
            <w:r w:rsidR="00B4657B">
              <w:rPr>
                <w:noProof/>
                <w:webHidden/>
              </w:rPr>
              <w:fldChar w:fldCharType="begin"/>
            </w:r>
            <w:r w:rsidR="00B4657B">
              <w:rPr>
                <w:noProof/>
                <w:webHidden/>
              </w:rPr>
              <w:instrText xml:space="preserve"> PAGEREF _Toc89372760 \h </w:instrText>
            </w:r>
            <w:r w:rsidR="00B4657B">
              <w:rPr>
                <w:noProof/>
                <w:webHidden/>
              </w:rPr>
            </w:r>
            <w:r w:rsidR="00B4657B">
              <w:rPr>
                <w:noProof/>
                <w:webHidden/>
              </w:rPr>
              <w:fldChar w:fldCharType="separate"/>
            </w:r>
            <w:r w:rsidR="00B4657B">
              <w:rPr>
                <w:noProof/>
                <w:webHidden/>
              </w:rPr>
              <w:t>24</w:t>
            </w:r>
            <w:r w:rsidR="00B4657B">
              <w:rPr>
                <w:noProof/>
                <w:webHidden/>
              </w:rPr>
              <w:fldChar w:fldCharType="end"/>
            </w:r>
          </w:hyperlink>
        </w:p>
        <w:p w14:paraId="2E30F859" w14:textId="77777777" w:rsidR="00B4657B" w:rsidRDefault="00B4657B">
          <w:r>
            <w:fldChar w:fldCharType="end"/>
          </w:r>
        </w:p>
      </w:sdtContent>
    </w:sdt>
    <w:p w14:paraId="27B443AD" w14:textId="77777777" w:rsidR="00B4657B" w:rsidRDefault="00B4657B">
      <w:pPr>
        <w:spacing w:line="259" w:lineRule="auto"/>
        <w:jc w:val="left"/>
        <w:rPr>
          <w:rFonts w:eastAsiaTheme="majorEastAsia" w:cstheme="majorBidi"/>
          <w:b/>
          <w:sz w:val="28"/>
          <w:szCs w:val="32"/>
        </w:rPr>
      </w:pPr>
      <w:r>
        <w:br w:type="page"/>
      </w:r>
    </w:p>
    <w:p w14:paraId="4995196A" w14:textId="77777777" w:rsidR="00BD71FE" w:rsidRDefault="00BD71FE" w:rsidP="00BD71FE">
      <w:pPr>
        <w:pStyle w:val="Heading1"/>
      </w:pPr>
      <w:bookmarkStart w:id="0" w:name="_Toc89372755"/>
      <w:r>
        <w:lastRenderedPageBreak/>
        <w:t>Introduction</w:t>
      </w:r>
      <w:bookmarkEnd w:id="0"/>
    </w:p>
    <w:p w14:paraId="3A51B0F7" w14:textId="2909ADC6" w:rsidR="00983F89" w:rsidRPr="00E221D5" w:rsidRDefault="00E221D5" w:rsidP="00A07B0A">
      <w:pPr>
        <w:spacing w:after="0" w:line="276" w:lineRule="auto"/>
        <w:rPr>
          <w:rFonts w:cs="Times New Roman"/>
        </w:rPr>
      </w:pPr>
      <w:r>
        <w:t xml:space="preserve">       </w:t>
      </w:r>
      <w:r w:rsidR="00983F89" w:rsidRPr="00E221D5">
        <w:rPr>
          <w:rFonts w:cs="Times New Roman"/>
        </w:rPr>
        <w:t xml:space="preserve">Throughout history, there have been numerous financial systems and numerous financial system failures. From direct bartering to cryptocurrencies, to neighbor-to-neighbor exchanges, to the world economy, the media in which exchanges take place has changed and evolved into today's most complex systems. Given the complexity of exchanges, some sort of structural oversight, a set of rules to </w:t>
      </w:r>
      <w:r w:rsidR="00927D39" w:rsidRPr="00E221D5">
        <w:rPr>
          <w:rFonts w:cs="Times New Roman"/>
        </w:rPr>
        <w:t>make financial</w:t>
      </w:r>
      <w:r w:rsidR="00983F89" w:rsidRPr="00E221D5">
        <w:rPr>
          <w:rFonts w:cs="Times New Roman"/>
        </w:rPr>
        <w:t xml:space="preserve"> markets safer and safer for the long-term health of the global economy, was needed.</w:t>
      </w:r>
    </w:p>
    <w:p w14:paraId="4488DFA0" w14:textId="2750B440" w:rsidR="00A11275" w:rsidRPr="00E221D5" w:rsidRDefault="00E221D5" w:rsidP="00153DCE">
      <w:pPr>
        <w:spacing w:after="0" w:line="276" w:lineRule="auto"/>
        <w:rPr>
          <w:rFonts w:cs="Times New Roman"/>
        </w:rPr>
      </w:pPr>
      <w:r w:rsidRPr="00E221D5">
        <w:rPr>
          <w:rFonts w:cs="Times New Roman"/>
        </w:rPr>
        <w:t xml:space="preserve">       </w:t>
      </w:r>
      <w:r w:rsidR="00BD71FE" w:rsidRPr="00E221D5">
        <w:rPr>
          <w:rFonts w:cs="Times New Roman"/>
        </w:rPr>
        <w:t>This particular assignment will effectively highlight all the regulations, contracts and laws of the EU, US and UK. Along with this, all the acts, cont</w:t>
      </w:r>
      <w:r w:rsidR="00970446" w:rsidRPr="00E221D5">
        <w:rPr>
          <w:rFonts w:cs="Times New Roman"/>
        </w:rPr>
        <w:t>r</w:t>
      </w:r>
      <w:r w:rsidR="00BD71FE" w:rsidRPr="00E221D5">
        <w:rPr>
          <w:rFonts w:cs="Times New Roman"/>
        </w:rPr>
        <w:t>acts and regulations that will be described here are mainly based on ways through the government of all the nations wants to deal the future financial crisis. All of these acts and regulations will be described here are made after the financial crisis of 2008. Laws like Dodd Frank Act have various</w:t>
      </w:r>
      <w:r w:rsidR="004E3055" w:rsidRPr="00E221D5">
        <w:rPr>
          <w:rFonts w:cs="Times New Roman"/>
        </w:rPr>
        <w:t xml:space="preserve"> </w:t>
      </w:r>
      <w:r w:rsidR="00BD71FE" w:rsidRPr="00E221D5">
        <w:rPr>
          <w:rFonts w:cs="Times New Roman"/>
        </w:rPr>
        <w:t>kind sub sections that will help the government of all the nations to deal with the financial crisis. Along with this, laws like the Economic and Housing recovery act of 2008 will highly help the governments to deal with the loans that the population have asked for their residence. Moreover, the Banking Reform Act 2013 in the UK, has effectively helped the banks to maintain a suitable structure in the global market. Further, the Federal Reserve’s mainly uses the extraneous steps to deliver suitable assistance to the economy and monetary markets after the financial crisis in the year 2008.</w:t>
      </w:r>
      <w:r w:rsidR="00A11275" w:rsidRPr="00E221D5">
        <w:rPr>
          <w:rFonts w:cs="Times New Roman"/>
        </w:rPr>
        <w:t xml:space="preserve"> </w:t>
      </w:r>
    </w:p>
    <w:p w14:paraId="77FCE1FA" w14:textId="60D0E1F3" w:rsidR="00BD71FE" w:rsidRPr="00E221D5" w:rsidRDefault="00E221D5" w:rsidP="00A07B0A">
      <w:pPr>
        <w:spacing w:line="276" w:lineRule="auto"/>
        <w:rPr>
          <w:rFonts w:cs="Times New Roman"/>
        </w:rPr>
      </w:pPr>
      <w:r w:rsidRPr="00E221D5">
        <w:rPr>
          <w:rFonts w:cs="Times New Roman"/>
        </w:rPr>
        <w:t xml:space="preserve">       </w:t>
      </w:r>
      <w:r w:rsidR="00A11275" w:rsidRPr="00E221D5">
        <w:rPr>
          <w:rFonts w:cs="Times New Roman"/>
        </w:rPr>
        <w:t>One of the more timely ways the world seeks to regulate financial markets is through a series of agreements between major countries. These agreements were created to create the minimum standards that banks must comply with in order to provide maximum stability to banks that work with them. These evolving agreements are known as the Basel Accords.</w:t>
      </w:r>
    </w:p>
    <w:p w14:paraId="00E782B9" w14:textId="77777777" w:rsidR="00A11275" w:rsidRPr="00DA76D9" w:rsidRDefault="00A11275" w:rsidP="00A07B0A">
      <w:pPr>
        <w:spacing w:line="276" w:lineRule="auto"/>
        <w:rPr>
          <w:b/>
        </w:rPr>
      </w:pPr>
    </w:p>
    <w:p w14:paraId="485325A1" w14:textId="25B2EADB" w:rsidR="00BD71FE" w:rsidRDefault="005B71D5" w:rsidP="00A07B0A">
      <w:pPr>
        <w:pStyle w:val="Heading1"/>
        <w:spacing w:line="276" w:lineRule="auto"/>
      </w:pPr>
      <w:bookmarkStart w:id="1" w:name="_Toc89372756"/>
      <w:r>
        <w:t>I</w:t>
      </w:r>
      <w:r w:rsidR="00BD71FE">
        <w:t xml:space="preserve">. </w:t>
      </w:r>
      <w:r w:rsidR="008F5F43">
        <w:t>K</w:t>
      </w:r>
      <w:r w:rsidR="00BD71FE">
        <w:t xml:space="preserve">ey laws, regulations and contracts that were enacted post the 2008 financial crisis </w:t>
      </w:r>
      <w:bookmarkEnd w:id="1"/>
    </w:p>
    <w:p w14:paraId="640169F2" w14:textId="1A7CFBDE" w:rsidR="00376C1B" w:rsidRDefault="00E221D5" w:rsidP="00A07B0A">
      <w:pPr>
        <w:spacing w:line="276" w:lineRule="auto"/>
      </w:pPr>
      <w:r>
        <w:t xml:space="preserve">         </w:t>
      </w:r>
      <w:r w:rsidR="00823B56">
        <w:t>V</w:t>
      </w:r>
      <w:r w:rsidR="00BD71FE">
        <w:t xml:space="preserve">arious kinds of laws </w:t>
      </w:r>
      <w:r w:rsidR="00823B56">
        <w:t xml:space="preserve">were </w:t>
      </w:r>
      <w:r w:rsidR="004107B8">
        <w:t xml:space="preserve">issued </w:t>
      </w:r>
      <w:r w:rsidR="00BD71FE">
        <w:t>due to the financial crisis of 2008. Among all of these acts, the most controversial and impactful law was Dodd-Frank Wall Street Reform and Consumer Protection Act. Along with this, this act mainly presented a number of measures that helps to designed to operate all the activities in the financial sector and effectively safeguard the consumers. Moreover, there are other several kinds of laws that are highly influenced by the financial sectors are Troubled Asset Relief Program and Emergency Economic Stabilization Act. Besides that, the Federal Reserve also have taken various kinds of the additional measure of their own to deal with the critical situation</w:t>
      </w:r>
      <w:r w:rsidR="009D39D7">
        <w:t xml:space="preserve"> and</w:t>
      </w:r>
      <w:r w:rsidR="006A5460">
        <w:t xml:space="preserve"> </w:t>
      </w:r>
      <w:r w:rsidR="006A5460" w:rsidRPr="006A5460">
        <w:t>Basel Agreements</w:t>
      </w:r>
      <w:r w:rsidR="006A5460">
        <w:t xml:space="preserve"> they’ve been set </w:t>
      </w:r>
      <w:r w:rsidR="000E6D3B" w:rsidRPr="000E6D3B">
        <w:t>in place to create minimum standards that banks must abide by in order to create the most stability for banks that work with them</w:t>
      </w:r>
    </w:p>
    <w:p w14:paraId="3B5FC5A3" w14:textId="77777777" w:rsidR="00BD71FE" w:rsidRPr="00800073" w:rsidRDefault="00BD71FE" w:rsidP="00A07B0A">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Dodd Frank Act</w:t>
      </w:r>
    </w:p>
    <w:p w14:paraId="4AF31A0D" w14:textId="2EC05EC6" w:rsidR="00A53FC6" w:rsidRDefault="00E221D5" w:rsidP="00A07B0A">
      <w:pPr>
        <w:spacing w:line="276" w:lineRule="auto"/>
      </w:pPr>
      <w:r>
        <w:t xml:space="preserve">        </w:t>
      </w:r>
      <w:r w:rsidR="00BD71FE">
        <w:t xml:space="preserve">In the year 2010, the Dodd-Frank act was signed as law in the US finance sector. This law mainly helps the finance sector to modify its operations in an effective manner. In order to maintain </w:t>
      </w:r>
      <w:r w:rsidR="00BD71FE">
        <w:lastRenderedPageBreak/>
        <w:t xml:space="preserve">the standards of the financial trading market and securities, this act is closely associated with the governing regulations. It also created different types of new safeguards such as the Consumer Financial Protection Bureau. This particular agency always keeps a close focus on the finance industry and provide effective safeguard to the American consumers. After passing the Dodd-Frank act there are a huge </w:t>
      </w:r>
      <w:r w:rsidR="00554251">
        <w:t>number</w:t>
      </w:r>
      <w:r w:rsidR="00BD71FE">
        <w:t xml:space="preserve"> of changes have been done in the financial sector </w:t>
      </w:r>
      <w:sdt>
        <w:sdtPr>
          <w:id w:val="1468395907"/>
          <w:citation/>
        </w:sdtPr>
        <w:sdtEndPr/>
        <w:sdtContent>
          <w:r w:rsidR="00DE0AC6">
            <w:fldChar w:fldCharType="begin"/>
          </w:r>
          <w:r w:rsidR="00BD71FE">
            <w:rPr>
              <w:lang w:val="en-IN"/>
            </w:rPr>
            <w:instrText xml:space="preserve"> CITATION hsb21 \l 16393 </w:instrText>
          </w:r>
          <w:r w:rsidR="00DE0AC6">
            <w:fldChar w:fldCharType="separate"/>
          </w:r>
          <w:r w:rsidR="000577F5" w:rsidRPr="000577F5">
            <w:rPr>
              <w:noProof/>
              <w:lang w:val="en-IN"/>
            </w:rPr>
            <w:t>(hsbc, 2021)</w:t>
          </w:r>
          <w:r w:rsidR="00DE0AC6">
            <w:fldChar w:fldCharType="end"/>
          </w:r>
        </w:sdtContent>
      </w:sdt>
      <w:r w:rsidR="00BD71FE">
        <w:t>.</w:t>
      </w:r>
      <w:r w:rsidR="003D7AB2">
        <w:t xml:space="preserve"> </w:t>
      </w:r>
    </w:p>
    <w:p w14:paraId="7C4EE359" w14:textId="77777777" w:rsidR="00A53FC6" w:rsidRDefault="00554251" w:rsidP="00A53FC6">
      <w:pPr>
        <w:pStyle w:val="ListParagraph"/>
        <w:numPr>
          <w:ilvl w:val="0"/>
          <w:numId w:val="3"/>
        </w:numPr>
        <w:spacing w:line="276" w:lineRule="auto"/>
      </w:pPr>
      <w:r>
        <w:t>T</w:t>
      </w:r>
      <w:r w:rsidRPr="00554251">
        <w:t>hrough Securities Act of 1933</w:t>
      </w:r>
      <w:r w:rsidR="0056430A">
        <w:t>,</w:t>
      </w:r>
      <w:r>
        <w:t xml:space="preserve"> </w:t>
      </w:r>
      <w:r w:rsidR="0056430A" w:rsidRPr="0056430A">
        <w:t>Dodd-Frank also accustomed the meaning of credited investors.</w:t>
      </w:r>
      <w:r w:rsidR="00A53FC6" w:rsidRPr="00A53FC6">
        <w:t xml:space="preserve"> </w:t>
      </w:r>
    </w:p>
    <w:p w14:paraId="642DCC83" w14:textId="6E7A6E55" w:rsidR="00BD71FE" w:rsidRDefault="00A53FC6" w:rsidP="00A53FC6">
      <w:pPr>
        <w:pStyle w:val="ListParagraph"/>
        <w:numPr>
          <w:ilvl w:val="0"/>
          <w:numId w:val="3"/>
        </w:numPr>
        <w:spacing w:line="276" w:lineRule="auto"/>
      </w:pPr>
      <w:r w:rsidRPr="00A53FC6">
        <w:t>Securities Exchanges Act of 1934 (Title IX of Dodd-Frank)</w:t>
      </w:r>
      <w:r w:rsidR="00F5719B">
        <w:t>.</w:t>
      </w:r>
      <w:r w:rsidRPr="00A53FC6">
        <w:t xml:space="preserve"> This particular act mainly consists of provisions that are highly needed to amend the Security Act of 1934</w:t>
      </w:r>
    </w:p>
    <w:p w14:paraId="6D2FBD9B" w14:textId="2A0076B6" w:rsidR="00BD71FE" w:rsidRPr="00724FAB" w:rsidRDefault="00F5719B" w:rsidP="00F5719B">
      <w:pPr>
        <w:pStyle w:val="ListParagraph"/>
        <w:numPr>
          <w:ilvl w:val="0"/>
          <w:numId w:val="3"/>
        </w:numPr>
        <w:spacing w:line="276" w:lineRule="auto"/>
      </w:pPr>
      <w:r w:rsidRPr="00F5719B">
        <w:t>Investment Company Act of 1940</w:t>
      </w:r>
      <w:r w:rsidR="00724FAB">
        <w:t xml:space="preserve">. </w:t>
      </w:r>
      <w:r w:rsidR="00724FAB" w:rsidRPr="00DB468A">
        <w:t>The Dodd-Frank Act has a straight link and impact on the asset organisations and on the Investment Company Act of 1940. The Advisers act 1940, make some alterations to the act necessities for the investment consultants that highly influence both hedge funds and independent.</w:t>
      </w:r>
    </w:p>
    <w:p w14:paraId="3DE509DD" w14:textId="5E4D3AC9" w:rsidR="00DB468A" w:rsidRDefault="00724FAB" w:rsidP="00A07B0A">
      <w:pPr>
        <w:pStyle w:val="ListParagraph"/>
        <w:numPr>
          <w:ilvl w:val="0"/>
          <w:numId w:val="3"/>
        </w:numPr>
        <w:spacing w:line="276" w:lineRule="auto"/>
      </w:pPr>
      <w:r w:rsidRPr="00724FAB">
        <w:t>Sarbanes-Oxley Act of 2002</w:t>
      </w:r>
      <w:r w:rsidR="00DB468A">
        <w:t>.</w:t>
      </w:r>
      <w:r w:rsidR="00DB468A" w:rsidRPr="00DB468A">
        <w:t xml:space="preserve"> For Sarbanes-Oxley, the Dodd-Frank add up some of the new protections. The newly added requirements make offered data more attractive and more monetarily rewarding. Along with the existing laws, there are various kinds of laws that have been introduced by the Dodd Frank (</w:t>
      </w:r>
      <w:r w:rsidR="00B502CE">
        <w:t>Ch</w:t>
      </w:r>
      <w:r w:rsidR="00DB468A" w:rsidRPr="00DB468A">
        <w:t>afee, 2021)</w:t>
      </w:r>
    </w:p>
    <w:p w14:paraId="5168E71A" w14:textId="7BD88EA3" w:rsidR="00BD71FE" w:rsidRDefault="00BD71FE" w:rsidP="00DB468A">
      <w:pPr>
        <w:pStyle w:val="ListParagraph"/>
        <w:spacing w:line="276" w:lineRule="auto"/>
      </w:pPr>
      <w:r>
        <w:t xml:space="preserve"> </w:t>
      </w:r>
    </w:p>
    <w:p w14:paraId="21274BA7" w14:textId="0B4EDDF3" w:rsidR="00E221D5" w:rsidRPr="00E221D5" w:rsidRDefault="00BD71FE" w:rsidP="00E221D5">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Emergency Economic Stabilization Act</w:t>
      </w:r>
    </w:p>
    <w:p w14:paraId="231C27F2" w14:textId="09EC250F" w:rsidR="00BD71FE" w:rsidRDefault="00E221D5" w:rsidP="00A07B0A">
      <w:pPr>
        <w:spacing w:line="276" w:lineRule="auto"/>
        <w:rPr>
          <w:rFonts w:ascii="Arial" w:hAnsi="Arial" w:cs="Arial"/>
          <w:color w:val="111111"/>
          <w:spacing w:val="1"/>
          <w:sz w:val="27"/>
          <w:szCs w:val="27"/>
          <w:shd w:val="clear" w:color="auto" w:fill="FFFFFF"/>
        </w:rPr>
      </w:pPr>
      <w:r>
        <w:t xml:space="preserve">        </w:t>
      </w:r>
      <w:r w:rsidR="00BD71FE">
        <w:t xml:space="preserve">The divided Congress have passed Emergency Economic Stabilisation in the year 2008 that delivers the treasury with around $700 billion to acquisition Troubled assets, a loan backed securities and bank shares. The </w:t>
      </w:r>
      <w:r w:rsidR="00BD71FE" w:rsidRPr="000554A3">
        <w:t>Troubled Asset Relief Platform, as the platform was known</w:t>
      </w:r>
      <w:r w:rsidR="00BD71FE">
        <w:t xml:space="preserve"> as the</w:t>
      </w:r>
      <w:r w:rsidR="00BD71FE" w:rsidRPr="000554A3">
        <w:t xml:space="preserve">, eventually expended $426.4 billion bailing out </w:t>
      </w:r>
      <w:r w:rsidR="00BD71FE">
        <w:t>organis</w:t>
      </w:r>
      <w:r w:rsidR="00BD71FE" w:rsidRPr="000554A3">
        <w:t xml:space="preserve">ations, with </w:t>
      </w:r>
      <w:r w:rsidR="00BD71FE">
        <w:t xml:space="preserve">the </w:t>
      </w:r>
      <w:r w:rsidR="00BD71FE" w:rsidRPr="000554A3">
        <w:t>American International Group Inc</w:t>
      </w:r>
      <w:r w:rsidR="00D43FE3">
        <w:t xml:space="preserve"> </w:t>
      </w:r>
      <w:r w:rsidR="009627C8" w:rsidRPr="009627C8">
        <w:t>(</w:t>
      </w:r>
      <w:r w:rsidR="003952B3" w:rsidRPr="003952B3">
        <w:t>Lambert</w:t>
      </w:r>
      <w:r w:rsidR="009627C8" w:rsidRPr="009627C8">
        <w:t>, 20</w:t>
      </w:r>
      <w:r w:rsidR="003952B3">
        <w:t>17</w:t>
      </w:r>
      <w:r w:rsidR="009627C8" w:rsidRPr="009627C8">
        <w:t>)</w:t>
      </w:r>
      <w:r w:rsidR="00BD71FE" w:rsidRPr="000554A3">
        <w:t>.</w:t>
      </w:r>
      <w:r w:rsidR="00BD71FE">
        <w:rPr>
          <w:rFonts w:ascii="Arial" w:hAnsi="Arial" w:cs="Arial"/>
          <w:color w:val="111111"/>
          <w:spacing w:val="1"/>
          <w:sz w:val="27"/>
          <w:szCs w:val="27"/>
          <w:shd w:val="clear" w:color="auto" w:fill="FFFFFF"/>
        </w:rPr>
        <w:t> </w:t>
      </w:r>
    </w:p>
    <w:p w14:paraId="43566C9E" w14:textId="77777777" w:rsidR="00E221D5" w:rsidRDefault="00E221D5" w:rsidP="00A07B0A">
      <w:pPr>
        <w:spacing w:line="276" w:lineRule="auto"/>
        <w:rPr>
          <w:rFonts w:ascii="Arial" w:hAnsi="Arial" w:cs="Arial"/>
          <w:color w:val="111111"/>
          <w:spacing w:val="1"/>
          <w:sz w:val="27"/>
          <w:szCs w:val="27"/>
          <w:shd w:val="clear" w:color="auto" w:fill="FFFFFF"/>
        </w:rPr>
      </w:pPr>
    </w:p>
    <w:p w14:paraId="0A35265D" w14:textId="77777777" w:rsidR="00BD71FE" w:rsidRPr="00800073" w:rsidRDefault="00BD71FE" w:rsidP="00A07B0A">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Federal reserves</w:t>
      </w:r>
    </w:p>
    <w:p w14:paraId="340D8126" w14:textId="718156CF" w:rsidR="00BD71FE" w:rsidRDefault="00E221D5" w:rsidP="00A07B0A">
      <w:pPr>
        <w:spacing w:line="276" w:lineRule="auto"/>
      </w:pPr>
      <w:r>
        <w:t xml:space="preserve">       </w:t>
      </w:r>
      <w:r w:rsidR="00BD71FE">
        <w:t xml:space="preserve">Federal Reserve's mainly implements </w:t>
      </w:r>
      <w:r w:rsidR="00762D53">
        <w:t>inessential</w:t>
      </w:r>
      <w:r w:rsidR="00BD71FE">
        <w:t xml:space="preserve"> steps to provide effective </w:t>
      </w:r>
      <w:r w:rsidR="00762D53">
        <w:t>funding</w:t>
      </w:r>
      <w:r w:rsidR="00BD71FE">
        <w:t xml:space="preserve"> to the economy and </w:t>
      </w:r>
      <w:r w:rsidR="00762D53">
        <w:t>monetary</w:t>
      </w:r>
      <w:r w:rsidR="00BD71FE">
        <w:t xml:space="preserve"> markets after financial crisis. Along with this, the main authority of it focuses on the monetary policy that takes cases about the federal fund's rates. The Federal Reserve's was mainly led by the Dodd-Frank to take on </w:t>
      </w:r>
      <w:r w:rsidR="00762D53">
        <w:t>systematic</w:t>
      </w:r>
      <w:r w:rsidR="00BD71FE">
        <w:t xml:space="preserve"> stress testing on the banking </w:t>
      </w:r>
      <w:r w:rsidR="00762D53">
        <w:t>division</w:t>
      </w:r>
      <w:r w:rsidR="005B6AC1">
        <w:t xml:space="preserve"> </w:t>
      </w:r>
      <w:r w:rsidR="005B6AC1" w:rsidRPr="005B6AC1">
        <w:t>(</w:t>
      </w:r>
      <w:r w:rsidR="0032538E">
        <w:t>bis</w:t>
      </w:r>
      <w:r w:rsidR="005B6AC1" w:rsidRPr="005B6AC1">
        <w:t>, 2021)</w:t>
      </w:r>
      <w:r w:rsidR="005B6AC1">
        <w:t xml:space="preserve"> </w:t>
      </w:r>
      <w:r w:rsidR="00762D53">
        <w:t>there</w:t>
      </w:r>
      <w:r w:rsidR="00BD71FE">
        <w:t xml:space="preserve"> are various sections on which the Dodd franks focus. Such as, </w:t>
      </w:r>
    </w:p>
    <w:tbl>
      <w:tblPr>
        <w:tblStyle w:val="GridTable41"/>
        <w:tblW w:w="0" w:type="auto"/>
        <w:tblLook w:val="04A0" w:firstRow="1" w:lastRow="0" w:firstColumn="1" w:lastColumn="0" w:noHBand="0" w:noVBand="1"/>
      </w:tblPr>
      <w:tblGrid>
        <w:gridCol w:w="4675"/>
        <w:gridCol w:w="4675"/>
      </w:tblGrid>
      <w:tr w:rsidR="00BD71FE" w14:paraId="145834E6" w14:textId="77777777" w:rsidTr="00A66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5204D99" w14:textId="77777777" w:rsidR="00BD71FE" w:rsidRDefault="00BD71FE" w:rsidP="00A07B0A">
            <w:pPr>
              <w:spacing w:line="276" w:lineRule="auto"/>
              <w:jc w:val="center"/>
            </w:pPr>
            <w:r>
              <w:t>Sections</w:t>
            </w:r>
          </w:p>
        </w:tc>
        <w:tc>
          <w:tcPr>
            <w:tcW w:w="4675" w:type="dxa"/>
          </w:tcPr>
          <w:p w14:paraId="434DA24D" w14:textId="77777777" w:rsidR="00BD71FE" w:rsidRDefault="00BD71FE" w:rsidP="00A07B0A">
            <w:pPr>
              <w:spacing w:line="276" w:lineRule="auto"/>
              <w:jc w:val="center"/>
              <w:cnfStyle w:val="100000000000" w:firstRow="1" w:lastRow="0" w:firstColumn="0" w:lastColumn="0" w:oddVBand="0" w:evenVBand="0" w:oddHBand="0" w:evenHBand="0" w:firstRowFirstColumn="0" w:firstRowLastColumn="0" w:lastRowFirstColumn="0" w:lastRowLastColumn="0"/>
            </w:pPr>
            <w:r>
              <w:t>Titles</w:t>
            </w:r>
          </w:p>
        </w:tc>
      </w:tr>
      <w:tr w:rsidR="00BD71FE" w14:paraId="5627A888" w14:textId="77777777" w:rsidTr="00A6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6F215A0" w14:textId="77777777" w:rsidR="00BD71FE" w:rsidRDefault="00BD71FE" w:rsidP="00A07B0A">
            <w:pPr>
              <w:spacing w:line="276" w:lineRule="auto"/>
              <w:jc w:val="center"/>
            </w:pPr>
            <w:r>
              <w:t>Systematic Risk</w:t>
            </w:r>
          </w:p>
        </w:tc>
        <w:tc>
          <w:tcPr>
            <w:tcW w:w="4675" w:type="dxa"/>
          </w:tcPr>
          <w:p w14:paraId="60346C32" w14:textId="77777777" w:rsidR="00BD71FE" w:rsidRDefault="00BD71FE" w:rsidP="00A07B0A">
            <w:pPr>
              <w:spacing w:line="276" w:lineRule="auto"/>
              <w:jc w:val="center"/>
              <w:cnfStyle w:val="000000100000" w:firstRow="0" w:lastRow="0" w:firstColumn="0" w:lastColumn="0" w:oddVBand="0" w:evenVBand="0" w:oddHBand="1" w:evenHBand="0" w:firstRowFirstColumn="0" w:firstRowLastColumn="0" w:lastRowFirstColumn="0" w:lastRowLastColumn="0"/>
            </w:pPr>
            <w:r>
              <w:t>I and VII</w:t>
            </w:r>
          </w:p>
        </w:tc>
      </w:tr>
      <w:tr w:rsidR="00BD71FE" w14:paraId="0114BF2F" w14:textId="77777777" w:rsidTr="00A66C5F">
        <w:tc>
          <w:tcPr>
            <w:cnfStyle w:val="001000000000" w:firstRow="0" w:lastRow="0" w:firstColumn="1" w:lastColumn="0" w:oddVBand="0" w:evenVBand="0" w:oddHBand="0" w:evenHBand="0" w:firstRowFirstColumn="0" w:firstRowLastColumn="0" w:lastRowFirstColumn="0" w:lastRowLastColumn="0"/>
            <w:tcW w:w="4675" w:type="dxa"/>
          </w:tcPr>
          <w:p w14:paraId="4A795899" w14:textId="77777777" w:rsidR="00BD71FE" w:rsidRDefault="00BD71FE" w:rsidP="00A07B0A">
            <w:pPr>
              <w:spacing w:line="276" w:lineRule="auto"/>
              <w:jc w:val="center"/>
            </w:pPr>
            <w:r>
              <w:rPr>
                <w:shd w:val="clear" w:color="auto" w:fill="FFFFFF"/>
              </w:rPr>
              <w:t>Securitization</w:t>
            </w:r>
          </w:p>
        </w:tc>
        <w:tc>
          <w:tcPr>
            <w:tcW w:w="4675" w:type="dxa"/>
          </w:tcPr>
          <w:p w14:paraId="2C48D4B4" w14:textId="77777777" w:rsidR="00BD71FE" w:rsidRDefault="00BD71FE" w:rsidP="00A07B0A">
            <w:pPr>
              <w:spacing w:line="276" w:lineRule="auto"/>
              <w:jc w:val="center"/>
              <w:cnfStyle w:val="000000000000" w:firstRow="0" w:lastRow="0" w:firstColumn="0" w:lastColumn="0" w:oddVBand="0" w:evenVBand="0" w:oddHBand="0" w:evenHBand="0" w:firstRowFirstColumn="0" w:firstRowLastColumn="0" w:lastRowFirstColumn="0" w:lastRowLastColumn="0"/>
            </w:pPr>
            <w:r>
              <w:t>IX</w:t>
            </w:r>
          </w:p>
        </w:tc>
      </w:tr>
      <w:tr w:rsidR="00BD71FE" w14:paraId="2AAC022B" w14:textId="77777777" w:rsidTr="00A6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3F70D9F" w14:textId="77777777" w:rsidR="00BD71FE" w:rsidRDefault="00BD71FE" w:rsidP="00A07B0A">
            <w:pPr>
              <w:spacing w:line="276" w:lineRule="auto"/>
              <w:jc w:val="center"/>
            </w:pPr>
            <w:r>
              <w:rPr>
                <w:shd w:val="clear" w:color="auto" w:fill="FFFFFF"/>
              </w:rPr>
              <w:t>Resolve Regime for Deteriorating Companies</w:t>
            </w:r>
          </w:p>
        </w:tc>
        <w:tc>
          <w:tcPr>
            <w:tcW w:w="4675" w:type="dxa"/>
          </w:tcPr>
          <w:p w14:paraId="07D2524D" w14:textId="77777777" w:rsidR="00BD71FE" w:rsidRDefault="00BD71FE" w:rsidP="00A07B0A">
            <w:pPr>
              <w:spacing w:line="276" w:lineRule="auto"/>
              <w:jc w:val="center"/>
              <w:cnfStyle w:val="000000100000" w:firstRow="0" w:lastRow="0" w:firstColumn="0" w:lastColumn="0" w:oddVBand="0" w:evenVBand="0" w:oddHBand="1" w:evenHBand="0" w:firstRowFirstColumn="0" w:firstRowLastColumn="0" w:lastRowFirstColumn="0" w:lastRowLastColumn="0"/>
            </w:pPr>
            <w:r>
              <w:t>II</w:t>
            </w:r>
          </w:p>
        </w:tc>
      </w:tr>
      <w:tr w:rsidR="00BD71FE" w14:paraId="70A0228C" w14:textId="77777777" w:rsidTr="00A66C5F">
        <w:tc>
          <w:tcPr>
            <w:cnfStyle w:val="001000000000" w:firstRow="0" w:lastRow="0" w:firstColumn="1" w:lastColumn="0" w:oddVBand="0" w:evenVBand="0" w:oddHBand="0" w:evenHBand="0" w:firstRowFirstColumn="0" w:firstRowLastColumn="0" w:lastRowFirstColumn="0" w:lastRowLastColumn="0"/>
            <w:tcW w:w="4675" w:type="dxa"/>
          </w:tcPr>
          <w:p w14:paraId="23DBF192" w14:textId="77777777" w:rsidR="00BD71FE" w:rsidRDefault="00BD71FE" w:rsidP="00A07B0A">
            <w:pPr>
              <w:spacing w:line="276" w:lineRule="auto"/>
              <w:jc w:val="center"/>
            </w:pPr>
            <w:r>
              <w:rPr>
                <w:shd w:val="clear" w:color="auto" w:fill="FFFFFF"/>
              </w:rPr>
              <w:t>Customer Financial Protection</w:t>
            </w:r>
          </w:p>
        </w:tc>
        <w:tc>
          <w:tcPr>
            <w:tcW w:w="4675" w:type="dxa"/>
          </w:tcPr>
          <w:p w14:paraId="47CF23E0" w14:textId="77777777" w:rsidR="00BD71FE" w:rsidRDefault="00BD71FE" w:rsidP="00A07B0A">
            <w:pPr>
              <w:spacing w:line="276" w:lineRule="auto"/>
              <w:jc w:val="center"/>
              <w:cnfStyle w:val="000000000000" w:firstRow="0" w:lastRow="0" w:firstColumn="0" w:lastColumn="0" w:oddVBand="0" w:evenVBand="0" w:oddHBand="0" w:evenHBand="0" w:firstRowFirstColumn="0" w:firstRowLastColumn="0" w:lastRowFirstColumn="0" w:lastRowLastColumn="0"/>
            </w:pPr>
            <w:r>
              <w:t>X</w:t>
            </w:r>
          </w:p>
        </w:tc>
      </w:tr>
      <w:tr w:rsidR="00BD71FE" w14:paraId="031212A5" w14:textId="77777777" w:rsidTr="00A6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5A5908" w14:textId="77777777" w:rsidR="00BD71FE" w:rsidRDefault="00BD71FE" w:rsidP="00A07B0A">
            <w:pPr>
              <w:spacing w:line="276" w:lineRule="auto"/>
              <w:jc w:val="center"/>
            </w:pPr>
            <w:r>
              <w:rPr>
                <w:shd w:val="clear" w:color="auto" w:fill="FFFFFF"/>
              </w:rPr>
              <w:lastRenderedPageBreak/>
              <w:t>Bank Regulation</w:t>
            </w:r>
          </w:p>
        </w:tc>
        <w:tc>
          <w:tcPr>
            <w:tcW w:w="4675" w:type="dxa"/>
          </w:tcPr>
          <w:p w14:paraId="071671A2" w14:textId="77777777" w:rsidR="00BD71FE" w:rsidRDefault="00BD71FE" w:rsidP="00A07B0A">
            <w:pPr>
              <w:spacing w:line="276" w:lineRule="auto"/>
              <w:jc w:val="center"/>
              <w:cnfStyle w:val="000000100000" w:firstRow="0" w:lastRow="0" w:firstColumn="0" w:lastColumn="0" w:oddVBand="0" w:evenVBand="0" w:oddHBand="1" w:evenHBand="0" w:firstRowFirstColumn="0" w:firstRowLastColumn="0" w:lastRowFirstColumn="0" w:lastRowLastColumn="0"/>
            </w:pPr>
            <w:r>
              <w:t>I, III, VI, X</w:t>
            </w:r>
          </w:p>
        </w:tc>
      </w:tr>
      <w:tr w:rsidR="00BD71FE" w14:paraId="678065DC" w14:textId="77777777" w:rsidTr="00A66C5F">
        <w:tc>
          <w:tcPr>
            <w:cnfStyle w:val="001000000000" w:firstRow="0" w:lastRow="0" w:firstColumn="1" w:lastColumn="0" w:oddVBand="0" w:evenVBand="0" w:oddHBand="0" w:evenHBand="0" w:firstRowFirstColumn="0" w:firstRowLastColumn="0" w:lastRowFirstColumn="0" w:lastRowLastColumn="0"/>
            <w:tcW w:w="4675" w:type="dxa"/>
          </w:tcPr>
          <w:p w14:paraId="6761FFA8" w14:textId="77777777" w:rsidR="00BD71FE" w:rsidRDefault="00BD71FE" w:rsidP="00A07B0A">
            <w:pPr>
              <w:spacing w:line="276" w:lineRule="auto"/>
              <w:jc w:val="center"/>
            </w:pPr>
            <w:r>
              <w:rPr>
                <w:shd w:val="clear" w:color="auto" w:fill="FFFFFF"/>
              </w:rPr>
              <w:t>Derivatives</w:t>
            </w:r>
          </w:p>
        </w:tc>
        <w:tc>
          <w:tcPr>
            <w:tcW w:w="4675" w:type="dxa"/>
          </w:tcPr>
          <w:p w14:paraId="3599C752" w14:textId="77777777" w:rsidR="00BD71FE" w:rsidRDefault="00BD71FE" w:rsidP="00A07B0A">
            <w:pPr>
              <w:spacing w:line="276" w:lineRule="auto"/>
              <w:jc w:val="center"/>
              <w:cnfStyle w:val="000000000000" w:firstRow="0" w:lastRow="0" w:firstColumn="0" w:lastColumn="0" w:oddVBand="0" w:evenVBand="0" w:oddHBand="0" w:evenHBand="0" w:firstRowFirstColumn="0" w:firstRowLastColumn="0" w:lastRowFirstColumn="0" w:lastRowLastColumn="0"/>
            </w:pPr>
            <w:r>
              <w:t>VII and XVI</w:t>
            </w:r>
          </w:p>
        </w:tc>
      </w:tr>
      <w:tr w:rsidR="00BD71FE" w14:paraId="6AEF8505" w14:textId="77777777" w:rsidTr="00A6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3D0974B" w14:textId="77777777" w:rsidR="00BD71FE" w:rsidRDefault="00BD71FE" w:rsidP="00A07B0A">
            <w:pPr>
              <w:spacing w:line="276" w:lineRule="auto"/>
              <w:jc w:val="center"/>
              <w:rPr>
                <w:shd w:val="clear" w:color="auto" w:fill="FFFFFF"/>
              </w:rPr>
            </w:pPr>
            <w:r>
              <w:rPr>
                <w:shd w:val="clear" w:color="auto" w:fill="FFFFFF"/>
              </w:rPr>
              <w:t>Credit Rating Agencies</w:t>
            </w:r>
          </w:p>
        </w:tc>
        <w:tc>
          <w:tcPr>
            <w:tcW w:w="4675" w:type="dxa"/>
          </w:tcPr>
          <w:p w14:paraId="3448E114" w14:textId="77777777" w:rsidR="00BD71FE" w:rsidRDefault="00BD71FE" w:rsidP="00A07B0A">
            <w:pPr>
              <w:spacing w:line="276" w:lineRule="auto"/>
              <w:jc w:val="center"/>
              <w:cnfStyle w:val="000000100000" w:firstRow="0" w:lastRow="0" w:firstColumn="0" w:lastColumn="0" w:oddVBand="0" w:evenVBand="0" w:oddHBand="1" w:evenHBand="0" w:firstRowFirstColumn="0" w:firstRowLastColumn="0" w:lastRowFirstColumn="0" w:lastRowLastColumn="0"/>
            </w:pPr>
            <w:r>
              <w:t>IX</w:t>
            </w:r>
          </w:p>
        </w:tc>
      </w:tr>
      <w:tr w:rsidR="00BD71FE" w14:paraId="266F93A4" w14:textId="77777777" w:rsidTr="00A66C5F">
        <w:tc>
          <w:tcPr>
            <w:cnfStyle w:val="001000000000" w:firstRow="0" w:lastRow="0" w:firstColumn="1" w:lastColumn="0" w:oddVBand="0" w:evenVBand="0" w:oddHBand="0" w:evenHBand="0" w:firstRowFirstColumn="0" w:firstRowLastColumn="0" w:lastRowFirstColumn="0" w:lastRowLastColumn="0"/>
            <w:tcW w:w="4675" w:type="dxa"/>
          </w:tcPr>
          <w:p w14:paraId="01CEF8F9" w14:textId="77777777" w:rsidR="00BD71FE" w:rsidRDefault="00BD71FE" w:rsidP="00A07B0A">
            <w:pPr>
              <w:spacing w:line="276" w:lineRule="auto"/>
              <w:jc w:val="center"/>
              <w:rPr>
                <w:shd w:val="clear" w:color="auto" w:fill="FFFFFF"/>
              </w:rPr>
            </w:pPr>
            <w:r>
              <w:rPr>
                <w:shd w:val="clear" w:color="auto" w:fill="FFFFFF"/>
              </w:rPr>
              <w:t>Insurance</w:t>
            </w:r>
          </w:p>
        </w:tc>
        <w:tc>
          <w:tcPr>
            <w:tcW w:w="4675" w:type="dxa"/>
          </w:tcPr>
          <w:p w14:paraId="7C320826" w14:textId="77777777" w:rsidR="00BD71FE" w:rsidRDefault="00BD71FE" w:rsidP="00A07B0A">
            <w:pPr>
              <w:spacing w:line="276" w:lineRule="auto"/>
              <w:jc w:val="center"/>
              <w:cnfStyle w:val="000000000000" w:firstRow="0" w:lastRow="0" w:firstColumn="0" w:lastColumn="0" w:oddVBand="0" w:evenVBand="0" w:oddHBand="0" w:evenHBand="0" w:firstRowFirstColumn="0" w:firstRowLastColumn="0" w:lastRowFirstColumn="0" w:lastRowLastColumn="0"/>
            </w:pPr>
            <w:r>
              <w:t>V</w:t>
            </w:r>
          </w:p>
        </w:tc>
      </w:tr>
      <w:tr w:rsidR="00BD71FE" w14:paraId="62B392BA" w14:textId="77777777" w:rsidTr="00A6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17FD279" w14:textId="77777777" w:rsidR="00BD71FE" w:rsidRDefault="00BD71FE" w:rsidP="00A07B0A">
            <w:pPr>
              <w:spacing w:line="276" w:lineRule="auto"/>
              <w:jc w:val="center"/>
              <w:rPr>
                <w:shd w:val="clear" w:color="auto" w:fill="FFFFFF"/>
              </w:rPr>
            </w:pPr>
            <w:r>
              <w:rPr>
                <w:shd w:val="clear" w:color="auto" w:fill="FFFFFF"/>
              </w:rPr>
              <w:t>Investor Protection</w:t>
            </w:r>
          </w:p>
        </w:tc>
        <w:tc>
          <w:tcPr>
            <w:tcW w:w="4675" w:type="dxa"/>
          </w:tcPr>
          <w:p w14:paraId="3FBA21E8" w14:textId="77777777" w:rsidR="00BD71FE" w:rsidRDefault="00BD71FE" w:rsidP="00A07B0A">
            <w:pPr>
              <w:spacing w:line="276" w:lineRule="auto"/>
              <w:jc w:val="center"/>
              <w:cnfStyle w:val="000000100000" w:firstRow="0" w:lastRow="0" w:firstColumn="0" w:lastColumn="0" w:oddVBand="0" w:evenVBand="0" w:oddHBand="1" w:evenHBand="0" w:firstRowFirstColumn="0" w:firstRowLastColumn="0" w:lastRowFirstColumn="0" w:lastRowLastColumn="0"/>
            </w:pPr>
            <w:r>
              <w:t>IX</w:t>
            </w:r>
          </w:p>
        </w:tc>
      </w:tr>
      <w:tr w:rsidR="00BD71FE" w14:paraId="7209647E" w14:textId="77777777" w:rsidTr="00A66C5F">
        <w:tc>
          <w:tcPr>
            <w:cnfStyle w:val="001000000000" w:firstRow="0" w:lastRow="0" w:firstColumn="1" w:lastColumn="0" w:oddVBand="0" w:evenVBand="0" w:oddHBand="0" w:evenHBand="0" w:firstRowFirstColumn="0" w:firstRowLastColumn="0" w:lastRowFirstColumn="0" w:lastRowLastColumn="0"/>
            <w:tcW w:w="4675" w:type="dxa"/>
          </w:tcPr>
          <w:p w14:paraId="1E10D46C" w14:textId="77777777" w:rsidR="00BD71FE" w:rsidRDefault="00BD71FE" w:rsidP="00A07B0A">
            <w:pPr>
              <w:spacing w:line="276" w:lineRule="auto"/>
              <w:jc w:val="center"/>
            </w:pPr>
            <w:r>
              <w:rPr>
                <w:shd w:val="clear" w:color="auto" w:fill="FFFFFF"/>
              </w:rPr>
              <w:t>Mortgage Standards</w:t>
            </w:r>
          </w:p>
        </w:tc>
        <w:tc>
          <w:tcPr>
            <w:tcW w:w="4675" w:type="dxa"/>
          </w:tcPr>
          <w:p w14:paraId="06B1E777" w14:textId="77777777" w:rsidR="00BD71FE" w:rsidRDefault="00BD71FE" w:rsidP="00A07B0A">
            <w:pPr>
              <w:spacing w:line="276" w:lineRule="auto"/>
              <w:jc w:val="center"/>
              <w:cnfStyle w:val="000000000000" w:firstRow="0" w:lastRow="0" w:firstColumn="0" w:lastColumn="0" w:oddVBand="0" w:evenVBand="0" w:oddHBand="0" w:evenHBand="0" w:firstRowFirstColumn="0" w:firstRowLastColumn="0" w:lastRowFirstColumn="0" w:lastRowLastColumn="0"/>
            </w:pPr>
            <w:r>
              <w:t>XIV</w:t>
            </w:r>
          </w:p>
        </w:tc>
      </w:tr>
      <w:tr w:rsidR="00BD71FE" w14:paraId="2F702CEC" w14:textId="77777777" w:rsidTr="00A6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D6132AD" w14:textId="77777777" w:rsidR="00BD71FE" w:rsidRDefault="00BD71FE" w:rsidP="00A07B0A">
            <w:pPr>
              <w:spacing w:line="276" w:lineRule="auto"/>
              <w:jc w:val="center"/>
              <w:rPr>
                <w:shd w:val="clear" w:color="auto" w:fill="FFFFFF"/>
              </w:rPr>
            </w:pPr>
            <w:r>
              <w:t>Federal Reserve</w:t>
            </w:r>
          </w:p>
        </w:tc>
        <w:tc>
          <w:tcPr>
            <w:tcW w:w="4675" w:type="dxa"/>
          </w:tcPr>
          <w:p w14:paraId="44E20F42" w14:textId="77777777" w:rsidR="00BD71FE" w:rsidRDefault="00BD71FE" w:rsidP="00A07B0A">
            <w:pPr>
              <w:spacing w:line="276" w:lineRule="auto"/>
              <w:jc w:val="center"/>
              <w:cnfStyle w:val="000000100000" w:firstRow="0" w:lastRow="0" w:firstColumn="0" w:lastColumn="0" w:oddVBand="0" w:evenVBand="0" w:oddHBand="1" w:evenHBand="0" w:firstRowFirstColumn="0" w:firstRowLastColumn="0" w:lastRowFirstColumn="0" w:lastRowLastColumn="0"/>
            </w:pPr>
            <w:r>
              <w:t>XII</w:t>
            </w:r>
          </w:p>
        </w:tc>
      </w:tr>
    </w:tbl>
    <w:p w14:paraId="7D781A52" w14:textId="77777777" w:rsidR="00BD71FE" w:rsidRDefault="00BD71FE" w:rsidP="00A07B0A">
      <w:pPr>
        <w:spacing w:line="276" w:lineRule="auto"/>
      </w:pPr>
    </w:p>
    <w:p w14:paraId="0396ABA9" w14:textId="77777777" w:rsidR="00BD71FE" w:rsidRPr="00800073" w:rsidRDefault="00BD71FE" w:rsidP="00A07B0A">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Economic and Housing recovery act of 2008</w:t>
      </w:r>
    </w:p>
    <w:p w14:paraId="660C7A28" w14:textId="77EBE90B" w:rsidR="00BD71FE" w:rsidRDefault="00E221D5" w:rsidP="006E7B06">
      <w:pPr>
        <w:spacing w:line="276" w:lineRule="auto"/>
      </w:pPr>
      <w:r>
        <w:t xml:space="preserve">           </w:t>
      </w:r>
      <w:r w:rsidR="00BD71FE">
        <w:t xml:space="preserve">The </w:t>
      </w:r>
      <w:r w:rsidR="00BD71FE" w:rsidRPr="00AB622D">
        <w:t>Economic and Housing recovery act</w:t>
      </w:r>
      <w:r w:rsidR="00BD71FE">
        <w:t xml:space="preserve"> is mainly introduced in the year 2008. The main focus of this act is to renew the public faith in the GSE that effectively provides various kinds of home loans to Freddie Mac and Fannie Mae. It also allows the local authorities to refinance the loans through mortgage income bonds and formed the Federal Housing Finance Agency. After that this particular agency is fully responsible for the all the loans in the UK. In the HERA act, there are various kinds of sub acts are included such as, FHA Modernization Regulation of 2008, Fair and Secure Enforcement for Loan Licensing Regulation of 2008 and Housing Assistance Tax Regulation of 2008. All of these acts have been described below in an effective manner</w:t>
      </w:r>
      <w:r w:rsidR="00D454A7">
        <w:t xml:space="preserve"> </w:t>
      </w:r>
      <w:r w:rsidR="00D454A7" w:rsidRPr="00D454A7">
        <w:t>(everycrsreport, 2008)</w:t>
      </w:r>
      <w:r w:rsidR="00BD71FE">
        <w:t xml:space="preserve">. </w:t>
      </w:r>
    </w:p>
    <w:p w14:paraId="30583685" w14:textId="77777777" w:rsidR="00E221D5" w:rsidRPr="00C747E2" w:rsidRDefault="00E221D5" w:rsidP="006E7B06">
      <w:pPr>
        <w:spacing w:line="276" w:lineRule="auto"/>
        <w:rPr>
          <w:color w:val="FF0000"/>
        </w:rPr>
      </w:pPr>
    </w:p>
    <w:p w14:paraId="07B74C2B" w14:textId="77777777" w:rsidR="00BD71FE" w:rsidRPr="00800073" w:rsidRDefault="00BD71FE" w:rsidP="00A07B0A">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Banking Reform Act 2013</w:t>
      </w:r>
    </w:p>
    <w:p w14:paraId="1DF1B5DC" w14:textId="05775C04" w:rsidR="00BD71FE" w:rsidRDefault="00E221D5" w:rsidP="00A07B0A">
      <w:pPr>
        <w:spacing w:line="276" w:lineRule="auto"/>
      </w:pPr>
      <w:r>
        <w:t xml:space="preserve">           </w:t>
      </w:r>
      <w:r w:rsidR="00BD71FE">
        <w:t>Financial service act 2013 is the act of the UK government act, the main focus of this act is to reform the banking sector and maintain a high standard in the UK banking sector. Along with this, it also focuses on the enhancement of the loss of absorbing capability and wholesale banking activity. Due to the financial crisis, the UK government has imposed various kinds of banking laws to effectively protect the taxpayers and economy. In order to complying with ring-fencing, the banking sector has separated its retail banking operation from the investments and wholesale divisions. Along with this, it has also changed the ways in which the banks of the UK has been structured</w:t>
      </w:r>
      <w:r w:rsidR="00BF03A9">
        <w:t xml:space="preserve"> </w:t>
      </w:r>
      <w:r w:rsidR="001271C5" w:rsidRPr="001271C5">
        <w:t>(legislation, 2021)</w:t>
      </w:r>
      <w:r w:rsidR="00BD71FE">
        <w:t xml:space="preserve">. </w:t>
      </w:r>
    </w:p>
    <w:p w14:paraId="4F11B0FC" w14:textId="77777777" w:rsidR="00E221D5" w:rsidRDefault="00E221D5" w:rsidP="00A07B0A">
      <w:pPr>
        <w:spacing w:line="276" w:lineRule="auto"/>
      </w:pPr>
    </w:p>
    <w:p w14:paraId="5CDA8127" w14:textId="77777777" w:rsidR="00BD71FE" w:rsidRPr="00800073" w:rsidRDefault="00BD71FE" w:rsidP="00A07B0A">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Fixed income, commodities and currencies market standards boards</w:t>
      </w:r>
    </w:p>
    <w:p w14:paraId="459992E7" w14:textId="607862E9" w:rsidR="00BD71FE" w:rsidRDefault="00E221D5" w:rsidP="00A07B0A">
      <w:pPr>
        <w:spacing w:line="276" w:lineRule="auto"/>
      </w:pPr>
      <w:r>
        <w:t xml:space="preserve">          </w:t>
      </w:r>
      <w:r w:rsidR="00BD71FE">
        <w:t xml:space="preserve">As a private sector, the FICC markets standards Board was introduced in the market in. The aim of the private sector is to provide a quick response to the conduct issues revealed in the UK, that are associated with the </w:t>
      </w:r>
      <w:r w:rsidR="00BD71FE" w:rsidRPr="00E77B91">
        <w:t>Fixed income, commodities and currencies</w:t>
      </w:r>
      <w:r w:rsidR="00BD71FE">
        <w:t xml:space="preserve"> market due to financial crisis. Along with this, the FMSB mainly focuses to improve the standard of the conducts in the international wholesale market. Through this manner, the market can become more effective, transparent and fair. All of these standards are mainly kept a close eye on to decrease continued uncertainty regarding the acceptable practices in the unregulated areas, which has been become a </w:t>
      </w:r>
      <w:r w:rsidR="00BD71FE">
        <w:lastRenderedPageBreak/>
        <w:t>hazard for the FMSB members</w:t>
      </w:r>
      <w:r w:rsidR="006A11D6">
        <w:t xml:space="preserve"> </w:t>
      </w:r>
      <w:r w:rsidR="006A11D6" w:rsidRPr="006A11D6">
        <w:t>(practicallaw, 2021)</w:t>
      </w:r>
      <w:r w:rsidR="00BD71FE">
        <w:t xml:space="preserve">. The main focus of the law is to enhance the standard in an effective manner. The main approach of FMSB is very much constructive and open through working with the international and national bodies.  Through this manner, it has avoided the overlap and duplication with any other organisation in an effective manner. In the year 2020, FMSB has effectively introduced their five main standards. All of these aspects have been described below. </w:t>
      </w:r>
    </w:p>
    <w:p w14:paraId="2FA58AAD" w14:textId="77777777" w:rsidR="00BD71FE" w:rsidRDefault="00BD71FE" w:rsidP="00A07B0A">
      <w:pPr>
        <w:spacing w:line="276" w:lineRule="auto"/>
      </w:pPr>
      <w:r>
        <w:t xml:space="preserve">1- References Price Transactions for the Fixed Income Markets. </w:t>
      </w:r>
    </w:p>
    <w:p w14:paraId="7CC5D1C1" w14:textId="77777777" w:rsidR="00BD71FE" w:rsidRDefault="00BD71FE" w:rsidP="00A07B0A">
      <w:pPr>
        <w:spacing w:line="276" w:lineRule="auto"/>
      </w:pPr>
      <w:r>
        <w:t>2- New issues process standard for the Fixed Income Markets.</w:t>
      </w:r>
    </w:p>
    <w:p w14:paraId="4C0CE12F" w14:textId="77777777" w:rsidR="00BD71FE" w:rsidRDefault="00BD71FE" w:rsidP="00A07B0A">
      <w:pPr>
        <w:spacing w:line="276" w:lineRule="auto"/>
      </w:pPr>
      <w:r>
        <w:t xml:space="preserve">3- Binary Options for the Commodities Market. </w:t>
      </w:r>
    </w:p>
    <w:p w14:paraId="25279C85" w14:textId="77777777" w:rsidR="00BD71FE" w:rsidRDefault="00BD71FE" w:rsidP="00A07B0A">
      <w:pPr>
        <w:spacing w:line="276" w:lineRule="auto"/>
      </w:pPr>
      <w:r>
        <w:t>4- Secondary market Trading Error Compensation Standard</w:t>
      </w:r>
    </w:p>
    <w:p w14:paraId="7BAC68FD" w14:textId="74BFA1D7" w:rsidR="00BD71FE" w:rsidRDefault="00BD71FE" w:rsidP="00A07B0A">
      <w:pPr>
        <w:spacing w:line="276" w:lineRule="auto"/>
      </w:pPr>
      <w:r>
        <w:t xml:space="preserve">5- Risk management Transactions for New Issuance standards. </w:t>
      </w:r>
    </w:p>
    <w:p w14:paraId="76B09D54" w14:textId="77777777" w:rsidR="00E221D5" w:rsidRDefault="00E221D5" w:rsidP="00A07B0A">
      <w:pPr>
        <w:spacing w:line="276" w:lineRule="auto"/>
      </w:pPr>
    </w:p>
    <w:p w14:paraId="2044A77A" w14:textId="77777777" w:rsidR="00BD71FE" w:rsidRPr="00800073" w:rsidRDefault="00BD71FE" w:rsidP="00A07B0A">
      <w:pPr>
        <w:pStyle w:val="Heading2"/>
        <w:spacing w:line="276" w:lineRule="auto"/>
        <w:rPr>
          <w:rFonts w:ascii="Times New Roman" w:hAnsi="Times New Roman" w:cs="Times New Roman"/>
          <w:b/>
          <w:bCs/>
          <w:color w:val="auto"/>
        </w:rPr>
      </w:pPr>
      <w:r w:rsidRPr="00800073">
        <w:rPr>
          <w:rFonts w:ascii="Times New Roman" w:hAnsi="Times New Roman" w:cs="Times New Roman"/>
          <w:b/>
          <w:bCs/>
          <w:color w:val="auto"/>
        </w:rPr>
        <w:t>EU central Securities Depositories regulation</w:t>
      </w:r>
    </w:p>
    <w:p w14:paraId="04D9A6A6" w14:textId="31A1E515" w:rsidR="00BD71FE" w:rsidRDefault="00E221D5" w:rsidP="00A07B0A">
      <w:pPr>
        <w:spacing w:line="276" w:lineRule="auto"/>
      </w:pPr>
      <w:r>
        <w:t xml:space="preserve">           </w:t>
      </w:r>
      <w:r w:rsidR="00BD71FE">
        <w:t>The European commission due to the financial crisis in the year 2008, that CSDs in their position as a key organisations execution the de process of safeties settlement essential post through managing the records of transactions and safeties accounts. The European Union Act 2018 mainly forms the new body of the United Kingdom law also known as EU laws. This particular regulation has implemented in the UK after 31</w:t>
      </w:r>
      <w:r w:rsidR="00BD71FE" w:rsidRPr="008E2118">
        <w:rPr>
          <w:vertAlign w:val="superscript"/>
        </w:rPr>
        <w:t>st</w:t>
      </w:r>
      <w:r w:rsidR="00BD71FE">
        <w:t xml:space="preserve"> December 2020. Along with this, it has also reserved regulations that have been implemented under EUWA powers to make sure that, it operates in a proper way after the event of Brexit. These new implementations are not focused to change the policies. As a result, it has implemented in the January 2021, in the UK.</w:t>
      </w:r>
    </w:p>
    <w:p w14:paraId="6C4E6FD1" w14:textId="77777777" w:rsidR="00E221D5" w:rsidRDefault="00E221D5" w:rsidP="00A07B0A">
      <w:pPr>
        <w:spacing w:line="276" w:lineRule="auto"/>
      </w:pPr>
    </w:p>
    <w:p w14:paraId="6AE92010" w14:textId="77777777" w:rsidR="00882150" w:rsidRPr="00F92267" w:rsidRDefault="00882150" w:rsidP="00882150">
      <w:pPr>
        <w:pStyle w:val="Heading2"/>
        <w:spacing w:line="276" w:lineRule="auto"/>
        <w:rPr>
          <w:rFonts w:ascii="Times New Roman" w:hAnsi="Times New Roman" w:cs="Times New Roman"/>
          <w:b/>
          <w:bCs/>
          <w:color w:val="auto"/>
        </w:rPr>
      </w:pPr>
      <w:r w:rsidRPr="00F92267">
        <w:rPr>
          <w:rFonts w:ascii="Times New Roman" w:hAnsi="Times New Roman" w:cs="Times New Roman"/>
          <w:b/>
          <w:bCs/>
          <w:color w:val="auto"/>
        </w:rPr>
        <w:t>2002 ISDA Master Agreement</w:t>
      </w:r>
    </w:p>
    <w:p w14:paraId="66844B43" w14:textId="4DF4565C" w:rsidR="00BD71FE" w:rsidRDefault="00E221D5" w:rsidP="00A07B0A">
      <w:pPr>
        <w:spacing w:line="276" w:lineRule="auto"/>
      </w:pPr>
      <w:r>
        <w:t xml:space="preserve">           </w:t>
      </w:r>
      <w:r w:rsidR="00BD71FE">
        <w:t xml:space="preserve">The ISDA master agreement is mainly a standard contract that is circulated by International Derivatives and Swaps Association. This particular contract mainly operates the entire counter. It also set out the various provisions such as events and counterparties obligations that can highly influence the deliveries, contract, dispute mechanism, termination, payments and other legal provisions that effectively assists the robust and effective contact. </w:t>
      </w:r>
    </w:p>
    <w:p w14:paraId="269256E3" w14:textId="77777777" w:rsidR="00E221D5" w:rsidRPr="008E2118" w:rsidRDefault="00E221D5" w:rsidP="00A07B0A">
      <w:pPr>
        <w:spacing w:line="276" w:lineRule="auto"/>
      </w:pPr>
    </w:p>
    <w:p w14:paraId="3621CEC7" w14:textId="1B3F6A2E" w:rsidR="007B2262" w:rsidRPr="00E221D5" w:rsidRDefault="007B2262" w:rsidP="00A07B0A">
      <w:pPr>
        <w:pStyle w:val="Heading2"/>
        <w:spacing w:line="276" w:lineRule="auto"/>
        <w:rPr>
          <w:rFonts w:ascii="Times New Roman" w:hAnsi="Times New Roman" w:cs="Times New Roman"/>
          <w:b/>
          <w:bCs/>
          <w:color w:val="auto"/>
        </w:rPr>
      </w:pPr>
      <w:r w:rsidRPr="00E221D5">
        <w:rPr>
          <w:rFonts w:ascii="Times New Roman" w:hAnsi="Times New Roman" w:cs="Times New Roman"/>
          <w:b/>
          <w:bCs/>
          <w:color w:val="auto"/>
        </w:rPr>
        <w:t>Basel</w:t>
      </w:r>
      <w:r w:rsidR="00220F63" w:rsidRPr="00E221D5">
        <w:rPr>
          <w:rFonts w:ascii="Times New Roman" w:hAnsi="Times New Roman" w:cs="Times New Roman"/>
          <w:b/>
          <w:bCs/>
          <w:color w:val="auto"/>
        </w:rPr>
        <w:t xml:space="preserve"> </w:t>
      </w:r>
      <w:r w:rsidR="000C24E5" w:rsidRPr="00E221D5">
        <w:rPr>
          <w:rFonts w:ascii="Times New Roman" w:hAnsi="Times New Roman" w:cs="Times New Roman"/>
          <w:b/>
          <w:bCs/>
          <w:color w:val="auto"/>
        </w:rPr>
        <w:t>Agreement</w:t>
      </w:r>
    </w:p>
    <w:p w14:paraId="1BC96AD4" w14:textId="0A4D9844" w:rsidR="00AB6220" w:rsidRDefault="00E221D5" w:rsidP="00E221D5">
      <w:pPr>
        <w:spacing w:after="0" w:line="276" w:lineRule="auto"/>
      </w:pPr>
      <w:r>
        <w:t xml:space="preserve">         </w:t>
      </w:r>
      <w:r w:rsidR="00A1464E" w:rsidRPr="00A1464E">
        <w:t xml:space="preserve">The Bank for International Settlements (BIS) was established in response to the market collapse that led to the Great Depression. During this time, it was </w:t>
      </w:r>
      <w:r w:rsidRPr="00A1464E">
        <w:t>determined that</w:t>
      </w:r>
      <w:r w:rsidR="00A1464E" w:rsidRPr="00A1464E">
        <w:t xml:space="preserve"> something was needed to help the world collaborate in the financial markets and enhance its ability to become a "banker to central bank" ("From Basel I to Basel III-Overview of the Journey" (Basel 1, 2, 2.5 and 3)-AdvisoryHQ ", oJ). At this point, the Brentonwood System created the World Bank and the </w:t>
      </w:r>
      <w:r>
        <w:t xml:space="preserve">               </w:t>
      </w:r>
      <w:r w:rsidR="00A1464E" w:rsidRPr="00A1464E">
        <w:lastRenderedPageBreak/>
        <w:t xml:space="preserve">International Monetary Fund (IMF), and the leaders of these groups considered BIS irrelevant. Not only did the collapse of this bank cause problems in West Germany, but its effects were seen in all international financial markets. They say the Commission was: </w:t>
      </w:r>
      <w:r w:rsidR="00AB6220">
        <w:t>“…established to enhance the quality of banking supervision worldwide, and to serve as a forum for regular cooperation between its member countries on banking supervisory matters” (“History of the Basel Committee,” 2018).</w:t>
      </w:r>
    </w:p>
    <w:p w14:paraId="1913F566" w14:textId="074D2B60" w:rsidR="00AB6220" w:rsidRDefault="00E221D5" w:rsidP="00E221D5">
      <w:pPr>
        <w:spacing w:after="0" w:line="276" w:lineRule="auto"/>
      </w:pPr>
      <w:r>
        <w:t xml:space="preserve">          </w:t>
      </w:r>
      <w:r w:rsidR="00B5273B" w:rsidRPr="00B5273B">
        <w:t>The Commission's work is to limit the gap in international supervision, and thus does not allow any bank to circumvent supervision, and to ensure that supervision is consistent across all jurisdictions. It was created as the basis for the cooperation of banking supervisors  in other countries. This paper has been supplemented and revised  over the years</w:t>
      </w:r>
      <w:r w:rsidR="00AB6220">
        <w:t xml:space="preserve"> (“History of the Basel Committee,” 2018):</w:t>
      </w:r>
    </w:p>
    <w:p w14:paraId="2DBA0E3E" w14:textId="77777777" w:rsidR="00AB6220" w:rsidRDefault="00AB6220" w:rsidP="00A07B0A">
      <w:pPr>
        <w:spacing w:line="276" w:lineRule="auto"/>
      </w:pPr>
      <w:r>
        <w:t>1983- Revision titled “Principles for the supervision of banks` foreign establishments”</w:t>
      </w:r>
    </w:p>
    <w:p w14:paraId="55C11F3D" w14:textId="77777777" w:rsidR="00AB6220" w:rsidRDefault="00AB6220" w:rsidP="00A07B0A">
      <w:pPr>
        <w:spacing w:line="276" w:lineRule="auto"/>
      </w:pPr>
      <w:r>
        <w:t>1990- Supplement titled “Exchanges of information between supervisors of participants in the financial markets”</w:t>
      </w:r>
    </w:p>
    <w:p w14:paraId="7162E39D" w14:textId="77777777" w:rsidR="00AB6220" w:rsidRDefault="00AB6220" w:rsidP="00A07B0A">
      <w:pPr>
        <w:spacing w:line="276" w:lineRule="auto"/>
      </w:pPr>
      <w:r>
        <w:t>1992- Reformulation titled “Minimum standards for the supervision of international banking groups and their cross-border establishments”</w:t>
      </w:r>
    </w:p>
    <w:p w14:paraId="105F22C2" w14:textId="77777777" w:rsidR="00AB6220" w:rsidRDefault="00AB6220" w:rsidP="00E221D5">
      <w:pPr>
        <w:pStyle w:val="ListParagraph"/>
        <w:numPr>
          <w:ilvl w:val="0"/>
          <w:numId w:val="4"/>
        </w:numPr>
        <w:spacing w:line="276" w:lineRule="auto"/>
      </w:pPr>
      <w:r>
        <w:t>Basel I</w:t>
      </w:r>
    </w:p>
    <w:p w14:paraId="6D64A0CA" w14:textId="6627F198" w:rsidR="00866DCE" w:rsidRDefault="00E221D5" w:rsidP="00A07B0A">
      <w:pPr>
        <w:spacing w:line="276" w:lineRule="auto"/>
      </w:pPr>
      <w:r>
        <w:t xml:space="preserve">         </w:t>
      </w:r>
      <w:r w:rsidR="00CD7C24" w:rsidRPr="00CD7C24">
        <w:t>Issued in 1988, Basel I was the first major agreement that addressed capital adequacy in international banks. The committee recognized that there would be competitive inequality due to the differences in national requirements of capital so they decided to create a weighted approach to risk measurement on and off of a bank`s balance sheets that would minimize the advantage.</w:t>
      </w:r>
    </w:p>
    <w:p w14:paraId="1FB3C407" w14:textId="2B11F66B" w:rsidR="00161C79" w:rsidRDefault="00A32717" w:rsidP="00E221D5">
      <w:pPr>
        <w:pStyle w:val="ListParagraph"/>
        <w:numPr>
          <w:ilvl w:val="0"/>
          <w:numId w:val="4"/>
        </w:numPr>
        <w:spacing w:line="276" w:lineRule="auto"/>
      </w:pPr>
      <w:r>
        <w:t>Basel II</w:t>
      </w:r>
    </w:p>
    <w:p w14:paraId="0ACAFE7F" w14:textId="412B203C" w:rsidR="00A27E04" w:rsidRDefault="00E221D5" w:rsidP="00E221D5">
      <w:pPr>
        <w:spacing w:after="0" w:line="276" w:lineRule="auto"/>
      </w:pPr>
      <w:r>
        <w:t xml:space="preserve">         </w:t>
      </w:r>
      <w:r w:rsidR="00A27E04">
        <w:t xml:space="preserve">In June 1999, the Commission submitted a proposal to replace the 1988 Basel I Agreement, which defined capital adequacy ratios. The revised capital adequacy guidelines were published as Basel II in June 2004. This new agreement was based on three pillars ("History of the Basel Committee", 2018). </w:t>
      </w:r>
    </w:p>
    <w:p w14:paraId="4C9269D9" w14:textId="7500F7B0" w:rsidR="00A27E04" w:rsidRDefault="00E221D5" w:rsidP="00E221D5">
      <w:pPr>
        <w:spacing w:after="0" w:line="276" w:lineRule="auto"/>
      </w:pPr>
      <w:r>
        <w:t xml:space="preserve">       </w:t>
      </w:r>
      <w:r w:rsidR="00A27E04">
        <w:t xml:space="preserve"> Minimal capital requirements. This resulted in a revision known as Basel 2.5. This included a broader view of risk in financial markets. We have expanded </w:t>
      </w:r>
      <w:r>
        <w:t>the scope</w:t>
      </w:r>
      <w:r w:rsidR="00A27E04">
        <w:t xml:space="preserve"> to make it applicable to international banking operations at the consolidated level, excluding insurance activities from financial operations and excluding investments in other commercial organizations when calculating risk thresholds. Further changes include: "From Basel I to Basel III-Travel Summary (Basel 1, 2, 2.5 and 3)-Advisory HQ", no date):</w:t>
      </w:r>
    </w:p>
    <w:p w14:paraId="6B27262F" w14:textId="40932B61" w:rsidR="00A32717" w:rsidRDefault="00E221D5" w:rsidP="00A27E04">
      <w:pPr>
        <w:spacing w:line="276" w:lineRule="auto"/>
      </w:pPr>
      <w:r>
        <w:t xml:space="preserve">       </w:t>
      </w:r>
      <w:r w:rsidR="00A32717">
        <w:t>Changed Value at risk (VaR) measurement to Stressed Value at Risk (SVaR). It is said that the capital requirement levels were too low and the assessment of credit risk was improperly delegated to non-banking institutions. It was also criticized for making assumptions that the internal risk exposure measurement models were superior to those that external agencies could have implemented. The issues leading up to the financial crisis and these resultant criticisms led to the formulation and implementation of Basel III.</w:t>
      </w:r>
    </w:p>
    <w:p w14:paraId="09461DE3" w14:textId="1B88C6FA" w:rsidR="00A32717" w:rsidRDefault="00A32717" w:rsidP="00E221D5">
      <w:pPr>
        <w:pStyle w:val="ListParagraph"/>
        <w:numPr>
          <w:ilvl w:val="0"/>
          <w:numId w:val="4"/>
        </w:numPr>
        <w:spacing w:line="276" w:lineRule="auto"/>
      </w:pPr>
      <w:r>
        <w:lastRenderedPageBreak/>
        <w:t>Basel III</w:t>
      </w:r>
    </w:p>
    <w:p w14:paraId="01B34F33" w14:textId="2472156F" w:rsidR="00596E64" w:rsidRDefault="00E221D5" w:rsidP="00596E64">
      <w:pPr>
        <w:spacing w:after="0" w:line="276" w:lineRule="auto"/>
      </w:pPr>
      <w:r>
        <w:t xml:space="preserve">        </w:t>
      </w:r>
      <w:r w:rsidR="00596E64">
        <w:t>Unfortunately, it was late in coming and when the Lehman Brothers bank failed within a month of the publication, the effects of those issues were felt via the financial meltdown of 2008 (“History of the Basel Committee,” 2018).</w:t>
      </w:r>
    </w:p>
    <w:p w14:paraId="56F20DB3" w14:textId="228B6076" w:rsidR="00596E64" w:rsidRDefault="00E221D5" w:rsidP="00596E64">
      <w:pPr>
        <w:spacing w:after="0" w:line="276" w:lineRule="auto"/>
      </w:pPr>
      <w:r>
        <w:t xml:space="preserve">        </w:t>
      </w:r>
      <w:r w:rsidR="00596E64">
        <w:t>Basel III was the result of the decision of the committee to do more to foster transparency and accountability in international banking after the financial disaster. In an attempt to reduce the frequency and strength of banking disasters (Ghosh, Sugawara, &amp; Zalduendo, 2011), this new Basel rule set its primary targets to (“From Basel I to Basel III – Overview of the Journey (Basel 1, 2, 2.5 and 3) – AdvisoryHQ,” n.d.):</w:t>
      </w:r>
    </w:p>
    <w:p w14:paraId="1F047DE2" w14:textId="44D20BDC" w:rsidR="00596E64" w:rsidRDefault="00E221D5" w:rsidP="00596E64">
      <w:pPr>
        <w:spacing w:after="0" w:line="276" w:lineRule="auto"/>
      </w:pPr>
      <w:r>
        <w:t xml:space="preserve">         </w:t>
      </w:r>
      <w:r w:rsidR="00596E64">
        <w:t>Make participating banks strong enough to withstand future financial shocks without causing contagion to other economies or sectors. It also focused on stress testing, “fair value” assessments, executive compensation practices, corporate governance, scrutiny over large exposures, and increased oversight of “concentration risk.”</w:t>
      </w:r>
    </w:p>
    <w:p w14:paraId="0A5DF6E9" w14:textId="4FDBE993" w:rsidR="00596E64" w:rsidRDefault="00E221D5" w:rsidP="00596E64">
      <w:pPr>
        <w:spacing w:after="0" w:line="276" w:lineRule="auto"/>
      </w:pPr>
      <w:r>
        <w:t xml:space="preserve">         </w:t>
      </w:r>
      <w:r w:rsidR="00596E64">
        <w:t>Many of the reforms of Basel III are to be instituted between 2013 and 2019. Along with increasing the capital adequacy to 11.5%, the new role of common equity has an additional layer that, when crossed, limits payouts in order to keep the minimum common equity requirement. It also includes a countercyclical capital buffer that stops banks from participating in credit booms with the goal of reducing losses in credit busts. A liquidity coverage ratio (LCR) will also be created, regardless of weighting, that will make sure that the bank has enough cash to cover funding needs for a 30 day stress period and a Net Stable Funding Ratio (NSFR) that addresses maturity mismatches in the balance sheet. Basel III also standardized counterparty credit risk with derivative transactions and enhanced the way that capital requirements for securitizations are to be calculated.</w:t>
      </w:r>
    </w:p>
    <w:p w14:paraId="5330D9FC" w14:textId="3968A49E" w:rsidR="00121CAA" w:rsidRDefault="00E221D5" w:rsidP="00121CAA">
      <w:pPr>
        <w:spacing w:after="0" w:line="276" w:lineRule="auto"/>
      </w:pPr>
      <w:r>
        <w:t xml:space="preserve">         </w:t>
      </w:r>
      <w:r w:rsidR="00121CAA">
        <w:t xml:space="preserve">The purpose of </w:t>
      </w:r>
      <w:r w:rsidR="00C41D37">
        <w:t>all these</w:t>
      </w:r>
      <w:r w:rsidR="00121CAA">
        <w:t xml:space="preserve"> reforms was to </w:t>
      </w:r>
      <w:r w:rsidR="00C41D37">
        <w:t>reduce extreme</w:t>
      </w:r>
      <w:r w:rsidR="00121CAA">
        <w:t xml:space="preserve"> fluctuations in risk-weighted assets (RWA), which are considered to be the cause of the loss of stakeholder confidence in the global financial crisis ("History of the Basel Committee". , 2018), and take security measures to protect meetings of financial institutions that are “too big to fail” (Staff, 2018). Conversely, the cost of banks in high-risk behavior has increased, </w:t>
      </w:r>
      <w:r w:rsidR="00C41D37">
        <w:t>and more</w:t>
      </w:r>
      <w:r w:rsidR="00121CAA">
        <w:t xml:space="preserve"> effective alert systems have been created to identify and prevent financial disasters. This may seem like common sense, but the lack of payments </w:t>
      </w:r>
      <w:r w:rsidR="00473C7A">
        <w:t>to shareholders</w:t>
      </w:r>
      <w:r w:rsidR="00121CAA">
        <w:t xml:space="preserve"> can create a "feeling" that banks aren't doing well, even though they aren't doing it financially. Overall, the new requirements will have a lasting impact on the lending capacity of international banks and, without corrective action in other areas, will adversely affect the economies of these established markets (Ghosh, Sugawara &amp; Zalduendo, 2011).</w:t>
      </w:r>
      <w:r w:rsidR="00473C7A">
        <w:t xml:space="preserve"> </w:t>
      </w:r>
      <w:r w:rsidR="00121CAA">
        <w:t>This will allow banks to cover these losses in a variety of ways, including lower rates of return on deposits, lower employee compensation, and higher commodity loan margins (Vine &amp; Gray, 2010).</w:t>
      </w:r>
    </w:p>
    <w:p w14:paraId="51DE3A0B" w14:textId="7FFAFA53" w:rsidR="00587FA7" w:rsidRDefault="00473C7A" w:rsidP="00596E64">
      <w:pPr>
        <w:spacing w:after="0" w:line="276" w:lineRule="auto"/>
      </w:pPr>
      <w:r>
        <w:t xml:space="preserve">         </w:t>
      </w:r>
      <w:r w:rsidR="00587FA7" w:rsidRPr="00587FA7">
        <w:t>The impact of Basel III on developed markets was severe and was expected to limit the opportunities for participants in this sector, but the impact on emerging markets could be even more pronounced.</w:t>
      </w:r>
      <w:r>
        <w:t xml:space="preserve"> </w:t>
      </w:r>
      <w:r w:rsidR="00587FA7" w:rsidRPr="00587FA7">
        <w:t xml:space="preserve">These projects can slow down as banks, especially small banks, cannot provide these loans because emerging economies need large amounts of </w:t>
      </w:r>
      <w:r w:rsidRPr="00587FA7">
        <w:t>cash to</w:t>
      </w:r>
      <w:r w:rsidR="00587FA7" w:rsidRPr="00587FA7">
        <w:t xml:space="preserve"> build their infrastructure. Banks now need to combine long-term lending (such as what is needed for infrastructure projects) </w:t>
      </w:r>
      <w:r w:rsidR="00587FA7" w:rsidRPr="00587FA7">
        <w:lastRenderedPageBreak/>
        <w:t xml:space="preserve">with long-term lending and increase cash accordingly (Saunders, 2015). Emerging markets </w:t>
      </w:r>
      <w:r w:rsidR="00C41D37" w:rsidRPr="00587FA7">
        <w:t>are likely</w:t>
      </w:r>
      <w:r w:rsidR="00587FA7" w:rsidRPr="00587FA7">
        <w:t xml:space="preserve"> to be unable to meet these requirements, and if banks' growing capital needs are met through profits, they must definitely limit the number of </w:t>
      </w:r>
      <w:r w:rsidR="00C41D37" w:rsidRPr="00587FA7">
        <w:t>projects they</w:t>
      </w:r>
      <w:r w:rsidR="00587FA7" w:rsidRPr="00587FA7">
        <w:t xml:space="preserve"> can carry out (Beck, 2018).</w:t>
      </w:r>
    </w:p>
    <w:p w14:paraId="7C483D2D" w14:textId="355785DE" w:rsidR="00BD71FE" w:rsidRDefault="005002EA" w:rsidP="00A07B0A">
      <w:pPr>
        <w:spacing w:line="276" w:lineRule="auto"/>
      </w:pPr>
      <w:r w:rsidRPr="005002EA">
        <w:t>Basel III also affects the way he hedges in emerging markets.</w:t>
      </w:r>
    </w:p>
    <w:p w14:paraId="1A9A93AD" w14:textId="62B444C8" w:rsidR="0019013D" w:rsidRPr="0019013D" w:rsidRDefault="0019013D" w:rsidP="0019013D">
      <w:pPr>
        <w:spacing w:line="276" w:lineRule="auto"/>
      </w:pPr>
      <w:r w:rsidRPr="0019013D">
        <w:t>Phase-in arrangements Basel III capital requirements Source:</w:t>
      </w:r>
      <w:r>
        <w:t xml:space="preserve"> Research gate</w:t>
      </w:r>
    </w:p>
    <w:p w14:paraId="162CC333" w14:textId="15FA58F6" w:rsidR="001C6E89" w:rsidRDefault="00C26313" w:rsidP="00A07B0A">
      <w:pPr>
        <w:spacing w:line="276" w:lineRule="auto"/>
        <w:rPr>
          <w:sz w:val="28"/>
          <w:szCs w:val="32"/>
        </w:rPr>
      </w:pPr>
      <w:r>
        <w:rPr>
          <w:noProof/>
        </w:rPr>
        <w:drawing>
          <wp:inline distT="0" distB="0" distL="0" distR="0" wp14:anchorId="7226BBC0" wp14:editId="6BA50902">
            <wp:extent cx="5943600" cy="2286635"/>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286635"/>
                    </a:xfrm>
                    <a:prstGeom prst="rect">
                      <a:avLst/>
                    </a:prstGeom>
                    <a:noFill/>
                    <a:ln>
                      <a:noFill/>
                    </a:ln>
                  </pic:spPr>
                </pic:pic>
              </a:graphicData>
            </a:graphic>
          </wp:inline>
        </w:drawing>
      </w:r>
    </w:p>
    <w:p w14:paraId="7A5FE081" w14:textId="7008C77F" w:rsidR="00BE7D72" w:rsidRDefault="005B71D5" w:rsidP="00A07B0A">
      <w:pPr>
        <w:pStyle w:val="Heading1"/>
        <w:spacing w:line="276" w:lineRule="auto"/>
      </w:pPr>
      <w:bookmarkStart w:id="2" w:name="_Toc89372757"/>
      <w:r>
        <w:t>II</w:t>
      </w:r>
      <w:r w:rsidR="00BC522A">
        <w:t xml:space="preserve">. </w:t>
      </w:r>
      <w:r>
        <w:t>R</w:t>
      </w:r>
      <w:r w:rsidR="00BC522A">
        <w:t xml:space="preserve">eforms </w:t>
      </w:r>
      <w:r>
        <w:t xml:space="preserve">that </w:t>
      </w:r>
      <w:r w:rsidR="00BC522A">
        <w:t>have contributed towards stabilising the financial system, and the different banking institutions post the 2008 crises.</w:t>
      </w:r>
      <w:bookmarkEnd w:id="2"/>
    </w:p>
    <w:p w14:paraId="13916159" w14:textId="77777777" w:rsidR="005B71D5" w:rsidRDefault="005B71D5" w:rsidP="00A07B0A">
      <w:pPr>
        <w:spacing w:line="276" w:lineRule="auto"/>
      </w:pPr>
    </w:p>
    <w:p w14:paraId="4B34AA20" w14:textId="71FD238C" w:rsidR="00901EFE" w:rsidRDefault="00C41D37" w:rsidP="00C41D37">
      <w:pPr>
        <w:spacing w:after="0" w:line="276" w:lineRule="auto"/>
      </w:pPr>
      <w:r>
        <w:t xml:space="preserve">          </w:t>
      </w:r>
      <w:r w:rsidR="00901EFE">
        <w:t xml:space="preserve">There were various reforms that were established to stabilise the financial system and overcome the crisis of 2008. </w:t>
      </w:r>
    </w:p>
    <w:p w14:paraId="1749B1C4" w14:textId="77777777" w:rsidR="00C41D37" w:rsidRDefault="00C41D37" w:rsidP="00A07B0A">
      <w:pPr>
        <w:spacing w:line="276" w:lineRule="auto"/>
      </w:pPr>
    </w:p>
    <w:p w14:paraId="3E6F71CE" w14:textId="1C1363EE" w:rsidR="00901EFE" w:rsidRDefault="00901EFE" w:rsidP="00C41D37">
      <w:pPr>
        <w:pStyle w:val="Heading2"/>
        <w:spacing w:line="276" w:lineRule="auto"/>
        <w:rPr>
          <w:rFonts w:ascii="Times New Roman" w:hAnsi="Times New Roman" w:cs="Times New Roman"/>
          <w:b/>
          <w:bCs/>
          <w:color w:val="auto"/>
        </w:rPr>
      </w:pPr>
      <w:r w:rsidRPr="00C41D37">
        <w:rPr>
          <w:rFonts w:ascii="Times New Roman" w:hAnsi="Times New Roman" w:cs="Times New Roman"/>
          <w:b/>
          <w:bCs/>
          <w:color w:val="auto"/>
        </w:rPr>
        <w:t>Emergency Economic Stabilization Act of 2008</w:t>
      </w:r>
    </w:p>
    <w:p w14:paraId="546DC00E" w14:textId="77777777" w:rsidR="00901EFE" w:rsidRPr="00197746" w:rsidRDefault="00901EFE" w:rsidP="00C41D37">
      <w:pPr>
        <w:spacing w:after="0" w:line="276" w:lineRule="auto"/>
        <w:rPr>
          <w:u w:val="single"/>
        </w:rPr>
      </w:pPr>
      <w:r w:rsidRPr="00197746">
        <w:rPr>
          <w:u w:val="single"/>
        </w:rPr>
        <w:t xml:space="preserve">Impact on stabilising the financial system </w:t>
      </w:r>
      <w:r>
        <w:rPr>
          <w:u w:val="single"/>
        </w:rPr>
        <w:t xml:space="preserve">and </w:t>
      </w:r>
      <w:r w:rsidRPr="00197746">
        <w:rPr>
          <w:u w:val="single"/>
        </w:rPr>
        <w:t>financial institutions</w:t>
      </w:r>
    </w:p>
    <w:p w14:paraId="116DB939" w14:textId="33521D3D" w:rsidR="00901EFE" w:rsidRDefault="00C41D37" w:rsidP="00A07B0A">
      <w:pPr>
        <w:spacing w:line="276" w:lineRule="auto"/>
        <w:rPr>
          <w:shd w:val="clear" w:color="auto" w:fill="FFFFFF"/>
        </w:rPr>
      </w:pPr>
      <w:r>
        <w:t xml:space="preserve">         </w:t>
      </w:r>
      <w:r w:rsidR="00901EFE" w:rsidRPr="00197746">
        <w:t xml:space="preserve">This act was passed by the </w:t>
      </w:r>
      <w:r w:rsidR="00901EFE">
        <w:t xml:space="preserve">US </w:t>
      </w:r>
      <w:r w:rsidR="00901EFE" w:rsidRPr="00197746">
        <w:t xml:space="preserve">Congress in the year 2008 as a response towards the subprime mortgage crisis. It was one of the bailout measures that was taken to repair the damage that was created due to the crisis of 2008. </w:t>
      </w:r>
      <w:r w:rsidR="00901EFE">
        <w:t xml:space="preserve">Therefore, this act can be said as one of the most significant acts that were established in order to stabilise the emerging economy. </w:t>
      </w:r>
      <w:r w:rsidR="00901EFE" w:rsidRPr="00197746">
        <w:t>It contributed to paving the way to establish the Troubled Assets relief program (TARP)</w:t>
      </w:r>
      <w:r w:rsidR="00901EFE">
        <w:t>(</w:t>
      </w:r>
      <w:r w:rsidR="00901EFE">
        <w:rPr>
          <w:shd w:val="clear" w:color="auto" w:fill="FFFFFF"/>
        </w:rPr>
        <w:t>Gurtner, 2010).</w:t>
      </w:r>
      <w:r w:rsidR="00901EFE" w:rsidRPr="00197746">
        <w:t xml:space="preserve"> Due to this act, the authority was provided to the treasury secretary to purchase and also to impose fund commitments in order to purchase any kind of troubled assets from any financial institution like banks under specific terms and conditions ascertained by the secretary. It contributed widely by providing credits to restore and stabilise along with liquidity to the financial sector. Further, unfreezing the market for capital and credit along with decreasing the borrowing costs for business organisations and households. The act comprehended and helped in restoring the financial system and also moved towards economic growth.</w:t>
      </w:r>
      <w:r>
        <w:t xml:space="preserve"> </w:t>
      </w:r>
      <w:r w:rsidR="00901EFE" w:rsidRPr="00130045">
        <w:t xml:space="preserve">The EESA act mandated the banks that sell troubled assets to the governments under the provision of TARP. Furthermore, the TARP gives warrants to ensure </w:t>
      </w:r>
      <w:r w:rsidR="00901EFE" w:rsidRPr="00130045">
        <w:lastRenderedPageBreak/>
        <w:t>that tax papers that benefit from any of the future development of the banks and may enjoy determined results from their participation due to the program</w:t>
      </w:r>
      <w:r w:rsidR="00901EFE">
        <w:t xml:space="preserve"> (</w:t>
      </w:r>
      <w:r w:rsidR="00901EFE">
        <w:rPr>
          <w:shd w:val="clear" w:color="auto" w:fill="FFFFFF"/>
        </w:rPr>
        <w:t>Haidar, 2009).</w:t>
      </w:r>
      <w:r w:rsidR="00901EFE" w:rsidRPr="00130045">
        <w:t xml:space="preserve"> EESA also involved provisions that are designs that prevent executives from participating banks from enriching them. Further, based on this act, the banks would lose certain benefits of taxation or may be forced to implement limitations in their executive pay. </w:t>
      </w:r>
      <w:r w:rsidR="00901EFE">
        <w:t xml:space="preserve">Here, the government made this so that a strict boundary can be created, by which the economy can be stabilised as well as the government can get some help rather than banks enriching themselves. </w:t>
      </w:r>
      <w:r w:rsidR="00901EFE" w:rsidRPr="00130045">
        <w:t xml:space="preserve">Along with that, the act also imposed limits on the golden parachutes that illustrate the return policy of unearned bonuses from the departing executives. A board was established to ensure that the treasure secretary makes appropriate decisions, not on the basis of some arbitrary </w:t>
      </w:r>
      <w:r w:rsidR="00E137F3" w:rsidRPr="00130045">
        <w:t>assumptions</w:t>
      </w:r>
      <w:r w:rsidR="00E137F3">
        <w:t xml:space="preserve"> (</w:t>
      </w:r>
      <w:r w:rsidR="00901EFE">
        <w:rPr>
          <w:shd w:val="clear" w:color="auto" w:fill="FFFFFF"/>
        </w:rPr>
        <w:t>Webel, 2011). </w:t>
      </w:r>
    </w:p>
    <w:p w14:paraId="396774E8" w14:textId="77777777" w:rsidR="00901EFE" w:rsidRDefault="00901EFE" w:rsidP="00A07B0A">
      <w:pPr>
        <w:spacing w:line="276" w:lineRule="auto"/>
        <w:rPr>
          <w:shd w:val="clear" w:color="auto" w:fill="FFFFFF"/>
        </w:rPr>
      </w:pPr>
      <w:r>
        <w:rPr>
          <w:shd w:val="clear" w:color="auto" w:fill="FFFFFF"/>
        </w:rPr>
        <w:t>Criticisms</w:t>
      </w:r>
    </w:p>
    <w:p w14:paraId="50FCC0C5" w14:textId="234EE967" w:rsidR="00901EFE" w:rsidRPr="005A07F6" w:rsidRDefault="00901EFE" w:rsidP="00A07B0A">
      <w:pPr>
        <w:spacing w:line="276" w:lineRule="auto"/>
      </w:pPr>
      <w:r w:rsidRPr="00C05F4A">
        <w:t xml:space="preserve">The emergency economic stabilisation act 2008 needed various reporting requirements </w:t>
      </w:r>
      <w:r w:rsidR="00C41D37" w:rsidRPr="00C05F4A">
        <w:t>in regard to</w:t>
      </w:r>
      <w:r w:rsidRPr="00C05F4A">
        <w:t xml:space="preserve"> various issues of new entities. Furthermore, EESA reports deliver the common purpose that involves the provisions of the act. Under EESA, single entries are not favoured, which is a huge problem. In addition to that, the lack of integration of the various requirements of the reports is still unclear in terms of supporting the troubled assets. It often becomes difficult to file all the requirements report at the time of emergency </w:t>
      </w:r>
      <w:r w:rsidR="00C41D37" w:rsidRPr="00C05F4A">
        <w:t>and</w:t>
      </w:r>
      <w:r w:rsidRPr="00C05F4A">
        <w:t xml:space="preserve"> based on its decisions, cannot be taken as the authority is bound to question for any fictitious act.</w:t>
      </w:r>
    </w:p>
    <w:p w14:paraId="0B7C3344" w14:textId="77777777" w:rsidR="00901EFE" w:rsidRPr="00C41D37" w:rsidRDefault="00901EFE" w:rsidP="00436B26">
      <w:pPr>
        <w:pStyle w:val="Heading2"/>
        <w:rPr>
          <w:rFonts w:ascii="Times New Roman" w:hAnsi="Times New Roman" w:cs="Times New Roman"/>
          <w:b/>
          <w:bCs/>
          <w:color w:val="auto"/>
        </w:rPr>
      </w:pPr>
      <w:r w:rsidRPr="00C41D37">
        <w:rPr>
          <w:rFonts w:ascii="Times New Roman" w:hAnsi="Times New Roman" w:cs="Times New Roman"/>
          <w:b/>
          <w:bCs/>
          <w:color w:val="auto"/>
        </w:rPr>
        <w:t>Dodd-Frank Wall Street Reform and Consumer Protection Act</w:t>
      </w:r>
    </w:p>
    <w:p w14:paraId="36C7682F" w14:textId="77777777" w:rsidR="00901EFE" w:rsidRPr="003D3030" w:rsidRDefault="00901EFE" w:rsidP="00A07B0A">
      <w:pPr>
        <w:spacing w:line="276" w:lineRule="auto"/>
        <w:rPr>
          <w:u w:val="single"/>
        </w:rPr>
      </w:pPr>
      <w:r w:rsidRPr="003D3030">
        <w:rPr>
          <w:u w:val="single"/>
        </w:rPr>
        <w:t>Impact on financial stability and financial banks</w:t>
      </w:r>
    </w:p>
    <w:p w14:paraId="1AF49A8F" w14:textId="11C1CF6A" w:rsidR="00901EFE" w:rsidRDefault="00C41D37" w:rsidP="00C41D37">
      <w:pPr>
        <w:spacing w:after="0" w:line="276" w:lineRule="auto"/>
      </w:pPr>
      <w:r>
        <w:t xml:space="preserve">          </w:t>
      </w:r>
      <w:r w:rsidR="00901EFE" w:rsidRPr="003D3030">
        <w:t xml:space="preserve">The key component of the Dodd-Frank Act was the formation of financial constancy oversight council along with orderly liquidation specialist. They monitored the financial stability of the foremost financial institution as the failure of these organisations can lead to a </w:t>
      </w:r>
      <w:r w:rsidRPr="003D3030">
        <w:t>stern damaging</w:t>
      </w:r>
      <w:r w:rsidR="00901EFE" w:rsidRPr="003D3030">
        <w:t xml:space="preserve"> impact on the economy of the U.S</w:t>
      </w:r>
      <w:r w:rsidR="00901EFE">
        <w:t xml:space="preserve"> (</w:t>
      </w:r>
      <w:r w:rsidR="00901EFE">
        <w:rPr>
          <w:shd w:val="clear" w:color="auto" w:fill="FFFFFF"/>
        </w:rPr>
        <w:t>Acharya et al., 2011).</w:t>
      </w:r>
      <w:r w:rsidR="00901EFE" w:rsidRPr="003D3030">
        <w:t xml:space="preserve"> Further, the law provided liquidations facility to restructure and assist the dismantling financial organis</w:t>
      </w:r>
      <w:r w:rsidR="00901EFE">
        <w:t>at</w:t>
      </w:r>
      <w:r w:rsidR="00901EFE" w:rsidRPr="003D3030">
        <w:t>ion that h</w:t>
      </w:r>
      <w:r w:rsidR="00901EFE">
        <w:t xml:space="preserve">as </w:t>
      </w:r>
      <w:r w:rsidR="00901EFE" w:rsidRPr="003D3030">
        <w:t>been prone to receivership along with prevention of tax dollars from demonstrating a negative show of the firms. Further, the council also has the authority to break up the banks that are assumed to be a hug in order to pose a systematic risk. A</w:t>
      </w:r>
      <w:r w:rsidR="00901EFE">
        <w:t>l</w:t>
      </w:r>
      <w:r w:rsidR="00901EFE" w:rsidRPr="003D3030">
        <w:t xml:space="preserve">ong with that, it can also force this institution to enhance its reserve </w:t>
      </w:r>
      <w:r w:rsidR="00E137F3" w:rsidRPr="003D3030">
        <w:t>requirements</w:t>
      </w:r>
      <w:r w:rsidR="00E137F3">
        <w:t xml:space="preserve"> (</w:t>
      </w:r>
      <w:r w:rsidR="00901EFE">
        <w:rPr>
          <w:shd w:val="clear" w:color="auto" w:fill="FFFFFF"/>
        </w:rPr>
        <w:t xml:space="preserve">Chaffee, 2010). </w:t>
      </w:r>
    </w:p>
    <w:p w14:paraId="34DA1E5E" w14:textId="418523F9" w:rsidR="00901EFE" w:rsidRDefault="00966FB7" w:rsidP="00966FB7">
      <w:pPr>
        <w:spacing w:after="0" w:line="276" w:lineRule="auto"/>
      </w:pPr>
      <w:r>
        <w:t xml:space="preserve">         </w:t>
      </w:r>
      <w:r w:rsidR="00901EFE" w:rsidRPr="003D3030">
        <w:t>The consumer financia</w:t>
      </w:r>
      <w:r w:rsidR="00901EFE">
        <w:t>l</w:t>
      </w:r>
      <w:r w:rsidR="00901EFE" w:rsidRPr="003D3030">
        <w:t xml:space="preserve"> protection bureau that was created under the Dodd-Frank Act was developed to prevent predatory mortgage lending due to the catastrophe of the 2008 financial crisis. The act made it easier for the customers to determine the terms of the mortgage before signing the agreement. It eliminates the high commissions' earnings of the brokers for the closing of loans with a high rate of interest or fees. It also requires the mortgage originators not to steer to determine potential borrowers towards the loan that further resulted in high payment to the originator</w:t>
      </w:r>
      <w:r w:rsidR="00901EFE">
        <w:t xml:space="preserve"> (</w:t>
      </w:r>
      <w:r w:rsidR="00901EFE">
        <w:rPr>
          <w:shd w:val="clear" w:color="auto" w:fill="FFFFFF"/>
        </w:rPr>
        <w:t xml:space="preserve">Pope and Lee, 2013). </w:t>
      </w:r>
    </w:p>
    <w:p w14:paraId="2ECBBB64" w14:textId="25F519A8" w:rsidR="00901EFE" w:rsidRDefault="00966FB7" w:rsidP="00966FB7">
      <w:pPr>
        <w:spacing w:after="0" w:line="276" w:lineRule="auto"/>
      </w:pPr>
      <w:r>
        <w:t xml:space="preserve">         </w:t>
      </w:r>
      <w:r w:rsidR="00901EFE" w:rsidRPr="00DE57FD">
        <w:t xml:space="preserve">Securities and Exchange Commission (SEC) office of Credit Rating was created since the credit rating agencies have contributed to the financial crisis by depicting misleading investment </w:t>
      </w:r>
      <w:r w:rsidR="00901EFE" w:rsidRPr="00DE57FD">
        <w:lastRenderedPageBreak/>
        <w:t xml:space="preserve">rating that was favourable by the consumers. Further, to control the issues under the provision of the Dodd-Frank Act, the SEC office of credit ratings was </w:t>
      </w:r>
      <w:r w:rsidR="00E137F3" w:rsidRPr="00DE57FD">
        <w:t>established.</w:t>
      </w:r>
      <w:r w:rsidR="00E137F3">
        <w:t xml:space="preserve"> The</w:t>
      </w:r>
      <w:r w:rsidR="00901EFE">
        <w:t xml:space="preserve"> main aim of establishing the office was to make sure that no problem should occur under the provision of the Dodd-Frank act. </w:t>
      </w:r>
    </w:p>
    <w:p w14:paraId="58E0AA7E" w14:textId="38DA3681" w:rsidR="00901EFE" w:rsidRDefault="00966FB7" w:rsidP="00966FB7">
      <w:pPr>
        <w:spacing w:after="0" w:line="276" w:lineRule="auto"/>
      </w:pPr>
      <w:r>
        <w:t xml:space="preserve">        </w:t>
      </w:r>
      <w:r w:rsidR="00901EFE" w:rsidRPr="008B251E">
        <w:t xml:space="preserve">The Volcker Rule: It is one of the key mechanisms of Dodd-Frank wherein the Volcker Rule implements restrictions on the conducts the banks can capitalise, eliminates proprietary trading along with limiting speculative trading. The banks are not provided permission to get involved with any kind of hedge funds which is ascertained to be highly risky. Furthermore, in an exertion to lessen the conceivable conflicts of interest, wherein financial firms are not permissible to trade deprived of appropriate knowledge and financial stability. Furthermore, the Volcker rule is a push back scheme that has been started under the Dodd-Frank Act towards the direction of the Glass Steagall Act developed in the year 1933 that first recognised the various inherent dangers occurring due to financial entities impacting on the investment banking services and commercial banking at the same time. Furthermore, the act demonstrates the provisions for directive of the derivatives, such as </w:t>
      </w:r>
      <w:r w:rsidR="00E137F3" w:rsidRPr="008B251E">
        <w:t>evasion trades</w:t>
      </w:r>
      <w:r w:rsidR="00901EFE" w:rsidRPr="008B251E">
        <w:t xml:space="preserve"> that were one of the main reasons behind the huge financial crisis. Dodd-Frank had set up centralised rules that exchanging trading swaps lessened the possibility of the counterparty. Along with that, greater revelation of these credit exchanges the trading material to enhance the </w:t>
      </w:r>
      <w:r w:rsidR="00901EFE">
        <w:t>clarity</w:t>
      </w:r>
      <w:r w:rsidR="00901EFE" w:rsidRPr="008B251E">
        <w:t xml:space="preserve"> in the market. In addition to that, the Volcker Rule controls the financial firms to prevent any kind of huge failure of the financial institution and experiencing larger risks.</w:t>
      </w:r>
    </w:p>
    <w:p w14:paraId="3DF98255" w14:textId="6228A8C5" w:rsidR="00901EFE" w:rsidRDefault="00966FB7" w:rsidP="00A07B0A">
      <w:pPr>
        <w:spacing w:line="276" w:lineRule="auto"/>
      </w:pPr>
      <w:r>
        <w:t xml:space="preserve">         </w:t>
      </w:r>
      <w:r w:rsidR="00901EFE" w:rsidRPr="00E010F8">
        <w:t xml:space="preserve">The </w:t>
      </w:r>
      <w:r w:rsidR="00E137F3" w:rsidRPr="00E010F8">
        <w:t>whistle-blower</w:t>
      </w:r>
      <w:r w:rsidR="00901EFE" w:rsidRPr="00E010F8">
        <w:t xml:space="preserve"> program is also a key component of Dodd-Frank that strengthens along with expanding the existing program that is broadcast by Sarbanes Oxley A</w:t>
      </w:r>
      <w:r w:rsidR="00901EFE">
        <w:t>c</w:t>
      </w:r>
      <w:r w:rsidR="00901EFE" w:rsidRPr="00E010F8">
        <w:t xml:space="preserve">t. It created a compulsory bounty program wherein the </w:t>
      </w:r>
      <w:r w:rsidR="00E137F3" w:rsidRPr="00E010F8">
        <w:t>whistle-blowers</w:t>
      </w:r>
      <w:r w:rsidR="00901EFE" w:rsidRPr="00E010F8">
        <w:t xml:space="preserve"> obtain 20% to 30% proceeding from the litigation defrayal that widened the future scope of the covered employee. It also includes the employees of the subsidiary’s companies a</w:t>
      </w:r>
      <w:r w:rsidR="00901EFE">
        <w:t>l</w:t>
      </w:r>
      <w:r w:rsidR="00901EFE" w:rsidRPr="00E010F8">
        <w:t>ong with affiliates.</w:t>
      </w:r>
    </w:p>
    <w:p w14:paraId="2809D990" w14:textId="77777777" w:rsidR="00901EFE" w:rsidRPr="00EF7D1D" w:rsidRDefault="00901EFE" w:rsidP="00A07B0A">
      <w:pPr>
        <w:spacing w:line="276" w:lineRule="auto"/>
        <w:rPr>
          <w:u w:val="single"/>
        </w:rPr>
      </w:pPr>
      <w:r w:rsidRPr="00EF7D1D">
        <w:rPr>
          <w:u w:val="single"/>
        </w:rPr>
        <w:t>Criticisms faced by the act</w:t>
      </w:r>
    </w:p>
    <w:p w14:paraId="1CEC2542" w14:textId="2E5CF4CA" w:rsidR="00901EFE" w:rsidRDefault="00901EFE" w:rsidP="00980DBB">
      <w:pPr>
        <w:spacing w:after="0" w:line="276" w:lineRule="auto"/>
      </w:pPr>
      <w:r w:rsidRPr="00BA1B17">
        <w:t xml:space="preserve">The components of the </w:t>
      </w:r>
      <w:r>
        <w:t>act</w:t>
      </w:r>
      <w:r w:rsidRPr="00BA1B17">
        <w:t xml:space="preserve"> assumed that the act </w:t>
      </w:r>
      <w:r w:rsidR="00966FB7">
        <w:t>could</w:t>
      </w:r>
      <w:r w:rsidR="00E137F3" w:rsidRPr="00BA1B17">
        <w:t xml:space="preserve"> avoid</w:t>
      </w:r>
      <w:r w:rsidRPr="00BA1B17">
        <w:t xml:space="preserve"> the economy from facing any kind of financial crisis. It will further defend the consumers from various other abuses that contribute to the financial crisis</w:t>
      </w:r>
      <w:r>
        <w:t xml:space="preserve"> (</w:t>
      </w:r>
      <w:r>
        <w:rPr>
          <w:shd w:val="clear" w:color="auto" w:fill="FFFFFF"/>
        </w:rPr>
        <w:t>Acharya et al., 2011).</w:t>
      </w:r>
      <w:r w:rsidRPr="00BA1B17">
        <w:t xml:space="preserve"> However, many detractors argue that the act might harm the attractiveness of U.S firms </w:t>
      </w:r>
      <w:r w:rsidR="00966FB7" w:rsidRPr="00BA1B17">
        <w:t>in regard to</w:t>
      </w:r>
      <w:r w:rsidRPr="00BA1B17">
        <w:t xml:space="preserve"> their foreign complements. Further, they also comprehended that the requirements of regulatory complaisance unduly problem the small financial firms and </w:t>
      </w:r>
      <w:r w:rsidR="00E137F3" w:rsidRPr="00BA1B17">
        <w:t>community banks</w:t>
      </w:r>
      <w:r w:rsidRPr="00BA1B17">
        <w:t xml:space="preserve">. However, the small financial organisation does not have any role in the financial crisis. Moreover, the CEO of the treasury department stated that each of the financial institutions is quite safe </w:t>
      </w:r>
      <w:r w:rsidR="00980DBB">
        <w:t>i</w:t>
      </w:r>
      <w:r w:rsidR="00980DBB" w:rsidRPr="00BA1B17">
        <w:t>n regard to</w:t>
      </w:r>
      <w:r w:rsidRPr="00BA1B17">
        <w:t xml:space="preserve"> the capital restrictions that are implemented by Dodd frank which increase liquidity in the market. Furthermore, the non-existence of liquidness can be powerful towards the bond market wherein all the securities are not to </w:t>
      </w:r>
      <w:r>
        <w:t>distribute</w:t>
      </w:r>
      <w:r w:rsidRPr="00BA1B17">
        <w:t xml:space="preserve"> along with bonds that absence a </w:t>
      </w:r>
      <w:r w:rsidR="00980DBB" w:rsidRPr="00BA1B17">
        <w:t>consistent buyer</w:t>
      </w:r>
      <w:r w:rsidR="00E137F3">
        <w:t xml:space="preserve"> along</w:t>
      </w:r>
      <w:r>
        <w:t xml:space="preserve"> with</w:t>
      </w:r>
      <w:r w:rsidRPr="00BA1B17">
        <w:t xml:space="preserve"> sellers. Under the Dodd-Frank act, high reserve requirements illustrate that the percentage of the assets of the bank in cash further lessens the amount in order to hold the marketable securities</w:t>
      </w:r>
      <w:r>
        <w:t xml:space="preserve"> (</w:t>
      </w:r>
      <w:r>
        <w:rPr>
          <w:shd w:val="clear" w:color="auto" w:fill="FFFFFF"/>
        </w:rPr>
        <w:t>Murdock, 2011).</w:t>
      </w:r>
      <w:r w:rsidRPr="00BA1B17">
        <w:t xml:space="preserve"> The main criticisms lie as an effect of the Dodd-Frank act that limits bond market</w:t>
      </w:r>
      <w:r>
        <w:t xml:space="preserve"> along with </w:t>
      </w:r>
      <w:r w:rsidRPr="00BA1B17">
        <w:t xml:space="preserve">its role plays that are incorporated </w:t>
      </w:r>
      <w:r w:rsidRPr="00BA1B17">
        <w:lastRenderedPageBreak/>
        <w:t xml:space="preserve">by the banks traditionally. Many banks are not able to show a part of the market creator where the potential buyers are expected to administer firmer times in </w:t>
      </w:r>
      <w:r w:rsidR="00E137F3" w:rsidRPr="00BA1B17">
        <w:t>verdict countering</w:t>
      </w:r>
      <w:r w:rsidRPr="00BA1B17">
        <w:t xml:space="preserve"> sellers. Furthermore, forthcoming sellers often find it problematic to find their counter purchasers.</w:t>
      </w:r>
    </w:p>
    <w:p w14:paraId="3F27A83F" w14:textId="77777777" w:rsidR="00980DBB" w:rsidRDefault="00980DBB" w:rsidP="00A07B0A">
      <w:pPr>
        <w:spacing w:line="276" w:lineRule="auto"/>
      </w:pPr>
    </w:p>
    <w:p w14:paraId="2A5E1471" w14:textId="77777777" w:rsidR="00901EFE" w:rsidRPr="00980DBB" w:rsidRDefault="00901EFE" w:rsidP="00436B26">
      <w:pPr>
        <w:pStyle w:val="Heading2"/>
        <w:rPr>
          <w:rFonts w:ascii="Times New Roman" w:hAnsi="Times New Roman" w:cs="Times New Roman"/>
          <w:b/>
          <w:bCs/>
          <w:color w:val="auto"/>
        </w:rPr>
      </w:pPr>
      <w:r w:rsidRPr="00980DBB">
        <w:rPr>
          <w:rFonts w:ascii="Times New Roman" w:hAnsi="Times New Roman" w:cs="Times New Roman"/>
          <w:b/>
          <w:bCs/>
          <w:color w:val="auto"/>
        </w:rPr>
        <w:t>The Housing and Economic recovery Act 2008</w:t>
      </w:r>
    </w:p>
    <w:p w14:paraId="7643071E" w14:textId="77777777" w:rsidR="00901EFE" w:rsidRPr="003D3030" w:rsidRDefault="00901EFE" w:rsidP="00A07B0A">
      <w:pPr>
        <w:spacing w:line="276" w:lineRule="auto"/>
        <w:rPr>
          <w:u w:val="single"/>
        </w:rPr>
      </w:pPr>
      <w:r w:rsidRPr="003D3030">
        <w:rPr>
          <w:u w:val="single"/>
        </w:rPr>
        <w:t>Impact on financial stability and financial banks</w:t>
      </w:r>
    </w:p>
    <w:p w14:paraId="04750276" w14:textId="08FD9DBF" w:rsidR="00901EFE" w:rsidRDefault="00980DBB" w:rsidP="005979F4">
      <w:pPr>
        <w:spacing w:after="0" w:line="276" w:lineRule="auto"/>
        <w:rPr>
          <w:shd w:val="clear" w:color="auto" w:fill="FFFFFF"/>
        </w:rPr>
      </w:pPr>
      <w:r>
        <w:t xml:space="preserve">        </w:t>
      </w:r>
      <w:r w:rsidR="00901EFE" w:rsidRPr="00004223">
        <w:t>The Housing and Economic Recovery Act 2008 is a financial reform that was established by Congress to control the subprime mortgage crisis during 2008. Furthermore, the act facilitates the Federal Housing Administration (FHA) towards a guarantee of $300 billion to recover the next 30-year fixed rates for the borrowers</w:t>
      </w:r>
      <w:sdt>
        <w:sdtPr>
          <w:id w:val="501082335"/>
          <w:citation/>
        </w:sdtPr>
        <w:sdtEndPr/>
        <w:sdtContent>
          <w:r w:rsidR="00901EFE">
            <w:fldChar w:fldCharType="begin"/>
          </w:r>
          <w:r w:rsidR="00901EFE">
            <w:rPr>
              <w:lang w:val="en-US"/>
            </w:rPr>
            <w:instrText xml:space="preserve"> CITATION Bra18 \l 1033 </w:instrText>
          </w:r>
          <w:r w:rsidR="00901EFE">
            <w:fldChar w:fldCharType="separate"/>
          </w:r>
          <w:r w:rsidR="000577F5" w:rsidRPr="000577F5">
            <w:rPr>
              <w:noProof/>
              <w:lang w:val="en-US"/>
            </w:rPr>
            <w:t>(Stanhope, 2018)</w:t>
          </w:r>
          <w:r w:rsidR="00901EFE">
            <w:fldChar w:fldCharType="end"/>
          </w:r>
        </w:sdtContent>
      </w:sdt>
      <w:r w:rsidR="00901EFE">
        <w:t>.</w:t>
      </w:r>
      <w:r w:rsidR="00901EFE" w:rsidRPr="00004223">
        <w:t xml:space="preserve"> The act contributed as a regulatory framework, especially for the government sponsored organisations such as Fannie Mae, FHLBs and Freddie Mac. Moreover, HERA established a new independent agency that is known as the Federal Housing Financing Agency to mitigate the issues of subprime mortgages and act as a supervisory concern for government sponsored enterprises</w:t>
      </w:r>
      <w:sdt>
        <w:sdtPr>
          <w:id w:val="-1390256296"/>
          <w:citation/>
        </w:sdtPr>
        <w:sdtEndPr/>
        <w:sdtContent>
          <w:r w:rsidR="00901EFE">
            <w:fldChar w:fldCharType="begin"/>
          </w:r>
          <w:r w:rsidR="00901EFE">
            <w:rPr>
              <w:lang w:val="en-US"/>
            </w:rPr>
            <w:instrText xml:space="preserve"> CITATION fed21 \l 1033 </w:instrText>
          </w:r>
          <w:r w:rsidR="00901EFE">
            <w:fldChar w:fldCharType="separate"/>
          </w:r>
          <w:r w:rsidR="000577F5" w:rsidRPr="000577F5">
            <w:rPr>
              <w:noProof/>
              <w:lang w:val="en-US"/>
            </w:rPr>
            <w:t>(federalreserve, 2021)</w:t>
          </w:r>
          <w:r w:rsidR="00901EFE">
            <w:fldChar w:fldCharType="end"/>
          </w:r>
        </w:sdtContent>
      </w:sdt>
      <w:r w:rsidR="00901EFE">
        <w:t>.</w:t>
      </w:r>
      <w:r w:rsidR="00901EFE" w:rsidRPr="00004223">
        <w:t xml:space="preserve"> It stabilised and also maintained the confidence of the organisation towards the mortgage. In addition to that, the act provides the treasury department with provisional authority to implement obligations of the G</w:t>
      </w:r>
      <w:r w:rsidR="00901EFE">
        <w:t>S</w:t>
      </w:r>
      <w:r w:rsidR="00901EFE" w:rsidRPr="00004223">
        <w:t xml:space="preserve">Es along with the other securities of the financial firms. Furthermore, the provisions modernise the insurance programs </w:t>
      </w:r>
      <w:r w:rsidRPr="00004223">
        <w:t>in regard to</w:t>
      </w:r>
      <w:r w:rsidR="00901EFE" w:rsidRPr="00004223">
        <w:t xml:space="preserve"> a mortgage under FHA. Moreover, the act creates a nationwide mortgage originator for registration and licensing system along with enhancement of the disclosures that are provided to the customer </w:t>
      </w:r>
      <w:r w:rsidRPr="00004223">
        <w:t>in regard to</w:t>
      </w:r>
      <w:r w:rsidR="00901EFE" w:rsidRPr="00004223">
        <w:t xml:space="preserve"> the mortgage transactions. The act also helped to create a new HOPE for the support of the Homeowners program within the regulations of FHA o assist the distressed to attempt the owners to refinance towards a sustainable mortgage</w:t>
      </w:r>
      <w:r w:rsidR="00901EFE">
        <w:t xml:space="preserve"> (</w:t>
      </w:r>
      <w:r w:rsidR="00901EFE">
        <w:rPr>
          <w:shd w:val="clear" w:color="auto" w:fill="FFFFFF"/>
        </w:rPr>
        <w:t>Weiss et al., 2008).</w:t>
      </w:r>
    </w:p>
    <w:p w14:paraId="04996E26" w14:textId="77777777" w:rsidR="005979F4" w:rsidRDefault="005979F4" w:rsidP="005979F4">
      <w:pPr>
        <w:spacing w:after="0" w:line="276" w:lineRule="auto"/>
        <w:rPr>
          <w:shd w:val="clear" w:color="auto" w:fill="FFFFFF"/>
        </w:rPr>
      </w:pPr>
    </w:p>
    <w:p w14:paraId="17EC2663" w14:textId="77777777" w:rsidR="00901EFE" w:rsidRPr="005979F4" w:rsidRDefault="00901EFE" w:rsidP="00436B26">
      <w:pPr>
        <w:pStyle w:val="Heading2"/>
        <w:rPr>
          <w:rFonts w:ascii="Times New Roman" w:hAnsi="Times New Roman" w:cs="Times New Roman"/>
          <w:b/>
          <w:bCs/>
          <w:color w:val="auto"/>
        </w:rPr>
      </w:pPr>
      <w:r w:rsidRPr="005979F4">
        <w:rPr>
          <w:rFonts w:ascii="Times New Roman" w:hAnsi="Times New Roman" w:cs="Times New Roman"/>
          <w:b/>
          <w:bCs/>
          <w:color w:val="auto"/>
        </w:rPr>
        <w:t>Federal Reserve</w:t>
      </w:r>
    </w:p>
    <w:p w14:paraId="59895C4F" w14:textId="49BEF7BD" w:rsidR="00901EFE" w:rsidRDefault="005979F4" w:rsidP="00A07B0A">
      <w:pPr>
        <w:spacing w:line="276" w:lineRule="auto"/>
        <w:rPr>
          <w:shd w:val="clear" w:color="auto" w:fill="FFFFFF"/>
        </w:rPr>
      </w:pPr>
      <w:r>
        <w:rPr>
          <w:shd w:val="clear" w:color="auto" w:fill="FFFFFF"/>
        </w:rPr>
        <w:t xml:space="preserve">           </w:t>
      </w:r>
      <w:r w:rsidR="00901EFE" w:rsidRPr="00EB6CF6">
        <w:rPr>
          <w:shd w:val="clear" w:color="auto" w:fill="FFFFFF"/>
        </w:rPr>
        <w:t xml:space="preserve">The federal reserve took extensive steps in order to support the financial markets and economy post the financial crisis in 2008. Furthermore, the authority was given to designate the monetary policy with the main focus on the federal funds rate. Furthermore, the federal reserve also set up various vehicles for a special purpose and lent them to the other sectors of the market. In addition to that, the special purpose facilities have become a virtue of a new standard for the FED in lending vehicles for emergency purposes. However, the federal reserve is also directed by the Dodd-Frank Act to establish a path to implement stress testing on a daily basis within the banking sector. Generally, the federal reserve conducts two kinds of stress testing upon banks to understand and monitor their workings </w:t>
      </w:r>
      <w:r w:rsidR="00E137F3" w:rsidRPr="00EB6CF6">
        <w:rPr>
          <w:shd w:val="clear" w:color="auto" w:fill="FFFFFF"/>
        </w:rPr>
        <w:t>regularly.</w:t>
      </w:r>
      <w:r w:rsidR="00E137F3" w:rsidRPr="00F35A91">
        <w:rPr>
          <w:shd w:val="clear" w:color="auto" w:fill="FFFFFF"/>
        </w:rPr>
        <w:t xml:space="preserve"> Moreover</w:t>
      </w:r>
      <w:r w:rsidR="00901EFE" w:rsidRPr="00F35A91">
        <w:rPr>
          <w:shd w:val="clear" w:color="auto" w:fill="FFFFFF"/>
        </w:rPr>
        <w:t>, it also provided comprehensive health benefits, vision and dental insurance that is offered for the board employees and their families. Although, the board pay a substantial amount of their income as a premium for the insurance plans. Further, the premium pays to act as an automatic pre-tax and a flexible spending account.</w:t>
      </w:r>
    </w:p>
    <w:p w14:paraId="05A73352" w14:textId="77777777" w:rsidR="00901EFE" w:rsidRPr="005A07F6" w:rsidRDefault="00901EFE" w:rsidP="00A07B0A">
      <w:pPr>
        <w:spacing w:line="276" w:lineRule="auto"/>
        <w:rPr>
          <w:u w:val="single"/>
          <w:shd w:val="clear" w:color="auto" w:fill="FFFFFF"/>
        </w:rPr>
      </w:pPr>
      <w:r w:rsidRPr="005A07F6">
        <w:rPr>
          <w:u w:val="single"/>
          <w:shd w:val="clear" w:color="auto" w:fill="FFFFFF"/>
        </w:rPr>
        <w:lastRenderedPageBreak/>
        <w:t xml:space="preserve">Criticisms faced by the Federal Reserve act  </w:t>
      </w:r>
    </w:p>
    <w:p w14:paraId="7A68847D" w14:textId="00F7E19F" w:rsidR="00901EFE" w:rsidRDefault="005979F4" w:rsidP="00A07B0A">
      <w:pPr>
        <w:spacing w:line="276" w:lineRule="auto"/>
        <w:rPr>
          <w:shd w:val="clear" w:color="auto" w:fill="FFFFFF"/>
        </w:rPr>
      </w:pPr>
      <w:r>
        <w:rPr>
          <w:shd w:val="clear" w:color="auto" w:fill="FFFFFF"/>
        </w:rPr>
        <w:t xml:space="preserve">          </w:t>
      </w:r>
      <w:r w:rsidR="00901EFE" w:rsidRPr="005A07F6">
        <w:rPr>
          <w:shd w:val="clear" w:color="auto" w:fill="FFFFFF"/>
        </w:rPr>
        <w:t>The Fed has failed due to its lac</w:t>
      </w:r>
      <w:r w:rsidR="00901EFE">
        <w:rPr>
          <w:shd w:val="clear" w:color="auto" w:fill="FFFFFF"/>
        </w:rPr>
        <w:t>k</w:t>
      </w:r>
      <w:r w:rsidR="00901EFE" w:rsidRPr="005A07F6">
        <w:rPr>
          <w:shd w:val="clear" w:color="auto" w:fill="FFFFFF"/>
        </w:rPr>
        <w:t xml:space="preserve"> of achieving the long run stability in price along with low inflation. Further, it had arisen various proposed transformation which involves the advocacy of various policies or the restructuring of the system. The main argument arrived when the independence of the Fed was not ascertained by the politicians in terms of monetary and technical policy. However, it lacked the long-term vision, which became a huge issue for the members to comprehend.</w:t>
      </w:r>
    </w:p>
    <w:p w14:paraId="18E9978D" w14:textId="4684F4A6" w:rsidR="002D4D06" w:rsidRPr="005979F4" w:rsidRDefault="00BF4780" w:rsidP="00436B26">
      <w:pPr>
        <w:pStyle w:val="Heading2"/>
        <w:rPr>
          <w:rFonts w:ascii="Times New Roman" w:hAnsi="Times New Roman" w:cs="Times New Roman"/>
          <w:b/>
          <w:bCs/>
          <w:color w:val="000000" w:themeColor="text1"/>
          <w:shd w:val="clear" w:color="auto" w:fill="FFFFFF"/>
        </w:rPr>
      </w:pPr>
      <w:r w:rsidRPr="005979F4">
        <w:rPr>
          <w:rFonts w:ascii="Times New Roman" w:hAnsi="Times New Roman" w:cs="Times New Roman"/>
          <w:b/>
          <w:bCs/>
          <w:color w:val="000000" w:themeColor="text1"/>
          <w:shd w:val="clear" w:color="auto" w:fill="FFFFFF"/>
        </w:rPr>
        <w:t xml:space="preserve">Basel </w:t>
      </w:r>
      <w:r w:rsidRPr="005979F4">
        <w:rPr>
          <w:rFonts w:ascii="Times New Roman" w:hAnsi="Times New Roman" w:cs="Times New Roman"/>
          <w:b/>
          <w:bCs/>
          <w:color w:val="000000" w:themeColor="text1"/>
        </w:rPr>
        <w:t>agreement</w:t>
      </w:r>
      <w:r w:rsidRPr="005979F4">
        <w:rPr>
          <w:rFonts w:ascii="Times New Roman" w:hAnsi="Times New Roman" w:cs="Times New Roman"/>
          <w:b/>
          <w:bCs/>
          <w:color w:val="000000" w:themeColor="text1"/>
          <w:shd w:val="clear" w:color="auto" w:fill="FFFFFF"/>
        </w:rPr>
        <w:t xml:space="preserve"> </w:t>
      </w:r>
    </w:p>
    <w:p w14:paraId="610AF321" w14:textId="4179DF9E" w:rsidR="00334DBF" w:rsidRDefault="005979F4" w:rsidP="005979F4">
      <w:pPr>
        <w:spacing w:after="0" w:line="276" w:lineRule="auto"/>
        <w:rPr>
          <w:shd w:val="clear" w:color="auto" w:fill="FFFFFF"/>
        </w:rPr>
      </w:pPr>
      <w:r>
        <w:rPr>
          <w:shd w:val="clear" w:color="auto" w:fill="FFFFFF"/>
        </w:rPr>
        <w:t xml:space="preserve">         </w:t>
      </w:r>
      <w:r w:rsidR="00334DBF" w:rsidRPr="00334DBF">
        <w:rPr>
          <w:shd w:val="clear" w:color="auto" w:fill="FFFFFF"/>
        </w:rPr>
        <w:t xml:space="preserve">The Basel Accords have sought to gradually bring about changes that protect the global market from financial collapse. They have had some success in helping many banks increase their capital stock </w:t>
      </w:r>
      <w:r w:rsidRPr="00334DBF">
        <w:rPr>
          <w:shd w:val="clear" w:color="auto" w:fill="FFFFFF"/>
        </w:rPr>
        <w:t>and better cover</w:t>
      </w:r>
      <w:r w:rsidR="00334DBF" w:rsidRPr="00334DBF">
        <w:rPr>
          <w:shd w:val="clear" w:color="auto" w:fill="FFFFFF"/>
        </w:rPr>
        <w:t xml:space="preserve"> market volatility. By </w:t>
      </w:r>
      <w:r w:rsidRPr="00334DBF">
        <w:rPr>
          <w:shd w:val="clear" w:color="auto" w:fill="FFFFFF"/>
        </w:rPr>
        <w:t>increasing capital</w:t>
      </w:r>
      <w:r w:rsidR="00334DBF" w:rsidRPr="00334DBF">
        <w:rPr>
          <w:shd w:val="clear" w:color="auto" w:fill="FFFFFF"/>
        </w:rPr>
        <w:t xml:space="preserve"> requirements and reducing bank leverage, these arrangements will increase the cost of lending and borrowing. However, before you can accurately measure the cost of implementing these contracts, you need to consider the complexity of the documentation to actually determine if the bank is implementing them correctly. Basel III alone is over 1000 pages long and has several annexes that add to its complexity (Kupiec, 2013). Rising capital requirements already do nothing but FDIC insurance, except that they increase costs in other areas.</w:t>
      </w:r>
    </w:p>
    <w:p w14:paraId="08674A06" w14:textId="067C27BC" w:rsidR="00F65077" w:rsidRDefault="005979F4" w:rsidP="005979F4">
      <w:pPr>
        <w:spacing w:after="0" w:line="276" w:lineRule="auto"/>
        <w:rPr>
          <w:shd w:val="clear" w:color="auto" w:fill="FFFFFF"/>
        </w:rPr>
      </w:pPr>
      <w:r>
        <w:rPr>
          <w:shd w:val="clear" w:color="auto" w:fill="FFFFFF"/>
        </w:rPr>
        <w:t xml:space="preserve">        </w:t>
      </w:r>
      <w:r w:rsidR="00F65077" w:rsidRPr="00F65077">
        <w:rPr>
          <w:shd w:val="clear" w:color="auto" w:fill="FFFFFF"/>
        </w:rPr>
        <w:t xml:space="preserve">Critics agree that Basel has increased the cost of financial transactions, thereby reducing lending in the short term. Emerging economies in particular were </w:t>
      </w:r>
      <w:r w:rsidRPr="00F65077">
        <w:rPr>
          <w:shd w:val="clear" w:color="auto" w:fill="FFFFFF"/>
        </w:rPr>
        <w:t>found to</w:t>
      </w:r>
      <w:r w:rsidR="00F65077" w:rsidRPr="00F65077">
        <w:rPr>
          <w:shd w:val="clear" w:color="auto" w:fill="FFFFFF"/>
        </w:rPr>
        <w:t xml:space="preserve"> be unaffected by reduced lending (Andrle, Tomsik, &amp; Vlcek, 2017, p. These studies allow emerging economies to increase their capital adequacy ratios by leveraging retained earnings. (Andrle, Tomsik, &amp; Vlcek, 2017, P. 2) Instead of increasing borrowing costs. 23) And create the following figure. This draws similar conclusions to Andrle's study of the first short-term lending decline in a particular market, but in the long run (defined by the study </w:t>
      </w:r>
      <w:r w:rsidRPr="00F65077">
        <w:rPr>
          <w:shd w:val="clear" w:color="auto" w:fill="FFFFFF"/>
        </w:rPr>
        <w:t>as 3</w:t>
      </w:r>
      <w:r w:rsidR="00F65077" w:rsidRPr="00F65077">
        <w:rPr>
          <w:shd w:val="clear" w:color="auto" w:fill="FFFFFF"/>
        </w:rPr>
        <w:t xml:space="preserve"> years or more), in fact. Shows credit growth ("Basel III Dry. Up Bank Lending?", 2018).</w:t>
      </w:r>
    </w:p>
    <w:p w14:paraId="16AF95FD" w14:textId="0814BA03" w:rsidR="00083758" w:rsidRDefault="005979F4" w:rsidP="005979F4">
      <w:pPr>
        <w:spacing w:after="0" w:line="276" w:lineRule="auto"/>
        <w:jc w:val="left"/>
        <w:rPr>
          <w:shd w:val="clear" w:color="auto" w:fill="FFFFFF"/>
        </w:rPr>
      </w:pPr>
      <w:r>
        <w:rPr>
          <w:shd w:val="clear" w:color="auto" w:fill="FFFFFF"/>
        </w:rPr>
        <w:t xml:space="preserve">        </w:t>
      </w:r>
      <w:r w:rsidR="004E2799" w:rsidRPr="00A27239">
        <w:rPr>
          <w:shd w:val="clear" w:color="auto" w:fill="FFFFFF"/>
        </w:rPr>
        <w:t>The</w:t>
      </w:r>
      <w:r w:rsidR="00A27239" w:rsidRPr="00A27239">
        <w:rPr>
          <w:shd w:val="clear" w:color="auto" w:fill="FFFFFF"/>
        </w:rPr>
        <w:t xml:space="preserve"> results of Basel III will continue, but after reviewing the data so far, we can conclude that the newly introduced rules contribute to the long-term stability of the international banking system.</w:t>
      </w:r>
    </w:p>
    <w:p w14:paraId="6919D802" w14:textId="27183FE3" w:rsidR="00083758" w:rsidRDefault="005B71D5" w:rsidP="005979F4">
      <w:pPr>
        <w:pStyle w:val="Heading1"/>
        <w:spacing w:line="276" w:lineRule="auto"/>
        <w:rPr>
          <w:shd w:val="clear" w:color="auto" w:fill="FFFFFF"/>
        </w:rPr>
      </w:pPr>
      <w:bookmarkStart w:id="3" w:name="_Toc89372758"/>
      <w:r>
        <w:rPr>
          <w:shd w:val="clear" w:color="auto" w:fill="FFFFFF"/>
        </w:rPr>
        <w:t>III</w:t>
      </w:r>
      <w:r w:rsidR="00083758">
        <w:rPr>
          <w:shd w:val="clear" w:color="auto" w:fill="FFFFFF"/>
        </w:rPr>
        <w:t xml:space="preserve">. </w:t>
      </w:r>
      <w:r>
        <w:rPr>
          <w:shd w:val="clear" w:color="auto" w:fill="FFFFFF"/>
        </w:rPr>
        <w:t>HSBC</w:t>
      </w:r>
      <w:r w:rsidR="00083758" w:rsidRPr="00083758">
        <w:rPr>
          <w:shd w:val="clear" w:color="auto" w:fill="FFFFFF"/>
        </w:rPr>
        <w:t xml:space="preserve"> </w:t>
      </w:r>
      <w:r w:rsidR="00B97C57">
        <w:rPr>
          <w:shd w:val="clear" w:color="auto" w:fill="FFFFFF"/>
        </w:rPr>
        <w:t>B</w:t>
      </w:r>
      <w:r w:rsidR="00083758" w:rsidRPr="00083758">
        <w:rPr>
          <w:shd w:val="clear" w:color="auto" w:fill="FFFFFF"/>
        </w:rPr>
        <w:t xml:space="preserve">usiness </w:t>
      </w:r>
      <w:r w:rsidR="00B97C57">
        <w:rPr>
          <w:shd w:val="clear" w:color="auto" w:fill="FFFFFF"/>
        </w:rPr>
        <w:t>M</w:t>
      </w:r>
      <w:r w:rsidR="00083758" w:rsidRPr="00083758">
        <w:rPr>
          <w:shd w:val="clear" w:color="auto" w:fill="FFFFFF"/>
        </w:rPr>
        <w:t>odel and their level of compliance/non-compliance to these</w:t>
      </w:r>
      <w:r w:rsidR="00934146">
        <w:rPr>
          <w:shd w:val="clear" w:color="auto" w:fill="FFFFFF"/>
        </w:rPr>
        <w:t xml:space="preserve"> </w:t>
      </w:r>
      <w:r w:rsidR="00083758" w:rsidRPr="00083758">
        <w:rPr>
          <w:shd w:val="clear" w:color="auto" w:fill="FFFFFF"/>
        </w:rPr>
        <w:t>reforms.</w:t>
      </w:r>
      <w:bookmarkEnd w:id="3"/>
    </w:p>
    <w:p w14:paraId="6857AC3F" w14:textId="77777777" w:rsidR="005979F4" w:rsidRPr="005979F4" w:rsidRDefault="005979F4" w:rsidP="005979F4"/>
    <w:p w14:paraId="1F80C169" w14:textId="77777777" w:rsidR="00083758" w:rsidRPr="005979F4" w:rsidRDefault="00083758" w:rsidP="002F58D1">
      <w:pPr>
        <w:pStyle w:val="Heading2"/>
        <w:rPr>
          <w:rFonts w:ascii="Times New Roman" w:hAnsi="Times New Roman" w:cs="Times New Roman"/>
          <w:b/>
          <w:bCs/>
          <w:color w:val="000000" w:themeColor="text1"/>
        </w:rPr>
      </w:pPr>
      <w:r w:rsidRPr="005979F4">
        <w:rPr>
          <w:rFonts w:ascii="Times New Roman" w:hAnsi="Times New Roman" w:cs="Times New Roman"/>
          <w:b/>
          <w:bCs/>
          <w:color w:val="000000" w:themeColor="text1"/>
        </w:rPr>
        <w:t>HSBC business model</w:t>
      </w:r>
    </w:p>
    <w:p w14:paraId="29889636" w14:textId="51008111" w:rsidR="00083758" w:rsidRDefault="00083758" w:rsidP="005979F4">
      <w:pPr>
        <w:spacing w:after="0" w:line="276" w:lineRule="auto"/>
      </w:pPr>
      <w:r>
        <w:t xml:space="preserve">HSBC bank mainly includes a business model through which the bank makes money and becomes the fourth largest bank in the world banking sector. The business model of the </w:t>
      </w:r>
      <w:r w:rsidR="004E3055">
        <w:t>bank is</w:t>
      </w:r>
      <w:r>
        <w:t xml:space="preserve"> demonstrated as follows</w:t>
      </w:r>
      <w:r w:rsidR="00D91615">
        <w:t>:</w:t>
      </w:r>
    </w:p>
    <w:p w14:paraId="6AB24AB7" w14:textId="6581A504" w:rsidR="00083758" w:rsidRPr="00D91615" w:rsidRDefault="00083758" w:rsidP="005979F4">
      <w:pPr>
        <w:pStyle w:val="ListParagraph"/>
        <w:numPr>
          <w:ilvl w:val="0"/>
          <w:numId w:val="2"/>
        </w:numPr>
        <w:spacing w:after="0" w:line="276" w:lineRule="auto"/>
        <w:rPr>
          <w:b/>
          <w:bCs/>
        </w:rPr>
      </w:pPr>
      <w:r w:rsidRPr="00D91615">
        <w:rPr>
          <w:b/>
          <w:bCs/>
        </w:rPr>
        <w:lastRenderedPageBreak/>
        <w:t>Retail Banking and Wealth management</w:t>
      </w:r>
      <w:r w:rsidR="00D91615">
        <w:rPr>
          <w:b/>
          <w:bCs/>
        </w:rPr>
        <w:t xml:space="preserve">. </w:t>
      </w:r>
      <w:r>
        <w:t>This section of the bank derives profits by providing the service of traditional banking along with wealth management.</w:t>
      </w:r>
    </w:p>
    <w:p w14:paraId="1531A49D" w14:textId="5D314231" w:rsidR="00083758" w:rsidRPr="00D91615" w:rsidRDefault="00083758" w:rsidP="005979F4">
      <w:pPr>
        <w:pStyle w:val="ListParagraph"/>
        <w:numPr>
          <w:ilvl w:val="0"/>
          <w:numId w:val="2"/>
        </w:numPr>
        <w:spacing w:after="0" w:line="276" w:lineRule="auto"/>
        <w:rPr>
          <w:b/>
          <w:bCs/>
        </w:rPr>
      </w:pPr>
      <w:r w:rsidRPr="00D91615">
        <w:rPr>
          <w:b/>
          <w:bCs/>
        </w:rPr>
        <w:t>Commercial banking</w:t>
      </w:r>
      <w:r w:rsidR="00D91615">
        <w:rPr>
          <w:b/>
          <w:bCs/>
        </w:rPr>
        <w:t xml:space="preserve">. </w:t>
      </w:r>
      <w:r>
        <w:t>This section of the banks mainly earns profitability by providing commercial banking service that involves credit along with lending, Global trade along with receivable finance, payments along with cash system, and insurance along with investments.</w:t>
      </w:r>
    </w:p>
    <w:p w14:paraId="7CB157BE" w14:textId="3FF812C1" w:rsidR="00083758" w:rsidRPr="00D91615" w:rsidRDefault="00083758" w:rsidP="005979F4">
      <w:pPr>
        <w:pStyle w:val="ListParagraph"/>
        <w:numPr>
          <w:ilvl w:val="0"/>
          <w:numId w:val="2"/>
        </w:numPr>
        <w:spacing w:after="0" w:line="276" w:lineRule="auto"/>
        <w:rPr>
          <w:b/>
          <w:bCs/>
        </w:rPr>
      </w:pPr>
      <w:r w:rsidRPr="00D91615">
        <w:rPr>
          <w:b/>
          <w:bCs/>
        </w:rPr>
        <w:t>Global banking and markets</w:t>
      </w:r>
      <w:r w:rsidR="00D91615">
        <w:rPr>
          <w:b/>
          <w:bCs/>
        </w:rPr>
        <w:t xml:space="preserve">. </w:t>
      </w:r>
      <w:r>
        <w:t>This section of the bank mainly generates revenues by providing service to the institution, corporates and others to grow their business and to mitigate risk.</w:t>
      </w:r>
    </w:p>
    <w:p w14:paraId="5EB18586" w14:textId="0827E8FF" w:rsidR="00083758" w:rsidRPr="00D91615" w:rsidRDefault="00083758" w:rsidP="005979F4">
      <w:pPr>
        <w:pStyle w:val="ListParagraph"/>
        <w:numPr>
          <w:ilvl w:val="0"/>
          <w:numId w:val="2"/>
        </w:numPr>
        <w:spacing w:after="0" w:line="276" w:lineRule="auto"/>
        <w:rPr>
          <w:b/>
          <w:bCs/>
        </w:rPr>
      </w:pPr>
      <w:r w:rsidRPr="00D91615">
        <w:rPr>
          <w:b/>
          <w:bCs/>
        </w:rPr>
        <w:t>Global private banking and corporate centre</w:t>
      </w:r>
      <w:r w:rsidR="00D91615">
        <w:rPr>
          <w:b/>
          <w:bCs/>
        </w:rPr>
        <w:t xml:space="preserve">. </w:t>
      </w:r>
      <w:r>
        <w:t>This section of the bank earns profit from private banking services to high-net-worth individuals.</w:t>
      </w:r>
    </w:p>
    <w:p w14:paraId="05804124" w14:textId="4AF68443" w:rsidR="00545B6E" w:rsidRPr="005979F4" w:rsidRDefault="002F58D1" w:rsidP="002F58D1">
      <w:pPr>
        <w:pStyle w:val="Heading2"/>
        <w:spacing w:line="360" w:lineRule="auto"/>
        <w:rPr>
          <w:rFonts w:ascii="Times New Roman" w:hAnsi="Times New Roman" w:cs="Times New Roman"/>
          <w:b/>
          <w:bCs/>
          <w:color w:val="000000" w:themeColor="text1"/>
        </w:rPr>
      </w:pPr>
      <w:r w:rsidRPr="005979F4">
        <w:rPr>
          <w:rFonts w:ascii="Times New Roman" w:hAnsi="Times New Roman" w:cs="Times New Roman"/>
          <w:b/>
          <w:bCs/>
          <w:color w:val="000000" w:themeColor="text1"/>
        </w:rPr>
        <w:t>Regulatory framework</w:t>
      </w:r>
    </w:p>
    <w:p w14:paraId="6E3CDA59" w14:textId="47301A05" w:rsidR="002F58D1" w:rsidRDefault="005979F4" w:rsidP="005979F4">
      <w:pPr>
        <w:spacing w:line="276" w:lineRule="auto"/>
      </w:pPr>
      <w:r>
        <w:t xml:space="preserve">           </w:t>
      </w:r>
      <w:r w:rsidR="002F58D1">
        <w:t xml:space="preserve">HSBC is supervised on a consolidated basis in the United Kingdom (`UK`) by the Prudential Regulation Authority (`PRA`), which receives information on the capital adequacy of, and sets capital requirements for, the Group as a whole. </w:t>
      </w:r>
      <w:r w:rsidR="00707418">
        <w:t>I</w:t>
      </w:r>
      <w:r w:rsidR="00707418" w:rsidRPr="00707418">
        <w:t xml:space="preserve">n most jurisdictions, non-bank financial subsidiaries are also subject </w:t>
      </w:r>
      <w:r w:rsidR="008D196B" w:rsidRPr="00707418">
        <w:t>to supervision</w:t>
      </w:r>
      <w:r w:rsidR="00707418" w:rsidRPr="00707418">
        <w:t xml:space="preserve"> and capital requirements from local regulatory agencies. At the integrated group level, </w:t>
      </w:r>
      <w:r w:rsidR="008D196B" w:rsidRPr="00707418">
        <w:t>capital for regulatory</w:t>
      </w:r>
      <w:r w:rsidR="00707418" w:rsidRPr="00707418">
        <w:t xml:space="preserve"> reporting purposes uses the Basel III framework of the Basel Committee (“Basel”) established by the European Union (“EU”) in the CRR II and the UK PRA framework. Will be calculated. Banking industry</w:t>
      </w:r>
      <w:r w:rsidR="002F58D1">
        <w:t>.</w:t>
      </w:r>
    </w:p>
    <w:p w14:paraId="096CB385" w14:textId="5375DB43" w:rsidR="007F774F" w:rsidRPr="005979F4" w:rsidRDefault="00D358F0" w:rsidP="00D358F0">
      <w:pPr>
        <w:pStyle w:val="Heading3"/>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Capital Requirements Regulation (‘CRR II’) and the Basel III Reforms</w:t>
      </w:r>
    </w:p>
    <w:p w14:paraId="5BA7E69F" w14:textId="690D0C8A" w:rsidR="007F774F" w:rsidRDefault="005979F4" w:rsidP="005979F4">
      <w:pPr>
        <w:spacing w:after="0" w:line="276" w:lineRule="auto"/>
      </w:pPr>
      <w:r>
        <w:t xml:space="preserve">         </w:t>
      </w:r>
      <w:r w:rsidR="001A75E0" w:rsidRPr="001A75E0">
        <w:t>The Basel Committee on Banking Supervision (“Basel”) completed the Basel III reforms in July 2020 when it announced the final revision of the CVA framework.  CRR II is the first tranche of changes to the regulatory framework for the implementation of Basel III reforms and is a standardized approach to measurement of market risk rules as part of the Trading Book Basic Review (FRTB). Includes changes. Introducing counterparty risk, fund holdings rules, major exposure rule changes, new rules for leverage ratios, and stable net funding ratios. His Majesty's Ministry of Finance (HMT) and PRA recently completed on January 1, 2022 to implement the UK version of CRR II. Regarding equity investments in funds, HMT has removed the equivalent provisions in the original version of the EU's CRR II.</w:t>
      </w:r>
    </w:p>
    <w:p w14:paraId="324D3C77" w14:textId="322C4F6B" w:rsidR="007F774F" w:rsidRDefault="005979F4" w:rsidP="005979F4">
      <w:pPr>
        <w:spacing w:after="0" w:line="276" w:lineRule="auto"/>
      </w:pPr>
      <w:r>
        <w:t xml:space="preserve">           </w:t>
      </w:r>
      <w:r w:rsidR="00427D93" w:rsidRPr="00427D93">
        <w:t>In June 2021, the Bank of England (BoE) Monetary Policy Committee (FPC) and PRA announced consultations outlining the changes to CRR II for the leverage ratio framework. The UK's minimum leverage ratio is 3.25%, plus a buffer based on the corporate countercyclical and systemically important bank buffer ("GSIB"). There are also no plans to introduce mandatory capital allocation restrictions for companies that violate the leverage ratio buffer. In addition to the final rules on CRR II, the PRA has also overturned beneficial changes in the handling of software assets introduced as part of the EU's response to Covid 19. As of January 1, 2022, software assets must be fully deducted from CET1 capital</w:t>
      </w:r>
      <w:r w:rsidR="007F774F">
        <w:t>.</w:t>
      </w:r>
    </w:p>
    <w:p w14:paraId="7A816CF1" w14:textId="689E51CD" w:rsidR="004C25E0" w:rsidRDefault="007E6D3F" w:rsidP="007E6D3F">
      <w:pPr>
        <w:spacing w:line="360" w:lineRule="auto"/>
        <w:jc w:val="center"/>
      </w:pPr>
      <w:r>
        <w:rPr>
          <w:noProof/>
        </w:rPr>
        <w:lastRenderedPageBreak/>
        <w:drawing>
          <wp:inline distT="0" distB="0" distL="0" distR="0" wp14:anchorId="6A03F320" wp14:editId="16EDF14E">
            <wp:extent cx="3810378" cy="3352800"/>
            <wp:effectExtent l="0" t="0" r="0" b="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378" cy="3352800"/>
                    </a:xfrm>
                    <a:prstGeom prst="rect">
                      <a:avLst/>
                    </a:prstGeom>
                    <a:noFill/>
                    <a:ln>
                      <a:noFill/>
                    </a:ln>
                  </pic:spPr>
                </pic:pic>
              </a:graphicData>
            </a:graphic>
          </wp:inline>
        </w:drawing>
      </w:r>
    </w:p>
    <w:p w14:paraId="1CB51126" w14:textId="3D40275A" w:rsidR="009766B4" w:rsidRPr="0011399F" w:rsidRDefault="009766B4" w:rsidP="007E6D3F">
      <w:pPr>
        <w:spacing w:line="360" w:lineRule="auto"/>
        <w:jc w:val="center"/>
        <w:rPr>
          <w:i/>
          <w:iCs/>
          <w:sz w:val="20"/>
          <w:szCs w:val="18"/>
        </w:rPr>
      </w:pPr>
      <w:r w:rsidRPr="0011399F">
        <w:rPr>
          <w:i/>
          <w:iCs/>
          <w:sz w:val="20"/>
          <w:szCs w:val="18"/>
        </w:rPr>
        <w:t xml:space="preserve">Source: HSBC </w:t>
      </w:r>
    </w:p>
    <w:p w14:paraId="55182ED9" w14:textId="6069B5D9" w:rsidR="007E6D3F" w:rsidRDefault="009766B4" w:rsidP="007E6D3F">
      <w:pPr>
        <w:spacing w:line="360" w:lineRule="auto"/>
        <w:jc w:val="center"/>
      </w:pPr>
      <w:r>
        <w:rPr>
          <w:noProof/>
        </w:rPr>
        <w:drawing>
          <wp:inline distT="0" distB="0" distL="0" distR="0" wp14:anchorId="62359C46" wp14:editId="129DB0BF">
            <wp:extent cx="3520440" cy="3253740"/>
            <wp:effectExtent l="0" t="0" r="3810" b="3810"/>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0440" cy="3253740"/>
                    </a:xfrm>
                    <a:prstGeom prst="rect">
                      <a:avLst/>
                    </a:prstGeom>
                    <a:noFill/>
                    <a:ln>
                      <a:noFill/>
                    </a:ln>
                  </pic:spPr>
                </pic:pic>
              </a:graphicData>
            </a:graphic>
          </wp:inline>
        </w:drawing>
      </w:r>
    </w:p>
    <w:p w14:paraId="52723972" w14:textId="00495F75" w:rsidR="0011399F" w:rsidRPr="001268E2" w:rsidRDefault="0011399F" w:rsidP="001268E2">
      <w:pPr>
        <w:spacing w:line="360" w:lineRule="auto"/>
        <w:jc w:val="center"/>
        <w:rPr>
          <w:i/>
          <w:iCs/>
          <w:sz w:val="20"/>
          <w:szCs w:val="18"/>
        </w:rPr>
      </w:pPr>
      <w:r w:rsidRPr="0011399F">
        <w:rPr>
          <w:i/>
          <w:iCs/>
          <w:sz w:val="20"/>
          <w:szCs w:val="18"/>
        </w:rPr>
        <w:t xml:space="preserve">Source: HSBC </w:t>
      </w:r>
    </w:p>
    <w:p w14:paraId="6A363562" w14:textId="66C71A54" w:rsidR="007F774F" w:rsidRDefault="005979F4" w:rsidP="005979F4">
      <w:pPr>
        <w:spacing w:after="0" w:line="276" w:lineRule="auto"/>
      </w:pPr>
      <w:r>
        <w:t xml:space="preserve">             </w:t>
      </w:r>
      <w:r w:rsidR="004F27D9" w:rsidRPr="004F27D9">
        <w:t>The PRA will discuss the implementation of the remaining elements of the Basel III reform later this year. The UK implementation of the remaining elements of the Basel III reform is currently scheduled for January 1, 2023, in line with Basel's schedule</w:t>
      </w:r>
      <w:r w:rsidR="007F774F">
        <w:t>.</w:t>
      </w:r>
    </w:p>
    <w:p w14:paraId="7854F14A" w14:textId="77777777" w:rsidR="00B96175" w:rsidRDefault="000823D5" w:rsidP="005979F4">
      <w:pPr>
        <w:spacing w:after="0" w:line="276" w:lineRule="auto"/>
      </w:pPr>
      <w:r>
        <w:lastRenderedPageBreak/>
        <w:t>HSBC has evaluated the impact of the Basel III reforms and IRB repair in conjunction with other changes, including the reversal of the CRR II treatment for software assets and the capitalisation of strategic foreign exchange risk, as part of our scenario analysis of capital and liquidity risks</w:t>
      </w:r>
      <w:r w:rsidR="00B96175">
        <w:t xml:space="preserve">. </w:t>
      </w:r>
    </w:p>
    <w:p w14:paraId="01FEBE07" w14:textId="36CA0357" w:rsidR="00B96175" w:rsidRDefault="00897F32" w:rsidP="005979F4">
      <w:pPr>
        <w:spacing w:after="0" w:line="276" w:lineRule="auto"/>
      </w:pPr>
      <w:r>
        <w:t>Treasury risk is the risk of having insufficient capital, liquidity or funding resources to meet financial obligations and satisfy regulatory requirements, together with the financial risks arising</w:t>
      </w:r>
      <w:r w:rsidR="002C52E4">
        <w:t xml:space="preserve"> </w:t>
      </w:r>
      <w:r>
        <w:t>from the provision of pensions and other post-employment</w:t>
      </w:r>
      <w:r w:rsidR="002C52E4">
        <w:t xml:space="preserve"> </w:t>
      </w:r>
      <w:r>
        <w:t xml:space="preserve">benefits to staff and their dependents. </w:t>
      </w:r>
      <w:r w:rsidR="00876B45">
        <w:t>HSBC</w:t>
      </w:r>
      <w:r>
        <w:t xml:space="preserve"> aim to</w:t>
      </w:r>
      <w:r w:rsidR="002C52E4">
        <w:t xml:space="preserve"> </w:t>
      </w:r>
      <w:r>
        <w:t>maintain a strong capital and liquidity base to support the risks</w:t>
      </w:r>
      <w:r w:rsidR="002C52E4">
        <w:t xml:space="preserve"> </w:t>
      </w:r>
      <w:r>
        <w:t xml:space="preserve">inherent in </w:t>
      </w:r>
      <w:r w:rsidR="00876B45">
        <w:t>their</w:t>
      </w:r>
      <w:r>
        <w:t xml:space="preserve"> business</w:t>
      </w:r>
      <w:r w:rsidR="002C52E4">
        <w:t xml:space="preserve"> </w:t>
      </w:r>
      <w:r>
        <w:t xml:space="preserve">and invest in accordance with </w:t>
      </w:r>
      <w:r w:rsidR="00876B45">
        <w:t>their</w:t>
      </w:r>
      <w:r w:rsidR="002C52E4">
        <w:t xml:space="preserve"> </w:t>
      </w:r>
      <w:r>
        <w:t>strategy, meeting both consolidated and local regulatory</w:t>
      </w:r>
      <w:r w:rsidR="002C52E4">
        <w:t xml:space="preserve"> </w:t>
      </w:r>
      <w:r>
        <w:t>requirements at all times.</w:t>
      </w:r>
    </w:p>
    <w:p w14:paraId="7EEEEF47" w14:textId="486F34CE" w:rsidR="005153CD" w:rsidRDefault="005979F4" w:rsidP="005979F4">
      <w:pPr>
        <w:spacing w:after="0" w:line="276" w:lineRule="auto"/>
      </w:pPr>
      <w:r>
        <w:t xml:space="preserve">         </w:t>
      </w:r>
      <w:r w:rsidR="005153CD">
        <w:t>Outside the stress testing framework, other risks may be identified that have the potential to affect our RWAs and/or capital position. Downside and Upside scenarios are assessed against our capital management objectives and mitigating actions are assigned as necessary.</w:t>
      </w:r>
    </w:p>
    <w:p w14:paraId="12B4B54A" w14:textId="4FEB63A6" w:rsidR="00BB13F0" w:rsidRDefault="005979F4" w:rsidP="005979F4">
      <w:pPr>
        <w:spacing w:after="0" w:line="276" w:lineRule="auto"/>
      </w:pPr>
      <w:r>
        <w:t xml:space="preserve">         </w:t>
      </w:r>
      <w:r w:rsidR="000823D5">
        <w:t>Further impacts will occur with the introduction of a modelled</w:t>
      </w:r>
      <w:r w:rsidR="000823D5">
        <w:rPr>
          <w:color w:val="FF0000"/>
        </w:rPr>
        <w:t xml:space="preserve"> </w:t>
      </w:r>
      <w:r w:rsidR="000823D5">
        <w:t>RWA output floor under the Basel III reforms that will commence</w:t>
      </w:r>
      <w:r w:rsidR="000823D5">
        <w:rPr>
          <w:color w:val="FF0000"/>
        </w:rPr>
        <w:t xml:space="preserve"> </w:t>
      </w:r>
      <w:r w:rsidR="000823D5">
        <w:t>in 2023 with a five-year transitional provision.</w:t>
      </w:r>
    </w:p>
    <w:p w14:paraId="145AB591" w14:textId="77777777" w:rsidR="00E00FBC" w:rsidRDefault="00E00FBC" w:rsidP="005979F4">
      <w:pPr>
        <w:spacing w:after="0" w:line="276" w:lineRule="auto"/>
      </w:pPr>
    </w:p>
    <w:p w14:paraId="5B5C4330" w14:textId="379610E2" w:rsidR="00083758" w:rsidRPr="005979F4" w:rsidRDefault="00083758" w:rsidP="00D358F0">
      <w:pPr>
        <w:pStyle w:val="Heading3"/>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Dodd-Frank act affects the business model of HSBC.</w:t>
      </w:r>
    </w:p>
    <w:p w14:paraId="7D8A7CA6" w14:textId="1DC369F1" w:rsidR="00083758" w:rsidRDefault="005979F4" w:rsidP="005979F4">
      <w:pPr>
        <w:spacing w:after="0" w:line="276" w:lineRule="auto"/>
      </w:pPr>
      <w:r>
        <w:t xml:space="preserve">          </w:t>
      </w:r>
      <w:r w:rsidR="00083758">
        <w:t>This act has had a huge impact on the bank. In addition to that, due to this act, the noninterest expenses have increased by an average of almost $50 billion per year</w:t>
      </w:r>
      <w:sdt>
        <w:sdtPr>
          <w:id w:val="-96103714"/>
          <w:citation/>
        </w:sdtPr>
        <w:sdtEndPr/>
        <w:sdtContent>
          <w:r w:rsidR="00DE0AC6">
            <w:fldChar w:fldCharType="begin"/>
          </w:r>
          <w:r w:rsidR="00083758">
            <w:instrText xml:space="preserve"> CITATION hsb21 \l 1033 </w:instrText>
          </w:r>
          <w:r w:rsidR="00DE0AC6">
            <w:fldChar w:fldCharType="separate"/>
          </w:r>
          <w:r w:rsidR="000577F5">
            <w:rPr>
              <w:noProof/>
            </w:rPr>
            <w:t>(hsbc, 2021)</w:t>
          </w:r>
          <w:r w:rsidR="00DE0AC6">
            <w:fldChar w:fldCharType="end"/>
          </w:r>
        </w:sdtContent>
      </w:sdt>
      <w:r w:rsidR="00083758">
        <w:t>. However, in the scenario, small banks than HSBC were disproportionately impacted by larger increases in salary and non-salary expenses, and very few banks want to merge with one</w:t>
      </w:r>
      <w:r w:rsidR="005C4750">
        <w:t xml:space="preserve"> </w:t>
      </w:r>
      <w:r w:rsidR="00083758">
        <w:t>another, so in this situation, the competition becomes so intense that is affecting HSBC to earn profit as previous</w:t>
      </w:r>
      <w:sdt>
        <w:sdtPr>
          <w:id w:val="-2027240552"/>
          <w:citation/>
        </w:sdtPr>
        <w:sdtEndPr/>
        <w:sdtContent>
          <w:r w:rsidR="00DE0AC6">
            <w:fldChar w:fldCharType="begin"/>
          </w:r>
          <w:r w:rsidR="00083758">
            <w:instrText xml:space="preserve"> CITATION viz21 \l 1033 </w:instrText>
          </w:r>
          <w:r w:rsidR="00DE0AC6">
            <w:fldChar w:fldCharType="separate"/>
          </w:r>
          <w:r w:rsidR="000577F5">
            <w:rPr>
              <w:noProof/>
            </w:rPr>
            <w:t>(vizologi, 2021)</w:t>
          </w:r>
          <w:r w:rsidR="00DE0AC6">
            <w:fldChar w:fldCharType="end"/>
          </w:r>
        </w:sdtContent>
      </w:sdt>
      <w:r w:rsidR="00083758">
        <w:t>.</w:t>
      </w:r>
    </w:p>
    <w:p w14:paraId="6CC40B14" w14:textId="77777777" w:rsidR="005979F4" w:rsidRDefault="005979F4" w:rsidP="005979F4">
      <w:pPr>
        <w:spacing w:after="0" w:line="276" w:lineRule="auto"/>
      </w:pPr>
    </w:p>
    <w:p w14:paraId="44DCE1F1" w14:textId="4C3CEF01" w:rsidR="00083758" w:rsidRPr="005979F4" w:rsidRDefault="00083758" w:rsidP="005979F4">
      <w:pPr>
        <w:pStyle w:val="Heading3"/>
        <w:spacing w:after="240" w:line="276" w:lineRule="auto"/>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Emergency economic stabilisation acts</w:t>
      </w:r>
      <w:r w:rsidR="004E3055" w:rsidRPr="005979F4">
        <w:rPr>
          <w:rFonts w:ascii="Times New Roman" w:hAnsi="Times New Roman" w:cs="Times New Roman"/>
          <w:b/>
          <w:bCs/>
          <w:color w:val="000000" w:themeColor="text1"/>
          <w:sz w:val="26"/>
          <w:szCs w:val="26"/>
        </w:rPr>
        <w:t xml:space="preserve"> </w:t>
      </w:r>
      <w:r w:rsidRPr="005979F4">
        <w:rPr>
          <w:rFonts w:ascii="Times New Roman" w:hAnsi="Times New Roman" w:cs="Times New Roman"/>
          <w:b/>
          <w:bCs/>
          <w:color w:val="000000" w:themeColor="text1"/>
          <w:sz w:val="26"/>
          <w:szCs w:val="26"/>
        </w:rPr>
        <w:t>(EESA) effects the business model of HSBC</w:t>
      </w:r>
    </w:p>
    <w:p w14:paraId="68D4BB48" w14:textId="01E4BC62" w:rsidR="00083758" w:rsidRDefault="005979F4" w:rsidP="005979F4">
      <w:pPr>
        <w:spacing w:after="0" w:line="276" w:lineRule="auto"/>
      </w:pPr>
      <w:r>
        <w:t xml:space="preserve">         </w:t>
      </w:r>
      <w:r w:rsidR="00083758">
        <w:t>This act is credited with the stability of restoring and liquidity to the financial sector. In addition to that, Due to this act, the liquidity of the finance is back again, and for which many stakeholders again dare to invest in this bank it helps in growing the annual profitability of the bank and also helps to expand. However, Due to this act, the bank is lending more, and the big corporate sector also started to invest in many projects and in the real estate sector</w:t>
      </w:r>
      <w:sdt>
        <w:sdtPr>
          <w:id w:val="708376982"/>
          <w:citation/>
        </w:sdtPr>
        <w:sdtEndPr/>
        <w:sdtContent>
          <w:r w:rsidR="00DE0AC6">
            <w:fldChar w:fldCharType="begin"/>
          </w:r>
          <w:r w:rsidR="00083758">
            <w:instrText xml:space="preserve"> CITATION Kel21 \l 1033 </w:instrText>
          </w:r>
          <w:r w:rsidR="00DE0AC6">
            <w:fldChar w:fldCharType="separate"/>
          </w:r>
          <w:r w:rsidR="000577F5">
            <w:rPr>
              <w:noProof/>
            </w:rPr>
            <w:t>(Smith, 2021)</w:t>
          </w:r>
          <w:r w:rsidR="00DE0AC6">
            <w:fldChar w:fldCharType="end"/>
          </w:r>
        </w:sdtContent>
      </w:sdt>
      <w:r w:rsidR="00083758">
        <w:t>.</w:t>
      </w:r>
    </w:p>
    <w:p w14:paraId="3F1BBAD7" w14:textId="77777777" w:rsidR="005979F4" w:rsidRDefault="005979F4" w:rsidP="005979F4">
      <w:pPr>
        <w:spacing w:after="0" w:line="276" w:lineRule="auto"/>
      </w:pPr>
    </w:p>
    <w:p w14:paraId="4421A61A" w14:textId="77777777" w:rsidR="00083758" w:rsidRPr="005979F4" w:rsidRDefault="00083758" w:rsidP="00D358F0">
      <w:pPr>
        <w:pStyle w:val="Heading3"/>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 xml:space="preserve">Impact of Dodd-Frank Act on HSBC compliances </w:t>
      </w:r>
    </w:p>
    <w:p w14:paraId="59EE1154" w14:textId="0E8C903B" w:rsidR="00083758" w:rsidRDefault="005979F4" w:rsidP="005979F4">
      <w:pPr>
        <w:pStyle w:val="Normal1"/>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83758">
        <w:rPr>
          <w:rFonts w:ascii="Times New Roman" w:eastAsia="Times New Roman" w:hAnsi="Times New Roman" w:cs="Times New Roman"/>
          <w:sz w:val="24"/>
          <w:szCs w:val="24"/>
        </w:rPr>
        <w:t xml:space="preserve">Due to the financial crisis, small banks such as HSBC have suffered a lot to develop their stability in the industry. In different situations, the bank has losses in their business structures and interest rate in the market. During this situation, the bank has adopted the Dodd-Frank act to develop its current status in the financial division. With it, the bank has developed several compliances to improve market sustainability and </w:t>
      </w:r>
      <w:r>
        <w:rPr>
          <w:rFonts w:ascii="Times New Roman" w:eastAsia="Times New Roman" w:hAnsi="Times New Roman" w:cs="Times New Roman"/>
          <w:sz w:val="24"/>
          <w:szCs w:val="24"/>
        </w:rPr>
        <w:t>employee’s</w:t>
      </w:r>
      <w:r w:rsidR="00083758">
        <w:rPr>
          <w:rFonts w:ascii="Times New Roman" w:eastAsia="Times New Roman" w:hAnsi="Times New Roman" w:cs="Times New Roman"/>
          <w:sz w:val="24"/>
          <w:szCs w:val="24"/>
        </w:rPr>
        <w:t xml:space="preserve"> attachment </w:t>
      </w:r>
      <w:sdt>
        <w:sdtPr>
          <w:rPr>
            <w:rFonts w:ascii="Times New Roman" w:eastAsia="Times New Roman" w:hAnsi="Times New Roman" w:cs="Times New Roman"/>
            <w:sz w:val="24"/>
            <w:szCs w:val="24"/>
          </w:rPr>
          <w:id w:val="293318282"/>
          <w:citation/>
        </w:sdtPr>
        <w:sdtEndPr/>
        <w:sdtContent>
          <w:r w:rsidR="00DE0AC6">
            <w:rPr>
              <w:rFonts w:ascii="Times New Roman" w:eastAsia="Times New Roman" w:hAnsi="Times New Roman" w:cs="Times New Roman"/>
              <w:sz w:val="24"/>
              <w:szCs w:val="24"/>
            </w:rPr>
            <w:fldChar w:fldCharType="begin"/>
          </w:r>
          <w:r w:rsidR="00083758">
            <w:rPr>
              <w:rFonts w:ascii="Times New Roman" w:eastAsia="Times New Roman" w:hAnsi="Times New Roman" w:cs="Times New Roman"/>
              <w:sz w:val="24"/>
              <w:szCs w:val="24"/>
              <w:lang w:val="en-IN"/>
            </w:rPr>
            <w:instrText xml:space="preserve"> CITATION egr17 \l 16393 </w:instrText>
          </w:r>
          <w:r w:rsidR="00DE0AC6">
            <w:rPr>
              <w:rFonts w:ascii="Times New Roman" w:eastAsia="Times New Roman" w:hAnsi="Times New Roman" w:cs="Times New Roman"/>
              <w:sz w:val="24"/>
              <w:szCs w:val="24"/>
            </w:rPr>
            <w:fldChar w:fldCharType="separate"/>
          </w:r>
          <w:r w:rsidR="000577F5" w:rsidRPr="000577F5">
            <w:rPr>
              <w:rFonts w:ascii="Times New Roman" w:eastAsia="Times New Roman" w:hAnsi="Times New Roman" w:cs="Times New Roman"/>
              <w:noProof/>
              <w:sz w:val="24"/>
              <w:szCs w:val="24"/>
              <w:lang w:val="en-IN"/>
            </w:rPr>
            <w:t>(egrove, 2017)</w:t>
          </w:r>
          <w:r w:rsidR="00DE0AC6">
            <w:rPr>
              <w:rFonts w:ascii="Times New Roman" w:eastAsia="Times New Roman" w:hAnsi="Times New Roman" w:cs="Times New Roman"/>
              <w:sz w:val="24"/>
              <w:szCs w:val="24"/>
            </w:rPr>
            <w:fldChar w:fldCharType="end"/>
          </w:r>
        </w:sdtContent>
      </w:sdt>
      <w:r w:rsidR="00083758">
        <w:rPr>
          <w:rFonts w:ascii="Times New Roman" w:eastAsia="Times New Roman" w:hAnsi="Times New Roman" w:cs="Times New Roman"/>
          <w:sz w:val="24"/>
          <w:szCs w:val="24"/>
        </w:rPr>
        <w:t xml:space="preserve">. Through </w:t>
      </w:r>
      <w:r w:rsidR="00083758">
        <w:rPr>
          <w:rFonts w:ascii="Times New Roman" w:eastAsia="Times New Roman" w:hAnsi="Times New Roman" w:cs="Times New Roman"/>
          <w:sz w:val="24"/>
          <w:szCs w:val="24"/>
        </w:rPr>
        <w:lastRenderedPageBreak/>
        <w:t xml:space="preserve">adopting this act in the business environment, the bank had explored the way of getting profit and effectiveness. </w:t>
      </w:r>
    </w:p>
    <w:p w14:paraId="237870FA" w14:textId="77777777" w:rsidR="00083758" w:rsidRPr="005979F4" w:rsidRDefault="00083758" w:rsidP="005979F4">
      <w:pPr>
        <w:pStyle w:val="Heading3"/>
        <w:spacing w:after="240" w:line="276" w:lineRule="auto"/>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 xml:space="preserve">Proprietary trading cost </w:t>
      </w:r>
    </w:p>
    <w:p w14:paraId="5E92F438" w14:textId="03A71E37" w:rsidR="00083758" w:rsidRDefault="005979F4" w:rsidP="005979F4">
      <w:pPr>
        <w:pStyle w:val="Normal1"/>
        <w:spacing w:after="240"/>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           </w:t>
      </w:r>
      <w:r w:rsidR="00083758">
        <w:rPr>
          <w:rFonts w:ascii="Times New Roman" w:eastAsia="Times New Roman" w:hAnsi="Times New Roman" w:cs="Times New Roman"/>
          <w:sz w:val="24"/>
          <w:szCs w:val="24"/>
        </w:rPr>
        <w:t>On the other hand, adopting this act in the organisational environment has decreased HSBC's effectiveness in the business market. Along with this, the company has again faced affected profitability from proprietary trading. The act has increased the operational cost of trading and influenced the interest which has developed by trading. It's basically impacted the systematic areas of financial banks. Along with that, by the act, the implemented information system has been affected badly. The operational cost and trading cost have been increased including several negative implications. The act has not accomplished its further goals which can define the future opportunity measures of the small banks as HSBC.</w:t>
      </w:r>
    </w:p>
    <w:p w14:paraId="46AFFA89" w14:textId="77777777" w:rsidR="00083758" w:rsidRPr="005979F4" w:rsidRDefault="00083758" w:rsidP="005979F4">
      <w:pPr>
        <w:pStyle w:val="Heading3"/>
        <w:spacing w:after="240" w:line="276" w:lineRule="auto"/>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Impact of emergency economic stabilisation act in HSBC compliances</w:t>
      </w:r>
    </w:p>
    <w:p w14:paraId="682B2CB7" w14:textId="2B45B3B0" w:rsidR="00083758" w:rsidRDefault="005979F4" w:rsidP="005979F4">
      <w:pPr>
        <w:pStyle w:val="Normal1"/>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83758">
        <w:rPr>
          <w:rFonts w:ascii="Times New Roman" w:eastAsia="Times New Roman" w:hAnsi="Times New Roman" w:cs="Times New Roman"/>
          <w:sz w:val="24"/>
          <w:szCs w:val="24"/>
        </w:rPr>
        <w:t xml:space="preserve">Developing consequences of the Dodd-Frank act from the organisational environment, the bank has adapted the EESA. After generating the act in their organisational environment has increased their market credibility and profitability. Implementation of the act has decreased the risk factors of liquidity and increased the cash flows with the increased rate of interest </w:t>
      </w:r>
      <w:sdt>
        <w:sdtPr>
          <w:rPr>
            <w:rFonts w:ascii="Times New Roman" w:eastAsia="Times New Roman" w:hAnsi="Times New Roman" w:cs="Times New Roman"/>
            <w:sz w:val="24"/>
            <w:szCs w:val="24"/>
          </w:rPr>
          <w:id w:val="293318283"/>
          <w:citation/>
        </w:sdtPr>
        <w:sdtEndPr/>
        <w:sdtContent>
          <w:r w:rsidR="00DE0AC6">
            <w:rPr>
              <w:rFonts w:ascii="Times New Roman" w:eastAsia="Times New Roman" w:hAnsi="Times New Roman" w:cs="Times New Roman"/>
              <w:sz w:val="24"/>
              <w:szCs w:val="24"/>
            </w:rPr>
            <w:fldChar w:fldCharType="begin"/>
          </w:r>
          <w:r w:rsidR="00083758">
            <w:rPr>
              <w:rFonts w:ascii="Times New Roman" w:eastAsia="Times New Roman" w:hAnsi="Times New Roman" w:cs="Times New Roman"/>
              <w:sz w:val="24"/>
              <w:szCs w:val="24"/>
              <w:lang w:val="en-IN"/>
            </w:rPr>
            <w:instrText xml:space="preserve"> CITATION bis21 \l 16393 </w:instrText>
          </w:r>
          <w:r w:rsidR="00DE0AC6">
            <w:rPr>
              <w:rFonts w:ascii="Times New Roman" w:eastAsia="Times New Roman" w:hAnsi="Times New Roman" w:cs="Times New Roman"/>
              <w:sz w:val="24"/>
              <w:szCs w:val="24"/>
            </w:rPr>
            <w:fldChar w:fldCharType="separate"/>
          </w:r>
          <w:r w:rsidR="000577F5" w:rsidRPr="000577F5">
            <w:rPr>
              <w:rFonts w:ascii="Times New Roman" w:eastAsia="Times New Roman" w:hAnsi="Times New Roman" w:cs="Times New Roman"/>
              <w:noProof/>
              <w:sz w:val="24"/>
              <w:szCs w:val="24"/>
              <w:lang w:val="en-IN"/>
            </w:rPr>
            <w:t>(bis, 2021)</w:t>
          </w:r>
          <w:r w:rsidR="00DE0AC6">
            <w:rPr>
              <w:rFonts w:ascii="Times New Roman" w:eastAsia="Times New Roman" w:hAnsi="Times New Roman" w:cs="Times New Roman"/>
              <w:sz w:val="24"/>
              <w:szCs w:val="24"/>
            </w:rPr>
            <w:fldChar w:fldCharType="end"/>
          </w:r>
        </w:sdtContent>
      </w:sdt>
      <w:r w:rsidR="00083758">
        <w:rPr>
          <w:rFonts w:ascii="Times New Roman" w:eastAsia="Times New Roman" w:hAnsi="Times New Roman" w:cs="Times New Roman"/>
          <w:sz w:val="24"/>
          <w:szCs w:val="24"/>
        </w:rPr>
        <w:t xml:space="preserve">. </w:t>
      </w:r>
    </w:p>
    <w:p w14:paraId="08003C85" w14:textId="77777777" w:rsidR="00806812" w:rsidRPr="005979F4" w:rsidRDefault="00806812" w:rsidP="005979F4">
      <w:pPr>
        <w:pStyle w:val="Heading3"/>
        <w:spacing w:after="240" w:line="276" w:lineRule="auto"/>
        <w:rPr>
          <w:rFonts w:ascii="Times New Roman" w:hAnsi="Times New Roman" w:cs="Times New Roman"/>
          <w:b/>
          <w:bCs/>
          <w:color w:val="000000" w:themeColor="text1"/>
          <w:sz w:val="26"/>
          <w:szCs w:val="26"/>
        </w:rPr>
      </w:pPr>
      <w:r w:rsidRPr="005979F4">
        <w:rPr>
          <w:rFonts w:ascii="Times New Roman" w:hAnsi="Times New Roman" w:cs="Times New Roman"/>
          <w:b/>
          <w:bCs/>
          <w:color w:val="000000" w:themeColor="text1"/>
          <w:sz w:val="26"/>
          <w:szCs w:val="26"/>
        </w:rPr>
        <w:t xml:space="preserve">Employee engagement </w:t>
      </w:r>
    </w:p>
    <w:p w14:paraId="7F2D4D6D" w14:textId="52A10CDE" w:rsidR="00806812" w:rsidRDefault="005979F4" w:rsidP="005979F4">
      <w:pPr>
        <w:pStyle w:val="Normal1"/>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06812">
        <w:rPr>
          <w:rFonts w:ascii="Times New Roman" w:eastAsia="Times New Roman" w:hAnsi="Times New Roman" w:cs="Times New Roman"/>
          <w:sz w:val="24"/>
          <w:szCs w:val="24"/>
        </w:rPr>
        <w:t xml:space="preserve">Employee engagement is one of the most necessary matters for an organisation to expand its business in the business market. Due to the financial crisis situation, the firm has suffered from low-income rates and employee dissatisfaction. The act has been adopted by the bank to increase its effectiveness in the business market. Through the resolution of previous organisations authority, the bank has started to increase profit levels in the market. Through following the act HSBC started providing better protection schemes to their customers and employees as well. Developing clarity measures within employees has provided a better understanding to employees about their job responsibility. For that reason, the bank has developed its rules and regulations to firstly demonstrate every single point in front of its employees </w:t>
      </w:r>
      <w:r w:rsidR="00806812" w:rsidRPr="00AE145F">
        <w:rPr>
          <w:rFonts w:ascii="Times New Roman" w:eastAsia="Times New Roman" w:hAnsi="Times New Roman" w:cs="Times New Roman"/>
          <w:sz w:val="24"/>
          <w:szCs w:val="24"/>
        </w:rPr>
        <w:t>(</w:t>
      </w:r>
      <w:r w:rsidR="00806812" w:rsidRPr="00AE145F">
        <w:rPr>
          <w:rFonts w:ascii="Times New Roman" w:hAnsi="Times New Roman" w:cs="Times New Roman"/>
          <w:color w:val="222222"/>
          <w:sz w:val="24"/>
          <w:szCs w:val="24"/>
          <w:shd w:val="clear" w:color="auto" w:fill="FFFFFF"/>
        </w:rPr>
        <w:t>Al-dalahmeh et al. 2018</w:t>
      </w:r>
      <w:r w:rsidR="00806812">
        <w:rPr>
          <w:rFonts w:ascii="Times New Roman" w:eastAsia="Times New Roman" w:hAnsi="Times New Roman" w:cs="Times New Roman"/>
          <w:sz w:val="24"/>
          <w:szCs w:val="24"/>
        </w:rPr>
        <w:t xml:space="preserve">). Implementing the compliances in the organisational environment, employees are getting started to develop trust measures towards the company and business sustainability of the bank has been increased in the industry. </w:t>
      </w:r>
    </w:p>
    <w:p w14:paraId="5B5F453E" w14:textId="77777777" w:rsidR="00083758" w:rsidRPr="005979F4" w:rsidRDefault="00083758" w:rsidP="005979F4">
      <w:pPr>
        <w:pStyle w:val="Heading2"/>
        <w:spacing w:after="240" w:line="276" w:lineRule="auto"/>
        <w:rPr>
          <w:rFonts w:ascii="Times New Roman" w:hAnsi="Times New Roman" w:cs="Times New Roman"/>
          <w:b/>
          <w:bCs/>
          <w:color w:val="000000" w:themeColor="text1"/>
        </w:rPr>
      </w:pPr>
      <w:r w:rsidRPr="005979F4">
        <w:rPr>
          <w:rFonts w:ascii="Times New Roman" w:hAnsi="Times New Roman" w:cs="Times New Roman"/>
          <w:b/>
          <w:bCs/>
          <w:color w:val="000000" w:themeColor="text1"/>
        </w:rPr>
        <w:t>Bank risk-taking measures and resilience</w:t>
      </w:r>
    </w:p>
    <w:p w14:paraId="70F0306A" w14:textId="63A64514" w:rsidR="00083758" w:rsidRDefault="005979F4" w:rsidP="005979F4">
      <w:pPr>
        <w:pStyle w:val="Normal1"/>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83758">
        <w:rPr>
          <w:rFonts w:ascii="Times New Roman" w:eastAsia="Times New Roman" w:hAnsi="Times New Roman" w:cs="Times New Roman"/>
          <w:sz w:val="24"/>
          <w:szCs w:val="24"/>
        </w:rPr>
        <w:t xml:space="preserve">Global banks have taken resilience to reduce the risk factors from the business environment. Along with this, it helps to build improved investment capitals and buffers cash liquidity. Through these measures, the banks have developed their share market profitability and economic stability. In addition to this, it has restructured the risk management system of the bank and controlled the </w:t>
      </w:r>
      <w:r w:rsidR="00083758">
        <w:rPr>
          <w:rFonts w:ascii="Times New Roman" w:eastAsia="Times New Roman" w:hAnsi="Times New Roman" w:cs="Times New Roman"/>
          <w:sz w:val="24"/>
          <w:szCs w:val="24"/>
        </w:rPr>
        <w:lastRenderedPageBreak/>
        <w:t>internal system of the management. The act policies have helped the organisations to identify and understand the conflict situations. Along with that it produces the bank's business sustainability and ensures their further improvement and market development (</w:t>
      </w:r>
      <w:r w:rsidR="00083758" w:rsidRPr="003747E0">
        <w:rPr>
          <w:rFonts w:ascii="Times New Roman" w:hAnsi="Times New Roman" w:cs="Times New Roman"/>
          <w:color w:val="222222"/>
          <w:sz w:val="24"/>
          <w:szCs w:val="24"/>
          <w:shd w:val="clear" w:color="auto" w:fill="FFFFFF"/>
        </w:rPr>
        <w:t>Korzeb and Niedziółka, 2020</w:t>
      </w:r>
      <w:r w:rsidR="00083758">
        <w:rPr>
          <w:rFonts w:ascii="Times New Roman" w:eastAsia="Times New Roman" w:hAnsi="Times New Roman" w:cs="Times New Roman"/>
          <w:sz w:val="24"/>
          <w:szCs w:val="24"/>
        </w:rPr>
        <w:t xml:space="preserve">). Through the risk-taking system, the bank has improved its risk-taking compliances in the business market. </w:t>
      </w:r>
    </w:p>
    <w:p w14:paraId="497E4AFE" w14:textId="77777777" w:rsidR="00083758" w:rsidRPr="00E00FBC" w:rsidRDefault="00083758" w:rsidP="005979F4">
      <w:pPr>
        <w:pStyle w:val="Heading2"/>
        <w:spacing w:after="240" w:line="276" w:lineRule="auto"/>
        <w:rPr>
          <w:rFonts w:ascii="Times New Roman" w:hAnsi="Times New Roman" w:cs="Times New Roman"/>
          <w:b/>
          <w:bCs/>
          <w:color w:val="000000" w:themeColor="text1"/>
        </w:rPr>
      </w:pPr>
      <w:r w:rsidRPr="00E00FBC">
        <w:rPr>
          <w:rFonts w:ascii="Times New Roman" w:hAnsi="Times New Roman" w:cs="Times New Roman"/>
          <w:b/>
          <w:bCs/>
          <w:color w:val="000000" w:themeColor="text1"/>
        </w:rPr>
        <w:t xml:space="preserve">Future market profitability </w:t>
      </w:r>
    </w:p>
    <w:p w14:paraId="0D0FCF1D" w14:textId="0E0CC0B1" w:rsidR="00083758" w:rsidRDefault="00F41775" w:rsidP="005979F4">
      <w:pPr>
        <w:pStyle w:val="Normal1"/>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83758">
        <w:rPr>
          <w:rFonts w:ascii="Times New Roman" w:eastAsia="Times New Roman" w:hAnsi="Times New Roman" w:cs="Times New Roman"/>
          <w:sz w:val="24"/>
          <w:szCs w:val="24"/>
        </w:rPr>
        <w:t xml:space="preserve">Implementing the act in the organisational environment has ensured banks' profitability and future growth in the industry. In order to develop the investors' sentiments and reduce the low profitability measures, the bank has implemented the act's policies into their business environment. The policies have supported the bank's factors to increase their share market stability and generate their access rates to expand business measures in the business environment. Through generating the act policies in the organisational environment HSBC has improved its future market sustainability and market profitability. </w:t>
      </w:r>
    </w:p>
    <w:p w14:paraId="32894109" w14:textId="77777777" w:rsidR="00083758" w:rsidRPr="00F41775" w:rsidRDefault="00083758" w:rsidP="005979F4">
      <w:pPr>
        <w:pStyle w:val="Heading2"/>
        <w:spacing w:after="240" w:line="276" w:lineRule="auto"/>
        <w:rPr>
          <w:rFonts w:ascii="Times New Roman" w:hAnsi="Times New Roman" w:cs="Times New Roman"/>
          <w:b/>
          <w:bCs/>
          <w:color w:val="000000" w:themeColor="text1"/>
        </w:rPr>
      </w:pPr>
      <w:r w:rsidRPr="00F41775">
        <w:rPr>
          <w:rFonts w:ascii="Times New Roman" w:hAnsi="Times New Roman" w:cs="Times New Roman"/>
          <w:b/>
          <w:bCs/>
          <w:color w:val="000000" w:themeColor="text1"/>
        </w:rPr>
        <w:t xml:space="preserve">Bank performances </w:t>
      </w:r>
    </w:p>
    <w:p w14:paraId="0AC66848" w14:textId="3DA81578" w:rsidR="000577F5" w:rsidRDefault="00F41775" w:rsidP="00F41775">
      <w:pPr>
        <w:pStyle w:val="Normal1"/>
        <w:spacing w:after="240"/>
        <w:jc w:val="both"/>
        <w:rPr>
          <w:rFonts w:eastAsia="Times New Roman" w:cs="Times New Roman"/>
          <w:szCs w:val="24"/>
        </w:rPr>
      </w:pPr>
      <w:r>
        <w:rPr>
          <w:rFonts w:ascii="Times New Roman" w:eastAsia="Times New Roman" w:hAnsi="Times New Roman" w:cs="Times New Roman"/>
          <w:sz w:val="24"/>
          <w:szCs w:val="24"/>
        </w:rPr>
        <w:t xml:space="preserve">            </w:t>
      </w:r>
      <w:r w:rsidR="00083758">
        <w:rPr>
          <w:rFonts w:ascii="Times New Roman" w:eastAsia="Times New Roman" w:hAnsi="Times New Roman" w:cs="Times New Roman"/>
          <w:sz w:val="24"/>
          <w:szCs w:val="24"/>
        </w:rPr>
        <w:t xml:space="preserve">Measuring the active policies in the organisational environment has produced the bank profitability and increased their productivity in the business market. The excessive profitability and credibility have produced their market stability to develop HSBC revenues in the industry. Through measuring the policies in the organisational environment, HSBC has reduced its operational cost and developed its market revenues in the banking sectors.  </w:t>
      </w:r>
    </w:p>
    <w:p w14:paraId="789B4421" w14:textId="77777777" w:rsidR="000577F5" w:rsidRDefault="000577F5" w:rsidP="000577F5">
      <w:pPr>
        <w:pStyle w:val="Heading1"/>
        <w:rPr>
          <w:rFonts w:eastAsia="Times New Roman"/>
        </w:rPr>
      </w:pPr>
      <w:bookmarkStart w:id="4" w:name="_Toc89372759"/>
      <w:r>
        <w:rPr>
          <w:rFonts w:eastAsia="Times New Roman"/>
        </w:rPr>
        <w:t>Conclusion</w:t>
      </w:r>
      <w:bookmarkEnd w:id="4"/>
    </w:p>
    <w:p w14:paraId="7791AC1B" w14:textId="5C4E9ECB" w:rsidR="000577F5" w:rsidRDefault="00F41775" w:rsidP="00CB6ECB">
      <w:pPr>
        <w:spacing w:after="0" w:line="276" w:lineRule="auto"/>
      </w:pPr>
      <w:r>
        <w:t xml:space="preserve">            </w:t>
      </w:r>
      <w:r w:rsidR="000577F5">
        <w:t>The financial crisis in the 200</w:t>
      </w:r>
      <w:r w:rsidR="002837EA">
        <w:t xml:space="preserve">8 has impact the financial system of the economy in a drastic way. The government has established various laws, reforms and regulation to mitigate the crisis and </w:t>
      </w:r>
      <w:r w:rsidR="00CC058D">
        <w:t xml:space="preserve">support the financial institution to set back again. The </w:t>
      </w:r>
      <w:r w:rsidR="00F70A1A">
        <w:t>study illustrates</w:t>
      </w:r>
      <w:r w:rsidR="00CC058D">
        <w:t xml:space="preserve"> the critical analysis of the various reforms developed post the financial crisis. Furthermore, its impact on HSBC specifically on its business model and business operations has been evaluated. </w:t>
      </w:r>
    </w:p>
    <w:p w14:paraId="2A1EEB76" w14:textId="4E09D994" w:rsidR="00836F60" w:rsidRDefault="0014595F" w:rsidP="00836F60">
      <w:pPr>
        <w:spacing w:after="0" w:line="276" w:lineRule="auto"/>
      </w:pPr>
      <w:r>
        <w:t xml:space="preserve">            </w:t>
      </w:r>
      <w:r w:rsidR="00836F60">
        <w:t xml:space="preserve">The Basel Accords have consistently made recommendations to support why the Commission was formed. This is the creation of a multilaterally supported, collaborative set of standards that will help maintain a healthy global financial market. They acknowledge that as the mood of the world economy changes, arrangements need to be continually updated. This is evident from the contracts for several published versions. Each contract has created new requirements that are met with varying degrees of acceptance and forward-looking results. Basel III, for example, is designed to reduce lending and profitability, but it actually leads to credit growth and lower funding costs. </w:t>
      </w:r>
    </w:p>
    <w:p w14:paraId="7F3BDF03" w14:textId="594BD68B" w:rsidR="00836F60" w:rsidRDefault="00836F60" w:rsidP="00836F60">
      <w:pPr>
        <w:spacing w:after="0" w:line="276" w:lineRule="auto"/>
      </w:pPr>
      <w:r>
        <w:t xml:space="preserve"> </w:t>
      </w:r>
      <w:r w:rsidR="0014595F">
        <w:t xml:space="preserve">        </w:t>
      </w:r>
      <w:r>
        <w:t xml:space="preserve">When the Commission is working on the next version of Basel (Basel IV is in the planning stages), how </w:t>
      </w:r>
      <w:r w:rsidR="0014595F">
        <w:t>some market</w:t>
      </w:r>
      <w:r>
        <w:t xml:space="preserve"> participants interpreted the new regulation and how it affected the </w:t>
      </w:r>
      <w:r>
        <w:lastRenderedPageBreak/>
        <w:t xml:space="preserve">market. Examine you. Revise and create the rules accordingly. It is hoped that they will address the lack of interpretive guidance and coercion to continue to support healthy growth. </w:t>
      </w:r>
    </w:p>
    <w:p w14:paraId="2A848D68" w14:textId="3FA7BD23" w:rsidR="00083758" w:rsidRDefault="00836F60" w:rsidP="0014595F">
      <w:pPr>
        <w:spacing w:after="0" w:line="276" w:lineRule="auto"/>
      </w:pPr>
      <w:r>
        <w:t xml:space="preserve"> </w:t>
      </w:r>
      <w:r w:rsidR="0014595F">
        <w:t xml:space="preserve">          </w:t>
      </w:r>
      <w:r>
        <w:t xml:space="preserve">So far, the Basel Accords have had an overall positive impact </w:t>
      </w:r>
      <w:r w:rsidR="0014595F">
        <w:t>on both</w:t>
      </w:r>
      <w:r>
        <w:t xml:space="preserve"> developed and emerging economies. You have created a more stable financial environment for the global market. Each version of the agreement increases the rigor </w:t>
      </w:r>
      <w:r w:rsidR="0014595F">
        <w:t>of disaster</w:t>
      </w:r>
      <w:r>
        <w:t xml:space="preserve"> risk reduction and faces initial scepticism about the ability of markets, especially emerging economies, to grow under the new rules. Since Basel III, many studies have shown </w:t>
      </w:r>
      <w:r w:rsidR="0014595F">
        <w:t>that developing</w:t>
      </w:r>
      <w:r>
        <w:t xml:space="preserve"> and emerging markets continue to grow after the first slowdown, despite restrictions</w:t>
      </w:r>
      <w:r w:rsidR="00F420BA" w:rsidRPr="00554C78">
        <w:t>.</w:t>
      </w:r>
    </w:p>
    <w:p w14:paraId="210FB3B2" w14:textId="77777777" w:rsidR="0014595F" w:rsidRPr="00554C78" w:rsidRDefault="0014595F" w:rsidP="0014595F">
      <w:pPr>
        <w:spacing w:after="0" w:line="276" w:lineRule="auto"/>
        <w:rPr>
          <w:rFonts w:eastAsia="Times New Roman" w:cs="Times New Roman"/>
          <w:szCs w:val="24"/>
          <w:lang w:val="en-US"/>
        </w:rPr>
      </w:pPr>
    </w:p>
    <w:p w14:paraId="3A31A387" w14:textId="7DD60BF0" w:rsidR="00083758" w:rsidRDefault="00083758" w:rsidP="00083758">
      <w:pPr>
        <w:pStyle w:val="Heading1"/>
        <w:rPr>
          <w:rFonts w:eastAsia="Times New Roman"/>
        </w:rPr>
      </w:pPr>
      <w:bookmarkStart w:id="5" w:name="_Toc89372760"/>
      <w:r>
        <w:rPr>
          <w:rFonts w:eastAsia="Times New Roman"/>
        </w:rPr>
        <w:t>References</w:t>
      </w:r>
      <w:bookmarkEnd w:id="5"/>
    </w:p>
    <w:p w14:paraId="1D5B363B" w14:textId="77777777" w:rsidR="00083758" w:rsidRPr="00083758" w:rsidRDefault="00083758" w:rsidP="00083758">
      <w:pPr>
        <w:pStyle w:val="Normal1"/>
        <w:spacing w:line="480" w:lineRule="auto"/>
        <w:jc w:val="both"/>
        <w:rPr>
          <w:rFonts w:ascii="Times New Roman" w:eastAsia="Times New Roman" w:hAnsi="Times New Roman" w:cs="Times New Roman"/>
          <w:b/>
          <w:bCs/>
          <w:sz w:val="24"/>
          <w:szCs w:val="24"/>
        </w:rPr>
      </w:pPr>
      <w:r w:rsidRPr="00083758">
        <w:rPr>
          <w:rFonts w:ascii="Times New Roman" w:eastAsia="Times New Roman" w:hAnsi="Times New Roman" w:cs="Times New Roman"/>
          <w:b/>
          <w:bCs/>
          <w:sz w:val="24"/>
          <w:szCs w:val="24"/>
        </w:rPr>
        <w:t>Books &amp; Journals</w:t>
      </w:r>
    </w:p>
    <w:p w14:paraId="4F3C3426" w14:textId="77777777" w:rsidR="000577F5" w:rsidRDefault="000577F5" w:rsidP="0014595F">
      <w:pPr>
        <w:spacing w:line="276" w:lineRule="auto"/>
        <w:rPr>
          <w:shd w:val="clear" w:color="auto" w:fill="FFFFFF"/>
        </w:rPr>
      </w:pPr>
      <w:r>
        <w:rPr>
          <w:shd w:val="clear" w:color="auto" w:fill="FFFFFF"/>
        </w:rPr>
        <w:t>Acharya, V.V., Cooley, T., Richardson, M., Sylla, R. and Walter, I., (2011). The Dodd</w:t>
      </w:r>
      <w:r w:rsidRPr="009E4494">
        <w:rPr>
          <w:shd w:val="clear" w:color="auto" w:fill="FFFFFF"/>
        </w:rPr>
        <w:t>‐</w:t>
      </w:r>
      <w:r>
        <w:rPr>
          <w:shd w:val="clear" w:color="auto" w:fill="FFFFFF"/>
        </w:rPr>
        <w:t>Frank Wall Street Reform and Consumer Protection Act: Accomplishments and Limitations. </w:t>
      </w:r>
      <w:r w:rsidRPr="009E4494">
        <w:rPr>
          <w:shd w:val="clear" w:color="auto" w:fill="FFFFFF"/>
        </w:rPr>
        <w:t>Journal of Applied Corporate Finance</w:t>
      </w:r>
      <w:r>
        <w:rPr>
          <w:shd w:val="clear" w:color="auto" w:fill="FFFFFF"/>
        </w:rPr>
        <w:t>, </w:t>
      </w:r>
      <w:r w:rsidRPr="009E4494">
        <w:rPr>
          <w:shd w:val="clear" w:color="auto" w:fill="FFFFFF"/>
        </w:rPr>
        <w:t>23</w:t>
      </w:r>
      <w:r>
        <w:rPr>
          <w:shd w:val="clear" w:color="auto" w:fill="FFFFFF"/>
        </w:rPr>
        <w:t>(1), pp.43-56.</w:t>
      </w:r>
    </w:p>
    <w:p w14:paraId="53A970EB" w14:textId="7D55C6F5" w:rsidR="000577F5" w:rsidRPr="009E4494" w:rsidRDefault="000577F5" w:rsidP="0014595F">
      <w:pPr>
        <w:pStyle w:val="NormalWeb"/>
        <w:spacing w:before="0" w:beforeAutospacing="0" w:after="240" w:afterAutospacing="0" w:line="276" w:lineRule="auto"/>
        <w:jc w:val="both"/>
        <w:rPr>
          <w:rFonts w:eastAsiaTheme="minorHAnsi" w:cstheme="minorBidi"/>
          <w:szCs w:val="22"/>
          <w:shd w:val="clear" w:color="auto" w:fill="FFFFFF"/>
          <w:lang w:val="en-GB"/>
        </w:rPr>
      </w:pPr>
      <w:r w:rsidRPr="009E4494">
        <w:rPr>
          <w:rFonts w:eastAsiaTheme="minorHAnsi" w:cstheme="minorBidi"/>
          <w:szCs w:val="22"/>
          <w:shd w:val="clear" w:color="auto" w:fill="FFFFFF"/>
          <w:lang w:val="en-GB"/>
        </w:rPr>
        <w:t>Al-dalahmeh, M., Khalaf, R. and Obeidat, B., (2018). The effect of employee engagement on organizational performance via the mediating role of job satisfaction: The case of IT employees in banking sector. Modern Applied Science, 12(6), pp.17-43.</w:t>
      </w:r>
    </w:p>
    <w:p w14:paraId="5EBEA7C1" w14:textId="39D2533D" w:rsidR="005B1E2B" w:rsidRPr="009E4494" w:rsidRDefault="005B1E2B" w:rsidP="0014595F">
      <w:pPr>
        <w:pStyle w:val="NormalWeb"/>
        <w:spacing w:before="0" w:beforeAutospacing="0" w:after="240" w:afterAutospacing="0" w:line="276" w:lineRule="auto"/>
        <w:jc w:val="both"/>
        <w:rPr>
          <w:rFonts w:eastAsiaTheme="minorHAnsi" w:cstheme="minorBidi"/>
          <w:szCs w:val="22"/>
          <w:shd w:val="clear" w:color="auto" w:fill="FFFFFF"/>
          <w:lang w:val="en-GB"/>
        </w:rPr>
      </w:pPr>
      <w:r w:rsidRPr="009E4494">
        <w:rPr>
          <w:rFonts w:eastAsiaTheme="minorHAnsi" w:cstheme="minorBidi"/>
          <w:szCs w:val="22"/>
          <w:shd w:val="clear" w:color="auto" w:fill="FFFFFF"/>
          <w:lang w:val="en-GB"/>
        </w:rPr>
        <w:t>Andrle, M., Tomsik, V., &amp; Vlcek, J. (2017). Banks’ adjustment to Basel III reform: A bank-level perspective for emerging Europe</w:t>
      </w:r>
    </w:p>
    <w:p w14:paraId="574B7BD9" w14:textId="1EAA1383" w:rsidR="004574F8" w:rsidRPr="009E4494" w:rsidRDefault="004574F8" w:rsidP="0014595F">
      <w:pPr>
        <w:pStyle w:val="NormalWeb"/>
        <w:spacing w:before="0" w:beforeAutospacing="0" w:after="240" w:afterAutospacing="0" w:line="276" w:lineRule="auto"/>
        <w:jc w:val="both"/>
        <w:rPr>
          <w:rFonts w:eastAsiaTheme="minorHAnsi" w:cstheme="minorBidi"/>
          <w:szCs w:val="22"/>
          <w:shd w:val="clear" w:color="auto" w:fill="FFFFFF"/>
          <w:lang w:val="en-GB"/>
        </w:rPr>
      </w:pPr>
      <w:r w:rsidRPr="009E4494">
        <w:rPr>
          <w:rFonts w:eastAsiaTheme="minorHAnsi" w:cstheme="minorBidi"/>
          <w:szCs w:val="22"/>
          <w:shd w:val="clear" w:color="auto" w:fill="FFFFFF"/>
          <w:lang w:val="en-GB"/>
        </w:rPr>
        <w:t>Beck, T. (2018, May 17). Basel III &amp; Unintended Consequences for Emerging Markets and Developing Economies-Part 4: Challenges on Infrastructure and SME Lending</w:t>
      </w:r>
    </w:p>
    <w:p w14:paraId="265DBC6B" w14:textId="58152B0F" w:rsidR="000577F5" w:rsidRDefault="000577F5" w:rsidP="0014595F">
      <w:pPr>
        <w:spacing w:line="276" w:lineRule="auto"/>
        <w:rPr>
          <w:shd w:val="clear" w:color="auto" w:fill="FFFFFF"/>
        </w:rPr>
      </w:pPr>
      <w:r>
        <w:rPr>
          <w:shd w:val="clear" w:color="auto" w:fill="FFFFFF"/>
        </w:rPr>
        <w:t>Chaffee, E.C., (2010). The Dodd-Frank Wall Street Reform and Consumer Protection Act: A failed vision for increasing consumer protection and heightening corporate responsibility in international financial transactions. </w:t>
      </w:r>
      <w:r w:rsidRPr="009E4494">
        <w:rPr>
          <w:shd w:val="clear" w:color="auto" w:fill="FFFFFF"/>
        </w:rPr>
        <w:t>Am. UL Rev.</w:t>
      </w:r>
      <w:r>
        <w:rPr>
          <w:shd w:val="clear" w:color="auto" w:fill="FFFFFF"/>
        </w:rPr>
        <w:t>, </w:t>
      </w:r>
      <w:r w:rsidRPr="009E4494">
        <w:rPr>
          <w:shd w:val="clear" w:color="auto" w:fill="FFFFFF"/>
        </w:rPr>
        <w:t>60</w:t>
      </w:r>
      <w:r>
        <w:rPr>
          <w:shd w:val="clear" w:color="auto" w:fill="FFFFFF"/>
        </w:rPr>
        <w:t>, p.1431.</w:t>
      </w:r>
    </w:p>
    <w:p w14:paraId="14D732AF" w14:textId="77777777" w:rsidR="00923C46" w:rsidRDefault="00923C46" w:rsidP="0014595F">
      <w:pPr>
        <w:spacing w:line="276" w:lineRule="auto"/>
        <w:rPr>
          <w:shd w:val="clear" w:color="auto" w:fill="FFFFFF"/>
        </w:rPr>
      </w:pPr>
      <w:r w:rsidRPr="00923C46">
        <w:rPr>
          <w:shd w:val="clear" w:color="auto" w:fill="FFFFFF"/>
        </w:rPr>
        <w:t>Gordon, E. &amp;amp; Natarajan, K., 2009. Financial Markets and Institutions, New Delhi: Himalaya Pub. House</w:t>
      </w:r>
      <w:r>
        <w:rPr>
          <w:shd w:val="clear" w:color="auto" w:fill="FFFFFF"/>
        </w:rPr>
        <w:t>.</w:t>
      </w:r>
    </w:p>
    <w:p w14:paraId="75120E90" w14:textId="7EB8DBDA" w:rsidR="000577F5" w:rsidRDefault="000577F5" w:rsidP="0014595F">
      <w:pPr>
        <w:spacing w:line="276" w:lineRule="auto"/>
        <w:rPr>
          <w:shd w:val="clear" w:color="auto" w:fill="FFFFFF"/>
        </w:rPr>
      </w:pPr>
      <w:r>
        <w:rPr>
          <w:shd w:val="clear" w:color="auto" w:fill="FFFFFF"/>
        </w:rPr>
        <w:t>Gurtner, B., (2010). The financial and economic crisis and developing countries. </w:t>
      </w:r>
      <w:r w:rsidRPr="009E4494">
        <w:rPr>
          <w:shd w:val="clear" w:color="auto" w:fill="FFFFFF"/>
        </w:rPr>
        <w:t>International Development Policy| Revue internationale de politique de développement</w:t>
      </w:r>
      <w:r>
        <w:rPr>
          <w:shd w:val="clear" w:color="auto" w:fill="FFFFFF"/>
        </w:rPr>
        <w:t>, (1), pp.189-213.</w:t>
      </w:r>
    </w:p>
    <w:p w14:paraId="50C5A545" w14:textId="7014486A" w:rsidR="000577F5" w:rsidRDefault="000577F5" w:rsidP="0014595F">
      <w:pPr>
        <w:spacing w:line="276" w:lineRule="auto"/>
        <w:rPr>
          <w:shd w:val="clear" w:color="auto" w:fill="FFFFFF"/>
        </w:rPr>
      </w:pPr>
      <w:r>
        <w:rPr>
          <w:shd w:val="clear" w:color="auto" w:fill="FFFFFF"/>
        </w:rPr>
        <w:t>Haidar, J.I., (2009). The mark</w:t>
      </w:r>
      <w:r w:rsidRPr="009E4494">
        <w:rPr>
          <w:shd w:val="clear" w:color="auto" w:fill="FFFFFF"/>
        </w:rPr>
        <w:t>‐</w:t>
      </w:r>
      <w:r>
        <w:rPr>
          <w:shd w:val="clear" w:color="auto" w:fill="FFFFFF"/>
        </w:rPr>
        <w:t>to</w:t>
      </w:r>
      <w:r w:rsidRPr="009E4494">
        <w:rPr>
          <w:shd w:val="clear" w:color="auto" w:fill="FFFFFF"/>
        </w:rPr>
        <w:t>‐</w:t>
      </w:r>
      <w:r>
        <w:rPr>
          <w:shd w:val="clear" w:color="auto" w:fill="FFFFFF"/>
        </w:rPr>
        <w:t>market valuation and executive pay package regulations within the 2009 US (Bailout) Emergency Economic Stabilization Act. Journal of Economic Policy Reform, 12(3), pp.189-199.</w:t>
      </w:r>
    </w:p>
    <w:p w14:paraId="552AFF18" w14:textId="72594948" w:rsidR="0021251D" w:rsidRDefault="0021251D" w:rsidP="0014595F">
      <w:pPr>
        <w:spacing w:line="276" w:lineRule="auto"/>
        <w:rPr>
          <w:shd w:val="clear" w:color="auto" w:fill="FFFFFF"/>
        </w:rPr>
      </w:pPr>
      <w:r w:rsidRPr="0021251D">
        <w:rPr>
          <w:shd w:val="clear" w:color="auto" w:fill="FFFFFF"/>
        </w:rPr>
        <w:t>Ghosh, S., Sugawara, N., &amp; Zalduendo, J. (2011). Basel III and Banking Flows to Emerging Markets</w:t>
      </w:r>
    </w:p>
    <w:p w14:paraId="496224C1" w14:textId="081A736A" w:rsidR="000577F5" w:rsidRPr="009E4494" w:rsidRDefault="000577F5" w:rsidP="0014595F">
      <w:pPr>
        <w:pStyle w:val="NormalWeb"/>
        <w:spacing w:before="0" w:beforeAutospacing="0" w:after="240" w:afterAutospacing="0" w:line="276" w:lineRule="auto"/>
        <w:jc w:val="both"/>
        <w:rPr>
          <w:rFonts w:eastAsiaTheme="minorHAnsi" w:cstheme="minorBidi"/>
          <w:szCs w:val="22"/>
          <w:shd w:val="clear" w:color="auto" w:fill="FFFFFF"/>
          <w:lang w:val="en-GB"/>
        </w:rPr>
      </w:pPr>
      <w:r w:rsidRPr="009E4494">
        <w:rPr>
          <w:rFonts w:eastAsiaTheme="minorHAnsi" w:cstheme="minorBidi"/>
          <w:szCs w:val="22"/>
          <w:shd w:val="clear" w:color="auto" w:fill="FFFFFF"/>
          <w:lang w:val="en-GB"/>
        </w:rPr>
        <w:lastRenderedPageBreak/>
        <w:t>Korzeb, Z. and Niedziółka, P., (2020). Resistance of commercial banks to the crisis caused by the COVID-19 pandemic: the case of Poland. Equilibrium. Quarterly Journal of Economics and Economic Policy, 15(2), pp.205-234.</w:t>
      </w:r>
    </w:p>
    <w:p w14:paraId="4C1665B0" w14:textId="77777777" w:rsidR="00664D37" w:rsidRPr="009E4494" w:rsidRDefault="00664D37" w:rsidP="0014595F">
      <w:pPr>
        <w:pStyle w:val="NormalWeb"/>
        <w:spacing w:before="0" w:beforeAutospacing="0" w:after="240" w:afterAutospacing="0" w:line="276" w:lineRule="auto"/>
        <w:jc w:val="both"/>
        <w:rPr>
          <w:rFonts w:eastAsiaTheme="minorHAnsi" w:cstheme="minorBidi"/>
          <w:szCs w:val="22"/>
          <w:shd w:val="clear" w:color="auto" w:fill="FFFFFF"/>
          <w:lang w:val="en-GB"/>
        </w:rPr>
      </w:pPr>
      <w:r w:rsidRPr="009E4494">
        <w:rPr>
          <w:rFonts w:eastAsiaTheme="minorHAnsi" w:cstheme="minorBidi"/>
          <w:szCs w:val="22"/>
          <w:shd w:val="clear" w:color="auto" w:fill="FFFFFF"/>
          <w:lang w:val="en-GB"/>
        </w:rPr>
        <w:t>Li, S. (2014). Emerging Trends in Smart Banking: Risk Management under Basel II and III. Business Science Reference.</w:t>
      </w:r>
    </w:p>
    <w:p w14:paraId="35906A02" w14:textId="41D96577" w:rsidR="003952B3" w:rsidRPr="009E4494" w:rsidRDefault="003952B3" w:rsidP="0014595F">
      <w:pPr>
        <w:pStyle w:val="NormalWeb"/>
        <w:spacing w:before="0" w:beforeAutospacing="0" w:after="240" w:afterAutospacing="0" w:line="276" w:lineRule="auto"/>
        <w:jc w:val="both"/>
        <w:rPr>
          <w:rFonts w:eastAsiaTheme="minorHAnsi" w:cstheme="minorBidi"/>
          <w:szCs w:val="22"/>
          <w:shd w:val="clear" w:color="auto" w:fill="FFFFFF"/>
          <w:lang w:val="en-GB"/>
        </w:rPr>
      </w:pPr>
      <w:r w:rsidRPr="009E4494">
        <w:rPr>
          <w:rFonts w:eastAsiaTheme="minorHAnsi" w:cstheme="minorBidi"/>
          <w:szCs w:val="22"/>
          <w:shd w:val="clear" w:color="auto" w:fill="FFFFFF"/>
          <w:lang w:val="en-GB"/>
        </w:rPr>
        <w:t>Lambert, C., Noth, F. and Schüwer, U., 2017. How do insured deposits affect bank risk? Evidence from the 2008 Emergency Economic Stabilization Act. Journal of Financial Intermediation, 29, pp.81-102.</w:t>
      </w:r>
    </w:p>
    <w:p w14:paraId="5528CE0A" w14:textId="77777777" w:rsidR="000577F5" w:rsidRDefault="000577F5" w:rsidP="0014595F">
      <w:pPr>
        <w:spacing w:line="276" w:lineRule="auto"/>
        <w:rPr>
          <w:shd w:val="clear" w:color="auto" w:fill="FFFFFF"/>
        </w:rPr>
      </w:pPr>
      <w:r>
        <w:rPr>
          <w:shd w:val="clear" w:color="auto" w:fill="FFFFFF"/>
        </w:rPr>
        <w:t>Murdock, C.W., (2011). The Dodd-Frank Wall Street reform and consumer protection act: What caused the financial crisis and will Dodd-Frank prevent future crises. </w:t>
      </w:r>
      <w:r w:rsidRPr="009E4494">
        <w:rPr>
          <w:shd w:val="clear" w:color="auto" w:fill="FFFFFF"/>
        </w:rPr>
        <w:t>SMUL Rev.</w:t>
      </w:r>
      <w:r>
        <w:rPr>
          <w:shd w:val="clear" w:color="auto" w:fill="FFFFFF"/>
        </w:rPr>
        <w:t>, </w:t>
      </w:r>
      <w:r w:rsidRPr="009E4494">
        <w:rPr>
          <w:shd w:val="clear" w:color="auto" w:fill="FFFFFF"/>
        </w:rPr>
        <w:t>64</w:t>
      </w:r>
      <w:r>
        <w:rPr>
          <w:shd w:val="clear" w:color="auto" w:fill="FFFFFF"/>
        </w:rPr>
        <w:t>, p.1243.</w:t>
      </w:r>
    </w:p>
    <w:p w14:paraId="19752BE1" w14:textId="2331385C" w:rsidR="000577F5" w:rsidRDefault="000577F5" w:rsidP="0014595F">
      <w:pPr>
        <w:spacing w:line="276" w:lineRule="auto"/>
        <w:rPr>
          <w:shd w:val="clear" w:color="auto" w:fill="FFFFFF"/>
        </w:rPr>
      </w:pPr>
      <w:r>
        <w:rPr>
          <w:shd w:val="clear" w:color="auto" w:fill="FFFFFF"/>
        </w:rPr>
        <w:t>Pope, K.R. and Lee, C.C., (2013). Could the Dodd–Frank Wall Street Reform and Consumer Protection Act of 2010 be helpful in reforming corporate America? An investigation on financial bounties and whistle-blowing behaviors in the private sector. </w:t>
      </w:r>
      <w:r w:rsidRPr="009E4494">
        <w:rPr>
          <w:shd w:val="clear" w:color="auto" w:fill="FFFFFF"/>
        </w:rPr>
        <w:t>Journal of business ethics</w:t>
      </w:r>
      <w:r>
        <w:rPr>
          <w:shd w:val="clear" w:color="auto" w:fill="FFFFFF"/>
        </w:rPr>
        <w:t>, </w:t>
      </w:r>
      <w:r w:rsidRPr="009E4494">
        <w:rPr>
          <w:shd w:val="clear" w:color="auto" w:fill="FFFFFF"/>
        </w:rPr>
        <w:t>112</w:t>
      </w:r>
      <w:r>
        <w:rPr>
          <w:shd w:val="clear" w:color="auto" w:fill="FFFFFF"/>
        </w:rPr>
        <w:t>(4), pp.597-607.</w:t>
      </w:r>
    </w:p>
    <w:p w14:paraId="324BEBFA" w14:textId="1D31E0E0" w:rsidR="006D55BB" w:rsidRDefault="006D55BB" w:rsidP="0014595F">
      <w:pPr>
        <w:spacing w:line="276" w:lineRule="auto"/>
        <w:rPr>
          <w:shd w:val="clear" w:color="auto" w:fill="FFFFFF"/>
        </w:rPr>
      </w:pPr>
      <w:r w:rsidRPr="006D55BB">
        <w:rPr>
          <w:shd w:val="clear" w:color="auto" w:fill="FFFFFF"/>
        </w:rPr>
        <w:t>Saunders, A. (2015, March). Is Basel Turning Banks into Public Utilities?</w:t>
      </w:r>
    </w:p>
    <w:p w14:paraId="3F210CD6" w14:textId="77777777" w:rsidR="000577F5" w:rsidRDefault="000577F5" w:rsidP="0014595F">
      <w:pPr>
        <w:spacing w:line="276" w:lineRule="auto"/>
        <w:rPr>
          <w:shd w:val="clear" w:color="auto" w:fill="FFFFFF"/>
        </w:rPr>
      </w:pPr>
      <w:r>
        <w:rPr>
          <w:shd w:val="clear" w:color="auto" w:fill="FFFFFF"/>
        </w:rPr>
        <w:t>Webel, B., (2011). Emergency Economic Stabilization Act and Current Financial Turmoil: Issues and Analysis. DIANE Publishing.</w:t>
      </w:r>
    </w:p>
    <w:p w14:paraId="7965F1B9" w14:textId="50F4543B" w:rsidR="00891751" w:rsidRPr="009E4494" w:rsidRDefault="000577F5" w:rsidP="0014595F">
      <w:pPr>
        <w:spacing w:line="276" w:lineRule="auto"/>
        <w:rPr>
          <w:shd w:val="clear" w:color="auto" w:fill="FFFFFF"/>
        </w:rPr>
      </w:pPr>
      <w:r>
        <w:rPr>
          <w:shd w:val="clear" w:color="auto" w:fill="FFFFFF"/>
        </w:rPr>
        <w:t>Weiss, N.E., Foote, B.E., Getter, D.E., Jickling, M., Keightley, M.P. and Murphy, E.V., (2008). </w:t>
      </w:r>
      <w:r w:rsidRPr="009E4494">
        <w:rPr>
          <w:shd w:val="clear" w:color="auto" w:fill="FFFFFF"/>
        </w:rPr>
        <w:t>Housing and Economic Recovery Act of 2008</w:t>
      </w:r>
      <w:r>
        <w:rPr>
          <w:shd w:val="clear" w:color="auto" w:fill="FFFFFF"/>
        </w:rPr>
        <w:t>. Congressional Research Service.</w:t>
      </w:r>
    </w:p>
    <w:p w14:paraId="10F9A73C" w14:textId="77777777" w:rsidR="00083758" w:rsidRPr="009E4494" w:rsidRDefault="00901EFE" w:rsidP="0014595F">
      <w:pPr>
        <w:pStyle w:val="Normal1"/>
        <w:jc w:val="both"/>
        <w:rPr>
          <w:rFonts w:ascii="Times New Roman" w:eastAsiaTheme="minorHAnsi" w:hAnsi="Times New Roman" w:cstheme="minorBidi"/>
          <w:b/>
          <w:bCs/>
          <w:sz w:val="28"/>
          <w:szCs w:val="24"/>
          <w:shd w:val="clear" w:color="auto" w:fill="FFFFFF"/>
          <w:lang w:val="en-GB"/>
        </w:rPr>
      </w:pPr>
      <w:r w:rsidRPr="009E4494">
        <w:rPr>
          <w:rFonts w:ascii="Times New Roman" w:eastAsiaTheme="minorHAnsi" w:hAnsi="Times New Roman" w:cstheme="minorBidi"/>
          <w:b/>
          <w:bCs/>
          <w:sz w:val="28"/>
          <w:szCs w:val="24"/>
          <w:shd w:val="clear" w:color="auto" w:fill="FFFFFF"/>
          <w:lang w:val="en-GB"/>
        </w:rPr>
        <w:t>Websites</w:t>
      </w:r>
    </w:p>
    <w:sdt>
      <w:sdtPr>
        <w:rPr>
          <w:shd w:val="clear" w:color="auto" w:fill="FFFFFF"/>
        </w:rPr>
        <w:id w:val="111145805"/>
        <w:bibliography/>
      </w:sdtPr>
      <w:sdtEndPr>
        <w:rPr>
          <w:shd w:val="clear" w:color="auto" w:fill="auto"/>
        </w:rPr>
      </w:sdtEndPr>
      <w:sdtContent>
        <w:p w14:paraId="54915DC5" w14:textId="7C0A819F" w:rsidR="000577F5" w:rsidRDefault="000577F5" w:rsidP="009E4494">
          <w:pPr>
            <w:pStyle w:val="Bibliography"/>
            <w:spacing w:line="276" w:lineRule="auto"/>
            <w:rPr>
              <w:shd w:val="clear" w:color="auto" w:fill="FFFFFF"/>
            </w:rPr>
          </w:pPr>
          <w:r w:rsidRPr="009E4494">
            <w:rPr>
              <w:shd w:val="clear" w:color="auto" w:fill="FFFFFF"/>
            </w:rPr>
            <w:fldChar w:fldCharType="begin"/>
          </w:r>
          <w:r w:rsidRPr="009E4494">
            <w:rPr>
              <w:shd w:val="clear" w:color="auto" w:fill="FFFFFF"/>
            </w:rPr>
            <w:instrText xml:space="preserve"> BIBLIOGRAPHY </w:instrText>
          </w:r>
          <w:r w:rsidRPr="009E4494">
            <w:rPr>
              <w:shd w:val="clear" w:color="auto" w:fill="FFFFFF"/>
            </w:rPr>
            <w:fldChar w:fldCharType="separate"/>
          </w:r>
          <w:r w:rsidRPr="009E4494">
            <w:rPr>
              <w:shd w:val="clear" w:color="auto" w:fill="FFFFFF"/>
            </w:rPr>
            <w:t xml:space="preserve">bis, 2021. Committee on the Global. [Online] Available at: </w:t>
          </w:r>
          <w:hyperlink r:id="rId11" w:history="1">
            <w:r w:rsidRPr="009E4494">
              <w:rPr>
                <w:shd w:val="clear" w:color="auto" w:fill="FFFFFF"/>
              </w:rPr>
              <w:t>https://www.bis.org/publ/cgfs60.pdf</w:t>
            </w:r>
          </w:hyperlink>
          <w:r w:rsidRPr="009E4494">
            <w:rPr>
              <w:shd w:val="clear" w:color="auto" w:fill="FFFFFF"/>
            </w:rPr>
            <w:t>.</w:t>
          </w:r>
        </w:p>
        <w:p w14:paraId="3A1BB097" w14:textId="3E2AD568" w:rsidR="009E4494" w:rsidRPr="009E4494" w:rsidRDefault="007504CD" w:rsidP="009E4494">
          <w:pPr>
            <w:spacing w:line="276" w:lineRule="auto"/>
          </w:pPr>
          <w:r w:rsidRPr="009E4494">
            <w:rPr>
              <w:shd w:val="clear" w:color="auto" w:fill="FFFFFF"/>
            </w:rPr>
            <w:t xml:space="preserve">Basel III, the regulatory minimum capital requirements Available at: </w:t>
          </w:r>
          <w:r w:rsidR="009E4494" w:rsidRPr="009E4494">
            <w:rPr>
              <w:shd w:val="clear" w:color="auto" w:fill="FFFFFF"/>
            </w:rPr>
            <w:t>&lt;https://www.researchgate.net/figure/Phase-in-arrangements-Basel-III-capital-requirements-Source-Accenture-2011_fig6_317913157&gt;</w:t>
          </w:r>
        </w:p>
        <w:p w14:paraId="67C73883" w14:textId="77777777" w:rsidR="000577F5" w:rsidRPr="009E4494" w:rsidRDefault="000577F5" w:rsidP="009E4494">
          <w:pPr>
            <w:pStyle w:val="Bibliography"/>
            <w:spacing w:line="276" w:lineRule="auto"/>
            <w:rPr>
              <w:shd w:val="clear" w:color="auto" w:fill="FFFFFF"/>
            </w:rPr>
          </w:pPr>
          <w:r w:rsidRPr="009E4494">
            <w:rPr>
              <w:shd w:val="clear" w:color="auto" w:fill="FFFFFF"/>
            </w:rPr>
            <w:t xml:space="preserve">egrove, 2017. The Dodd-Frank Act's Impact on Systemically. [Online] Available at: </w:t>
          </w:r>
          <w:hyperlink r:id="rId12" w:history="1">
            <w:r w:rsidRPr="009E4494">
              <w:rPr>
                <w:shd w:val="clear" w:color="auto" w:fill="FFFFFF"/>
              </w:rPr>
              <w:t>https://egrove.olemiss.edu/cgi/viewcontent.cgi?article=1066&amp;context=hon_thesis</w:t>
            </w:r>
          </w:hyperlink>
          <w:r w:rsidRPr="009E4494">
            <w:rPr>
              <w:shd w:val="clear" w:color="auto" w:fill="FFFFFF"/>
            </w:rPr>
            <w:t>.</w:t>
          </w:r>
        </w:p>
        <w:p w14:paraId="60CFF3A5" w14:textId="7AAFAC50" w:rsidR="000577F5" w:rsidRPr="009E4494" w:rsidRDefault="000577F5" w:rsidP="0014595F">
          <w:pPr>
            <w:pStyle w:val="Bibliography"/>
            <w:spacing w:line="276" w:lineRule="auto"/>
            <w:rPr>
              <w:shd w:val="clear" w:color="auto" w:fill="FFFFFF"/>
            </w:rPr>
          </w:pPr>
          <w:r w:rsidRPr="009E4494">
            <w:rPr>
              <w:shd w:val="clear" w:color="auto" w:fill="FFFFFF"/>
            </w:rPr>
            <w:t xml:space="preserve">federalreserve, 2021. The Federal Reserve Board. [Online] Available at: </w:t>
          </w:r>
          <w:hyperlink r:id="rId13" w:history="1">
            <w:r w:rsidRPr="009E4494">
              <w:rPr>
                <w:shd w:val="clear" w:color="auto" w:fill="FFFFFF"/>
              </w:rPr>
              <w:t>https://www.federalreserve.gov/boarddocs/rptcongress/annual08/sec2/c5.htm</w:t>
            </w:r>
          </w:hyperlink>
          <w:r w:rsidRPr="009E4494">
            <w:rPr>
              <w:shd w:val="clear" w:color="auto" w:fill="FFFFFF"/>
            </w:rPr>
            <w:t>.</w:t>
          </w:r>
        </w:p>
        <w:p w14:paraId="407282A2" w14:textId="1BB51014" w:rsidR="00F126CC" w:rsidRPr="009E4494" w:rsidRDefault="00F126CC" w:rsidP="0014595F">
          <w:pPr>
            <w:spacing w:line="276" w:lineRule="auto"/>
            <w:rPr>
              <w:shd w:val="clear" w:color="auto" w:fill="FFFFFF"/>
            </w:rPr>
          </w:pPr>
          <w:r w:rsidRPr="009E4494">
            <w:rPr>
              <w:shd w:val="clear" w:color="auto" w:fill="FFFFFF"/>
            </w:rPr>
            <w:t>From Basel I to Basel III – Overview of the Journey (Basel 1, 2, 2.5 and 3) – AdvisoryHQ. (n.d.). Retrieved from https://www.advisoryhq.com/articles/basel-i-2-2-5-3/</w:t>
          </w:r>
        </w:p>
        <w:p w14:paraId="24C2FD06" w14:textId="34D6C739" w:rsidR="000577F5" w:rsidRPr="009E4494" w:rsidRDefault="000577F5" w:rsidP="0014595F">
          <w:pPr>
            <w:pStyle w:val="Bibliography"/>
            <w:spacing w:line="276" w:lineRule="auto"/>
            <w:rPr>
              <w:shd w:val="clear" w:color="auto" w:fill="FFFFFF"/>
            </w:rPr>
          </w:pPr>
          <w:r w:rsidRPr="009E4494">
            <w:rPr>
              <w:shd w:val="clear" w:color="auto" w:fill="FFFFFF"/>
            </w:rPr>
            <w:t xml:space="preserve">hsbc, 2021. About HSBC. [Online] Available at: </w:t>
          </w:r>
          <w:hyperlink r:id="rId14" w:history="1">
            <w:r w:rsidRPr="009E4494">
              <w:rPr>
                <w:shd w:val="clear" w:color="auto" w:fill="FFFFFF"/>
              </w:rPr>
              <w:t>https://www.about.hsbc.co.in/en</w:t>
            </w:r>
          </w:hyperlink>
          <w:r w:rsidRPr="009E4494">
            <w:rPr>
              <w:shd w:val="clear" w:color="auto" w:fill="FFFFFF"/>
            </w:rPr>
            <w:t>.</w:t>
          </w:r>
        </w:p>
        <w:p w14:paraId="2EA5A98E" w14:textId="35E63DE9" w:rsidR="000B650F" w:rsidRPr="009E4494" w:rsidRDefault="000B650F" w:rsidP="0014595F">
          <w:pPr>
            <w:spacing w:line="276" w:lineRule="auto"/>
            <w:rPr>
              <w:shd w:val="clear" w:color="auto" w:fill="FFFFFF"/>
            </w:rPr>
          </w:pPr>
          <w:r w:rsidRPr="009E4494">
            <w:rPr>
              <w:shd w:val="clear" w:color="auto" w:fill="FFFFFF"/>
            </w:rPr>
            <w:lastRenderedPageBreak/>
            <w:t>Kupiec, F. (2013, November 12). Basel III: Some costs will outweigh the benefits. Retrieved from http://www.aei.org/publication/basel-iii-some-costs-will-outweigh-the-benefits/</w:t>
          </w:r>
        </w:p>
        <w:p w14:paraId="65D16A86" w14:textId="59A3630F" w:rsidR="007127DF" w:rsidRPr="009E4494" w:rsidRDefault="007127DF" w:rsidP="0014595F">
          <w:pPr>
            <w:spacing w:line="276" w:lineRule="auto"/>
            <w:rPr>
              <w:shd w:val="clear" w:color="auto" w:fill="FFFFFF"/>
            </w:rPr>
          </w:pPr>
          <w:r w:rsidRPr="009E4494">
            <w:rPr>
              <w:shd w:val="clear" w:color="auto" w:fill="FFFFFF"/>
            </w:rPr>
            <w:t>History of the Basel Committee. (2018, April 14). Retrieved from https://www.bis.org/bcbs/history.htm</w:t>
          </w:r>
        </w:p>
        <w:p w14:paraId="6771A139" w14:textId="77777777" w:rsidR="000577F5" w:rsidRPr="009E4494" w:rsidRDefault="000577F5" w:rsidP="0014595F">
          <w:pPr>
            <w:pStyle w:val="Bibliography"/>
            <w:spacing w:line="276" w:lineRule="auto"/>
            <w:rPr>
              <w:shd w:val="clear" w:color="auto" w:fill="FFFFFF"/>
            </w:rPr>
          </w:pPr>
          <w:r w:rsidRPr="009E4494">
            <w:rPr>
              <w:shd w:val="clear" w:color="auto" w:fill="FFFFFF"/>
            </w:rPr>
            <w:t xml:space="preserve">Smith, K.A., 2021. How The Dodd-Frank Act Protects Your Money. [Online] Available at: </w:t>
          </w:r>
          <w:hyperlink r:id="rId15" w:history="1">
            <w:r w:rsidRPr="009E4494">
              <w:rPr>
                <w:shd w:val="clear" w:color="auto" w:fill="FFFFFF"/>
              </w:rPr>
              <w:t>https://www.forbes.com/advisor/investing/dodd-frank-act/</w:t>
            </w:r>
          </w:hyperlink>
          <w:r w:rsidRPr="009E4494">
            <w:rPr>
              <w:shd w:val="clear" w:color="auto" w:fill="FFFFFF"/>
            </w:rPr>
            <w:t>.</w:t>
          </w:r>
        </w:p>
        <w:p w14:paraId="0D4303F1" w14:textId="00A34F80" w:rsidR="000577F5" w:rsidRPr="009E4494" w:rsidRDefault="000577F5" w:rsidP="0014595F">
          <w:pPr>
            <w:pStyle w:val="Bibliography"/>
            <w:spacing w:line="276" w:lineRule="auto"/>
            <w:rPr>
              <w:shd w:val="clear" w:color="auto" w:fill="FFFFFF"/>
            </w:rPr>
          </w:pPr>
          <w:r w:rsidRPr="009E4494">
            <w:rPr>
              <w:shd w:val="clear" w:color="auto" w:fill="FFFFFF"/>
            </w:rPr>
            <w:t xml:space="preserve">Stanhope, B., 2018. A Decade Later, Impact of HERA Still Felt in Affordable Housing. [Online] Available at: </w:t>
          </w:r>
          <w:hyperlink r:id="rId16" w:history="1">
            <w:r w:rsidRPr="009E4494">
              <w:rPr>
                <w:shd w:val="clear" w:color="auto" w:fill="FFFFFF"/>
              </w:rPr>
              <w:t>https://www.novoco.com/periodicals/articles/decade-later-impact-hera-still-felt-affordable-housing</w:t>
            </w:r>
          </w:hyperlink>
          <w:r w:rsidRPr="009E4494">
            <w:rPr>
              <w:shd w:val="clear" w:color="auto" w:fill="FFFFFF"/>
            </w:rPr>
            <w:t>.</w:t>
          </w:r>
        </w:p>
        <w:p w14:paraId="142D96C7" w14:textId="6FC17BAD" w:rsidR="00E54202" w:rsidRPr="009E4494" w:rsidRDefault="00E54202" w:rsidP="0014595F">
          <w:pPr>
            <w:spacing w:line="276" w:lineRule="auto"/>
            <w:rPr>
              <w:shd w:val="clear" w:color="auto" w:fill="FFFFFF"/>
            </w:rPr>
          </w:pPr>
          <w:r w:rsidRPr="009E4494">
            <w:rPr>
              <w:shd w:val="clear" w:color="auto" w:fill="FFFFFF"/>
            </w:rPr>
            <w:t>Staff, I. (2018, June 29). Basel Accord. Retrieved from https://www.investopedia.com/terms/b/basel_accord.asp</w:t>
          </w:r>
        </w:p>
        <w:p w14:paraId="6CB283FF" w14:textId="7F941BF1" w:rsidR="002C54D0" w:rsidRPr="009E4494" w:rsidRDefault="002C54D0" w:rsidP="0014595F">
          <w:pPr>
            <w:spacing w:line="276" w:lineRule="auto"/>
            <w:rPr>
              <w:shd w:val="clear" w:color="auto" w:fill="FFFFFF"/>
            </w:rPr>
          </w:pPr>
          <w:r w:rsidRPr="009E4494">
            <w:rPr>
              <w:shd w:val="clear" w:color="auto" w:fill="FFFFFF"/>
            </w:rPr>
            <w:t>Vine, P., &amp; Gray, K. (2010, October). An introduction to Basel III – its consequences for lending. Retrieved from http://www.nortonrosefulbright.com/knowledge/publications/31077/an-introduction-to-basel-iii-its-consequences-for-lending</w:t>
          </w:r>
        </w:p>
        <w:p w14:paraId="5EFAEE2B" w14:textId="655C829D" w:rsidR="000577F5" w:rsidRPr="009E4494" w:rsidRDefault="000577F5" w:rsidP="0014595F">
          <w:pPr>
            <w:pStyle w:val="Bibliography"/>
            <w:spacing w:line="276" w:lineRule="auto"/>
            <w:rPr>
              <w:shd w:val="clear" w:color="auto" w:fill="FFFFFF"/>
            </w:rPr>
          </w:pPr>
          <w:r w:rsidRPr="009E4494">
            <w:rPr>
              <w:shd w:val="clear" w:color="auto" w:fill="FFFFFF"/>
            </w:rPr>
            <w:t xml:space="preserve">vizologi, 2021. HSBC Holdings’s Business Strategy Case Study. [Online] Available at: </w:t>
          </w:r>
          <w:hyperlink r:id="rId17" w:history="1">
            <w:r w:rsidRPr="009E4494">
              <w:rPr>
                <w:shd w:val="clear" w:color="auto" w:fill="FFFFFF"/>
              </w:rPr>
              <w:t>https://vizologi.com/business-strategy-canvas/hsbc-holdings-business-model-canvas/</w:t>
            </w:r>
          </w:hyperlink>
          <w:r w:rsidRPr="009E4494">
            <w:rPr>
              <w:shd w:val="clear" w:color="auto" w:fill="FFFFFF"/>
            </w:rPr>
            <w:t>.</w:t>
          </w:r>
        </w:p>
        <w:p w14:paraId="290BBD7E" w14:textId="0D7E17FC" w:rsidR="00EE5981" w:rsidRPr="009E4494" w:rsidRDefault="00EE5981" w:rsidP="0014595F">
          <w:pPr>
            <w:spacing w:line="276" w:lineRule="auto"/>
            <w:rPr>
              <w:shd w:val="clear" w:color="auto" w:fill="FFFFFF"/>
            </w:rPr>
          </w:pPr>
          <w:r w:rsidRPr="009E4494">
            <w:rPr>
              <w:shd w:val="clear" w:color="auto" w:fill="FFFFFF"/>
            </w:rPr>
            <w:t>Zaher, F. (2018, February 1). How Basel 1 Affected Banks. Retrieved from https://www.investopedia.com/articles/07/baselcapitalaccord.asp</w:t>
          </w:r>
        </w:p>
        <w:p w14:paraId="5B8FDB9C" w14:textId="77777777" w:rsidR="000577F5" w:rsidRDefault="000577F5" w:rsidP="0014595F">
          <w:pPr>
            <w:spacing w:line="276" w:lineRule="auto"/>
          </w:pPr>
          <w:r w:rsidRPr="009E4494">
            <w:rPr>
              <w:shd w:val="clear" w:color="auto" w:fill="FFFFFF"/>
            </w:rPr>
            <w:fldChar w:fldCharType="end"/>
          </w:r>
        </w:p>
      </w:sdtContent>
    </w:sdt>
    <w:p w14:paraId="38E8D068" w14:textId="77777777" w:rsidR="00083758" w:rsidRDefault="00083758" w:rsidP="00EB6CF6">
      <w:pPr>
        <w:rPr>
          <w:shd w:val="clear" w:color="auto" w:fill="FFFFFF"/>
        </w:rPr>
      </w:pPr>
    </w:p>
    <w:p w14:paraId="568FEC5D" w14:textId="77777777" w:rsidR="00055F60" w:rsidRDefault="00055F60" w:rsidP="005D55D1">
      <w:pPr>
        <w:rPr>
          <w:shd w:val="clear" w:color="auto" w:fill="FFFFFF"/>
        </w:rPr>
      </w:pPr>
    </w:p>
    <w:p w14:paraId="6A6B89AB" w14:textId="77777777" w:rsidR="00004223" w:rsidRPr="003D3030" w:rsidRDefault="00BC522A" w:rsidP="005D55D1">
      <w:r w:rsidRPr="00004223">
        <w:tab/>
      </w:r>
    </w:p>
    <w:sectPr w:rsidR="00004223" w:rsidRPr="003D3030" w:rsidSect="00083758">
      <w:headerReference w:type="default" r:id="rId18"/>
      <w:footerReference w:type="default" r:id="rId1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E00FD" w14:textId="77777777" w:rsidR="007F1850" w:rsidRDefault="007F1850" w:rsidP="00083758">
      <w:pPr>
        <w:spacing w:after="0" w:line="240" w:lineRule="auto"/>
      </w:pPr>
      <w:r>
        <w:separator/>
      </w:r>
    </w:p>
  </w:endnote>
  <w:endnote w:type="continuationSeparator" w:id="0">
    <w:p w14:paraId="41A5E381" w14:textId="77777777" w:rsidR="007F1850" w:rsidRDefault="007F1850" w:rsidP="00083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562675"/>
      <w:docPartObj>
        <w:docPartGallery w:val="Page Numbers (Bottom of Page)"/>
        <w:docPartUnique/>
      </w:docPartObj>
    </w:sdtPr>
    <w:sdtEndPr/>
    <w:sdtContent>
      <w:sdt>
        <w:sdtPr>
          <w:id w:val="-1769616900"/>
          <w:docPartObj>
            <w:docPartGallery w:val="Page Numbers (Top of Page)"/>
            <w:docPartUnique/>
          </w:docPartObj>
        </w:sdtPr>
        <w:sdtEndPr/>
        <w:sdtContent>
          <w:p w14:paraId="6392AA9B" w14:textId="77777777" w:rsidR="00083758" w:rsidRDefault="00083758">
            <w:pPr>
              <w:pStyle w:val="Footer"/>
              <w:jc w:val="right"/>
            </w:pPr>
            <w:r>
              <w:t xml:space="preserve">Page </w:t>
            </w:r>
            <w:r w:rsidR="00DE0AC6">
              <w:rPr>
                <w:b/>
                <w:bCs/>
                <w:szCs w:val="24"/>
              </w:rPr>
              <w:fldChar w:fldCharType="begin"/>
            </w:r>
            <w:r>
              <w:rPr>
                <w:b/>
                <w:bCs/>
              </w:rPr>
              <w:instrText xml:space="preserve"> PAGE </w:instrText>
            </w:r>
            <w:r w:rsidR="00DE0AC6">
              <w:rPr>
                <w:b/>
                <w:bCs/>
                <w:szCs w:val="24"/>
              </w:rPr>
              <w:fldChar w:fldCharType="separate"/>
            </w:r>
            <w:r w:rsidR="00B4657B">
              <w:rPr>
                <w:b/>
                <w:bCs/>
                <w:noProof/>
              </w:rPr>
              <w:t>2</w:t>
            </w:r>
            <w:r w:rsidR="00DE0AC6">
              <w:rPr>
                <w:b/>
                <w:bCs/>
                <w:szCs w:val="24"/>
              </w:rPr>
              <w:fldChar w:fldCharType="end"/>
            </w:r>
            <w:r>
              <w:t xml:space="preserve"> of </w:t>
            </w:r>
            <w:r w:rsidR="00DE0AC6">
              <w:rPr>
                <w:b/>
                <w:bCs/>
                <w:szCs w:val="24"/>
              </w:rPr>
              <w:fldChar w:fldCharType="begin"/>
            </w:r>
            <w:r>
              <w:rPr>
                <w:b/>
                <w:bCs/>
              </w:rPr>
              <w:instrText xml:space="preserve"> NUMPAGES  </w:instrText>
            </w:r>
            <w:r w:rsidR="00DE0AC6">
              <w:rPr>
                <w:b/>
                <w:bCs/>
                <w:szCs w:val="24"/>
              </w:rPr>
              <w:fldChar w:fldCharType="separate"/>
            </w:r>
            <w:r w:rsidR="00B4657B">
              <w:rPr>
                <w:b/>
                <w:bCs/>
                <w:noProof/>
              </w:rPr>
              <w:t>26</w:t>
            </w:r>
            <w:r w:rsidR="00DE0AC6">
              <w:rPr>
                <w:b/>
                <w:bCs/>
                <w:szCs w:val="24"/>
              </w:rPr>
              <w:fldChar w:fldCharType="end"/>
            </w:r>
          </w:p>
        </w:sdtContent>
      </w:sdt>
    </w:sdtContent>
  </w:sdt>
  <w:p w14:paraId="0CA7F0AD" w14:textId="77777777" w:rsidR="00083758" w:rsidRDefault="00083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C3F25" w14:textId="77777777" w:rsidR="007F1850" w:rsidRDefault="007F1850" w:rsidP="00083758">
      <w:pPr>
        <w:spacing w:after="0" w:line="240" w:lineRule="auto"/>
      </w:pPr>
      <w:r>
        <w:separator/>
      </w:r>
    </w:p>
  </w:footnote>
  <w:footnote w:type="continuationSeparator" w:id="0">
    <w:p w14:paraId="0DAC436D" w14:textId="77777777" w:rsidR="007F1850" w:rsidRDefault="007F1850" w:rsidP="00083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B57A" w14:textId="77777777" w:rsidR="00083758" w:rsidRPr="00083758" w:rsidRDefault="00083758" w:rsidP="00083758">
    <w:pPr>
      <w:pStyle w:val="Header"/>
      <w:jc w:val="right"/>
      <w:rPr>
        <w:lang w:val="en-US"/>
      </w:rPr>
    </w:pPr>
    <w:r>
      <w:rPr>
        <w:lang w:val="en-US"/>
      </w:rPr>
      <w:t>Financial Crisis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470AC"/>
    <w:multiLevelType w:val="hybridMultilevel"/>
    <w:tmpl w:val="2F6E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B43AC"/>
    <w:multiLevelType w:val="hybridMultilevel"/>
    <w:tmpl w:val="CE1ED48C"/>
    <w:lvl w:ilvl="0" w:tplc="08090001">
      <w:start w:val="1"/>
      <w:numFmt w:val="bullet"/>
      <w:lvlText w:val=""/>
      <w:lvlJc w:val="left"/>
      <w:pPr>
        <w:keepNext/>
        <w:keepLines/>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21015"/>
    <w:multiLevelType w:val="multilevel"/>
    <w:tmpl w:val="4560C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3A5D95"/>
    <w:multiLevelType w:val="hybridMultilevel"/>
    <w:tmpl w:val="DD9C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D1"/>
    <w:rsid w:val="00004223"/>
    <w:rsid w:val="00034FC9"/>
    <w:rsid w:val="00055F60"/>
    <w:rsid w:val="000577F5"/>
    <w:rsid w:val="00060368"/>
    <w:rsid w:val="000823D5"/>
    <w:rsid w:val="00083758"/>
    <w:rsid w:val="000B650F"/>
    <w:rsid w:val="000C24E5"/>
    <w:rsid w:val="000E6D3B"/>
    <w:rsid w:val="0011399F"/>
    <w:rsid w:val="00121CAA"/>
    <w:rsid w:val="001268E2"/>
    <w:rsid w:val="001271C5"/>
    <w:rsid w:val="00130045"/>
    <w:rsid w:val="00142C75"/>
    <w:rsid w:val="0014595F"/>
    <w:rsid w:val="00153DCE"/>
    <w:rsid w:val="00161C79"/>
    <w:rsid w:val="0019013D"/>
    <w:rsid w:val="00197746"/>
    <w:rsid w:val="001A75E0"/>
    <w:rsid w:val="001B26CC"/>
    <w:rsid w:val="001B774D"/>
    <w:rsid w:val="001C6E89"/>
    <w:rsid w:val="001D07C5"/>
    <w:rsid w:val="0021251D"/>
    <w:rsid w:val="00220F63"/>
    <w:rsid w:val="0022468A"/>
    <w:rsid w:val="00224E7E"/>
    <w:rsid w:val="002837EA"/>
    <w:rsid w:val="002C52E4"/>
    <w:rsid w:val="002C54D0"/>
    <w:rsid w:val="002D4D06"/>
    <w:rsid w:val="002F58D1"/>
    <w:rsid w:val="00322DDB"/>
    <w:rsid w:val="0032538E"/>
    <w:rsid w:val="00334DBF"/>
    <w:rsid w:val="00376C1B"/>
    <w:rsid w:val="003775CF"/>
    <w:rsid w:val="003952B3"/>
    <w:rsid w:val="0039780A"/>
    <w:rsid w:val="003B2C94"/>
    <w:rsid w:val="003C786D"/>
    <w:rsid w:val="003D3030"/>
    <w:rsid w:val="003D7AB2"/>
    <w:rsid w:val="004107B8"/>
    <w:rsid w:val="00427D93"/>
    <w:rsid w:val="00436B26"/>
    <w:rsid w:val="004574F8"/>
    <w:rsid w:val="00467A56"/>
    <w:rsid w:val="00472788"/>
    <w:rsid w:val="004727E4"/>
    <w:rsid w:val="00473C7A"/>
    <w:rsid w:val="0048091B"/>
    <w:rsid w:val="00497537"/>
    <w:rsid w:val="004B604F"/>
    <w:rsid w:val="004C25E0"/>
    <w:rsid w:val="004E2799"/>
    <w:rsid w:val="004E3055"/>
    <w:rsid w:val="004F27D9"/>
    <w:rsid w:val="005002EA"/>
    <w:rsid w:val="005153CD"/>
    <w:rsid w:val="00545B6E"/>
    <w:rsid w:val="00554251"/>
    <w:rsid w:val="00554C78"/>
    <w:rsid w:val="0056430A"/>
    <w:rsid w:val="00574BC4"/>
    <w:rsid w:val="00587FA7"/>
    <w:rsid w:val="00596E64"/>
    <w:rsid w:val="005979F4"/>
    <w:rsid w:val="005A07F6"/>
    <w:rsid w:val="005B1E2B"/>
    <w:rsid w:val="005B6AC1"/>
    <w:rsid w:val="005B71D5"/>
    <w:rsid w:val="005C4750"/>
    <w:rsid w:val="005D55D1"/>
    <w:rsid w:val="006160C6"/>
    <w:rsid w:val="00650B71"/>
    <w:rsid w:val="00664D37"/>
    <w:rsid w:val="00676EEA"/>
    <w:rsid w:val="006A11D6"/>
    <w:rsid w:val="006A5460"/>
    <w:rsid w:val="006D55BB"/>
    <w:rsid w:val="006E7B06"/>
    <w:rsid w:val="00705475"/>
    <w:rsid w:val="00707418"/>
    <w:rsid w:val="00712779"/>
    <w:rsid w:val="007127DF"/>
    <w:rsid w:val="00724FAB"/>
    <w:rsid w:val="00734207"/>
    <w:rsid w:val="007504CD"/>
    <w:rsid w:val="00762D53"/>
    <w:rsid w:val="007B2262"/>
    <w:rsid w:val="007E6D3F"/>
    <w:rsid w:val="007F1850"/>
    <w:rsid w:val="007F774F"/>
    <w:rsid w:val="00800073"/>
    <w:rsid w:val="00806812"/>
    <w:rsid w:val="008156B6"/>
    <w:rsid w:val="00823B56"/>
    <w:rsid w:val="00836F60"/>
    <w:rsid w:val="00866DCE"/>
    <w:rsid w:val="00876B45"/>
    <w:rsid w:val="00882150"/>
    <w:rsid w:val="00891751"/>
    <w:rsid w:val="00897F32"/>
    <w:rsid w:val="008B251E"/>
    <w:rsid w:val="008D196B"/>
    <w:rsid w:val="008F5F43"/>
    <w:rsid w:val="009011A1"/>
    <w:rsid w:val="00901EFE"/>
    <w:rsid w:val="00923C46"/>
    <w:rsid w:val="00927D39"/>
    <w:rsid w:val="00934146"/>
    <w:rsid w:val="009571DE"/>
    <w:rsid w:val="009627C8"/>
    <w:rsid w:val="00964EA7"/>
    <w:rsid w:val="00966FB7"/>
    <w:rsid w:val="00970446"/>
    <w:rsid w:val="009752D8"/>
    <w:rsid w:val="009766B4"/>
    <w:rsid w:val="00980DBB"/>
    <w:rsid w:val="00983EC4"/>
    <w:rsid w:val="00983F89"/>
    <w:rsid w:val="009B70C6"/>
    <w:rsid w:val="009D39D7"/>
    <w:rsid w:val="009E4494"/>
    <w:rsid w:val="00A07B0A"/>
    <w:rsid w:val="00A11275"/>
    <w:rsid w:val="00A1464E"/>
    <w:rsid w:val="00A27239"/>
    <w:rsid w:val="00A27E04"/>
    <w:rsid w:val="00A30A1B"/>
    <w:rsid w:val="00A32717"/>
    <w:rsid w:val="00A34427"/>
    <w:rsid w:val="00A53FC6"/>
    <w:rsid w:val="00AB6220"/>
    <w:rsid w:val="00AC7955"/>
    <w:rsid w:val="00AD39BE"/>
    <w:rsid w:val="00AF2730"/>
    <w:rsid w:val="00B108C4"/>
    <w:rsid w:val="00B2364C"/>
    <w:rsid w:val="00B4657B"/>
    <w:rsid w:val="00B502CE"/>
    <w:rsid w:val="00B5273B"/>
    <w:rsid w:val="00B66A3D"/>
    <w:rsid w:val="00B76F09"/>
    <w:rsid w:val="00B96175"/>
    <w:rsid w:val="00B97C57"/>
    <w:rsid w:val="00BA1B17"/>
    <w:rsid w:val="00BA2700"/>
    <w:rsid w:val="00BB0263"/>
    <w:rsid w:val="00BB13F0"/>
    <w:rsid w:val="00BB5303"/>
    <w:rsid w:val="00BC0DF7"/>
    <w:rsid w:val="00BC522A"/>
    <w:rsid w:val="00BD71FE"/>
    <w:rsid w:val="00BE7D72"/>
    <w:rsid w:val="00BF03A9"/>
    <w:rsid w:val="00BF250C"/>
    <w:rsid w:val="00BF4780"/>
    <w:rsid w:val="00C05F4A"/>
    <w:rsid w:val="00C162A0"/>
    <w:rsid w:val="00C26313"/>
    <w:rsid w:val="00C41D37"/>
    <w:rsid w:val="00C423D9"/>
    <w:rsid w:val="00C531F3"/>
    <w:rsid w:val="00C5322E"/>
    <w:rsid w:val="00C63BBF"/>
    <w:rsid w:val="00C747E2"/>
    <w:rsid w:val="00CA4BA5"/>
    <w:rsid w:val="00CB6ECB"/>
    <w:rsid w:val="00CC058D"/>
    <w:rsid w:val="00CC1A0B"/>
    <w:rsid w:val="00CD7C24"/>
    <w:rsid w:val="00CF12BF"/>
    <w:rsid w:val="00CF4A92"/>
    <w:rsid w:val="00CF7FEC"/>
    <w:rsid w:val="00D20D51"/>
    <w:rsid w:val="00D358F0"/>
    <w:rsid w:val="00D43FE3"/>
    <w:rsid w:val="00D454A7"/>
    <w:rsid w:val="00D54123"/>
    <w:rsid w:val="00D8738A"/>
    <w:rsid w:val="00D91615"/>
    <w:rsid w:val="00DB468A"/>
    <w:rsid w:val="00DE0AC6"/>
    <w:rsid w:val="00DE57FD"/>
    <w:rsid w:val="00E00FBC"/>
    <w:rsid w:val="00E010F8"/>
    <w:rsid w:val="00E104F6"/>
    <w:rsid w:val="00E137F3"/>
    <w:rsid w:val="00E16918"/>
    <w:rsid w:val="00E221D5"/>
    <w:rsid w:val="00E54202"/>
    <w:rsid w:val="00E640CA"/>
    <w:rsid w:val="00E92F45"/>
    <w:rsid w:val="00EB6CF6"/>
    <w:rsid w:val="00EB6EE1"/>
    <w:rsid w:val="00EE5981"/>
    <w:rsid w:val="00EF7D1D"/>
    <w:rsid w:val="00F126CC"/>
    <w:rsid w:val="00F35A91"/>
    <w:rsid w:val="00F41775"/>
    <w:rsid w:val="00F420BA"/>
    <w:rsid w:val="00F47056"/>
    <w:rsid w:val="00F5719B"/>
    <w:rsid w:val="00F65077"/>
    <w:rsid w:val="00F70A1A"/>
    <w:rsid w:val="00F7799C"/>
    <w:rsid w:val="00F833F1"/>
    <w:rsid w:val="00F87BA1"/>
    <w:rsid w:val="00F92267"/>
    <w:rsid w:val="00F97D7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D3E59"/>
  <w15:docId w15:val="{7C012A58-EB43-4A1C-B3D1-279A0A471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78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D07C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D71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58F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7C5"/>
    <w:rPr>
      <w:rFonts w:ascii="Times New Roman" w:eastAsiaTheme="majorEastAsia" w:hAnsi="Times New Roman" w:cstheme="majorBidi"/>
      <w:b/>
      <w:sz w:val="28"/>
      <w:szCs w:val="32"/>
      <w:lang w:val="en-GB"/>
    </w:rPr>
  </w:style>
  <w:style w:type="paragraph" w:customStyle="1" w:styleId="Normal1">
    <w:name w:val="Normal1"/>
    <w:rsid w:val="00083758"/>
    <w:pPr>
      <w:spacing w:after="0" w:line="276" w:lineRule="auto"/>
    </w:pPr>
    <w:rPr>
      <w:rFonts w:ascii="Arial" w:eastAsia="Arial" w:hAnsi="Arial" w:cs="Arial"/>
    </w:rPr>
  </w:style>
  <w:style w:type="paragraph" w:styleId="NormalWeb">
    <w:name w:val="Normal (Web)"/>
    <w:basedOn w:val="Normal"/>
    <w:uiPriority w:val="99"/>
    <w:unhideWhenUsed/>
    <w:rsid w:val="00083758"/>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0837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758"/>
    <w:rPr>
      <w:rFonts w:ascii="Times New Roman" w:hAnsi="Times New Roman"/>
      <w:sz w:val="24"/>
      <w:lang w:val="en-GB"/>
    </w:rPr>
  </w:style>
  <w:style w:type="paragraph" w:styleId="Footer">
    <w:name w:val="footer"/>
    <w:basedOn w:val="Normal"/>
    <w:link w:val="FooterChar"/>
    <w:uiPriority w:val="99"/>
    <w:unhideWhenUsed/>
    <w:rsid w:val="000837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758"/>
    <w:rPr>
      <w:rFonts w:ascii="Times New Roman" w:hAnsi="Times New Roman"/>
      <w:sz w:val="24"/>
      <w:lang w:val="en-GB"/>
    </w:rPr>
  </w:style>
  <w:style w:type="character" w:customStyle="1" w:styleId="Heading2Char">
    <w:name w:val="Heading 2 Char"/>
    <w:basedOn w:val="DefaultParagraphFont"/>
    <w:link w:val="Heading2"/>
    <w:uiPriority w:val="9"/>
    <w:rsid w:val="00BD71FE"/>
    <w:rPr>
      <w:rFonts w:asciiTheme="majorHAnsi" w:eastAsiaTheme="majorEastAsia" w:hAnsiTheme="majorHAnsi" w:cstheme="majorBidi"/>
      <w:color w:val="2F5496" w:themeColor="accent1" w:themeShade="BF"/>
      <w:sz w:val="26"/>
      <w:szCs w:val="26"/>
      <w:lang w:val="en-GB"/>
    </w:rPr>
  </w:style>
  <w:style w:type="table" w:customStyle="1" w:styleId="GridTable41">
    <w:name w:val="Grid Table 41"/>
    <w:basedOn w:val="TableNormal"/>
    <w:uiPriority w:val="49"/>
    <w:rsid w:val="00BD71F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901E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EFE"/>
    <w:rPr>
      <w:rFonts w:ascii="Tahoma" w:hAnsi="Tahoma" w:cs="Tahoma"/>
      <w:sz w:val="16"/>
      <w:szCs w:val="16"/>
      <w:lang w:val="en-GB"/>
    </w:rPr>
  </w:style>
  <w:style w:type="paragraph" w:styleId="Bibliography">
    <w:name w:val="Bibliography"/>
    <w:basedOn w:val="Normal"/>
    <w:next w:val="Normal"/>
    <w:uiPriority w:val="37"/>
    <w:unhideWhenUsed/>
    <w:rsid w:val="000577F5"/>
  </w:style>
  <w:style w:type="character" w:styleId="Hyperlink">
    <w:name w:val="Hyperlink"/>
    <w:basedOn w:val="DefaultParagraphFont"/>
    <w:uiPriority w:val="99"/>
    <w:unhideWhenUsed/>
    <w:rsid w:val="000577F5"/>
    <w:rPr>
      <w:color w:val="0000FF"/>
      <w:u w:val="single"/>
    </w:rPr>
  </w:style>
  <w:style w:type="paragraph" w:styleId="TOCHeading">
    <w:name w:val="TOC Heading"/>
    <w:basedOn w:val="Heading1"/>
    <w:next w:val="Normal"/>
    <w:uiPriority w:val="39"/>
    <w:semiHidden/>
    <w:unhideWhenUsed/>
    <w:qFormat/>
    <w:rsid w:val="00B4657B"/>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B4657B"/>
    <w:pPr>
      <w:spacing w:after="100"/>
    </w:pPr>
  </w:style>
  <w:style w:type="paragraph" w:styleId="Subtitle">
    <w:name w:val="Subtitle"/>
    <w:basedOn w:val="Normal"/>
    <w:next w:val="Normal"/>
    <w:link w:val="SubtitleChar"/>
    <w:uiPriority w:val="11"/>
    <w:qFormat/>
    <w:rsid w:val="007B2262"/>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7B2262"/>
    <w:rPr>
      <w:rFonts w:eastAsiaTheme="minorEastAsia"/>
      <w:color w:val="5A5A5A" w:themeColor="text1" w:themeTint="A5"/>
      <w:spacing w:val="15"/>
      <w:lang w:val="en-GB"/>
    </w:rPr>
  </w:style>
  <w:style w:type="paragraph" w:styleId="ListParagraph">
    <w:name w:val="List Paragraph"/>
    <w:basedOn w:val="Normal"/>
    <w:uiPriority w:val="34"/>
    <w:qFormat/>
    <w:rsid w:val="00D91615"/>
    <w:pPr>
      <w:ind w:left="720"/>
      <w:contextualSpacing/>
    </w:pPr>
  </w:style>
  <w:style w:type="character" w:customStyle="1" w:styleId="Heading3Char">
    <w:name w:val="Heading 3 Char"/>
    <w:basedOn w:val="DefaultParagraphFont"/>
    <w:link w:val="Heading3"/>
    <w:uiPriority w:val="9"/>
    <w:rsid w:val="00D358F0"/>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50802">
      <w:bodyDiv w:val="1"/>
      <w:marLeft w:val="0"/>
      <w:marRight w:val="0"/>
      <w:marTop w:val="0"/>
      <w:marBottom w:val="0"/>
      <w:divBdr>
        <w:top w:val="none" w:sz="0" w:space="0" w:color="auto"/>
        <w:left w:val="none" w:sz="0" w:space="0" w:color="auto"/>
        <w:bottom w:val="none" w:sz="0" w:space="0" w:color="auto"/>
        <w:right w:val="none" w:sz="0" w:space="0" w:color="auto"/>
      </w:divBdr>
    </w:div>
    <w:div w:id="67770739">
      <w:bodyDiv w:val="1"/>
      <w:marLeft w:val="0"/>
      <w:marRight w:val="0"/>
      <w:marTop w:val="0"/>
      <w:marBottom w:val="0"/>
      <w:divBdr>
        <w:top w:val="none" w:sz="0" w:space="0" w:color="auto"/>
        <w:left w:val="none" w:sz="0" w:space="0" w:color="auto"/>
        <w:bottom w:val="none" w:sz="0" w:space="0" w:color="auto"/>
        <w:right w:val="none" w:sz="0" w:space="0" w:color="auto"/>
      </w:divBdr>
    </w:div>
    <w:div w:id="198012675">
      <w:bodyDiv w:val="1"/>
      <w:marLeft w:val="0"/>
      <w:marRight w:val="0"/>
      <w:marTop w:val="0"/>
      <w:marBottom w:val="0"/>
      <w:divBdr>
        <w:top w:val="none" w:sz="0" w:space="0" w:color="auto"/>
        <w:left w:val="none" w:sz="0" w:space="0" w:color="auto"/>
        <w:bottom w:val="none" w:sz="0" w:space="0" w:color="auto"/>
        <w:right w:val="none" w:sz="0" w:space="0" w:color="auto"/>
      </w:divBdr>
    </w:div>
    <w:div w:id="208536534">
      <w:bodyDiv w:val="1"/>
      <w:marLeft w:val="0"/>
      <w:marRight w:val="0"/>
      <w:marTop w:val="0"/>
      <w:marBottom w:val="0"/>
      <w:divBdr>
        <w:top w:val="none" w:sz="0" w:space="0" w:color="auto"/>
        <w:left w:val="none" w:sz="0" w:space="0" w:color="auto"/>
        <w:bottom w:val="none" w:sz="0" w:space="0" w:color="auto"/>
        <w:right w:val="none" w:sz="0" w:space="0" w:color="auto"/>
      </w:divBdr>
    </w:div>
    <w:div w:id="318273674">
      <w:bodyDiv w:val="1"/>
      <w:marLeft w:val="0"/>
      <w:marRight w:val="0"/>
      <w:marTop w:val="0"/>
      <w:marBottom w:val="0"/>
      <w:divBdr>
        <w:top w:val="none" w:sz="0" w:space="0" w:color="auto"/>
        <w:left w:val="none" w:sz="0" w:space="0" w:color="auto"/>
        <w:bottom w:val="none" w:sz="0" w:space="0" w:color="auto"/>
        <w:right w:val="none" w:sz="0" w:space="0" w:color="auto"/>
      </w:divBdr>
    </w:div>
    <w:div w:id="319121109">
      <w:bodyDiv w:val="1"/>
      <w:marLeft w:val="0"/>
      <w:marRight w:val="0"/>
      <w:marTop w:val="0"/>
      <w:marBottom w:val="0"/>
      <w:divBdr>
        <w:top w:val="none" w:sz="0" w:space="0" w:color="auto"/>
        <w:left w:val="none" w:sz="0" w:space="0" w:color="auto"/>
        <w:bottom w:val="none" w:sz="0" w:space="0" w:color="auto"/>
        <w:right w:val="none" w:sz="0" w:space="0" w:color="auto"/>
      </w:divBdr>
    </w:div>
    <w:div w:id="593974874">
      <w:bodyDiv w:val="1"/>
      <w:marLeft w:val="0"/>
      <w:marRight w:val="0"/>
      <w:marTop w:val="0"/>
      <w:marBottom w:val="0"/>
      <w:divBdr>
        <w:top w:val="none" w:sz="0" w:space="0" w:color="auto"/>
        <w:left w:val="none" w:sz="0" w:space="0" w:color="auto"/>
        <w:bottom w:val="none" w:sz="0" w:space="0" w:color="auto"/>
        <w:right w:val="none" w:sz="0" w:space="0" w:color="auto"/>
      </w:divBdr>
    </w:div>
    <w:div w:id="674848711">
      <w:bodyDiv w:val="1"/>
      <w:marLeft w:val="0"/>
      <w:marRight w:val="0"/>
      <w:marTop w:val="0"/>
      <w:marBottom w:val="0"/>
      <w:divBdr>
        <w:top w:val="none" w:sz="0" w:space="0" w:color="auto"/>
        <w:left w:val="none" w:sz="0" w:space="0" w:color="auto"/>
        <w:bottom w:val="none" w:sz="0" w:space="0" w:color="auto"/>
        <w:right w:val="none" w:sz="0" w:space="0" w:color="auto"/>
      </w:divBdr>
    </w:div>
    <w:div w:id="858741978">
      <w:bodyDiv w:val="1"/>
      <w:marLeft w:val="0"/>
      <w:marRight w:val="0"/>
      <w:marTop w:val="0"/>
      <w:marBottom w:val="0"/>
      <w:divBdr>
        <w:top w:val="none" w:sz="0" w:space="0" w:color="auto"/>
        <w:left w:val="none" w:sz="0" w:space="0" w:color="auto"/>
        <w:bottom w:val="none" w:sz="0" w:space="0" w:color="auto"/>
        <w:right w:val="none" w:sz="0" w:space="0" w:color="auto"/>
      </w:divBdr>
    </w:div>
    <w:div w:id="1173295885">
      <w:bodyDiv w:val="1"/>
      <w:marLeft w:val="0"/>
      <w:marRight w:val="0"/>
      <w:marTop w:val="0"/>
      <w:marBottom w:val="0"/>
      <w:divBdr>
        <w:top w:val="none" w:sz="0" w:space="0" w:color="auto"/>
        <w:left w:val="none" w:sz="0" w:space="0" w:color="auto"/>
        <w:bottom w:val="none" w:sz="0" w:space="0" w:color="auto"/>
        <w:right w:val="none" w:sz="0" w:space="0" w:color="auto"/>
      </w:divBdr>
    </w:div>
    <w:div w:id="1267926547">
      <w:bodyDiv w:val="1"/>
      <w:marLeft w:val="0"/>
      <w:marRight w:val="0"/>
      <w:marTop w:val="0"/>
      <w:marBottom w:val="0"/>
      <w:divBdr>
        <w:top w:val="none" w:sz="0" w:space="0" w:color="auto"/>
        <w:left w:val="none" w:sz="0" w:space="0" w:color="auto"/>
        <w:bottom w:val="none" w:sz="0" w:space="0" w:color="auto"/>
        <w:right w:val="none" w:sz="0" w:space="0" w:color="auto"/>
      </w:divBdr>
    </w:div>
    <w:div w:id="1337685865">
      <w:bodyDiv w:val="1"/>
      <w:marLeft w:val="0"/>
      <w:marRight w:val="0"/>
      <w:marTop w:val="0"/>
      <w:marBottom w:val="0"/>
      <w:divBdr>
        <w:top w:val="none" w:sz="0" w:space="0" w:color="auto"/>
        <w:left w:val="none" w:sz="0" w:space="0" w:color="auto"/>
        <w:bottom w:val="none" w:sz="0" w:space="0" w:color="auto"/>
        <w:right w:val="none" w:sz="0" w:space="0" w:color="auto"/>
      </w:divBdr>
    </w:div>
    <w:div w:id="1572234033">
      <w:bodyDiv w:val="1"/>
      <w:marLeft w:val="0"/>
      <w:marRight w:val="0"/>
      <w:marTop w:val="0"/>
      <w:marBottom w:val="0"/>
      <w:divBdr>
        <w:top w:val="none" w:sz="0" w:space="0" w:color="auto"/>
        <w:left w:val="none" w:sz="0" w:space="0" w:color="auto"/>
        <w:bottom w:val="none" w:sz="0" w:space="0" w:color="auto"/>
        <w:right w:val="none" w:sz="0" w:space="0" w:color="auto"/>
      </w:divBdr>
    </w:div>
    <w:div w:id="1657225131">
      <w:bodyDiv w:val="1"/>
      <w:marLeft w:val="0"/>
      <w:marRight w:val="0"/>
      <w:marTop w:val="0"/>
      <w:marBottom w:val="0"/>
      <w:divBdr>
        <w:top w:val="none" w:sz="0" w:space="0" w:color="auto"/>
        <w:left w:val="none" w:sz="0" w:space="0" w:color="auto"/>
        <w:bottom w:val="none" w:sz="0" w:space="0" w:color="auto"/>
        <w:right w:val="none" w:sz="0" w:space="0" w:color="auto"/>
      </w:divBdr>
    </w:div>
    <w:div w:id="182886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ederalreserve.gov/boarddocs/rptcongress/annual08/sec2/c5.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grove.olemiss.edu/cgi/viewcontent.cgi?article=1066&amp;context=hon_thesis" TargetMode="External"/><Relationship Id="rId17" Type="http://schemas.openxmlformats.org/officeDocument/2006/relationships/hyperlink" Target="https://vizologi.com/business-strategy-canvas/hsbc-holdings-business-model-canvas/" TargetMode="External"/><Relationship Id="rId2" Type="http://schemas.openxmlformats.org/officeDocument/2006/relationships/numbering" Target="numbering.xml"/><Relationship Id="rId16" Type="http://schemas.openxmlformats.org/officeDocument/2006/relationships/hyperlink" Target="https://www.novoco.com/periodicals/articles/decade-later-impact-hera-still-felt-affordable-hous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s.org/publ/cgfs60.pdf" TargetMode="External"/><Relationship Id="rId5" Type="http://schemas.openxmlformats.org/officeDocument/2006/relationships/webSettings" Target="webSettings.xml"/><Relationship Id="rId15" Type="http://schemas.openxmlformats.org/officeDocument/2006/relationships/hyperlink" Target="https://www.forbes.com/advisor/investing/dodd-frank-act/"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bout.hsbc.co.in/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fed21</b:Tag>
    <b:SourceType>InternetSite</b:SourceType>
    <b:Guid>{F3C2A014-8F09-486C-8E52-38269C280BC0}</b:Guid>
    <b:Author>
      <b:Author>
        <b:NameList>
          <b:Person>
            <b:Last>federalreserve</b:Last>
          </b:Person>
        </b:NameList>
      </b:Author>
    </b:Author>
    <b:Title>The Federal Reserve Board </b:Title>
    <b:Year>2021</b:Year>
    <b:URL>https://www.federalreserve.gov/boarddocs/rptcongress/annual08/sec2/c5.htm</b:URL>
    <b:RefOrder>3</b:RefOrder>
  </b:Source>
  <b:Source>
    <b:Tag>Bra18</b:Tag>
    <b:SourceType>InternetSite</b:SourceType>
    <b:Guid>{4158E896-A61C-4F81-A1CE-9D596733E311}</b:Guid>
    <b:Author>
      <b:Author>
        <b:NameList>
          <b:Person>
            <b:Last>Stanhope</b:Last>
            <b:First>Brad</b:First>
          </b:Person>
        </b:NameList>
      </b:Author>
    </b:Author>
    <b:Title>A Decade Later, Impact of HERA Still Felt in Affordable Housing</b:Title>
    <b:Year>2018</b:Year>
    <b:URL>https://www.novoco.com/periodicals/articles/decade-later-impact-hera-still-felt-affordable-housing</b:URL>
    <b:RefOrder>2</b:RefOrder>
  </b:Source>
  <b:Source>
    <b:Tag>hsb21</b:Tag>
    <b:SourceType>InternetSite</b:SourceType>
    <b:Guid>{86FA02CC-E96A-485B-A631-826F8B9AF711}</b:Guid>
    <b:Author>
      <b:Author>
        <b:Corporate>hsbc</b:Corporate>
      </b:Author>
    </b:Author>
    <b:Title>About HSBC</b:Title>
    <b:Year>2021</b:Year>
    <b:URL>https://www.about.hsbc.co.in/en</b:URL>
    <b:RefOrder>1</b:RefOrder>
  </b:Source>
  <b:Source>
    <b:Tag>viz21</b:Tag>
    <b:SourceType>InternetSite</b:SourceType>
    <b:Guid>{8017B749-782E-4604-AE76-3A4E0B7D55A8}</b:Guid>
    <b:Author>
      <b:Author>
        <b:Corporate>vizologi</b:Corporate>
      </b:Author>
    </b:Author>
    <b:Title>HSBC Holdings’s Business Strategy Case Study</b:Title>
    <b:Year>2021</b:Year>
    <b:URL>https://vizologi.com/business-strategy-canvas/hsbc-holdings-business-model-canvas/</b:URL>
    <b:RefOrder>4</b:RefOrder>
  </b:Source>
  <b:Source>
    <b:Tag>Kel21</b:Tag>
    <b:SourceType>InternetSite</b:SourceType>
    <b:Guid>{679C3530-5A10-46ED-852D-39904C16162D}</b:Guid>
    <b:Author>
      <b:Author>
        <b:NameList>
          <b:Person>
            <b:Last>Smith</b:Last>
            <b:First>Kelly</b:First>
            <b:Middle>Anne</b:Middle>
          </b:Person>
        </b:NameList>
      </b:Author>
    </b:Author>
    <b:Title>How The Dodd-Frank Act Protects Your Money</b:Title>
    <b:Year>2021</b:Year>
    <b:URL>https://www.forbes.com/advisor/investing/dodd-frank-act/</b:URL>
    <b:RefOrder>5</b:RefOrder>
  </b:Source>
  <b:Source>
    <b:Tag>egr17</b:Tag>
    <b:SourceType>InternetSite</b:SourceType>
    <b:Guid>{9110BD8B-7BC3-485F-98F5-EE58373C2796}</b:Guid>
    <b:Author>
      <b:Author>
        <b:Corporate>egrove</b:Corporate>
      </b:Author>
    </b:Author>
    <b:Title>The Dodd-Frank Act's Impact on Systemically</b:Title>
    <b:Year>2017</b:Year>
    <b:URL>https://egrove.olemiss.edu/cgi/viewcontent.cgi?article=1066&amp;context=hon_thesis</b:URL>
    <b:RefOrder>6</b:RefOrder>
  </b:Source>
  <b:Source>
    <b:Tag>bis21</b:Tag>
    <b:SourceType>InternetSite</b:SourceType>
    <b:Guid>{F7F3FE4B-BB34-4AE7-8A06-596BB77B5493}</b:Guid>
    <b:Author>
      <b:Author>
        <b:Corporate>bis</b:Corporate>
      </b:Author>
    </b:Author>
    <b:Title>Committee on the Global</b:Title>
    <b:Year>2021</b:Year>
    <b:URL>https://www.bis.org/publ/cgfs60.pdf</b:URL>
    <b:RefOrder>7</b:RefOrder>
  </b:Source>
</b:Sources>
</file>

<file path=customXml/itemProps1.xml><?xml version="1.0" encoding="utf-8"?>
<ds:datastoreItem xmlns:ds="http://schemas.openxmlformats.org/officeDocument/2006/customXml" ds:itemID="{D25BB9FC-4E1C-4B41-BAF8-E4281FD28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6165</TotalTime>
  <Pages>21</Pages>
  <Words>7703</Words>
  <Characters>43910</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Alina Dinca</cp:lastModifiedBy>
  <cp:revision>160</cp:revision>
  <dcterms:created xsi:type="dcterms:W3CDTF">2021-12-15T05:30:00Z</dcterms:created>
  <dcterms:modified xsi:type="dcterms:W3CDTF">2022-01-08T08:14:00Z</dcterms:modified>
</cp:coreProperties>
</file>