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0965E" w14:textId="0499EEFC" w:rsidR="00BD2F08" w:rsidRDefault="00425741" w:rsidP="00BF4892">
      <w:pPr>
        <w:spacing w:line="360" w:lineRule="auto"/>
        <w:rPr>
          <w:noProof/>
          <w:u w:val="single"/>
        </w:rPr>
      </w:pPr>
      <w:r>
        <w:rPr>
          <w:noProof/>
          <w:u w:val="single"/>
        </w:rPr>
        <w:t>Script</w:t>
      </w:r>
    </w:p>
    <w:p w14:paraId="425B5849" w14:textId="77777777" w:rsidR="008E2CBD" w:rsidRPr="008E2CBD" w:rsidRDefault="008E2CBD" w:rsidP="008E2CBD">
      <w:pPr>
        <w:spacing w:line="360" w:lineRule="auto"/>
        <w:rPr>
          <w:noProof/>
          <w:u w:val="single"/>
        </w:rPr>
      </w:pPr>
      <w:r w:rsidRPr="008E2CBD">
        <w:rPr>
          <w:b/>
          <w:bCs/>
          <w:noProof/>
          <w:u w:val="single"/>
        </w:rPr>
        <w:t>Page 1 – Introduction</w:t>
      </w:r>
    </w:p>
    <w:p w14:paraId="4556B984" w14:textId="0857938F" w:rsidR="008E2CBD" w:rsidRPr="008E2CBD" w:rsidRDefault="00CB7D26" w:rsidP="008E2CBD">
      <w:pPr>
        <w:spacing w:line="360" w:lineRule="auto"/>
        <w:rPr>
          <w:noProof/>
        </w:rPr>
      </w:pPr>
      <w:r>
        <w:rPr>
          <w:noProof/>
        </w:rPr>
        <w:t>This</w:t>
      </w:r>
      <w:r w:rsidR="00430442">
        <w:rPr>
          <w:noProof/>
        </w:rPr>
        <w:t xml:space="preserve"> presentation</w:t>
      </w:r>
      <w:r w:rsidR="008E2CBD" w:rsidRPr="008E2CBD">
        <w:rPr>
          <w:noProof/>
        </w:rPr>
        <w:t xml:space="preserve"> will be exploring obesity, including how it is defined and measured, as well as the implications it has on health, wellbeing, and lifestyle choices. I will also discuss the differences in support available for children compared with adults who are living with obesity, and how obesity rates have changed over time. Finally, the role of the practitioner will be examined, alongside the support systems in place to help children.</w:t>
      </w:r>
    </w:p>
    <w:p w14:paraId="6C308F31" w14:textId="77777777" w:rsidR="0032575B" w:rsidRPr="0032575B" w:rsidRDefault="0032575B" w:rsidP="0032575B">
      <w:pPr>
        <w:spacing w:line="360" w:lineRule="auto"/>
        <w:rPr>
          <w:noProof/>
          <w:u w:val="single"/>
        </w:rPr>
      </w:pPr>
      <w:r w:rsidRPr="0032575B">
        <w:rPr>
          <w:b/>
          <w:bCs/>
          <w:noProof/>
          <w:u w:val="single"/>
        </w:rPr>
        <w:t>Page 2 – What is obesity? How is it measured?</w:t>
      </w:r>
    </w:p>
    <w:p w14:paraId="59BACB05" w14:textId="77777777" w:rsidR="00D73128" w:rsidRPr="00D73128" w:rsidRDefault="00D73128" w:rsidP="00D73128">
      <w:pPr>
        <w:spacing w:line="360" w:lineRule="auto"/>
        <w:rPr>
          <w:noProof/>
        </w:rPr>
      </w:pPr>
      <w:r w:rsidRPr="00D73128">
        <w:rPr>
          <w:noProof/>
        </w:rPr>
        <w:t>According to Dahlberg and Whitebread (2007), supported by NHS (2024), obesity is defined as having a Body Mass Index (BMI) of over 30. This applies to both children and adults, although it is particularly concerning when it affects children. The Welsh Government (2021) describes obesity as a complex disorder with multiple causes, drivers, barriers, and complications, which vary depending on a range of individual and environmental factors.</w:t>
      </w:r>
    </w:p>
    <w:p w14:paraId="6E0B6B16" w14:textId="77777777" w:rsidR="00D73128" w:rsidRPr="00D73128" w:rsidRDefault="00D73128" w:rsidP="00D73128">
      <w:pPr>
        <w:spacing w:line="360" w:lineRule="auto"/>
        <w:rPr>
          <w:noProof/>
        </w:rPr>
      </w:pPr>
      <w:r w:rsidRPr="00D73128">
        <w:rPr>
          <w:noProof/>
        </w:rPr>
        <w:t>Dahlberg and Whitebread also highlight that approximately 320,000 men and women across Europe die each year as a result of being overweight or obese. They note that obesity rates have nearly tripled since 1980, demonstrating how widespread and significant the issue has become in modern society</w:t>
      </w:r>
    </w:p>
    <w:p w14:paraId="39460A3F" w14:textId="77777777" w:rsidR="0032575B" w:rsidRPr="0032575B" w:rsidRDefault="0032575B" w:rsidP="0032575B">
      <w:pPr>
        <w:spacing w:line="360" w:lineRule="auto"/>
        <w:rPr>
          <w:noProof/>
          <w:u w:val="single"/>
        </w:rPr>
      </w:pPr>
      <w:r w:rsidRPr="0032575B">
        <w:rPr>
          <w:b/>
          <w:bCs/>
          <w:noProof/>
          <w:u w:val="single"/>
        </w:rPr>
        <w:t>Page 3 – How does obesity occur?</w:t>
      </w:r>
    </w:p>
    <w:p w14:paraId="4F03ED53" w14:textId="77777777" w:rsidR="0032575B" w:rsidRPr="0032575B" w:rsidRDefault="0032575B" w:rsidP="0032575B">
      <w:pPr>
        <w:spacing w:line="360" w:lineRule="auto"/>
        <w:rPr>
          <w:noProof/>
        </w:rPr>
      </w:pPr>
      <w:r w:rsidRPr="0032575B">
        <w:rPr>
          <w:noProof/>
        </w:rPr>
        <w:t>Obesity is a complex issue involving multiple contributing factors, as demonstrated by various theorists and research findings. Harvard University (2010) explains that even from conception, an adult’s lifestyle choices and wellbeing can influence a child’s likelihood of developing a weakened immune system, impairments in health, and disrupted brain development. For example, stressful environments can affect a baby’s birth weight, and lower birth weight has been linked to an increased risk of diabetes, cardiovascular disease, and obesity later in life.</w:t>
      </w:r>
    </w:p>
    <w:p w14:paraId="64B46C35" w14:textId="77777777" w:rsidR="0032575B" w:rsidRPr="0032575B" w:rsidRDefault="0032575B" w:rsidP="0032575B">
      <w:pPr>
        <w:spacing w:line="360" w:lineRule="auto"/>
        <w:rPr>
          <w:noProof/>
        </w:rPr>
      </w:pPr>
      <w:r w:rsidRPr="0032575B">
        <w:rPr>
          <w:noProof/>
        </w:rPr>
        <w:t>Referring back to Dahlberg and Whitebread (2007), they also identify more standardised causes of obesity, such as unhealthy diets high in fat, low consumption of fruit and vegetables, and a lack of physical activity. These factors contribute significantly to poor health outcomes and premature deaths across Europe.</w:t>
      </w:r>
    </w:p>
    <w:p w14:paraId="545052C4" w14:textId="77777777" w:rsidR="00091BD4" w:rsidRPr="00091BD4" w:rsidRDefault="00091BD4" w:rsidP="00091BD4">
      <w:pPr>
        <w:spacing w:line="360" w:lineRule="auto"/>
        <w:rPr>
          <w:b/>
          <w:bCs/>
          <w:noProof/>
          <w:u w:val="single"/>
        </w:rPr>
      </w:pPr>
      <w:r w:rsidRPr="00091BD4">
        <w:rPr>
          <w:b/>
          <w:bCs/>
          <w:noProof/>
          <w:u w:val="single"/>
        </w:rPr>
        <w:t>Page 4 – The rise of technology</w:t>
      </w:r>
    </w:p>
    <w:p w14:paraId="2883FA0D" w14:textId="77777777" w:rsidR="00091BD4" w:rsidRPr="00091BD4" w:rsidRDefault="00091BD4" w:rsidP="00091BD4">
      <w:pPr>
        <w:spacing w:line="360" w:lineRule="auto"/>
        <w:rPr>
          <w:noProof/>
        </w:rPr>
      </w:pPr>
      <w:r w:rsidRPr="00091BD4">
        <w:rPr>
          <w:noProof/>
        </w:rPr>
        <w:t xml:space="preserve">It is important to acknowledge how much more prominent technology has become in many individuals’ daily lives. Although technology has many benefits, it also has drawbacks, including </w:t>
      </w:r>
      <w:r w:rsidRPr="00091BD4">
        <w:rPr>
          <w:noProof/>
        </w:rPr>
        <w:lastRenderedPageBreak/>
        <w:t>its association with rising obesity rates in children. Roberts (2010) highlights growing concerns about children watching excessive amounts of television, which has been linked to long-term health issues such as obesity and increased aggression. Despite this, many parents believe that television supports children’s learning, which may unintentionally worsen developmental risks.</w:t>
      </w:r>
    </w:p>
    <w:p w14:paraId="6A1C9E2F" w14:textId="77777777" w:rsidR="00091BD4" w:rsidRDefault="00091BD4" w:rsidP="00091BD4">
      <w:pPr>
        <w:spacing w:line="360" w:lineRule="auto"/>
        <w:rPr>
          <w:noProof/>
        </w:rPr>
      </w:pPr>
      <w:r w:rsidRPr="00091BD4">
        <w:rPr>
          <w:noProof/>
        </w:rPr>
        <w:t>While reduced physical activity is one reason technology contributes to obesity, it is not the only factor. Christakis (2025) explains that the primary link between screen time and obesity is related to excessive food consumption and increased exposure to high-calorie, low-nutrient foods, which are often quick and convenient. Additionally, individuals who spend less than two hours per day on screens are less likely to experience poor or insufficient sleep, unhealthy diets, and nighttime eating compared with those who spend more than six hours per day using technology. These behaviours collectively increase the risk of obesity.</w:t>
      </w:r>
    </w:p>
    <w:p w14:paraId="59CADB22" w14:textId="77777777" w:rsidR="002A46D9" w:rsidRPr="002A46D9" w:rsidRDefault="002A46D9" w:rsidP="002A46D9">
      <w:pPr>
        <w:spacing w:line="360" w:lineRule="auto"/>
        <w:rPr>
          <w:b/>
          <w:bCs/>
          <w:noProof/>
          <w:u w:val="single"/>
        </w:rPr>
      </w:pPr>
      <w:r w:rsidRPr="002A46D9">
        <w:rPr>
          <w:b/>
          <w:bCs/>
          <w:noProof/>
          <w:u w:val="single"/>
        </w:rPr>
        <w:t>Page 5 – Covid</w:t>
      </w:r>
      <w:r w:rsidRPr="002A46D9">
        <w:rPr>
          <w:b/>
          <w:bCs/>
          <w:noProof/>
          <w:u w:val="single"/>
        </w:rPr>
        <w:noBreakHyphen/>
        <w:t>19 Pandemic</w:t>
      </w:r>
    </w:p>
    <w:p w14:paraId="56459A37" w14:textId="77777777" w:rsidR="002A46D9" w:rsidRPr="002A46D9" w:rsidRDefault="002A46D9" w:rsidP="002A46D9">
      <w:pPr>
        <w:spacing w:line="360" w:lineRule="auto"/>
        <w:rPr>
          <w:noProof/>
        </w:rPr>
      </w:pPr>
      <w:r w:rsidRPr="002A46D9">
        <w:rPr>
          <w:noProof/>
        </w:rPr>
        <w:t>Covid</w:t>
      </w:r>
      <w:r w:rsidRPr="002A46D9">
        <w:rPr>
          <w:noProof/>
        </w:rPr>
        <w:noBreakHyphen/>
        <w:t>19 has had a significant negative impact on individuals worldwide, contributing to poorer mental health, lifestyle changes, and increased weight gain. Marmot et al. (2020) describe this impact by noting rises in smoking, alcohol consumption, and obesity during lockdown periods. They also highlight that obesity became a major concern during the pandemic, as individuals who were overweight faced a higher risk of mortality from Covid</w:t>
      </w:r>
      <w:r w:rsidRPr="002A46D9">
        <w:rPr>
          <w:noProof/>
        </w:rPr>
        <w:noBreakHyphen/>
        <w:t>19.</w:t>
      </w:r>
    </w:p>
    <w:p w14:paraId="69866AEF" w14:textId="0EC981A0" w:rsidR="00F85682" w:rsidRPr="00F3011B" w:rsidRDefault="002A46D9" w:rsidP="00091BD4">
      <w:pPr>
        <w:spacing w:line="360" w:lineRule="auto"/>
        <w:rPr>
          <w:noProof/>
        </w:rPr>
      </w:pPr>
      <w:r w:rsidRPr="002A46D9">
        <w:rPr>
          <w:noProof/>
        </w:rPr>
        <w:t>As previously discussed by Christakis (2025), the rise in technology use has influenced children’s lifestyles and obesity rates in contemporary society. Building on this, Christakis explains that since the pandemic, screen time has increased for both adults and children due to its use for education, entertainment, and maintaining family connections. During the pandemic, children spent approximately 1.4 additional hours per day using technology, and this level of usage has not significantly decreased since restrictions ended.</w:t>
      </w:r>
    </w:p>
    <w:p w14:paraId="4203B98F" w14:textId="64C14025" w:rsidR="00C1476C" w:rsidRDefault="00C1476C" w:rsidP="00091BD4">
      <w:pPr>
        <w:spacing w:line="360" w:lineRule="auto"/>
        <w:rPr>
          <w:b/>
          <w:bCs/>
          <w:noProof/>
          <w:u w:val="single"/>
        </w:rPr>
      </w:pPr>
      <w:r>
        <w:rPr>
          <w:b/>
          <w:bCs/>
          <w:noProof/>
          <w:u w:val="single"/>
        </w:rPr>
        <w:t xml:space="preserve">Page </w:t>
      </w:r>
      <w:r w:rsidR="0064739D">
        <w:rPr>
          <w:b/>
          <w:bCs/>
          <w:noProof/>
          <w:u w:val="single"/>
        </w:rPr>
        <w:t xml:space="preserve">6 </w:t>
      </w:r>
      <w:r>
        <w:rPr>
          <w:b/>
          <w:bCs/>
          <w:noProof/>
          <w:u w:val="single"/>
        </w:rPr>
        <w:t>– What are the implications of obesity o</w:t>
      </w:r>
      <w:r w:rsidR="003F56EF">
        <w:rPr>
          <w:b/>
          <w:bCs/>
          <w:noProof/>
          <w:u w:val="single"/>
        </w:rPr>
        <w:t>n</w:t>
      </w:r>
      <w:r>
        <w:rPr>
          <w:b/>
          <w:bCs/>
          <w:noProof/>
          <w:u w:val="single"/>
        </w:rPr>
        <w:t xml:space="preserve"> health lifestyle and wellbeing?</w:t>
      </w:r>
    </w:p>
    <w:p w14:paraId="172DCB9A" w14:textId="77777777" w:rsidR="00B461F1" w:rsidRPr="00B461F1" w:rsidRDefault="00B461F1" w:rsidP="00B461F1">
      <w:pPr>
        <w:spacing w:line="360" w:lineRule="auto"/>
        <w:rPr>
          <w:noProof/>
        </w:rPr>
      </w:pPr>
      <w:r w:rsidRPr="00B461F1">
        <w:rPr>
          <w:noProof/>
        </w:rPr>
        <w:t>The Welsh Government (2021) outlines several health implications associated with obesity in young people. Children with excess weight are at increased risk of developing conditions such as bone and joint problems, diabetes, and poor mental and emotional wellbeing. Bullying related to weight is highlighted as one example of the emotional challenges these children may face.</w:t>
      </w:r>
    </w:p>
    <w:p w14:paraId="40764C81" w14:textId="77777777" w:rsidR="00B461F1" w:rsidRPr="00B461F1" w:rsidRDefault="00B461F1" w:rsidP="00B461F1">
      <w:pPr>
        <w:spacing w:line="360" w:lineRule="auto"/>
        <w:rPr>
          <w:noProof/>
        </w:rPr>
      </w:pPr>
      <w:r w:rsidRPr="00B461F1">
        <w:rPr>
          <w:noProof/>
        </w:rPr>
        <w:t xml:space="preserve">Shmeer, Kammi and Yoon (2016) further illustrate the complexity of obesity and its implications for health, wellbeing, and lifestyle. They explain that numerous factors can influence a child’s development, including poor home environments, psychosocial stress, sleep disruption, </w:t>
      </w:r>
      <w:r w:rsidRPr="00B461F1">
        <w:rPr>
          <w:noProof/>
        </w:rPr>
        <w:lastRenderedPageBreak/>
        <w:t>exposure to hazards, and obesity. As highlighted by earlier sources, factors such as sleep disruption and poor mental wellbeing are closely linked to obesity, reinforcing the interconnected nature of these developmental influences.</w:t>
      </w:r>
    </w:p>
    <w:p w14:paraId="6E9BC3EC" w14:textId="446D0C83" w:rsidR="00E61D09" w:rsidRDefault="00B461F1" w:rsidP="00B461F1">
      <w:pPr>
        <w:spacing w:line="360" w:lineRule="auto"/>
        <w:rPr>
          <w:noProof/>
        </w:rPr>
      </w:pPr>
      <w:r w:rsidRPr="00B461F1">
        <w:rPr>
          <w:noProof/>
        </w:rPr>
        <w:t>Referring back to Harvard University (2010), it is evident that children who experience poor sleep often display behavioural difficulties, reduced cognitive performance, and ongoing sleep</w:t>
      </w:r>
      <w:r w:rsidRPr="00B461F1">
        <w:rPr>
          <w:noProof/>
        </w:rPr>
        <w:noBreakHyphen/>
        <w:t>related issues into later childhood or early adulthood. It is widely recognised that adults play a crucial role in modelling and promoting positive health behaviours for children, including healthy technology use, regular physical activity, and balanced diets</w:t>
      </w:r>
      <w:r w:rsidR="00CD044C">
        <w:rPr>
          <w:noProof/>
        </w:rPr>
        <w:t xml:space="preserve">, </w:t>
      </w:r>
      <w:r w:rsidRPr="00B461F1">
        <w:rPr>
          <w:noProof/>
        </w:rPr>
        <w:t>all of which influence obesity risk</w:t>
      </w:r>
      <w:r w:rsidR="002E657F">
        <w:rPr>
          <w:noProof/>
        </w:rPr>
        <w:t>.</w:t>
      </w:r>
    </w:p>
    <w:p w14:paraId="4125370B" w14:textId="77777777" w:rsidR="00FC0952" w:rsidRPr="00FC0952" w:rsidRDefault="00FC0952" w:rsidP="00FC0952">
      <w:pPr>
        <w:spacing w:line="360" w:lineRule="auto"/>
        <w:rPr>
          <w:b/>
          <w:bCs/>
          <w:noProof/>
          <w:u w:val="single"/>
        </w:rPr>
      </w:pPr>
      <w:r w:rsidRPr="00FC0952">
        <w:rPr>
          <w:b/>
          <w:bCs/>
          <w:noProof/>
          <w:u w:val="single"/>
        </w:rPr>
        <w:t>Page 7 – What has changed over time?</w:t>
      </w:r>
    </w:p>
    <w:p w14:paraId="4BBD707F" w14:textId="2753D97B" w:rsidR="00FC0952" w:rsidRPr="00FC0952" w:rsidRDefault="00FC0952" w:rsidP="00FC0952">
      <w:pPr>
        <w:spacing w:line="360" w:lineRule="auto"/>
        <w:rPr>
          <w:noProof/>
        </w:rPr>
      </w:pPr>
      <w:r w:rsidRPr="00FC0952">
        <w:rPr>
          <w:noProof/>
        </w:rPr>
        <w:t>As implied by Marmot et al. (2010), obesity has become an increasingly significant issue among both adults and children. An important factor highlighted in their work is the strong association between obesity and social and economic deprivation. When the Marmot Review was revisited ten years later, it revealed a clear rise in persistent poverty among single-parent households. Although this trend was less pronounced in two</w:t>
      </w:r>
      <w:r w:rsidRPr="00FC0952">
        <w:rPr>
          <w:noProof/>
        </w:rPr>
        <w:noBreakHyphen/>
        <w:t>parent households, poverty remained a substantial concern, demonstrating the continued impact of deprivation on children’s wellbeing, including their diet and lifestyle (Marmot et al., 2020)</w:t>
      </w:r>
      <w:r w:rsidR="00DE13C1">
        <w:rPr>
          <w:noProof/>
        </w:rPr>
        <w:t>.</w:t>
      </w:r>
    </w:p>
    <w:p w14:paraId="3D918743" w14:textId="13B65AC3" w:rsidR="00FC0952" w:rsidRDefault="00FC0952" w:rsidP="00FC0952">
      <w:pPr>
        <w:spacing w:line="360" w:lineRule="auto"/>
        <w:rPr>
          <w:noProof/>
        </w:rPr>
      </w:pPr>
      <w:r w:rsidRPr="00FC0952">
        <w:rPr>
          <w:noProof/>
        </w:rPr>
        <w:t>Public Health Wales (n.d.) collected data throughout 2023 and 2024 on childhood obesity rates in Wales. Their key findings show that 13.7% of children were classified as overweight and 11.8% as obese</w:t>
      </w:r>
      <w:r w:rsidR="002829C0">
        <w:rPr>
          <w:noProof/>
        </w:rPr>
        <w:t>,</w:t>
      </w:r>
      <w:r w:rsidR="00E812EC">
        <w:rPr>
          <w:noProof/>
        </w:rPr>
        <w:t xml:space="preserve"> </w:t>
      </w:r>
      <w:r w:rsidR="002829C0">
        <w:rPr>
          <w:noProof/>
        </w:rPr>
        <w:t>f</w:t>
      </w:r>
      <w:r w:rsidRPr="00FC0952">
        <w:rPr>
          <w:noProof/>
        </w:rPr>
        <w:t>igures higher than those recorded in both England and Scotland</w:t>
      </w:r>
      <w:r w:rsidR="002829C0">
        <w:rPr>
          <w:noProof/>
        </w:rPr>
        <w:t xml:space="preserve">, </w:t>
      </w:r>
      <w:r w:rsidRPr="00FC0952">
        <w:rPr>
          <w:noProof/>
        </w:rPr>
        <w:t>making Wales one of the most overweight nations in Britain. In addition, there is growing concern about the increasing prevalence of type 2 diabetes among children. Given its strong association with obesity, it is likely that as obesity rates continue to rise, so too will rates of type 2 diabetes, potentially limiting children’s future opportunities (Anon, 2016).</w:t>
      </w:r>
    </w:p>
    <w:p w14:paraId="6C60B0F3" w14:textId="34DAD536" w:rsidR="00FC0952" w:rsidRPr="00FC0952" w:rsidRDefault="003A3C8C" w:rsidP="00FC0952">
      <w:pPr>
        <w:spacing w:line="360" w:lineRule="auto"/>
        <w:rPr>
          <w:noProof/>
        </w:rPr>
      </w:pPr>
      <w:r w:rsidRPr="003A3C8C">
        <w:rPr>
          <w:noProof/>
        </w:rPr>
        <w:t>Lynch (2024) further highlights the global scale of the issue, presenting statistics that illustrate how widespread obesity has become. In 2022, one in eight people worldwide were living with obesity. More concerningly, 37 million children under the age of five were overweight, while 390 million children aged 5–19 were overweight, including 160 million living with obesity. With the number of children experiencing weight</w:t>
      </w:r>
      <w:r w:rsidRPr="003A3C8C">
        <w:rPr>
          <w:noProof/>
        </w:rPr>
        <w:noBreakHyphen/>
        <w:t>related difficulties continuing to grow, it is becoming increasingly evident that children are at heightened risk of developing disorders and diseases as each year passes.</w:t>
      </w:r>
    </w:p>
    <w:p w14:paraId="09D6F605" w14:textId="77777777" w:rsidR="00210C50" w:rsidRDefault="00210C50" w:rsidP="00BF4892">
      <w:pPr>
        <w:spacing w:line="360" w:lineRule="auto"/>
        <w:rPr>
          <w:b/>
          <w:bCs/>
          <w:noProof/>
          <w:u w:val="single"/>
        </w:rPr>
      </w:pPr>
    </w:p>
    <w:p w14:paraId="6347A39D" w14:textId="77777777" w:rsidR="00BF7112" w:rsidRPr="00BF7112" w:rsidRDefault="00BF7112" w:rsidP="00BF7112">
      <w:pPr>
        <w:spacing w:line="360" w:lineRule="auto"/>
        <w:rPr>
          <w:b/>
          <w:bCs/>
          <w:noProof/>
          <w:u w:val="single"/>
        </w:rPr>
      </w:pPr>
      <w:r w:rsidRPr="00BF7112">
        <w:rPr>
          <w:b/>
          <w:bCs/>
          <w:noProof/>
          <w:u w:val="single"/>
        </w:rPr>
        <w:lastRenderedPageBreak/>
        <w:t>Page 8 – What is being done?</w:t>
      </w:r>
    </w:p>
    <w:p w14:paraId="4E5CA43D" w14:textId="77777777" w:rsidR="00BF7112" w:rsidRPr="00BF7112" w:rsidRDefault="00BF7112" w:rsidP="00BF7112">
      <w:pPr>
        <w:spacing w:line="360" w:lineRule="auto"/>
        <w:rPr>
          <w:noProof/>
        </w:rPr>
      </w:pPr>
      <w:r w:rsidRPr="00BF7112">
        <w:rPr>
          <w:noProof/>
        </w:rPr>
        <w:t>While it is important to consider what is being done to support individuals living with obesity, Marmot (2010) emphasises that addressing the causes of obesity is a complex task that must be approached with care.</w:t>
      </w:r>
    </w:p>
    <w:p w14:paraId="531588B5" w14:textId="77777777" w:rsidR="00BF7112" w:rsidRPr="00BF7112" w:rsidRDefault="00BF7112" w:rsidP="00BF7112">
      <w:pPr>
        <w:spacing w:line="360" w:lineRule="auto"/>
        <w:rPr>
          <w:noProof/>
        </w:rPr>
      </w:pPr>
      <w:r w:rsidRPr="00BF7112">
        <w:rPr>
          <w:noProof/>
        </w:rPr>
        <w:t>According to the Welsh Government (2021), assessing the child in a holistic manner is essential when providing support. This is because obesity is influenced by multiple interconnected factors, including a child’s home environment, physical capabilities, and mental and social wellbeing. Assessment outcomes depend on a child’s BMI and age, as earlier stages of development require more urgent intervention to ensure appropriate support.</w:t>
      </w:r>
    </w:p>
    <w:p w14:paraId="7C2A6BB4" w14:textId="299DC17E" w:rsidR="00BF7112" w:rsidRPr="00BF7112" w:rsidRDefault="00BF7112" w:rsidP="00BF7112">
      <w:pPr>
        <w:spacing w:line="360" w:lineRule="auto"/>
        <w:rPr>
          <w:noProof/>
        </w:rPr>
      </w:pPr>
      <w:r w:rsidRPr="00BF7112">
        <w:rPr>
          <w:noProof/>
        </w:rPr>
        <w:t>In relation to screen time, Roberts (2010) explains that parents were advised to limit children’s media use to no more than two hours per day and to avoid television exposure for children under two years old. Unfortunately, this guidance has not been widely followed by many parents.</w:t>
      </w:r>
    </w:p>
    <w:p w14:paraId="633F603C" w14:textId="6C8CCDA6" w:rsidR="00CF23AE" w:rsidRPr="00F8547E" w:rsidRDefault="00802CD2" w:rsidP="00BF4892">
      <w:pPr>
        <w:spacing w:line="360" w:lineRule="auto"/>
        <w:rPr>
          <w:noProof/>
        </w:rPr>
      </w:pPr>
      <w:r w:rsidRPr="00802CD2">
        <w:rPr>
          <w:noProof/>
        </w:rPr>
        <w:t xml:space="preserve">As previously discussed by Marmot (2020), deprivation significantly affects obesity levels in both children and adults. Limited access to safe spaces for physical activity, alongside the affordability of healthier food options, contributes to higher obesity rates in disadvantaged communities. In response, the Government has attempted to reduce these inequalities through the Public Health Grant, which provides funding for services such as sexual health support, </w:t>
      </w:r>
      <w:r w:rsidR="00735630">
        <w:rPr>
          <w:noProof/>
        </w:rPr>
        <w:t>Stop Smoking</w:t>
      </w:r>
      <w:r w:rsidRPr="00802CD2">
        <w:rPr>
          <w:noProof/>
        </w:rPr>
        <w:t>, obesity interventions, and children’s services.</w:t>
      </w:r>
    </w:p>
    <w:p w14:paraId="3B88C75C" w14:textId="46980F11" w:rsidR="001D23FB" w:rsidRPr="001D23FB" w:rsidRDefault="001D23FB" w:rsidP="00BF4892">
      <w:pPr>
        <w:spacing w:line="360" w:lineRule="auto"/>
        <w:rPr>
          <w:b/>
          <w:bCs/>
          <w:noProof/>
          <w:u w:val="single"/>
        </w:rPr>
      </w:pPr>
      <w:r>
        <w:rPr>
          <w:b/>
          <w:bCs/>
          <w:noProof/>
          <w:u w:val="single"/>
        </w:rPr>
        <w:t xml:space="preserve">Page </w:t>
      </w:r>
      <w:r w:rsidR="002A4A36">
        <w:rPr>
          <w:b/>
          <w:bCs/>
          <w:noProof/>
          <w:u w:val="single"/>
        </w:rPr>
        <w:t xml:space="preserve">9 </w:t>
      </w:r>
      <w:r>
        <w:rPr>
          <w:b/>
          <w:bCs/>
          <w:noProof/>
          <w:u w:val="single"/>
        </w:rPr>
        <w:t xml:space="preserve"> – What can we as practitioners do?</w:t>
      </w:r>
    </w:p>
    <w:p w14:paraId="6BC03319" w14:textId="77777777" w:rsidR="002F4B73" w:rsidRPr="002F4B73" w:rsidRDefault="002F4B73" w:rsidP="002F4B73">
      <w:pPr>
        <w:spacing w:line="360" w:lineRule="auto"/>
        <w:rPr>
          <w:noProof/>
        </w:rPr>
      </w:pPr>
      <w:r w:rsidRPr="002F4B73">
        <w:rPr>
          <w:noProof/>
        </w:rPr>
        <w:t>It is evident from previous sources that ensuring obesity levels remain low from a young age is crucial for a child’s future, as early prevention can reduce the likelihood of obesity and associated serious health conditions later in life. Because of this, the role of the practitioner should not be forgotten, as they can teach and influence children’s eating habits and encourage them to try a wide variety of foods (Anderson and Whitaker, 2011).</w:t>
      </w:r>
    </w:p>
    <w:p w14:paraId="47752CF5" w14:textId="77777777" w:rsidR="002F4B73" w:rsidRPr="002F4B73" w:rsidRDefault="002F4B73" w:rsidP="002F4B73">
      <w:pPr>
        <w:spacing w:line="360" w:lineRule="auto"/>
        <w:rPr>
          <w:noProof/>
        </w:rPr>
      </w:pPr>
      <w:r w:rsidRPr="002F4B73">
        <w:rPr>
          <w:noProof/>
        </w:rPr>
        <w:t xml:space="preserve">The Welsh Government supports this notion. The Children’s Commissioner for Wales (n.d.) explains that the Government has introduced measures to support children in care and educational settings, including the provision of free school meals for all primary school pupils in Wales. Fitness is also a growing concern for childcare settings, as the Children’s Commissioner for Wales highlights that Wales is among the lowest nations for children’s activity levels. While it is clear that physical activity rates are decreasing, practitioners cannot force children to be active if they do not wish to be. Although the Children’s Commissioner for Wales notes that </w:t>
      </w:r>
      <w:r w:rsidRPr="002F4B73">
        <w:rPr>
          <w:noProof/>
        </w:rPr>
        <w:lastRenderedPageBreak/>
        <w:t>sports clubs are being introduced during and after school to provide opportunities for physical activity, and that teachers are encouraged to offer resources that promote active play, it ultimately remains the child’s choice whether to participate.</w:t>
      </w:r>
    </w:p>
    <w:p w14:paraId="542B7E6F" w14:textId="29E74944" w:rsidR="00661CC3" w:rsidRDefault="00FA4327" w:rsidP="00BF4892">
      <w:pPr>
        <w:spacing w:line="360" w:lineRule="auto"/>
        <w:rPr>
          <w:noProof/>
        </w:rPr>
      </w:pPr>
      <w:r w:rsidRPr="00FA4327">
        <w:rPr>
          <w:noProof/>
        </w:rPr>
        <w:t>While practitioners can only influence, rather than enforce, children’s eating or physical activity habits, they can still support parents by sharing knowledge about healthy lifestyle choices and offering guidance on cooking. Education Business (2022) explains that certain areas in Wales have received funding to establish a children’s and families programme, which will work with schools and local settings to help families plan, prepare, and cook healthier meals</w:t>
      </w:r>
      <w:r w:rsidR="00843A8A">
        <w:rPr>
          <w:noProof/>
        </w:rPr>
        <w:t xml:space="preserve"> therefore potentially refucing the risk of obesity</w:t>
      </w:r>
      <w:r w:rsidRPr="00FA4327">
        <w:rPr>
          <w:noProof/>
        </w:rPr>
        <w:t>.</w:t>
      </w:r>
    </w:p>
    <w:p w14:paraId="6314052F" w14:textId="77777777" w:rsidR="00FA4327" w:rsidRDefault="00FA4327" w:rsidP="00BF4892">
      <w:pPr>
        <w:spacing w:line="360" w:lineRule="auto"/>
        <w:rPr>
          <w:noProof/>
        </w:rPr>
      </w:pPr>
    </w:p>
    <w:p w14:paraId="3FA09280" w14:textId="5FB445EF" w:rsidR="00393520" w:rsidRDefault="00393520" w:rsidP="00BF4892">
      <w:pPr>
        <w:spacing w:line="360" w:lineRule="auto"/>
        <w:rPr>
          <w:b/>
          <w:bCs/>
          <w:noProof/>
          <w:u w:val="single"/>
        </w:rPr>
      </w:pPr>
      <w:r>
        <w:rPr>
          <w:b/>
          <w:bCs/>
          <w:noProof/>
          <w:u w:val="single"/>
        </w:rPr>
        <w:t>Page 10 – Conclusion.</w:t>
      </w:r>
    </w:p>
    <w:p w14:paraId="514FC7E5" w14:textId="50E707F1" w:rsidR="00661CC3" w:rsidRDefault="008C2F4B" w:rsidP="00BF4892">
      <w:pPr>
        <w:spacing w:line="360" w:lineRule="auto"/>
        <w:rPr>
          <w:noProof/>
        </w:rPr>
      </w:pPr>
      <w:r w:rsidRPr="008C2F4B">
        <w:rPr>
          <w:noProof/>
        </w:rPr>
        <w:t>I would like to conclude this presentation by emphasizing that children affected by obesity often face fewer opportunities to achieve healthy wellbeing and make positive lifestyle choices, both during childhood and later in life. With childhood obesity rates continuing to rise, the concern for children’s health and wellbeing is becoming increasingly serious. It is also important to recognize that while obesity influences health, wellbeing, and lifestyle, the reverse is equally true: factors such as poverty, technology use, and broader lifestyle patterns can significantly shape obesity levels among children. Many theorists have stressed the importance of providing support for children living with obesity, while also acknowledging the limits of what governments and practitioners can achieve. Ultimately, part of the responsibility rests with individuals themselves and their carers.</w:t>
      </w:r>
    </w:p>
    <w:p w14:paraId="6BD8E4C6" w14:textId="77777777" w:rsidR="008C2F4B" w:rsidRDefault="008C2F4B" w:rsidP="00BF4892">
      <w:pPr>
        <w:spacing w:line="360" w:lineRule="auto"/>
        <w:rPr>
          <w:noProof/>
        </w:rPr>
      </w:pPr>
    </w:p>
    <w:p w14:paraId="3379D30F" w14:textId="77777777" w:rsidR="00661CC3" w:rsidRDefault="00661CC3" w:rsidP="00BF4892">
      <w:pPr>
        <w:spacing w:line="360" w:lineRule="auto"/>
        <w:rPr>
          <w:noProof/>
        </w:rPr>
      </w:pPr>
    </w:p>
    <w:p w14:paraId="7B3024A0" w14:textId="77777777" w:rsidR="00936730" w:rsidRDefault="00936730" w:rsidP="00BF4892">
      <w:pPr>
        <w:spacing w:line="360" w:lineRule="auto"/>
        <w:rPr>
          <w:noProof/>
        </w:rPr>
      </w:pPr>
    </w:p>
    <w:p w14:paraId="1069C7DB" w14:textId="77777777" w:rsidR="00936730" w:rsidRDefault="00936730" w:rsidP="00BF4892">
      <w:pPr>
        <w:spacing w:line="360" w:lineRule="auto"/>
        <w:rPr>
          <w:noProof/>
        </w:rPr>
      </w:pPr>
    </w:p>
    <w:p w14:paraId="2F597170" w14:textId="77777777" w:rsidR="00936730" w:rsidRDefault="00936730" w:rsidP="00BF4892">
      <w:pPr>
        <w:spacing w:line="360" w:lineRule="auto"/>
        <w:rPr>
          <w:noProof/>
        </w:rPr>
      </w:pPr>
    </w:p>
    <w:p w14:paraId="5CBAA0B1" w14:textId="77777777" w:rsidR="00936730" w:rsidRDefault="00936730" w:rsidP="00BF4892">
      <w:pPr>
        <w:spacing w:line="360" w:lineRule="auto"/>
        <w:rPr>
          <w:noProof/>
        </w:rPr>
      </w:pPr>
    </w:p>
    <w:p w14:paraId="31D58E15" w14:textId="77777777" w:rsidR="002C5FAF" w:rsidRDefault="002C5FAF" w:rsidP="00BF4892">
      <w:pPr>
        <w:spacing w:line="360" w:lineRule="auto"/>
        <w:rPr>
          <w:noProof/>
        </w:rPr>
      </w:pPr>
    </w:p>
    <w:p w14:paraId="49783D88" w14:textId="77777777" w:rsidR="00936730" w:rsidRPr="00C83077" w:rsidRDefault="00936730" w:rsidP="00BF4892">
      <w:pPr>
        <w:spacing w:line="360" w:lineRule="auto"/>
        <w:rPr>
          <w:noProof/>
        </w:rPr>
      </w:pPr>
    </w:p>
    <w:p w14:paraId="088D2DDF" w14:textId="2B4A88EC" w:rsidR="00875B32" w:rsidRDefault="00555424" w:rsidP="008C21E7">
      <w:pPr>
        <w:spacing w:line="360" w:lineRule="auto"/>
        <w:rPr>
          <w:b/>
          <w:bCs/>
          <w:noProof/>
          <w:u w:val="single"/>
        </w:rPr>
      </w:pPr>
      <w:r w:rsidRPr="00A959EB">
        <w:rPr>
          <w:b/>
          <w:bCs/>
          <w:noProof/>
          <w:u w:val="single"/>
        </w:rPr>
        <w:lastRenderedPageBreak/>
        <w:t>Ref list</w:t>
      </w:r>
    </w:p>
    <w:p w14:paraId="7AF34EDA" w14:textId="77777777" w:rsidR="00E74E8F" w:rsidRPr="00E11968" w:rsidRDefault="00E74E8F" w:rsidP="008C21E7">
      <w:pPr>
        <w:spacing w:line="360" w:lineRule="auto"/>
        <w:rPr>
          <w:noProof/>
        </w:rPr>
      </w:pPr>
      <w:r w:rsidRPr="00747A82">
        <w:rPr>
          <w:noProof/>
        </w:rPr>
        <w:t xml:space="preserve">Anderson, Sarah E. and Whitaker, Robert C. (2011) </w:t>
      </w:r>
      <w:r w:rsidRPr="00747A82">
        <w:rPr>
          <w:i/>
          <w:iCs/>
          <w:noProof/>
        </w:rPr>
        <w:t>Household routines and obesity in US preschool</w:t>
      </w:r>
      <w:r w:rsidRPr="00747A82">
        <w:rPr>
          <w:i/>
          <w:iCs/>
          <w:noProof/>
        </w:rPr>
        <w:noBreakHyphen/>
        <w:t>aged children</w:t>
      </w:r>
      <w:r w:rsidRPr="00747A82">
        <w:rPr>
          <w:noProof/>
        </w:rPr>
        <w:t>. Pediatrics, 127(3), pp. 420–428.</w:t>
      </w:r>
      <w:r>
        <w:rPr>
          <w:noProof/>
        </w:rPr>
        <w:t xml:space="preserve"> Available at: </w:t>
      </w:r>
      <w:hyperlink r:id="rId11" w:history="1">
        <w:r w:rsidRPr="00187C5C">
          <w:rPr>
            <w:rStyle w:val="Hyperlink"/>
            <w:noProof/>
          </w:rPr>
          <w:t>https://www.sciencedirect.com/science/article/pii/S0002822311007036?casa_token=Pe1kzGClih8AAAAA:V9MJYdemVrAZeQy-K6maHahDBQauMMujxeLnqWSwJM-YDYn6pujdyg1ePAlXHqNCXhstrQlR</w:t>
        </w:r>
      </w:hyperlink>
    </w:p>
    <w:p w14:paraId="6324F33C" w14:textId="77777777" w:rsidR="00E74E8F" w:rsidRPr="00735630" w:rsidRDefault="00E74E8F" w:rsidP="00735630">
      <w:pPr>
        <w:spacing w:line="360" w:lineRule="auto"/>
        <w:rPr>
          <w:noProof/>
        </w:rPr>
      </w:pPr>
      <w:r w:rsidRPr="00735630">
        <w:rPr>
          <w:noProof/>
        </w:rPr>
        <w:t xml:space="preserve">Anon (2016) </w:t>
      </w:r>
      <w:r w:rsidRPr="00735630">
        <w:rPr>
          <w:i/>
          <w:iCs/>
          <w:noProof/>
        </w:rPr>
        <w:t>The well-being of children in the UK</w:t>
      </w:r>
      <w:r w:rsidRPr="00735630">
        <w:rPr>
          <w:noProof/>
        </w:rPr>
        <w:t>. 4th ed. Bristol, England and Chicago, Illinois: Policy Press.</w:t>
      </w:r>
    </w:p>
    <w:p w14:paraId="1B943052" w14:textId="77777777" w:rsidR="00E74E8F" w:rsidRDefault="00E74E8F" w:rsidP="00731F67">
      <w:pPr>
        <w:spacing w:line="360" w:lineRule="auto"/>
        <w:rPr>
          <w:noProof/>
        </w:rPr>
      </w:pPr>
      <w:r w:rsidRPr="00731F67">
        <w:rPr>
          <w:noProof/>
        </w:rPr>
        <w:t xml:space="preserve">Brodwin, Erin (2018) ‘How much should I weigh? BMI is bogus’, </w:t>
      </w:r>
      <w:r w:rsidRPr="00731F67">
        <w:rPr>
          <w:i/>
          <w:iCs/>
          <w:noProof/>
        </w:rPr>
        <w:t>Business Insider</w:t>
      </w:r>
      <w:r w:rsidRPr="00731F67">
        <w:rPr>
          <w:noProof/>
        </w:rPr>
        <w:t xml:space="preserve">, 1 March. Available at: </w:t>
      </w:r>
      <w:hyperlink r:id="rId12" w:history="1">
        <w:r w:rsidRPr="00731F67">
          <w:rPr>
            <w:rStyle w:val="Hyperlink"/>
            <w:noProof/>
          </w:rPr>
          <w:t>https://www.businessinsider.com/bmi-is-bogus</w:t>
        </w:r>
      </w:hyperlink>
      <w:r w:rsidRPr="00731F67">
        <w:rPr>
          <w:noProof/>
        </w:rPr>
        <w:t xml:space="preserve"> (Accessed: 22 January 2026).</w:t>
      </w:r>
    </w:p>
    <w:p w14:paraId="1F0E865E" w14:textId="77777777" w:rsidR="00E74E8F" w:rsidRDefault="00E74E8F" w:rsidP="00735630">
      <w:pPr>
        <w:spacing w:line="360" w:lineRule="auto"/>
        <w:rPr>
          <w:noProof/>
        </w:rPr>
      </w:pPr>
      <w:r w:rsidRPr="00735630">
        <w:rPr>
          <w:noProof/>
        </w:rPr>
        <w:t xml:space="preserve">Center on the Developing Child at Harvard University (2010) </w:t>
      </w:r>
      <w:r w:rsidRPr="00735630">
        <w:rPr>
          <w:i/>
          <w:iCs/>
          <w:noProof/>
        </w:rPr>
        <w:t>The foundations of lifelong health are built in early childhood</w:t>
      </w:r>
      <w:r w:rsidRPr="00735630">
        <w:rPr>
          <w:noProof/>
        </w:rPr>
        <w:t>. Cambridge, MA: Harvard University.</w:t>
      </w:r>
    </w:p>
    <w:p w14:paraId="0B45900E" w14:textId="77777777" w:rsidR="00E74E8F" w:rsidRPr="00661CC3" w:rsidRDefault="00E74E8F" w:rsidP="008C21E7">
      <w:pPr>
        <w:spacing w:line="360" w:lineRule="auto"/>
        <w:rPr>
          <w:noProof/>
        </w:rPr>
      </w:pPr>
      <w:r w:rsidRPr="004020B1">
        <w:rPr>
          <w:noProof/>
        </w:rPr>
        <w:t xml:space="preserve">Children’s Commissioner for Wales (n.d.) </w:t>
      </w:r>
      <w:r w:rsidRPr="004020B1">
        <w:rPr>
          <w:i/>
          <w:iCs/>
          <w:noProof/>
        </w:rPr>
        <w:t>Obesity/Healthy Weight</w:t>
      </w:r>
      <w:r w:rsidRPr="004020B1">
        <w:rPr>
          <w:noProof/>
        </w:rPr>
        <w:t>.</w:t>
      </w:r>
      <w:r w:rsidRPr="004020B1">
        <w:rPr>
          <w:noProof/>
        </w:rPr>
        <w:br/>
        <w:t>Available at:</w:t>
      </w:r>
      <w:r>
        <w:rPr>
          <w:noProof/>
        </w:rPr>
        <w:t xml:space="preserve"> </w:t>
      </w:r>
      <w:hyperlink r:id="rId13" w:history="1">
        <w:r w:rsidRPr="00187C5C">
          <w:rPr>
            <w:rStyle w:val="Hyperlink"/>
            <w:noProof/>
          </w:rPr>
          <w:t>https://www.childcomwales.org.uk/our-work/policy-positions/obesity-healthy-weight/</w:t>
        </w:r>
      </w:hyperlink>
      <w:r>
        <w:rPr>
          <w:noProof/>
        </w:rPr>
        <w:t xml:space="preserve"> </w:t>
      </w:r>
      <w:r w:rsidRPr="005056CC">
        <w:rPr>
          <w:noProof/>
        </w:rPr>
        <w:t>(Accessed 24 January 2026).</w:t>
      </w:r>
    </w:p>
    <w:p w14:paraId="06B41CA4" w14:textId="77777777" w:rsidR="00E74E8F" w:rsidRDefault="00E74E8F" w:rsidP="00595B8A">
      <w:pPr>
        <w:spacing w:line="360" w:lineRule="auto"/>
        <w:rPr>
          <w:noProof/>
        </w:rPr>
      </w:pPr>
      <w:r w:rsidRPr="00595B8A">
        <w:rPr>
          <w:noProof/>
        </w:rPr>
        <w:t xml:space="preserve">Christakis, Dimitri A. (2025) </w:t>
      </w:r>
      <w:r w:rsidRPr="00595B8A">
        <w:rPr>
          <w:i/>
          <w:iCs/>
          <w:noProof/>
        </w:rPr>
        <w:t>Handbook of Children and Screens: Digital Media, Development, and Well</w:t>
      </w:r>
      <w:r w:rsidRPr="00595B8A">
        <w:rPr>
          <w:i/>
          <w:iCs/>
          <w:noProof/>
        </w:rPr>
        <w:noBreakHyphen/>
        <w:t>Being from Birth Through Adolescence</w:t>
      </w:r>
      <w:r w:rsidRPr="00595B8A">
        <w:rPr>
          <w:noProof/>
        </w:rPr>
        <w:t>. 1st ed. Cham: Springer.</w:t>
      </w:r>
    </w:p>
    <w:p w14:paraId="46BB71DB" w14:textId="77777777" w:rsidR="00E74E8F" w:rsidRDefault="00E74E8F" w:rsidP="00735630">
      <w:pPr>
        <w:spacing w:line="360" w:lineRule="auto"/>
        <w:rPr>
          <w:noProof/>
        </w:rPr>
      </w:pPr>
      <w:r w:rsidRPr="00735630">
        <w:rPr>
          <w:noProof/>
        </w:rPr>
        <w:t xml:space="preserve">Dahlberg, Gunilla and Whitebread, David (2007) </w:t>
      </w:r>
      <w:r w:rsidRPr="00735630">
        <w:rPr>
          <w:i/>
          <w:iCs/>
          <w:noProof/>
        </w:rPr>
        <w:t>A Pedagogical Framework for Personalised Learning: The Rainbow Model</w:t>
      </w:r>
      <w:r w:rsidRPr="00735630">
        <w:rPr>
          <w:noProof/>
        </w:rPr>
        <w:t>. Cambridge: University of Cambridge.</w:t>
      </w:r>
    </w:p>
    <w:p w14:paraId="200BB3D4" w14:textId="77777777" w:rsidR="00E74E8F" w:rsidRPr="00936730" w:rsidRDefault="00E74E8F" w:rsidP="008C21E7">
      <w:pPr>
        <w:spacing w:line="360" w:lineRule="auto"/>
        <w:rPr>
          <w:noProof/>
        </w:rPr>
      </w:pPr>
      <w:r w:rsidRPr="00F227B5">
        <w:rPr>
          <w:noProof/>
        </w:rPr>
        <w:t xml:space="preserve">Education Business (2022) </w:t>
      </w:r>
      <w:r w:rsidRPr="00F227B5">
        <w:rPr>
          <w:i/>
          <w:iCs/>
          <w:noProof/>
        </w:rPr>
        <w:t>Schools a key focus in Wales’ obesity prevention plans</w:t>
      </w:r>
      <w:r w:rsidRPr="00F227B5">
        <w:rPr>
          <w:noProof/>
        </w:rPr>
        <w:t>.</w:t>
      </w:r>
      <w:r w:rsidRPr="00F227B5">
        <w:rPr>
          <w:noProof/>
        </w:rPr>
        <w:br/>
        <w:t xml:space="preserve">Available at: </w:t>
      </w:r>
      <w:hyperlink r:id="rId14" w:history="1">
        <w:r w:rsidRPr="00F227B5">
          <w:rPr>
            <w:rStyle w:val="Hyperlink"/>
            <w:noProof/>
          </w:rPr>
          <w:t>https://educationbusinessuk.net/news/28022022/schools-key-focus-wales-obesity-prevention-plans</w:t>
        </w:r>
      </w:hyperlink>
      <w:r w:rsidRPr="00F227B5">
        <w:rPr>
          <w:noProof/>
        </w:rPr>
        <w:t xml:space="preserve"> (Accessed 24 January 2026).</w:t>
      </w:r>
    </w:p>
    <w:p w14:paraId="7BFE9A9D" w14:textId="77777777" w:rsidR="00E74E8F" w:rsidRPr="00A959EB" w:rsidRDefault="00E74E8F" w:rsidP="00A959EB">
      <w:pPr>
        <w:spacing w:line="360" w:lineRule="auto"/>
        <w:rPr>
          <w:noProof/>
        </w:rPr>
      </w:pPr>
      <w:r w:rsidRPr="00A959EB">
        <w:rPr>
          <w:noProof/>
        </w:rPr>
        <w:t xml:space="preserve">Lynch, Timothy (2024) </w:t>
      </w:r>
      <w:r w:rsidRPr="00A959EB">
        <w:rPr>
          <w:i/>
          <w:iCs/>
          <w:noProof/>
        </w:rPr>
        <w:t>Physical Education and Wellbeing: Global and Holistic Approaches to Child Health and Academic Learning</w:t>
      </w:r>
      <w:r w:rsidRPr="00A959EB">
        <w:rPr>
          <w:noProof/>
        </w:rPr>
        <w:t>. 2nd ed. Cham: Palgrave Macmillan.</w:t>
      </w:r>
    </w:p>
    <w:p w14:paraId="717E67A0" w14:textId="77777777" w:rsidR="00E74E8F" w:rsidRPr="006E496A" w:rsidRDefault="00E74E8F" w:rsidP="008C21E7">
      <w:pPr>
        <w:spacing w:line="360" w:lineRule="auto"/>
        <w:rPr>
          <w:noProof/>
        </w:rPr>
      </w:pPr>
      <w:r w:rsidRPr="00735630">
        <w:rPr>
          <w:noProof/>
        </w:rPr>
        <w:t xml:space="preserve">Marmot, Michael, Allen, Jessica, Goldblatt, Peter, Boyce, Tammy, McNeish, Di, Grady, Michael &amp; Geddes, Ian (2010) </w:t>
      </w:r>
      <w:r w:rsidRPr="00735630">
        <w:rPr>
          <w:i/>
          <w:iCs/>
          <w:noProof/>
        </w:rPr>
        <w:t>Fair society, healthy lives: The Marmot Review</w:t>
      </w:r>
      <w:r w:rsidRPr="00735630">
        <w:rPr>
          <w:noProof/>
        </w:rPr>
        <w:t>. London: The Marmot Review.</w:t>
      </w:r>
    </w:p>
    <w:p w14:paraId="195A693A" w14:textId="77777777" w:rsidR="00E74E8F" w:rsidRPr="00A92E77" w:rsidRDefault="00E74E8F" w:rsidP="008C21E7">
      <w:pPr>
        <w:spacing w:line="360" w:lineRule="auto"/>
        <w:rPr>
          <w:noProof/>
        </w:rPr>
      </w:pPr>
      <w:r w:rsidRPr="00A92E77">
        <w:rPr>
          <w:noProof/>
        </w:rPr>
        <w:t xml:space="preserve">Marmot, Michael, Allen, Jessica, Goldblatt, Peter, Herd, Emily and Morrison, Joana (2020) </w:t>
      </w:r>
      <w:r w:rsidRPr="00A92E77">
        <w:rPr>
          <w:i/>
          <w:iCs/>
          <w:noProof/>
        </w:rPr>
        <w:t>Build Back Fairer: The COVID</w:t>
      </w:r>
      <w:r w:rsidRPr="00A92E77">
        <w:rPr>
          <w:i/>
          <w:iCs/>
          <w:noProof/>
        </w:rPr>
        <w:noBreakHyphen/>
        <w:t>19 Marmot Review</w:t>
      </w:r>
      <w:r w:rsidRPr="00A92E77">
        <w:rPr>
          <w:noProof/>
        </w:rPr>
        <w:t>. London: Institute of Health Equity.</w:t>
      </w:r>
    </w:p>
    <w:p w14:paraId="3C83928A" w14:textId="77777777" w:rsidR="00E74E8F" w:rsidRDefault="00E74E8F" w:rsidP="00E06E17">
      <w:pPr>
        <w:spacing w:line="360" w:lineRule="auto"/>
        <w:rPr>
          <w:noProof/>
        </w:rPr>
      </w:pPr>
      <w:r w:rsidRPr="00E06E17">
        <w:rPr>
          <w:noProof/>
        </w:rPr>
        <w:t xml:space="preserve">NHS (2024) </w:t>
      </w:r>
      <w:r w:rsidRPr="00E06E17">
        <w:rPr>
          <w:i/>
          <w:iCs/>
          <w:noProof/>
        </w:rPr>
        <w:t>Obesity</w:t>
      </w:r>
      <w:r w:rsidRPr="00E06E17">
        <w:rPr>
          <w:noProof/>
        </w:rPr>
        <w:t xml:space="preserve">. Available at: </w:t>
      </w:r>
      <w:hyperlink r:id="rId15" w:history="1">
        <w:r w:rsidRPr="00AF72C9">
          <w:rPr>
            <w:rStyle w:val="Hyperlink"/>
            <w:noProof/>
          </w:rPr>
          <w:t>https://www.nhs.uk/conditions/obesity/</w:t>
        </w:r>
      </w:hyperlink>
      <w:r w:rsidRPr="00E06E17">
        <w:rPr>
          <w:noProof/>
        </w:rPr>
        <w:t xml:space="preserve"> (Accessed: 22 January 2026).</w:t>
      </w:r>
    </w:p>
    <w:p w14:paraId="1E998204" w14:textId="77777777" w:rsidR="00E74E8F" w:rsidRDefault="00E74E8F" w:rsidP="00735630">
      <w:pPr>
        <w:spacing w:line="360" w:lineRule="auto"/>
        <w:rPr>
          <w:noProof/>
        </w:rPr>
      </w:pPr>
      <w:r w:rsidRPr="00735630">
        <w:rPr>
          <w:noProof/>
        </w:rPr>
        <w:lastRenderedPageBreak/>
        <w:t xml:space="preserve">Public Health Wales. (n.d.) </w:t>
      </w:r>
      <w:r w:rsidRPr="00735630">
        <w:rPr>
          <w:i/>
          <w:iCs/>
          <w:noProof/>
        </w:rPr>
        <w:t>Child Measurement Programme for Wales</w:t>
      </w:r>
      <w:r w:rsidRPr="00735630">
        <w:rPr>
          <w:noProof/>
        </w:rPr>
        <w:t xml:space="preserve">. Available at: </w:t>
      </w:r>
      <w:hyperlink r:id="rId16" w:history="1">
        <w:r w:rsidRPr="00735630">
          <w:rPr>
            <w:rStyle w:val="Hyperlink"/>
            <w:noProof/>
            <w:u w:val="none"/>
          </w:rPr>
          <w:t>https://phw.nhs.wales/services-and-teams/child-measurement-programme/</w:t>
        </w:r>
      </w:hyperlink>
      <w:r w:rsidRPr="00735630">
        <w:rPr>
          <w:noProof/>
        </w:rPr>
        <w:t xml:space="preserve"> (Accessed: 21 January 2026).</w:t>
      </w:r>
    </w:p>
    <w:p w14:paraId="021D8AAE" w14:textId="77777777" w:rsidR="00E74E8F" w:rsidRDefault="00E74E8F" w:rsidP="00AA0BB9">
      <w:pPr>
        <w:spacing w:line="360" w:lineRule="auto"/>
        <w:rPr>
          <w:noProof/>
        </w:rPr>
      </w:pPr>
      <w:r w:rsidRPr="00AA0BB9">
        <w:rPr>
          <w:noProof/>
        </w:rPr>
        <w:t xml:space="preserve">Roberts, Rosemary (2010) </w:t>
      </w:r>
      <w:r w:rsidRPr="00AA0BB9">
        <w:rPr>
          <w:i/>
          <w:iCs/>
          <w:noProof/>
        </w:rPr>
        <w:t>Wellbeing from Birth</w:t>
      </w:r>
      <w:r w:rsidRPr="00AA0BB9">
        <w:rPr>
          <w:noProof/>
        </w:rPr>
        <w:t xml:space="preserve"> [electronic resource]. Los Angeles, California and London: SAGE</w:t>
      </w:r>
    </w:p>
    <w:p w14:paraId="425DE3AB" w14:textId="77777777" w:rsidR="00E74E8F" w:rsidRDefault="00E74E8F" w:rsidP="00395486">
      <w:pPr>
        <w:spacing w:line="360" w:lineRule="auto"/>
        <w:rPr>
          <w:noProof/>
        </w:rPr>
      </w:pPr>
      <w:r w:rsidRPr="00395486">
        <w:rPr>
          <w:noProof/>
        </w:rPr>
        <w:t xml:space="preserve">Schmeer, Kammi K. &amp; Yoon, Aimee J. (2016) ‘Home sweet home? Home physical environment and inflammation in children’, </w:t>
      </w:r>
      <w:r w:rsidRPr="00395486">
        <w:rPr>
          <w:i/>
          <w:iCs/>
          <w:noProof/>
        </w:rPr>
        <w:t>Social Science Research</w:t>
      </w:r>
      <w:r w:rsidRPr="00395486">
        <w:rPr>
          <w:noProof/>
        </w:rPr>
        <w:t>, 60, pp.</w:t>
      </w:r>
      <w:r w:rsidRPr="00395486">
        <w:rPr>
          <w:rFonts w:ascii="Arial" w:hAnsi="Arial" w:cs="Arial"/>
          <w:noProof/>
        </w:rPr>
        <w:t> </w:t>
      </w:r>
      <w:r w:rsidRPr="00395486">
        <w:rPr>
          <w:noProof/>
        </w:rPr>
        <w:t>236</w:t>
      </w:r>
      <w:r w:rsidRPr="00395486">
        <w:rPr>
          <w:rFonts w:ascii="Aptos" w:hAnsi="Aptos" w:cs="Aptos"/>
          <w:noProof/>
        </w:rPr>
        <w:t>–</w:t>
      </w:r>
      <w:r w:rsidRPr="00395486">
        <w:rPr>
          <w:noProof/>
        </w:rPr>
        <w:t>248.</w:t>
      </w:r>
    </w:p>
    <w:p w14:paraId="26F3E247" w14:textId="77777777" w:rsidR="00E74E8F" w:rsidRDefault="00E74E8F" w:rsidP="008C21E7">
      <w:pPr>
        <w:spacing w:line="360" w:lineRule="auto"/>
        <w:rPr>
          <w:noProof/>
        </w:rPr>
      </w:pPr>
      <w:r w:rsidRPr="006E496A">
        <w:rPr>
          <w:noProof/>
        </w:rPr>
        <w:t xml:space="preserve">Welsh Government (2021) </w:t>
      </w:r>
      <w:r w:rsidRPr="006E496A">
        <w:rPr>
          <w:i/>
          <w:iCs/>
          <w:noProof/>
        </w:rPr>
        <w:t>All Wales weight management pathway 2021: children, young people and families</w:t>
      </w:r>
      <w:r w:rsidRPr="006E496A">
        <w:rPr>
          <w:noProof/>
        </w:rPr>
        <w:t>. Cardiff: Welsh Government.</w:t>
      </w:r>
    </w:p>
    <w:p w14:paraId="0F024C66" w14:textId="77777777" w:rsidR="00A959EB" w:rsidRPr="00735630" w:rsidRDefault="00A959EB" w:rsidP="00735630">
      <w:pPr>
        <w:spacing w:line="360" w:lineRule="auto"/>
        <w:rPr>
          <w:noProof/>
        </w:rPr>
      </w:pPr>
    </w:p>
    <w:p w14:paraId="4CFC61D3" w14:textId="77777777" w:rsidR="00735630" w:rsidRPr="00395486" w:rsidRDefault="00735630" w:rsidP="00395486">
      <w:pPr>
        <w:spacing w:line="360" w:lineRule="auto"/>
        <w:rPr>
          <w:noProof/>
        </w:rPr>
      </w:pPr>
    </w:p>
    <w:p w14:paraId="1B32A7AA" w14:textId="77777777" w:rsidR="00395486" w:rsidRDefault="00395486" w:rsidP="00595B8A">
      <w:pPr>
        <w:spacing w:line="360" w:lineRule="auto"/>
        <w:rPr>
          <w:noProof/>
        </w:rPr>
      </w:pPr>
    </w:p>
    <w:p w14:paraId="76170686" w14:textId="77777777" w:rsidR="00595B8A" w:rsidRPr="00595B8A" w:rsidRDefault="00595B8A" w:rsidP="00595B8A">
      <w:pPr>
        <w:spacing w:line="360" w:lineRule="auto"/>
        <w:rPr>
          <w:noProof/>
        </w:rPr>
      </w:pPr>
    </w:p>
    <w:p w14:paraId="308BC3D2" w14:textId="77777777" w:rsidR="00595B8A" w:rsidRPr="00AA0BB9" w:rsidRDefault="00595B8A" w:rsidP="00AA0BB9">
      <w:pPr>
        <w:spacing w:line="360" w:lineRule="auto"/>
        <w:rPr>
          <w:noProof/>
        </w:rPr>
      </w:pPr>
    </w:p>
    <w:p w14:paraId="208D862F" w14:textId="77777777" w:rsidR="00AA0BB9" w:rsidRPr="00AF72C9" w:rsidRDefault="00AA0BB9" w:rsidP="00AF72C9">
      <w:pPr>
        <w:spacing w:line="360" w:lineRule="auto"/>
        <w:rPr>
          <w:noProof/>
        </w:rPr>
      </w:pPr>
    </w:p>
    <w:p w14:paraId="1A7533E7" w14:textId="77777777" w:rsidR="00AF72C9" w:rsidRPr="00E06E17" w:rsidRDefault="00AF72C9" w:rsidP="00E06E17">
      <w:pPr>
        <w:spacing w:line="360" w:lineRule="auto"/>
        <w:rPr>
          <w:noProof/>
        </w:rPr>
      </w:pPr>
    </w:p>
    <w:p w14:paraId="6EEB0C18" w14:textId="77777777" w:rsidR="00E06E17" w:rsidRPr="00731F67" w:rsidRDefault="00E06E17" w:rsidP="00731F67">
      <w:pPr>
        <w:spacing w:line="360" w:lineRule="auto"/>
        <w:rPr>
          <w:noProof/>
        </w:rPr>
      </w:pPr>
    </w:p>
    <w:p w14:paraId="1EFC8255" w14:textId="77777777" w:rsidR="00731F67" w:rsidRPr="002245D7" w:rsidRDefault="00731F67" w:rsidP="008C21E7">
      <w:pPr>
        <w:spacing w:line="360" w:lineRule="auto"/>
        <w:rPr>
          <w:noProof/>
        </w:rPr>
      </w:pPr>
    </w:p>
    <w:sectPr w:rsidR="00731F67" w:rsidRPr="002245D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39EF7" w14:textId="77777777" w:rsidR="001E4574" w:rsidRDefault="001E4574" w:rsidP="00405F4F">
      <w:pPr>
        <w:spacing w:after="0" w:line="240" w:lineRule="auto"/>
      </w:pPr>
      <w:r>
        <w:separator/>
      </w:r>
    </w:p>
  </w:endnote>
  <w:endnote w:type="continuationSeparator" w:id="0">
    <w:p w14:paraId="08227AA8" w14:textId="77777777" w:rsidR="001E4574" w:rsidRDefault="001E4574" w:rsidP="00405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B3A94" w14:textId="77777777" w:rsidR="001E4574" w:rsidRDefault="001E4574" w:rsidP="00405F4F">
      <w:pPr>
        <w:spacing w:after="0" w:line="240" w:lineRule="auto"/>
      </w:pPr>
      <w:r>
        <w:separator/>
      </w:r>
    </w:p>
  </w:footnote>
  <w:footnote w:type="continuationSeparator" w:id="0">
    <w:p w14:paraId="1EA803F5" w14:textId="77777777" w:rsidR="001E4574" w:rsidRDefault="001E4574" w:rsidP="00405F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424B8" w14:textId="01F45E82" w:rsidR="00405F4F" w:rsidRDefault="00405F4F">
    <w:pPr>
      <w:pStyle w:val="Header"/>
    </w:pPr>
    <w:r>
      <w:t>2004479</w:t>
    </w:r>
    <w:r>
      <w:tab/>
      <w:t>ECEY5009</w:t>
    </w:r>
    <w:r>
      <w:tab/>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516B"/>
    <w:multiLevelType w:val="hybridMultilevel"/>
    <w:tmpl w:val="9EC6A4F6"/>
    <w:lvl w:ilvl="0" w:tplc="01B00F5A">
      <w:start w:val="1"/>
      <w:numFmt w:val="bullet"/>
      <w:lvlText w:val="•"/>
      <w:lvlJc w:val="left"/>
      <w:pPr>
        <w:tabs>
          <w:tab w:val="num" w:pos="720"/>
        </w:tabs>
        <w:ind w:left="720" w:hanging="360"/>
      </w:pPr>
      <w:rPr>
        <w:rFonts w:ascii="Arial" w:hAnsi="Arial" w:hint="default"/>
      </w:rPr>
    </w:lvl>
    <w:lvl w:ilvl="1" w:tplc="3D5AF4CC" w:tentative="1">
      <w:start w:val="1"/>
      <w:numFmt w:val="bullet"/>
      <w:lvlText w:val="•"/>
      <w:lvlJc w:val="left"/>
      <w:pPr>
        <w:tabs>
          <w:tab w:val="num" w:pos="1440"/>
        </w:tabs>
        <w:ind w:left="1440" w:hanging="360"/>
      </w:pPr>
      <w:rPr>
        <w:rFonts w:ascii="Arial" w:hAnsi="Arial" w:hint="default"/>
      </w:rPr>
    </w:lvl>
    <w:lvl w:ilvl="2" w:tplc="C02CCF68" w:tentative="1">
      <w:start w:val="1"/>
      <w:numFmt w:val="bullet"/>
      <w:lvlText w:val="•"/>
      <w:lvlJc w:val="left"/>
      <w:pPr>
        <w:tabs>
          <w:tab w:val="num" w:pos="2160"/>
        </w:tabs>
        <w:ind w:left="2160" w:hanging="360"/>
      </w:pPr>
      <w:rPr>
        <w:rFonts w:ascii="Arial" w:hAnsi="Arial" w:hint="default"/>
      </w:rPr>
    </w:lvl>
    <w:lvl w:ilvl="3" w:tplc="7682D272" w:tentative="1">
      <w:start w:val="1"/>
      <w:numFmt w:val="bullet"/>
      <w:lvlText w:val="•"/>
      <w:lvlJc w:val="left"/>
      <w:pPr>
        <w:tabs>
          <w:tab w:val="num" w:pos="2880"/>
        </w:tabs>
        <w:ind w:left="2880" w:hanging="360"/>
      </w:pPr>
      <w:rPr>
        <w:rFonts w:ascii="Arial" w:hAnsi="Arial" w:hint="default"/>
      </w:rPr>
    </w:lvl>
    <w:lvl w:ilvl="4" w:tplc="F84C073E" w:tentative="1">
      <w:start w:val="1"/>
      <w:numFmt w:val="bullet"/>
      <w:lvlText w:val="•"/>
      <w:lvlJc w:val="left"/>
      <w:pPr>
        <w:tabs>
          <w:tab w:val="num" w:pos="3600"/>
        </w:tabs>
        <w:ind w:left="3600" w:hanging="360"/>
      </w:pPr>
      <w:rPr>
        <w:rFonts w:ascii="Arial" w:hAnsi="Arial" w:hint="default"/>
      </w:rPr>
    </w:lvl>
    <w:lvl w:ilvl="5" w:tplc="380A541A" w:tentative="1">
      <w:start w:val="1"/>
      <w:numFmt w:val="bullet"/>
      <w:lvlText w:val="•"/>
      <w:lvlJc w:val="left"/>
      <w:pPr>
        <w:tabs>
          <w:tab w:val="num" w:pos="4320"/>
        </w:tabs>
        <w:ind w:left="4320" w:hanging="360"/>
      </w:pPr>
      <w:rPr>
        <w:rFonts w:ascii="Arial" w:hAnsi="Arial" w:hint="default"/>
      </w:rPr>
    </w:lvl>
    <w:lvl w:ilvl="6" w:tplc="D8D01F76" w:tentative="1">
      <w:start w:val="1"/>
      <w:numFmt w:val="bullet"/>
      <w:lvlText w:val="•"/>
      <w:lvlJc w:val="left"/>
      <w:pPr>
        <w:tabs>
          <w:tab w:val="num" w:pos="5040"/>
        </w:tabs>
        <w:ind w:left="5040" w:hanging="360"/>
      </w:pPr>
      <w:rPr>
        <w:rFonts w:ascii="Arial" w:hAnsi="Arial" w:hint="default"/>
      </w:rPr>
    </w:lvl>
    <w:lvl w:ilvl="7" w:tplc="3AECCDAC" w:tentative="1">
      <w:start w:val="1"/>
      <w:numFmt w:val="bullet"/>
      <w:lvlText w:val="•"/>
      <w:lvlJc w:val="left"/>
      <w:pPr>
        <w:tabs>
          <w:tab w:val="num" w:pos="5760"/>
        </w:tabs>
        <w:ind w:left="5760" w:hanging="360"/>
      </w:pPr>
      <w:rPr>
        <w:rFonts w:ascii="Arial" w:hAnsi="Arial" w:hint="default"/>
      </w:rPr>
    </w:lvl>
    <w:lvl w:ilvl="8" w:tplc="BE9E48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C70CFE"/>
    <w:multiLevelType w:val="multilevel"/>
    <w:tmpl w:val="562E8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320A68"/>
    <w:multiLevelType w:val="hybridMultilevel"/>
    <w:tmpl w:val="D6EE2660"/>
    <w:lvl w:ilvl="0" w:tplc="91A4D2CA">
      <w:start w:val="1"/>
      <w:numFmt w:val="bullet"/>
      <w:lvlText w:val="•"/>
      <w:lvlJc w:val="left"/>
      <w:pPr>
        <w:tabs>
          <w:tab w:val="num" w:pos="720"/>
        </w:tabs>
        <w:ind w:left="720" w:hanging="360"/>
      </w:pPr>
      <w:rPr>
        <w:rFonts w:ascii="Arial" w:hAnsi="Arial" w:hint="default"/>
      </w:rPr>
    </w:lvl>
    <w:lvl w:ilvl="1" w:tplc="428EAC94" w:tentative="1">
      <w:start w:val="1"/>
      <w:numFmt w:val="bullet"/>
      <w:lvlText w:val="•"/>
      <w:lvlJc w:val="left"/>
      <w:pPr>
        <w:tabs>
          <w:tab w:val="num" w:pos="1440"/>
        </w:tabs>
        <w:ind w:left="1440" w:hanging="360"/>
      </w:pPr>
      <w:rPr>
        <w:rFonts w:ascii="Arial" w:hAnsi="Arial" w:hint="default"/>
      </w:rPr>
    </w:lvl>
    <w:lvl w:ilvl="2" w:tplc="502C3BEC" w:tentative="1">
      <w:start w:val="1"/>
      <w:numFmt w:val="bullet"/>
      <w:lvlText w:val="•"/>
      <w:lvlJc w:val="left"/>
      <w:pPr>
        <w:tabs>
          <w:tab w:val="num" w:pos="2160"/>
        </w:tabs>
        <w:ind w:left="2160" w:hanging="360"/>
      </w:pPr>
      <w:rPr>
        <w:rFonts w:ascii="Arial" w:hAnsi="Arial" w:hint="default"/>
      </w:rPr>
    </w:lvl>
    <w:lvl w:ilvl="3" w:tplc="2E82937C" w:tentative="1">
      <w:start w:val="1"/>
      <w:numFmt w:val="bullet"/>
      <w:lvlText w:val="•"/>
      <w:lvlJc w:val="left"/>
      <w:pPr>
        <w:tabs>
          <w:tab w:val="num" w:pos="2880"/>
        </w:tabs>
        <w:ind w:left="2880" w:hanging="360"/>
      </w:pPr>
      <w:rPr>
        <w:rFonts w:ascii="Arial" w:hAnsi="Arial" w:hint="default"/>
      </w:rPr>
    </w:lvl>
    <w:lvl w:ilvl="4" w:tplc="9650E3B8" w:tentative="1">
      <w:start w:val="1"/>
      <w:numFmt w:val="bullet"/>
      <w:lvlText w:val="•"/>
      <w:lvlJc w:val="left"/>
      <w:pPr>
        <w:tabs>
          <w:tab w:val="num" w:pos="3600"/>
        </w:tabs>
        <w:ind w:left="3600" w:hanging="360"/>
      </w:pPr>
      <w:rPr>
        <w:rFonts w:ascii="Arial" w:hAnsi="Arial" w:hint="default"/>
      </w:rPr>
    </w:lvl>
    <w:lvl w:ilvl="5" w:tplc="9F0AC04C" w:tentative="1">
      <w:start w:val="1"/>
      <w:numFmt w:val="bullet"/>
      <w:lvlText w:val="•"/>
      <w:lvlJc w:val="left"/>
      <w:pPr>
        <w:tabs>
          <w:tab w:val="num" w:pos="4320"/>
        </w:tabs>
        <w:ind w:left="4320" w:hanging="360"/>
      </w:pPr>
      <w:rPr>
        <w:rFonts w:ascii="Arial" w:hAnsi="Arial" w:hint="default"/>
      </w:rPr>
    </w:lvl>
    <w:lvl w:ilvl="6" w:tplc="DB38A2D6" w:tentative="1">
      <w:start w:val="1"/>
      <w:numFmt w:val="bullet"/>
      <w:lvlText w:val="•"/>
      <w:lvlJc w:val="left"/>
      <w:pPr>
        <w:tabs>
          <w:tab w:val="num" w:pos="5040"/>
        </w:tabs>
        <w:ind w:left="5040" w:hanging="360"/>
      </w:pPr>
      <w:rPr>
        <w:rFonts w:ascii="Arial" w:hAnsi="Arial" w:hint="default"/>
      </w:rPr>
    </w:lvl>
    <w:lvl w:ilvl="7" w:tplc="56380BD2" w:tentative="1">
      <w:start w:val="1"/>
      <w:numFmt w:val="bullet"/>
      <w:lvlText w:val="•"/>
      <w:lvlJc w:val="left"/>
      <w:pPr>
        <w:tabs>
          <w:tab w:val="num" w:pos="5760"/>
        </w:tabs>
        <w:ind w:left="5760" w:hanging="360"/>
      </w:pPr>
      <w:rPr>
        <w:rFonts w:ascii="Arial" w:hAnsi="Arial" w:hint="default"/>
      </w:rPr>
    </w:lvl>
    <w:lvl w:ilvl="8" w:tplc="DE10A1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CC398C"/>
    <w:multiLevelType w:val="multilevel"/>
    <w:tmpl w:val="DFD6D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4A4B87"/>
    <w:multiLevelType w:val="multilevel"/>
    <w:tmpl w:val="5B86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A079F7"/>
    <w:multiLevelType w:val="multilevel"/>
    <w:tmpl w:val="ACE66C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FE54950"/>
    <w:multiLevelType w:val="hybridMultilevel"/>
    <w:tmpl w:val="A5F2A240"/>
    <w:lvl w:ilvl="0" w:tplc="184447EA">
      <w:start w:val="1"/>
      <w:numFmt w:val="bullet"/>
      <w:lvlText w:val="•"/>
      <w:lvlJc w:val="left"/>
      <w:pPr>
        <w:tabs>
          <w:tab w:val="num" w:pos="720"/>
        </w:tabs>
        <w:ind w:left="720" w:hanging="360"/>
      </w:pPr>
      <w:rPr>
        <w:rFonts w:ascii="Arial" w:hAnsi="Arial" w:hint="default"/>
      </w:rPr>
    </w:lvl>
    <w:lvl w:ilvl="1" w:tplc="4BDA76B6" w:tentative="1">
      <w:start w:val="1"/>
      <w:numFmt w:val="bullet"/>
      <w:lvlText w:val="•"/>
      <w:lvlJc w:val="left"/>
      <w:pPr>
        <w:tabs>
          <w:tab w:val="num" w:pos="1440"/>
        </w:tabs>
        <w:ind w:left="1440" w:hanging="360"/>
      </w:pPr>
      <w:rPr>
        <w:rFonts w:ascii="Arial" w:hAnsi="Arial" w:hint="default"/>
      </w:rPr>
    </w:lvl>
    <w:lvl w:ilvl="2" w:tplc="CA68A900" w:tentative="1">
      <w:start w:val="1"/>
      <w:numFmt w:val="bullet"/>
      <w:lvlText w:val="•"/>
      <w:lvlJc w:val="left"/>
      <w:pPr>
        <w:tabs>
          <w:tab w:val="num" w:pos="2160"/>
        </w:tabs>
        <w:ind w:left="2160" w:hanging="360"/>
      </w:pPr>
      <w:rPr>
        <w:rFonts w:ascii="Arial" w:hAnsi="Arial" w:hint="default"/>
      </w:rPr>
    </w:lvl>
    <w:lvl w:ilvl="3" w:tplc="E2186028" w:tentative="1">
      <w:start w:val="1"/>
      <w:numFmt w:val="bullet"/>
      <w:lvlText w:val="•"/>
      <w:lvlJc w:val="left"/>
      <w:pPr>
        <w:tabs>
          <w:tab w:val="num" w:pos="2880"/>
        </w:tabs>
        <w:ind w:left="2880" w:hanging="360"/>
      </w:pPr>
      <w:rPr>
        <w:rFonts w:ascii="Arial" w:hAnsi="Arial" w:hint="default"/>
      </w:rPr>
    </w:lvl>
    <w:lvl w:ilvl="4" w:tplc="5C46532A" w:tentative="1">
      <w:start w:val="1"/>
      <w:numFmt w:val="bullet"/>
      <w:lvlText w:val="•"/>
      <w:lvlJc w:val="left"/>
      <w:pPr>
        <w:tabs>
          <w:tab w:val="num" w:pos="3600"/>
        </w:tabs>
        <w:ind w:left="3600" w:hanging="360"/>
      </w:pPr>
      <w:rPr>
        <w:rFonts w:ascii="Arial" w:hAnsi="Arial" w:hint="default"/>
      </w:rPr>
    </w:lvl>
    <w:lvl w:ilvl="5" w:tplc="E7960BCA" w:tentative="1">
      <w:start w:val="1"/>
      <w:numFmt w:val="bullet"/>
      <w:lvlText w:val="•"/>
      <w:lvlJc w:val="left"/>
      <w:pPr>
        <w:tabs>
          <w:tab w:val="num" w:pos="4320"/>
        </w:tabs>
        <w:ind w:left="4320" w:hanging="360"/>
      </w:pPr>
      <w:rPr>
        <w:rFonts w:ascii="Arial" w:hAnsi="Arial" w:hint="default"/>
      </w:rPr>
    </w:lvl>
    <w:lvl w:ilvl="6" w:tplc="82D6AAA2" w:tentative="1">
      <w:start w:val="1"/>
      <w:numFmt w:val="bullet"/>
      <w:lvlText w:val="•"/>
      <w:lvlJc w:val="left"/>
      <w:pPr>
        <w:tabs>
          <w:tab w:val="num" w:pos="5040"/>
        </w:tabs>
        <w:ind w:left="5040" w:hanging="360"/>
      </w:pPr>
      <w:rPr>
        <w:rFonts w:ascii="Arial" w:hAnsi="Arial" w:hint="default"/>
      </w:rPr>
    </w:lvl>
    <w:lvl w:ilvl="7" w:tplc="BA2CB034" w:tentative="1">
      <w:start w:val="1"/>
      <w:numFmt w:val="bullet"/>
      <w:lvlText w:val="•"/>
      <w:lvlJc w:val="left"/>
      <w:pPr>
        <w:tabs>
          <w:tab w:val="num" w:pos="5760"/>
        </w:tabs>
        <w:ind w:left="5760" w:hanging="360"/>
      </w:pPr>
      <w:rPr>
        <w:rFonts w:ascii="Arial" w:hAnsi="Arial" w:hint="default"/>
      </w:rPr>
    </w:lvl>
    <w:lvl w:ilvl="8" w:tplc="4A2AA86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CB2D73"/>
    <w:multiLevelType w:val="multilevel"/>
    <w:tmpl w:val="9ACA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E2764D"/>
    <w:multiLevelType w:val="multilevel"/>
    <w:tmpl w:val="6362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7759CC"/>
    <w:multiLevelType w:val="multilevel"/>
    <w:tmpl w:val="51FC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956AC3"/>
    <w:multiLevelType w:val="hybridMultilevel"/>
    <w:tmpl w:val="F874348C"/>
    <w:lvl w:ilvl="0" w:tplc="68DACF4A">
      <w:start w:val="1"/>
      <w:numFmt w:val="bullet"/>
      <w:lvlText w:val="•"/>
      <w:lvlJc w:val="left"/>
      <w:pPr>
        <w:tabs>
          <w:tab w:val="num" w:pos="720"/>
        </w:tabs>
        <w:ind w:left="720" w:hanging="360"/>
      </w:pPr>
      <w:rPr>
        <w:rFonts w:ascii="Arial" w:hAnsi="Arial" w:hint="default"/>
      </w:rPr>
    </w:lvl>
    <w:lvl w:ilvl="1" w:tplc="CE448692" w:tentative="1">
      <w:start w:val="1"/>
      <w:numFmt w:val="bullet"/>
      <w:lvlText w:val="•"/>
      <w:lvlJc w:val="left"/>
      <w:pPr>
        <w:tabs>
          <w:tab w:val="num" w:pos="1440"/>
        </w:tabs>
        <w:ind w:left="1440" w:hanging="360"/>
      </w:pPr>
      <w:rPr>
        <w:rFonts w:ascii="Arial" w:hAnsi="Arial" w:hint="default"/>
      </w:rPr>
    </w:lvl>
    <w:lvl w:ilvl="2" w:tplc="23864FCA" w:tentative="1">
      <w:start w:val="1"/>
      <w:numFmt w:val="bullet"/>
      <w:lvlText w:val="•"/>
      <w:lvlJc w:val="left"/>
      <w:pPr>
        <w:tabs>
          <w:tab w:val="num" w:pos="2160"/>
        </w:tabs>
        <w:ind w:left="2160" w:hanging="360"/>
      </w:pPr>
      <w:rPr>
        <w:rFonts w:ascii="Arial" w:hAnsi="Arial" w:hint="default"/>
      </w:rPr>
    </w:lvl>
    <w:lvl w:ilvl="3" w:tplc="5D2CC6FA" w:tentative="1">
      <w:start w:val="1"/>
      <w:numFmt w:val="bullet"/>
      <w:lvlText w:val="•"/>
      <w:lvlJc w:val="left"/>
      <w:pPr>
        <w:tabs>
          <w:tab w:val="num" w:pos="2880"/>
        </w:tabs>
        <w:ind w:left="2880" w:hanging="360"/>
      </w:pPr>
      <w:rPr>
        <w:rFonts w:ascii="Arial" w:hAnsi="Arial" w:hint="default"/>
      </w:rPr>
    </w:lvl>
    <w:lvl w:ilvl="4" w:tplc="F9DAA316" w:tentative="1">
      <w:start w:val="1"/>
      <w:numFmt w:val="bullet"/>
      <w:lvlText w:val="•"/>
      <w:lvlJc w:val="left"/>
      <w:pPr>
        <w:tabs>
          <w:tab w:val="num" w:pos="3600"/>
        </w:tabs>
        <w:ind w:left="3600" w:hanging="360"/>
      </w:pPr>
      <w:rPr>
        <w:rFonts w:ascii="Arial" w:hAnsi="Arial" w:hint="default"/>
      </w:rPr>
    </w:lvl>
    <w:lvl w:ilvl="5" w:tplc="1E14278C" w:tentative="1">
      <w:start w:val="1"/>
      <w:numFmt w:val="bullet"/>
      <w:lvlText w:val="•"/>
      <w:lvlJc w:val="left"/>
      <w:pPr>
        <w:tabs>
          <w:tab w:val="num" w:pos="4320"/>
        </w:tabs>
        <w:ind w:left="4320" w:hanging="360"/>
      </w:pPr>
      <w:rPr>
        <w:rFonts w:ascii="Arial" w:hAnsi="Arial" w:hint="default"/>
      </w:rPr>
    </w:lvl>
    <w:lvl w:ilvl="6" w:tplc="8BC8EDD6" w:tentative="1">
      <w:start w:val="1"/>
      <w:numFmt w:val="bullet"/>
      <w:lvlText w:val="•"/>
      <w:lvlJc w:val="left"/>
      <w:pPr>
        <w:tabs>
          <w:tab w:val="num" w:pos="5040"/>
        </w:tabs>
        <w:ind w:left="5040" w:hanging="360"/>
      </w:pPr>
      <w:rPr>
        <w:rFonts w:ascii="Arial" w:hAnsi="Arial" w:hint="default"/>
      </w:rPr>
    </w:lvl>
    <w:lvl w:ilvl="7" w:tplc="DBE444CC" w:tentative="1">
      <w:start w:val="1"/>
      <w:numFmt w:val="bullet"/>
      <w:lvlText w:val="•"/>
      <w:lvlJc w:val="left"/>
      <w:pPr>
        <w:tabs>
          <w:tab w:val="num" w:pos="5760"/>
        </w:tabs>
        <w:ind w:left="5760" w:hanging="360"/>
      </w:pPr>
      <w:rPr>
        <w:rFonts w:ascii="Arial" w:hAnsi="Arial" w:hint="default"/>
      </w:rPr>
    </w:lvl>
    <w:lvl w:ilvl="8" w:tplc="918403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2B97A30"/>
    <w:multiLevelType w:val="multilevel"/>
    <w:tmpl w:val="ACE66C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7C7C7A87"/>
    <w:multiLevelType w:val="multilevel"/>
    <w:tmpl w:val="C112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0683302">
    <w:abstractNumId w:val="7"/>
  </w:num>
  <w:num w:numId="2" w16cid:durableId="1199591019">
    <w:abstractNumId w:val="12"/>
  </w:num>
  <w:num w:numId="3" w16cid:durableId="1165437153">
    <w:abstractNumId w:val="6"/>
  </w:num>
  <w:num w:numId="4" w16cid:durableId="973755862">
    <w:abstractNumId w:val="10"/>
  </w:num>
  <w:num w:numId="5" w16cid:durableId="1640459452">
    <w:abstractNumId w:val="0"/>
  </w:num>
  <w:num w:numId="6" w16cid:durableId="276717232">
    <w:abstractNumId w:val="2"/>
  </w:num>
  <w:num w:numId="7" w16cid:durableId="2132433918">
    <w:abstractNumId w:val="4"/>
  </w:num>
  <w:num w:numId="8" w16cid:durableId="1316491725">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62632702">
    <w:abstractNumId w:val="8"/>
  </w:num>
  <w:num w:numId="10" w16cid:durableId="1481263032">
    <w:abstractNumId w:val="1"/>
  </w:num>
  <w:num w:numId="11" w16cid:durableId="518399048">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75586873">
    <w:abstractNumId w:val="3"/>
  </w:num>
  <w:num w:numId="13" w16cid:durableId="1272400910">
    <w:abstractNumId w:val="9"/>
  </w:num>
  <w:num w:numId="14" w16cid:durableId="9993874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F4F"/>
    <w:rsid w:val="00002887"/>
    <w:rsid w:val="00037F80"/>
    <w:rsid w:val="00040C83"/>
    <w:rsid w:val="00046B10"/>
    <w:rsid w:val="00053C53"/>
    <w:rsid w:val="0005423B"/>
    <w:rsid w:val="0005523E"/>
    <w:rsid w:val="000559C1"/>
    <w:rsid w:val="00057DEC"/>
    <w:rsid w:val="00067742"/>
    <w:rsid w:val="00073928"/>
    <w:rsid w:val="00073A3E"/>
    <w:rsid w:val="0007529C"/>
    <w:rsid w:val="00081118"/>
    <w:rsid w:val="000838E2"/>
    <w:rsid w:val="00084FFF"/>
    <w:rsid w:val="00091706"/>
    <w:rsid w:val="00091BD4"/>
    <w:rsid w:val="000933FA"/>
    <w:rsid w:val="00095C56"/>
    <w:rsid w:val="00097424"/>
    <w:rsid w:val="000B7871"/>
    <w:rsid w:val="000B79F3"/>
    <w:rsid w:val="000C0B5D"/>
    <w:rsid w:val="000C5BC8"/>
    <w:rsid w:val="000D76F0"/>
    <w:rsid w:val="000E2D3C"/>
    <w:rsid w:val="000F2AEF"/>
    <w:rsid w:val="000F3C6B"/>
    <w:rsid w:val="001055B4"/>
    <w:rsid w:val="001149FC"/>
    <w:rsid w:val="00116739"/>
    <w:rsid w:val="001215CE"/>
    <w:rsid w:val="00121CDE"/>
    <w:rsid w:val="001271B4"/>
    <w:rsid w:val="0012798F"/>
    <w:rsid w:val="0013156D"/>
    <w:rsid w:val="001437C6"/>
    <w:rsid w:val="00143888"/>
    <w:rsid w:val="00156E54"/>
    <w:rsid w:val="0016002E"/>
    <w:rsid w:val="00160935"/>
    <w:rsid w:val="00163003"/>
    <w:rsid w:val="001639CC"/>
    <w:rsid w:val="00170927"/>
    <w:rsid w:val="00176B06"/>
    <w:rsid w:val="00176C93"/>
    <w:rsid w:val="00180F4C"/>
    <w:rsid w:val="001811C8"/>
    <w:rsid w:val="00181755"/>
    <w:rsid w:val="00181CB9"/>
    <w:rsid w:val="0018424A"/>
    <w:rsid w:val="00186041"/>
    <w:rsid w:val="00186C80"/>
    <w:rsid w:val="001A47CE"/>
    <w:rsid w:val="001B1C37"/>
    <w:rsid w:val="001C22B2"/>
    <w:rsid w:val="001D23FB"/>
    <w:rsid w:val="001D3A68"/>
    <w:rsid w:val="001D3AEB"/>
    <w:rsid w:val="001D68B2"/>
    <w:rsid w:val="001D73E4"/>
    <w:rsid w:val="001E4574"/>
    <w:rsid w:val="001F3203"/>
    <w:rsid w:val="001F6477"/>
    <w:rsid w:val="001F7F55"/>
    <w:rsid w:val="0020105A"/>
    <w:rsid w:val="0020241A"/>
    <w:rsid w:val="00210C50"/>
    <w:rsid w:val="00212959"/>
    <w:rsid w:val="00217583"/>
    <w:rsid w:val="00217FD9"/>
    <w:rsid w:val="002233B3"/>
    <w:rsid w:val="002245D7"/>
    <w:rsid w:val="00224694"/>
    <w:rsid w:val="00227283"/>
    <w:rsid w:val="00231402"/>
    <w:rsid w:val="0023483E"/>
    <w:rsid w:val="002368FE"/>
    <w:rsid w:val="00237508"/>
    <w:rsid w:val="00240B69"/>
    <w:rsid w:val="0024113A"/>
    <w:rsid w:val="00255144"/>
    <w:rsid w:val="00255452"/>
    <w:rsid w:val="002557BB"/>
    <w:rsid w:val="00274F9A"/>
    <w:rsid w:val="00280DEA"/>
    <w:rsid w:val="002829C0"/>
    <w:rsid w:val="00283F63"/>
    <w:rsid w:val="00285025"/>
    <w:rsid w:val="00294860"/>
    <w:rsid w:val="002A1680"/>
    <w:rsid w:val="002A177C"/>
    <w:rsid w:val="002A46D9"/>
    <w:rsid w:val="002A4A36"/>
    <w:rsid w:val="002A605D"/>
    <w:rsid w:val="002B4E28"/>
    <w:rsid w:val="002B6DC5"/>
    <w:rsid w:val="002C3FC9"/>
    <w:rsid w:val="002C506D"/>
    <w:rsid w:val="002C5FAF"/>
    <w:rsid w:val="002C6DEA"/>
    <w:rsid w:val="002C70B8"/>
    <w:rsid w:val="002D0263"/>
    <w:rsid w:val="002D0EF3"/>
    <w:rsid w:val="002D570A"/>
    <w:rsid w:val="002E19EA"/>
    <w:rsid w:val="002E3FD0"/>
    <w:rsid w:val="002E491F"/>
    <w:rsid w:val="002E6075"/>
    <w:rsid w:val="002E657F"/>
    <w:rsid w:val="002E6C92"/>
    <w:rsid w:val="002F2ED2"/>
    <w:rsid w:val="002F4B73"/>
    <w:rsid w:val="002F5095"/>
    <w:rsid w:val="002F7E1D"/>
    <w:rsid w:val="00304F4D"/>
    <w:rsid w:val="00316551"/>
    <w:rsid w:val="003165E4"/>
    <w:rsid w:val="0032575B"/>
    <w:rsid w:val="00330DD8"/>
    <w:rsid w:val="00345D25"/>
    <w:rsid w:val="00352C5A"/>
    <w:rsid w:val="00352E25"/>
    <w:rsid w:val="003563AA"/>
    <w:rsid w:val="00357CEC"/>
    <w:rsid w:val="0036045E"/>
    <w:rsid w:val="00364C96"/>
    <w:rsid w:val="00380375"/>
    <w:rsid w:val="0039089F"/>
    <w:rsid w:val="003933F9"/>
    <w:rsid w:val="00393520"/>
    <w:rsid w:val="00395486"/>
    <w:rsid w:val="003974A8"/>
    <w:rsid w:val="003A3C8C"/>
    <w:rsid w:val="003A74D1"/>
    <w:rsid w:val="003A7A01"/>
    <w:rsid w:val="003B00F9"/>
    <w:rsid w:val="003B2955"/>
    <w:rsid w:val="003B6C12"/>
    <w:rsid w:val="003C48E8"/>
    <w:rsid w:val="003D13D4"/>
    <w:rsid w:val="003D1B1A"/>
    <w:rsid w:val="003E0DA7"/>
    <w:rsid w:val="003F2FFC"/>
    <w:rsid w:val="003F56EF"/>
    <w:rsid w:val="004020B1"/>
    <w:rsid w:val="00404E1F"/>
    <w:rsid w:val="00405F4F"/>
    <w:rsid w:val="00415955"/>
    <w:rsid w:val="00423DC8"/>
    <w:rsid w:val="00425741"/>
    <w:rsid w:val="0042693A"/>
    <w:rsid w:val="00427844"/>
    <w:rsid w:val="00430442"/>
    <w:rsid w:val="00430923"/>
    <w:rsid w:val="00430D44"/>
    <w:rsid w:val="00435074"/>
    <w:rsid w:val="00444C9D"/>
    <w:rsid w:val="0044660A"/>
    <w:rsid w:val="004518F5"/>
    <w:rsid w:val="00452573"/>
    <w:rsid w:val="0045440E"/>
    <w:rsid w:val="004576D3"/>
    <w:rsid w:val="00462E4A"/>
    <w:rsid w:val="004630D4"/>
    <w:rsid w:val="00471448"/>
    <w:rsid w:val="00471991"/>
    <w:rsid w:val="00473431"/>
    <w:rsid w:val="004747A9"/>
    <w:rsid w:val="004754DE"/>
    <w:rsid w:val="004767BA"/>
    <w:rsid w:val="00477328"/>
    <w:rsid w:val="00480E2B"/>
    <w:rsid w:val="00481988"/>
    <w:rsid w:val="0048655F"/>
    <w:rsid w:val="00497809"/>
    <w:rsid w:val="004A1103"/>
    <w:rsid w:val="004A1C52"/>
    <w:rsid w:val="004B4F90"/>
    <w:rsid w:val="004B6111"/>
    <w:rsid w:val="004D19B6"/>
    <w:rsid w:val="004D489C"/>
    <w:rsid w:val="004D5F69"/>
    <w:rsid w:val="004D7C54"/>
    <w:rsid w:val="004E034B"/>
    <w:rsid w:val="004E1413"/>
    <w:rsid w:val="004E23EB"/>
    <w:rsid w:val="004E70AC"/>
    <w:rsid w:val="004F1E61"/>
    <w:rsid w:val="004F22E7"/>
    <w:rsid w:val="004F66CD"/>
    <w:rsid w:val="004F6D87"/>
    <w:rsid w:val="00500807"/>
    <w:rsid w:val="00501CC8"/>
    <w:rsid w:val="005056CC"/>
    <w:rsid w:val="005072C7"/>
    <w:rsid w:val="00513082"/>
    <w:rsid w:val="005224AA"/>
    <w:rsid w:val="00524E2D"/>
    <w:rsid w:val="00544338"/>
    <w:rsid w:val="00545EB2"/>
    <w:rsid w:val="00553B44"/>
    <w:rsid w:val="00555424"/>
    <w:rsid w:val="00561DD1"/>
    <w:rsid w:val="00563956"/>
    <w:rsid w:val="005642CE"/>
    <w:rsid w:val="00571B1A"/>
    <w:rsid w:val="005748A8"/>
    <w:rsid w:val="00577AAD"/>
    <w:rsid w:val="00577C15"/>
    <w:rsid w:val="005867AB"/>
    <w:rsid w:val="00587A4E"/>
    <w:rsid w:val="005927D0"/>
    <w:rsid w:val="00594153"/>
    <w:rsid w:val="00595B8A"/>
    <w:rsid w:val="005A04D8"/>
    <w:rsid w:val="005A0C62"/>
    <w:rsid w:val="005C5099"/>
    <w:rsid w:val="005C59BA"/>
    <w:rsid w:val="005D2F1B"/>
    <w:rsid w:val="005E04F1"/>
    <w:rsid w:val="005E73F1"/>
    <w:rsid w:val="005F3217"/>
    <w:rsid w:val="00610FE3"/>
    <w:rsid w:val="00616872"/>
    <w:rsid w:val="0062398A"/>
    <w:rsid w:val="006270EA"/>
    <w:rsid w:val="00630A3A"/>
    <w:rsid w:val="00633AE0"/>
    <w:rsid w:val="00635F54"/>
    <w:rsid w:val="00636688"/>
    <w:rsid w:val="00645BED"/>
    <w:rsid w:val="00646C6B"/>
    <w:rsid w:val="0064739D"/>
    <w:rsid w:val="00650054"/>
    <w:rsid w:val="006522E1"/>
    <w:rsid w:val="00653170"/>
    <w:rsid w:val="00661CC3"/>
    <w:rsid w:val="00676CE6"/>
    <w:rsid w:val="0067751B"/>
    <w:rsid w:val="00691AEC"/>
    <w:rsid w:val="00691F0E"/>
    <w:rsid w:val="00691F74"/>
    <w:rsid w:val="006A2009"/>
    <w:rsid w:val="006A4631"/>
    <w:rsid w:val="006A6390"/>
    <w:rsid w:val="006B5358"/>
    <w:rsid w:val="006C634E"/>
    <w:rsid w:val="006C6AA0"/>
    <w:rsid w:val="006E496A"/>
    <w:rsid w:val="006E7097"/>
    <w:rsid w:val="006E7A8F"/>
    <w:rsid w:val="006F6119"/>
    <w:rsid w:val="00700711"/>
    <w:rsid w:val="00700FA9"/>
    <w:rsid w:val="00712740"/>
    <w:rsid w:val="00713262"/>
    <w:rsid w:val="00731F67"/>
    <w:rsid w:val="00735630"/>
    <w:rsid w:val="00736F1A"/>
    <w:rsid w:val="00744E36"/>
    <w:rsid w:val="0074693A"/>
    <w:rsid w:val="00747A82"/>
    <w:rsid w:val="007578F7"/>
    <w:rsid w:val="00764853"/>
    <w:rsid w:val="00765ECB"/>
    <w:rsid w:val="007661D0"/>
    <w:rsid w:val="00773D58"/>
    <w:rsid w:val="007913CB"/>
    <w:rsid w:val="007A11F9"/>
    <w:rsid w:val="007A5990"/>
    <w:rsid w:val="007B1459"/>
    <w:rsid w:val="007B2267"/>
    <w:rsid w:val="007B34CE"/>
    <w:rsid w:val="007B3E80"/>
    <w:rsid w:val="007B4A66"/>
    <w:rsid w:val="007C619D"/>
    <w:rsid w:val="007D2DF5"/>
    <w:rsid w:val="007E7E20"/>
    <w:rsid w:val="007F23DE"/>
    <w:rsid w:val="007F6BED"/>
    <w:rsid w:val="00802CD2"/>
    <w:rsid w:val="0080372D"/>
    <w:rsid w:val="008109CD"/>
    <w:rsid w:val="0082346C"/>
    <w:rsid w:val="0082496B"/>
    <w:rsid w:val="00827D5F"/>
    <w:rsid w:val="00843A8A"/>
    <w:rsid w:val="00846B2D"/>
    <w:rsid w:val="00851C70"/>
    <w:rsid w:val="00855B25"/>
    <w:rsid w:val="00855D2D"/>
    <w:rsid w:val="00857BE6"/>
    <w:rsid w:val="00873EEC"/>
    <w:rsid w:val="00874DDC"/>
    <w:rsid w:val="00874FC0"/>
    <w:rsid w:val="00875823"/>
    <w:rsid w:val="00875B32"/>
    <w:rsid w:val="008853F8"/>
    <w:rsid w:val="00895E4D"/>
    <w:rsid w:val="008A0525"/>
    <w:rsid w:val="008A7D76"/>
    <w:rsid w:val="008C1749"/>
    <w:rsid w:val="008C21E7"/>
    <w:rsid w:val="008C2F4B"/>
    <w:rsid w:val="008C4E40"/>
    <w:rsid w:val="008C5C62"/>
    <w:rsid w:val="008C64EE"/>
    <w:rsid w:val="008C7682"/>
    <w:rsid w:val="008D069F"/>
    <w:rsid w:val="008D0F21"/>
    <w:rsid w:val="008D5166"/>
    <w:rsid w:val="008D7AC3"/>
    <w:rsid w:val="008D7CA9"/>
    <w:rsid w:val="008D7E89"/>
    <w:rsid w:val="008E2CBD"/>
    <w:rsid w:val="008F284C"/>
    <w:rsid w:val="008F2B3D"/>
    <w:rsid w:val="008F42DF"/>
    <w:rsid w:val="0090043B"/>
    <w:rsid w:val="00901062"/>
    <w:rsid w:val="00903169"/>
    <w:rsid w:val="00923825"/>
    <w:rsid w:val="00923C4F"/>
    <w:rsid w:val="009331C5"/>
    <w:rsid w:val="009358F1"/>
    <w:rsid w:val="00936730"/>
    <w:rsid w:val="009411A3"/>
    <w:rsid w:val="0094356C"/>
    <w:rsid w:val="00944900"/>
    <w:rsid w:val="00945E4B"/>
    <w:rsid w:val="009479DD"/>
    <w:rsid w:val="00950DE9"/>
    <w:rsid w:val="00951898"/>
    <w:rsid w:val="00957666"/>
    <w:rsid w:val="00967786"/>
    <w:rsid w:val="00970944"/>
    <w:rsid w:val="00970FFE"/>
    <w:rsid w:val="00971264"/>
    <w:rsid w:val="00971B6F"/>
    <w:rsid w:val="00976FF3"/>
    <w:rsid w:val="009910F1"/>
    <w:rsid w:val="00992AE4"/>
    <w:rsid w:val="00993030"/>
    <w:rsid w:val="00994F24"/>
    <w:rsid w:val="009A406A"/>
    <w:rsid w:val="009A7DDF"/>
    <w:rsid w:val="009B0866"/>
    <w:rsid w:val="009B244A"/>
    <w:rsid w:val="009B46C2"/>
    <w:rsid w:val="009B5F5E"/>
    <w:rsid w:val="009C5DC2"/>
    <w:rsid w:val="009C6CD6"/>
    <w:rsid w:val="009D0752"/>
    <w:rsid w:val="009D0CDD"/>
    <w:rsid w:val="009D7058"/>
    <w:rsid w:val="009E0B86"/>
    <w:rsid w:val="009E0E65"/>
    <w:rsid w:val="009E6EC7"/>
    <w:rsid w:val="009F1B88"/>
    <w:rsid w:val="009F5188"/>
    <w:rsid w:val="00A0182F"/>
    <w:rsid w:val="00A03397"/>
    <w:rsid w:val="00A25D45"/>
    <w:rsid w:val="00A36177"/>
    <w:rsid w:val="00A40668"/>
    <w:rsid w:val="00A41A9C"/>
    <w:rsid w:val="00A569BD"/>
    <w:rsid w:val="00A56C20"/>
    <w:rsid w:val="00A67E49"/>
    <w:rsid w:val="00A7016D"/>
    <w:rsid w:val="00A75818"/>
    <w:rsid w:val="00A81C02"/>
    <w:rsid w:val="00A82A53"/>
    <w:rsid w:val="00A84725"/>
    <w:rsid w:val="00A92E77"/>
    <w:rsid w:val="00A959EB"/>
    <w:rsid w:val="00A96234"/>
    <w:rsid w:val="00AA0BB9"/>
    <w:rsid w:val="00AA32D7"/>
    <w:rsid w:val="00AB002D"/>
    <w:rsid w:val="00AB32A2"/>
    <w:rsid w:val="00AB53E7"/>
    <w:rsid w:val="00AB5407"/>
    <w:rsid w:val="00AC717D"/>
    <w:rsid w:val="00AD6F5F"/>
    <w:rsid w:val="00AE3DA0"/>
    <w:rsid w:val="00AF21E8"/>
    <w:rsid w:val="00AF2891"/>
    <w:rsid w:val="00AF3954"/>
    <w:rsid w:val="00AF72C9"/>
    <w:rsid w:val="00B03439"/>
    <w:rsid w:val="00B0575A"/>
    <w:rsid w:val="00B1161A"/>
    <w:rsid w:val="00B15A24"/>
    <w:rsid w:val="00B225FA"/>
    <w:rsid w:val="00B30588"/>
    <w:rsid w:val="00B400FB"/>
    <w:rsid w:val="00B440FF"/>
    <w:rsid w:val="00B44403"/>
    <w:rsid w:val="00B46066"/>
    <w:rsid w:val="00B461F1"/>
    <w:rsid w:val="00B50A1F"/>
    <w:rsid w:val="00B55530"/>
    <w:rsid w:val="00B55725"/>
    <w:rsid w:val="00B6461E"/>
    <w:rsid w:val="00B72006"/>
    <w:rsid w:val="00B73158"/>
    <w:rsid w:val="00B76612"/>
    <w:rsid w:val="00B8067B"/>
    <w:rsid w:val="00B81D76"/>
    <w:rsid w:val="00B83CA4"/>
    <w:rsid w:val="00BA557A"/>
    <w:rsid w:val="00BB134D"/>
    <w:rsid w:val="00BB3783"/>
    <w:rsid w:val="00BB445E"/>
    <w:rsid w:val="00BB6082"/>
    <w:rsid w:val="00BB79C2"/>
    <w:rsid w:val="00BB7E7B"/>
    <w:rsid w:val="00BC0F8F"/>
    <w:rsid w:val="00BD24FB"/>
    <w:rsid w:val="00BD2F08"/>
    <w:rsid w:val="00BD5C63"/>
    <w:rsid w:val="00BD6FB7"/>
    <w:rsid w:val="00BE4B81"/>
    <w:rsid w:val="00BE78A0"/>
    <w:rsid w:val="00BF4239"/>
    <w:rsid w:val="00BF4756"/>
    <w:rsid w:val="00BF4892"/>
    <w:rsid w:val="00BF7112"/>
    <w:rsid w:val="00C00460"/>
    <w:rsid w:val="00C0132B"/>
    <w:rsid w:val="00C01FE7"/>
    <w:rsid w:val="00C05525"/>
    <w:rsid w:val="00C1476C"/>
    <w:rsid w:val="00C17295"/>
    <w:rsid w:val="00C231FB"/>
    <w:rsid w:val="00C2647B"/>
    <w:rsid w:val="00C327D7"/>
    <w:rsid w:val="00C414B1"/>
    <w:rsid w:val="00C46CBC"/>
    <w:rsid w:val="00C47E64"/>
    <w:rsid w:val="00C60671"/>
    <w:rsid w:val="00C63486"/>
    <w:rsid w:val="00C70C2F"/>
    <w:rsid w:val="00C7517B"/>
    <w:rsid w:val="00C81079"/>
    <w:rsid w:val="00C83077"/>
    <w:rsid w:val="00C9188D"/>
    <w:rsid w:val="00C92A55"/>
    <w:rsid w:val="00C97A2F"/>
    <w:rsid w:val="00CA350C"/>
    <w:rsid w:val="00CB0B10"/>
    <w:rsid w:val="00CB262F"/>
    <w:rsid w:val="00CB7D26"/>
    <w:rsid w:val="00CC0B56"/>
    <w:rsid w:val="00CD044C"/>
    <w:rsid w:val="00CD1FE2"/>
    <w:rsid w:val="00CD2FFF"/>
    <w:rsid w:val="00CD4410"/>
    <w:rsid w:val="00CE1A2D"/>
    <w:rsid w:val="00CF0CA1"/>
    <w:rsid w:val="00CF23AE"/>
    <w:rsid w:val="00CF2634"/>
    <w:rsid w:val="00D05347"/>
    <w:rsid w:val="00D146C6"/>
    <w:rsid w:val="00D1542A"/>
    <w:rsid w:val="00D15BEE"/>
    <w:rsid w:val="00D1658B"/>
    <w:rsid w:val="00D22C78"/>
    <w:rsid w:val="00D25B24"/>
    <w:rsid w:val="00D379A9"/>
    <w:rsid w:val="00D45FED"/>
    <w:rsid w:val="00D4732B"/>
    <w:rsid w:val="00D57EB2"/>
    <w:rsid w:val="00D6286A"/>
    <w:rsid w:val="00D66DE9"/>
    <w:rsid w:val="00D7050C"/>
    <w:rsid w:val="00D73128"/>
    <w:rsid w:val="00D77451"/>
    <w:rsid w:val="00D858B3"/>
    <w:rsid w:val="00D9002F"/>
    <w:rsid w:val="00D94B26"/>
    <w:rsid w:val="00D95F47"/>
    <w:rsid w:val="00DA1820"/>
    <w:rsid w:val="00DA499F"/>
    <w:rsid w:val="00DA5442"/>
    <w:rsid w:val="00DA73F4"/>
    <w:rsid w:val="00DA7862"/>
    <w:rsid w:val="00DC3330"/>
    <w:rsid w:val="00DD0628"/>
    <w:rsid w:val="00DE13C1"/>
    <w:rsid w:val="00DE17AB"/>
    <w:rsid w:val="00DE3872"/>
    <w:rsid w:val="00DF213E"/>
    <w:rsid w:val="00DF27E0"/>
    <w:rsid w:val="00DF3A44"/>
    <w:rsid w:val="00DF5C7C"/>
    <w:rsid w:val="00E03B2D"/>
    <w:rsid w:val="00E06E17"/>
    <w:rsid w:val="00E10ACA"/>
    <w:rsid w:val="00E11968"/>
    <w:rsid w:val="00E11F34"/>
    <w:rsid w:val="00E136AF"/>
    <w:rsid w:val="00E2083C"/>
    <w:rsid w:val="00E20903"/>
    <w:rsid w:val="00E21CDD"/>
    <w:rsid w:val="00E223D7"/>
    <w:rsid w:val="00E24781"/>
    <w:rsid w:val="00E26B4B"/>
    <w:rsid w:val="00E305A7"/>
    <w:rsid w:val="00E335E0"/>
    <w:rsid w:val="00E351CB"/>
    <w:rsid w:val="00E362A3"/>
    <w:rsid w:val="00E375C4"/>
    <w:rsid w:val="00E378B7"/>
    <w:rsid w:val="00E413DE"/>
    <w:rsid w:val="00E61877"/>
    <w:rsid w:val="00E61D09"/>
    <w:rsid w:val="00E61DEB"/>
    <w:rsid w:val="00E72401"/>
    <w:rsid w:val="00E74E8F"/>
    <w:rsid w:val="00E77811"/>
    <w:rsid w:val="00E812EC"/>
    <w:rsid w:val="00E82EA4"/>
    <w:rsid w:val="00E833B6"/>
    <w:rsid w:val="00E8750B"/>
    <w:rsid w:val="00E91ADC"/>
    <w:rsid w:val="00E96909"/>
    <w:rsid w:val="00EA25E3"/>
    <w:rsid w:val="00EA2A6A"/>
    <w:rsid w:val="00EA31E7"/>
    <w:rsid w:val="00EA4C60"/>
    <w:rsid w:val="00EA5E5F"/>
    <w:rsid w:val="00EA7D7A"/>
    <w:rsid w:val="00EB47A1"/>
    <w:rsid w:val="00EC6311"/>
    <w:rsid w:val="00EE341C"/>
    <w:rsid w:val="00EE58EE"/>
    <w:rsid w:val="00EF2FDE"/>
    <w:rsid w:val="00EF797C"/>
    <w:rsid w:val="00F005CF"/>
    <w:rsid w:val="00F060C0"/>
    <w:rsid w:val="00F227B5"/>
    <w:rsid w:val="00F262D8"/>
    <w:rsid w:val="00F3011B"/>
    <w:rsid w:val="00F342AB"/>
    <w:rsid w:val="00F34445"/>
    <w:rsid w:val="00F42286"/>
    <w:rsid w:val="00F43942"/>
    <w:rsid w:val="00F43E6F"/>
    <w:rsid w:val="00F45F02"/>
    <w:rsid w:val="00F530B2"/>
    <w:rsid w:val="00F5611C"/>
    <w:rsid w:val="00F56D3B"/>
    <w:rsid w:val="00F6399D"/>
    <w:rsid w:val="00F65E16"/>
    <w:rsid w:val="00F66226"/>
    <w:rsid w:val="00F70F1F"/>
    <w:rsid w:val="00F71C01"/>
    <w:rsid w:val="00F73B9B"/>
    <w:rsid w:val="00F7586C"/>
    <w:rsid w:val="00F75ABF"/>
    <w:rsid w:val="00F8547E"/>
    <w:rsid w:val="00F85682"/>
    <w:rsid w:val="00F905A3"/>
    <w:rsid w:val="00F9199B"/>
    <w:rsid w:val="00F94A53"/>
    <w:rsid w:val="00FA166A"/>
    <w:rsid w:val="00FA4327"/>
    <w:rsid w:val="00FB308F"/>
    <w:rsid w:val="00FB3B9A"/>
    <w:rsid w:val="00FB5FA7"/>
    <w:rsid w:val="00FC041D"/>
    <w:rsid w:val="00FC0952"/>
    <w:rsid w:val="00FC4975"/>
    <w:rsid w:val="00FC52B9"/>
    <w:rsid w:val="00FC7542"/>
    <w:rsid w:val="00FC792A"/>
    <w:rsid w:val="00FE5733"/>
    <w:rsid w:val="00FE6FC7"/>
    <w:rsid w:val="00FF6202"/>
    <w:rsid w:val="00FF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44F7"/>
  <w15:chartTrackingRefBased/>
  <w15:docId w15:val="{A5E6742B-2A88-489F-8C0A-44A375A5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5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5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F4F"/>
    <w:rPr>
      <w:rFonts w:eastAsiaTheme="majorEastAsia" w:cstheme="majorBidi"/>
      <w:color w:val="272727" w:themeColor="text1" w:themeTint="D8"/>
    </w:rPr>
  </w:style>
  <w:style w:type="paragraph" w:styleId="Title">
    <w:name w:val="Title"/>
    <w:basedOn w:val="Normal"/>
    <w:next w:val="Normal"/>
    <w:link w:val="TitleChar"/>
    <w:uiPriority w:val="10"/>
    <w:qFormat/>
    <w:rsid w:val="00405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F4F"/>
    <w:pPr>
      <w:spacing w:before="160"/>
      <w:jc w:val="center"/>
    </w:pPr>
    <w:rPr>
      <w:i/>
      <w:iCs/>
      <w:color w:val="404040" w:themeColor="text1" w:themeTint="BF"/>
    </w:rPr>
  </w:style>
  <w:style w:type="character" w:customStyle="1" w:styleId="QuoteChar">
    <w:name w:val="Quote Char"/>
    <w:basedOn w:val="DefaultParagraphFont"/>
    <w:link w:val="Quote"/>
    <w:uiPriority w:val="29"/>
    <w:rsid w:val="00405F4F"/>
    <w:rPr>
      <w:i/>
      <w:iCs/>
      <w:color w:val="404040" w:themeColor="text1" w:themeTint="BF"/>
    </w:rPr>
  </w:style>
  <w:style w:type="paragraph" w:styleId="ListParagraph">
    <w:name w:val="List Paragraph"/>
    <w:basedOn w:val="Normal"/>
    <w:uiPriority w:val="34"/>
    <w:qFormat/>
    <w:rsid w:val="00405F4F"/>
    <w:pPr>
      <w:ind w:left="720"/>
      <w:contextualSpacing/>
    </w:pPr>
  </w:style>
  <w:style w:type="character" w:styleId="IntenseEmphasis">
    <w:name w:val="Intense Emphasis"/>
    <w:basedOn w:val="DefaultParagraphFont"/>
    <w:uiPriority w:val="21"/>
    <w:qFormat/>
    <w:rsid w:val="00405F4F"/>
    <w:rPr>
      <w:i/>
      <w:iCs/>
      <w:color w:val="0F4761" w:themeColor="accent1" w:themeShade="BF"/>
    </w:rPr>
  </w:style>
  <w:style w:type="paragraph" w:styleId="IntenseQuote">
    <w:name w:val="Intense Quote"/>
    <w:basedOn w:val="Normal"/>
    <w:next w:val="Normal"/>
    <w:link w:val="IntenseQuoteChar"/>
    <w:uiPriority w:val="30"/>
    <w:qFormat/>
    <w:rsid w:val="00405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F4F"/>
    <w:rPr>
      <w:i/>
      <w:iCs/>
      <w:color w:val="0F4761" w:themeColor="accent1" w:themeShade="BF"/>
    </w:rPr>
  </w:style>
  <w:style w:type="character" w:styleId="IntenseReference">
    <w:name w:val="Intense Reference"/>
    <w:basedOn w:val="DefaultParagraphFont"/>
    <w:uiPriority w:val="32"/>
    <w:qFormat/>
    <w:rsid w:val="00405F4F"/>
    <w:rPr>
      <w:b/>
      <w:bCs/>
      <w:smallCaps/>
      <w:color w:val="0F4761" w:themeColor="accent1" w:themeShade="BF"/>
      <w:spacing w:val="5"/>
    </w:rPr>
  </w:style>
  <w:style w:type="paragraph" w:styleId="Header">
    <w:name w:val="header"/>
    <w:basedOn w:val="Normal"/>
    <w:link w:val="HeaderChar"/>
    <w:uiPriority w:val="99"/>
    <w:unhideWhenUsed/>
    <w:rsid w:val="00405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F4F"/>
  </w:style>
  <w:style w:type="paragraph" w:styleId="Footer">
    <w:name w:val="footer"/>
    <w:basedOn w:val="Normal"/>
    <w:link w:val="FooterChar"/>
    <w:uiPriority w:val="99"/>
    <w:unhideWhenUsed/>
    <w:rsid w:val="00405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F4F"/>
  </w:style>
  <w:style w:type="character" w:styleId="Hyperlink">
    <w:name w:val="Hyperlink"/>
    <w:basedOn w:val="DefaultParagraphFont"/>
    <w:uiPriority w:val="99"/>
    <w:unhideWhenUsed/>
    <w:rsid w:val="00AF2891"/>
    <w:rPr>
      <w:color w:val="467886" w:themeColor="hyperlink"/>
      <w:u w:val="single"/>
    </w:rPr>
  </w:style>
  <w:style w:type="character" w:styleId="UnresolvedMention">
    <w:name w:val="Unresolved Mention"/>
    <w:basedOn w:val="DefaultParagraphFont"/>
    <w:uiPriority w:val="99"/>
    <w:semiHidden/>
    <w:unhideWhenUsed/>
    <w:rsid w:val="00AF2891"/>
    <w:rPr>
      <w:color w:val="605E5C"/>
      <w:shd w:val="clear" w:color="auto" w:fill="E1DFDD"/>
    </w:rPr>
  </w:style>
  <w:style w:type="character" w:styleId="FollowedHyperlink">
    <w:name w:val="FollowedHyperlink"/>
    <w:basedOn w:val="DefaultParagraphFont"/>
    <w:uiPriority w:val="99"/>
    <w:semiHidden/>
    <w:unhideWhenUsed/>
    <w:rsid w:val="0005523E"/>
    <w:rPr>
      <w:color w:val="96607D" w:themeColor="followedHyperlink"/>
      <w:u w:val="single"/>
    </w:rPr>
  </w:style>
  <w:style w:type="paragraph" w:styleId="NormalWeb">
    <w:name w:val="Normal (Web)"/>
    <w:basedOn w:val="Normal"/>
    <w:uiPriority w:val="99"/>
    <w:semiHidden/>
    <w:unhideWhenUsed/>
    <w:rsid w:val="00810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109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ildcomwales.org.uk/our-work/policy-positions/obesity-healthy-weigh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insider.com/bmi-is-bogu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hw.nhs.wales/services-and-teams/child-measurement-program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science/article/pii/S0002822311007036?casa_token=Pe1kzGClih8AAAAA:V9MJYdemVrAZeQy-K6maHahDBQauMMujxeLnqWSwJM-YDYn6pujdyg1ePAlXHqNCXhstrQlR" TargetMode="External"/><Relationship Id="rId5" Type="http://schemas.openxmlformats.org/officeDocument/2006/relationships/numbering" Target="numbering.xml"/><Relationship Id="rId15" Type="http://schemas.openxmlformats.org/officeDocument/2006/relationships/hyperlink" Target="https://www.nhs.uk/conditions/obesit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cationbusinessuk.net/news/28022022/schools-key-focus-wales-obesity-prevention-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5A7F55-4EAB-4D5C-B141-4ADA9FE36E83}">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f63761a13110c74fc1d8e6f26f8f896">
  <xsd:schema xmlns:xsd="http://www.w3.org/2001/XMLSchema" xmlns:xs="http://www.w3.org/2001/XMLSchema" xmlns:p="http://schemas.microsoft.com/office/2006/metadata/properties" xmlns:ns3="0085e1a2-9cbf-4b92-866b-21f3c89040b6" targetNamespace="http://schemas.microsoft.com/office/2006/metadata/properties" ma:root="true" ma:fieldsID="1ead871de39c1cd062dfac545b182ad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694C5-2740-4FA4-A356-07970F743327}">
  <ds:schemaRefs>
    <ds:schemaRef ds:uri="http://schemas.microsoft.com/sharepoint/v3/contenttype/forms"/>
  </ds:schemaRefs>
</ds:datastoreItem>
</file>

<file path=customXml/itemProps2.xml><?xml version="1.0" encoding="utf-8"?>
<ds:datastoreItem xmlns:ds="http://schemas.openxmlformats.org/officeDocument/2006/customXml" ds:itemID="{38108803-B1B3-45F5-B414-54E52871F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5D0470-3D4D-4597-AD37-609EB41CF3E8}">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21A26753-5C49-43E0-9889-1741A4230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2184</Words>
  <Characters>13197</Characters>
  <Application>Microsoft Office Word</Application>
  <DocSecurity>0</DocSecurity>
  <Lines>212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Hawkins (2004479)</cp:lastModifiedBy>
  <cp:revision>2</cp:revision>
  <dcterms:created xsi:type="dcterms:W3CDTF">2026-01-29T09:52:00Z</dcterms:created>
  <dcterms:modified xsi:type="dcterms:W3CDTF">2026-01-29T09:52:00Z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