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ECB70" w14:textId="67B69584" w:rsidR="00851426" w:rsidRDefault="00851426" w:rsidP="00851426">
      <w:pPr>
        <w:jc w:val="both"/>
        <w:rPr>
          <w:rFonts w:ascii="Arial" w:hAnsi="Arial" w:cs="Arial"/>
          <w:b/>
          <w:bCs/>
          <w:sz w:val="28"/>
          <w:szCs w:val="28"/>
          <w:u w:val="single"/>
        </w:rPr>
      </w:pPr>
      <w:r w:rsidRPr="00851426">
        <w:rPr>
          <w:rFonts w:ascii="Arial" w:hAnsi="Arial" w:cs="Arial"/>
          <w:b/>
          <w:bCs/>
          <w:sz w:val="28"/>
          <w:szCs w:val="28"/>
          <w:u w:val="single"/>
        </w:rPr>
        <w:t>Fact Sheet: Social Theories of Ageing in Health and Social Care</w:t>
      </w:r>
    </w:p>
    <w:p w14:paraId="576F497F" w14:textId="77777777" w:rsidR="00851426" w:rsidRPr="00851426" w:rsidRDefault="00851426" w:rsidP="00851426">
      <w:pPr>
        <w:jc w:val="both"/>
        <w:rPr>
          <w:rFonts w:ascii="Arial" w:hAnsi="Arial" w:cs="Arial"/>
          <w:b/>
          <w:bCs/>
          <w:sz w:val="28"/>
          <w:szCs w:val="28"/>
          <w:u w:val="single"/>
        </w:rPr>
      </w:pPr>
    </w:p>
    <w:p w14:paraId="2CF26D23" w14:textId="52CCFDBE" w:rsidR="00851426" w:rsidRDefault="00851426" w:rsidP="00851426">
      <w:pPr>
        <w:jc w:val="both"/>
        <w:rPr>
          <w:rFonts w:ascii="Arial" w:hAnsi="Arial" w:cs="Arial"/>
          <w:sz w:val="28"/>
          <w:szCs w:val="28"/>
        </w:rPr>
      </w:pPr>
      <w:r w:rsidRPr="00851426">
        <w:rPr>
          <w:rFonts w:ascii="Arial" w:hAnsi="Arial" w:cs="Arial"/>
          <w:sz w:val="28"/>
          <w:szCs w:val="28"/>
        </w:rPr>
        <w:t>Understanding the social theories of ageing is crucial for health and social care professionals working with older individuals. These theories provide insights into how individuals and societies perceive and interact with ageing. Three prominent theories are the Disengagement Theory, the Activity Theory, and the Continuity Theory.</w:t>
      </w:r>
    </w:p>
    <w:p w14:paraId="7949C148" w14:textId="77777777" w:rsidR="00851426" w:rsidRPr="00851426" w:rsidRDefault="00851426" w:rsidP="00851426">
      <w:pPr>
        <w:jc w:val="both"/>
        <w:rPr>
          <w:rFonts w:ascii="Arial" w:hAnsi="Arial" w:cs="Arial"/>
          <w:sz w:val="28"/>
          <w:szCs w:val="28"/>
        </w:rPr>
      </w:pPr>
    </w:p>
    <w:p w14:paraId="36ED5394" w14:textId="54F5A474"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1. The Disengagement Theory:</w:t>
      </w:r>
    </w:p>
    <w:p w14:paraId="49AC30B4" w14:textId="77777777" w:rsidR="00851426" w:rsidRPr="00851426" w:rsidRDefault="00851426" w:rsidP="00851426">
      <w:pPr>
        <w:jc w:val="both"/>
        <w:rPr>
          <w:rFonts w:ascii="Arial" w:hAnsi="Arial" w:cs="Arial"/>
          <w:sz w:val="28"/>
          <w:szCs w:val="28"/>
        </w:rPr>
      </w:pPr>
      <w:r w:rsidRPr="00851426">
        <w:rPr>
          <w:rFonts w:ascii="Arial" w:hAnsi="Arial" w:cs="Arial"/>
          <w:b/>
          <w:bCs/>
          <w:color w:val="7030A0"/>
          <w:sz w:val="28"/>
          <w:szCs w:val="28"/>
        </w:rPr>
        <w:t xml:space="preserve">Overview: </w:t>
      </w:r>
      <w:r w:rsidRPr="00851426">
        <w:rPr>
          <w:rFonts w:ascii="Arial" w:hAnsi="Arial" w:cs="Arial"/>
          <w:sz w:val="28"/>
          <w:szCs w:val="28"/>
        </w:rPr>
        <w:t>Developed by Cumming and Henry in 1961, the Disengagement Theory posits that ageing is a natural and inevitable process involving mutual withdrawal between older individuals and society.</w:t>
      </w:r>
    </w:p>
    <w:p w14:paraId="6DD53E5B" w14:textId="77777777"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Key Points:</w:t>
      </w:r>
    </w:p>
    <w:p w14:paraId="28C62883" w14:textId="1BB20BBE" w:rsidR="00851426" w:rsidRPr="002A72F4" w:rsidRDefault="00851426" w:rsidP="002A72F4">
      <w:pPr>
        <w:pStyle w:val="ListParagraph"/>
        <w:numPr>
          <w:ilvl w:val="0"/>
          <w:numId w:val="1"/>
        </w:numPr>
        <w:jc w:val="both"/>
        <w:rPr>
          <w:rFonts w:ascii="Arial" w:hAnsi="Arial" w:cs="Arial"/>
          <w:sz w:val="28"/>
          <w:szCs w:val="28"/>
        </w:rPr>
      </w:pPr>
      <w:r w:rsidRPr="002A72F4">
        <w:rPr>
          <w:rFonts w:ascii="Arial" w:hAnsi="Arial" w:cs="Arial"/>
          <w:sz w:val="28"/>
          <w:szCs w:val="28"/>
        </w:rPr>
        <w:t>Older individuals gradually disengage from societal roles and responsibilities</w:t>
      </w:r>
      <w:r w:rsidR="002A72F4">
        <w:rPr>
          <w:rFonts w:ascii="Arial" w:hAnsi="Arial" w:cs="Arial"/>
          <w:sz w:val="28"/>
          <w:szCs w:val="28"/>
        </w:rPr>
        <w:t xml:space="preserve"> and society gradually withdraws from </w:t>
      </w:r>
      <w:proofErr w:type="gramStart"/>
      <w:r w:rsidR="002A72F4">
        <w:rPr>
          <w:rFonts w:ascii="Arial" w:hAnsi="Arial" w:cs="Arial"/>
          <w:sz w:val="28"/>
          <w:szCs w:val="28"/>
        </w:rPr>
        <w:t>them</w:t>
      </w:r>
      <w:proofErr w:type="gramEnd"/>
    </w:p>
    <w:p w14:paraId="550D0261" w14:textId="77777777" w:rsidR="00851426" w:rsidRPr="002A72F4" w:rsidRDefault="00851426" w:rsidP="002A72F4">
      <w:pPr>
        <w:pStyle w:val="ListParagraph"/>
        <w:numPr>
          <w:ilvl w:val="0"/>
          <w:numId w:val="1"/>
        </w:numPr>
        <w:jc w:val="both"/>
        <w:rPr>
          <w:rFonts w:ascii="Arial" w:hAnsi="Arial" w:cs="Arial"/>
          <w:sz w:val="28"/>
          <w:szCs w:val="28"/>
        </w:rPr>
      </w:pPr>
      <w:r w:rsidRPr="002A72F4">
        <w:rPr>
          <w:rFonts w:ascii="Arial" w:hAnsi="Arial" w:cs="Arial"/>
          <w:sz w:val="28"/>
          <w:szCs w:val="28"/>
        </w:rPr>
        <w:t>This withdrawal is beneficial for both the individual and society, allowing for a smoother transition of power and resources.</w:t>
      </w:r>
    </w:p>
    <w:p w14:paraId="6F212671" w14:textId="77777777"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Relevance Today:</w:t>
      </w:r>
    </w:p>
    <w:p w14:paraId="65CCA9C5" w14:textId="77777777" w:rsidR="00851426" w:rsidRPr="00851426" w:rsidRDefault="00851426" w:rsidP="00851426">
      <w:pPr>
        <w:jc w:val="both"/>
        <w:rPr>
          <w:rFonts w:ascii="Arial" w:hAnsi="Arial" w:cs="Arial"/>
          <w:sz w:val="28"/>
          <w:szCs w:val="28"/>
        </w:rPr>
      </w:pPr>
      <w:r w:rsidRPr="00851426">
        <w:rPr>
          <w:rFonts w:ascii="Arial" w:hAnsi="Arial" w:cs="Arial"/>
          <w:sz w:val="28"/>
          <w:szCs w:val="28"/>
        </w:rPr>
        <w:t>In health and social care, this theory encourages professionals to respect and support the autonomy of older individuals who may prefer a more withdrawn lifestyle.</w:t>
      </w:r>
    </w:p>
    <w:p w14:paraId="0BCA72F2" w14:textId="77777777" w:rsidR="00851426" w:rsidRDefault="00851426" w:rsidP="00851426">
      <w:pPr>
        <w:jc w:val="both"/>
      </w:pPr>
      <w:r w:rsidRPr="00851426">
        <w:rPr>
          <w:rFonts w:ascii="Arial" w:hAnsi="Arial" w:cs="Arial"/>
          <w:sz w:val="28"/>
          <w:szCs w:val="28"/>
        </w:rPr>
        <w:t>Services might focus on promoting dignity and self-determination in care plans.</w:t>
      </w:r>
      <w:r w:rsidRPr="00851426">
        <w:t xml:space="preserve"> </w:t>
      </w:r>
    </w:p>
    <w:p w14:paraId="04E11FB2" w14:textId="77777777" w:rsidR="00851426" w:rsidRDefault="00851426" w:rsidP="00851426">
      <w:pPr>
        <w:jc w:val="both"/>
      </w:pPr>
    </w:p>
    <w:p w14:paraId="7B4CE1D9" w14:textId="0E48F7A2"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Critical Evaluation of the Disengagement Theory</w:t>
      </w:r>
    </w:p>
    <w:p w14:paraId="17D99B2A" w14:textId="4B89AA08"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lastRenderedPageBreak/>
        <w:t>Advantages:</w:t>
      </w:r>
    </w:p>
    <w:p w14:paraId="4BBED7EE" w14:textId="0B04CCC0" w:rsidR="00851426" w:rsidRPr="00851426" w:rsidRDefault="00851426" w:rsidP="00851426">
      <w:pPr>
        <w:jc w:val="both"/>
        <w:rPr>
          <w:rFonts w:ascii="Arial" w:hAnsi="Arial" w:cs="Arial"/>
          <w:sz w:val="28"/>
          <w:szCs w:val="28"/>
        </w:rPr>
      </w:pPr>
      <w:r w:rsidRPr="00851426">
        <w:rPr>
          <w:rFonts w:ascii="Arial" w:hAnsi="Arial" w:cs="Arial"/>
          <w:b/>
          <w:bCs/>
          <w:color w:val="7030A0"/>
          <w:sz w:val="28"/>
          <w:szCs w:val="28"/>
        </w:rPr>
        <w:t>Respect for Autonomy:</w:t>
      </w:r>
      <w:r w:rsidRPr="00851426">
        <w:rPr>
          <w:rFonts w:ascii="Arial" w:hAnsi="Arial" w:cs="Arial"/>
          <w:sz w:val="28"/>
          <w:szCs w:val="28"/>
        </w:rPr>
        <w:t xml:space="preserve"> The theory emphasi</w:t>
      </w:r>
      <w:r w:rsidR="00F9731F">
        <w:rPr>
          <w:rFonts w:ascii="Arial" w:hAnsi="Arial" w:cs="Arial"/>
          <w:sz w:val="28"/>
          <w:szCs w:val="28"/>
        </w:rPr>
        <w:t>s</w:t>
      </w:r>
      <w:r w:rsidRPr="00851426">
        <w:rPr>
          <w:rFonts w:ascii="Arial" w:hAnsi="Arial" w:cs="Arial"/>
          <w:sz w:val="28"/>
          <w:szCs w:val="28"/>
        </w:rPr>
        <w:t>es the importance of allowing older individuals to disengage if they choose, respecting their autonomy in deciding the level of social involvement.</w:t>
      </w:r>
    </w:p>
    <w:p w14:paraId="736EA73D" w14:textId="77777777" w:rsidR="00851426" w:rsidRPr="00851426" w:rsidRDefault="00851426" w:rsidP="00851426">
      <w:pPr>
        <w:jc w:val="both"/>
        <w:rPr>
          <w:rFonts w:ascii="Arial" w:hAnsi="Arial" w:cs="Arial"/>
          <w:sz w:val="28"/>
          <w:szCs w:val="28"/>
        </w:rPr>
      </w:pPr>
      <w:r w:rsidRPr="00851426">
        <w:rPr>
          <w:rFonts w:ascii="Arial" w:hAnsi="Arial" w:cs="Arial"/>
          <w:b/>
          <w:bCs/>
          <w:color w:val="7030A0"/>
          <w:sz w:val="28"/>
          <w:szCs w:val="28"/>
        </w:rPr>
        <w:t>Smooth Societal Transitions:</w:t>
      </w:r>
      <w:r w:rsidRPr="00851426">
        <w:rPr>
          <w:rFonts w:ascii="Arial" w:hAnsi="Arial" w:cs="Arial"/>
          <w:sz w:val="28"/>
          <w:szCs w:val="28"/>
        </w:rPr>
        <w:t xml:space="preserve"> The idea of mutual withdrawal can facilitate smoother transitions of roles and resources within society.</w:t>
      </w:r>
    </w:p>
    <w:p w14:paraId="27E651BE" w14:textId="387FB59D"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Limitations:</w:t>
      </w:r>
    </w:p>
    <w:p w14:paraId="49DAB5AC" w14:textId="77777777" w:rsidR="00851426" w:rsidRPr="00851426" w:rsidRDefault="00851426" w:rsidP="00851426">
      <w:pPr>
        <w:jc w:val="both"/>
        <w:rPr>
          <w:rFonts w:ascii="Arial" w:hAnsi="Arial" w:cs="Arial"/>
          <w:sz w:val="28"/>
          <w:szCs w:val="28"/>
        </w:rPr>
      </w:pPr>
      <w:r w:rsidRPr="00851426">
        <w:rPr>
          <w:rFonts w:ascii="Arial" w:hAnsi="Arial" w:cs="Arial"/>
          <w:b/>
          <w:bCs/>
          <w:color w:val="7030A0"/>
          <w:sz w:val="28"/>
          <w:szCs w:val="28"/>
        </w:rPr>
        <w:t>Cultural Variability:</w:t>
      </w:r>
      <w:r w:rsidRPr="00851426">
        <w:rPr>
          <w:rFonts w:ascii="Arial" w:hAnsi="Arial" w:cs="Arial"/>
          <w:sz w:val="28"/>
          <w:szCs w:val="28"/>
        </w:rPr>
        <w:t xml:space="preserve"> The theory may not consider cultural differences in expectations regarding the role of older individuals. Some cultures value active engagement of seniors in family and community life.</w:t>
      </w:r>
    </w:p>
    <w:p w14:paraId="7799D9FB" w14:textId="6678648B" w:rsidR="00851426" w:rsidRDefault="00851426" w:rsidP="00851426">
      <w:pPr>
        <w:jc w:val="both"/>
        <w:rPr>
          <w:rFonts w:ascii="Arial" w:hAnsi="Arial" w:cs="Arial"/>
          <w:sz w:val="28"/>
          <w:szCs w:val="28"/>
        </w:rPr>
      </w:pPr>
      <w:r w:rsidRPr="00851426">
        <w:rPr>
          <w:rFonts w:ascii="Arial" w:hAnsi="Arial" w:cs="Arial"/>
          <w:b/>
          <w:bCs/>
          <w:color w:val="7030A0"/>
          <w:sz w:val="28"/>
          <w:szCs w:val="28"/>
        </w:rPr>
        <w:t>Assumption of Willing Disengagement:</w:t>
      </w:r>
      <w:r w:rsidRPr="00851426">
        <w:rPr>
          <w:rFonts w:ascii="Arial" w:hAnsi="Arial" w:cs="Arial"/>
          <w:sz w:val="28"/>
          <w:szCs w:val="28"/>
        </w:rPr>
        <w:t xml:space="preserve"> The theory assumes that older individuals willingly disengage, which may not always be the case, especially if withdrawal is due to external factors like isolation or health issues.</w:t>
      </w:r>
    </w:p>
    <w:p w14:paraId="0D39017D" w14:textId="77777777" w:rsidR="00851426" w:rsidRPr="00851426" w:rsidRDefault="00851426" w:rsidP="00851426">
      <w:pPr>
        <w:jc w:val="both"/>
        <w:rPr>
          <w:rFonts w:ascii="Arial" w:hAnsi="Arial" w:cs="Arial"/>
          <w:sz w:val="28"/>
          <w:szCs w:val="28"/>
        </w:rPr>
      </w:pPr>
    </w:p>
    <w:p w14:paraId="645FAB30" w14:textId="2CAE7F2F" w:rsidR="00851426" w:rsidRPr="00851426" w:rsidRDefault="00851426" w:rsidP="00851426">
      <w:pPr>
        <w:jc w:val="both"/>
        <w:rPr>
          <w:rFonts w:ascii="Arial" w:hAnsi="Arial" w:cs="Arial"/>
          <w:b/>
          <w:bCs/>
          <w:color w:val="0070C0"/>
          <w:sz w:val="28"/>
          <w:szCs w:val="28"/>
        </w:rPr>
      </w:pPr>
      <w:r w:rsidRPr="00851426">
        <w:rPr>
          <w:rFonts w:ascii="Arial" w:hAnsi="Arial" w:cs="Arial"/>
          <w:b/>
          <w:bCs/>
          <w:color w:val="0070C0"/>
          <w:sz w:val="28"/>
          <w:szCs w:val="28"/>
        </w:rPr>
        <w:t>2. The Activity Theory:</w:t>
      </w:r>
    </w:p>
    <w:p w14:paraId="45374BC5" w14:textId="18793C23" w:rsidR="00851426" w:rsidRPr="00851426" w:rsidRDefault="00851426" w:rsidP="00851426">
      <w:pPr>
        <w:jc w:val="both"/>
        <w:rPr>
          <w:rFonts w:ascii="Arial" w:hAnsi="Arial" w:cs="Arial"/>
          <w:sz w:val="28"/>
          <w:szCs w:val="28"/>
        </w:rPr>
      </w:pPr>
      <w:r w:rsidRPr="00851426">
        <w:rPr>
          <w:rFonts w:ascii="Arial" w:hAnsi="Arial" w:cs="Arial"/>
          <w:b/>
          <w:bCs/>
          <w:color w:val="0070C0"/>
          <w:sz w:val="28"/>
          <w:szCs w:val="28"/>
        </w:rPr>
        <w:t xml:space="preserve">Overview: </w:t>
      </w:r>
      <w:r w:rsidRPr="00851426">
        <w:rPr>
          <w:rFonts w:ascii="Arial" w:hAnsi="Arial" w:cs="Arial"/>
          <w:sz w:val="28"/>
          <w:szCs w:val="28"/>
        </w:rPr>
        <w:t xml:space="preserve">Proposed by </w:t>
      </w:r>
      <w:proofErr w:type="spellStart"/>
      <w:r w:rsidRPr="00851426">
        <w:rPr>
          <w:rFonts w:ascii="Arial" w:hAnsi="Arial" w:cs="Arial"/>
          <w:sz w:val="28"/>
          <w:szCs w:val="28"/>
        </w:rPr>
        <w:t>Havighurst</w:t>
      </w:r>
      <w:proofErr w:type="spellEnd"/>
      <w:r w:rsidRPr="00851426">
        <w:rPr>
          <w:rFonts w:ascii="Arial" w:hAnsi="Arial" w:cs="Arial"/>
          <w:sz w:val="28"/>
          <w:szCs w:val="28"/>
        </w:rPr>
        <w:t>, Neugarten, and Tobin in 1963, the Activity Theory suggests that a higher level of activity leads to greater life satisfaction in old age.</w:t>
      </w:r>
      <w:r>
        <w:rPr>
          <w:rFonts w:ascii="Arial" w:hAnsi="Arial" w:cs="Arial"/>
          <w:sz w:val="28"/>
          <w:szCs w:val="28"/>
        </w:rPr>
        <w:t xml:space="preserve"> This was formulated in response to the disengagement theory</w:t>
      </w:r>
      <w:r w:rsidR="002A72F4">
        <w:rPr>
          <w:rFonts w:ascii="Arial" w:hAnsi="Arial" w:cs="Arial"/>
          <w:sz w:val="28"/>
          <w:szCs w:val="28"/>
        </w:rPr>
        <w:t>.</w:t>
      </w:r>
    </w:p>
    <w:p w14:paraId="75629DA7" w14:textId="77777777" w:rsidR="00851426" w:rsidRPr="00851426" w:rsidRDefault="00851426" w:rsidP="00851426">
      <w:pPr>
        <w:jc w:val="both"/>
        <w:rPr>
          <w:rFonts w:ascii="Arial" w:hAnsi="Arial" w:cs="Arial"/>
          <w:b/>
          <w:bCs/>
          <w:color w:val="0070C0"/>
          <w:sz w:val="28"/>
          <w:szCs w:val="28"/>
        </w:rPr>
      </w:pPr>
      <w:r w:rsidRPr="00851426">
        <w:rPr>
          <w:rFonts w:ascii="Arial" w:hAnsi="Arial" w:cs="Arial"/>
          <w:b/>
          <w:bCs/>
          <w:color w:val="0070C0"/>
          <w:sz w:val="28"/>
          <w:szCs w:val="28"/>
        </w:rPr>
        <w:t>Key Points:</w:t>
      </w:r>
    </w:p>
    <w:p w14:paraId="63470EBF" w14:textId="77777777" w:rsidR="00851426" w:rsidRPr="002A72F4" w:rsidRDefault="00851426" w:rsidP="002A72F4">
      <w:pPr>
        <w:pStyle w:val="ListParagraph"/>
        <w:numPr>
          <w:ilvl w:val="0"/>
          <w:numId w:val="2"/>
        </w:numPr>
        <w:jc w:val="both"/>
        <w:rPr>
          <w:rFonts w:ascii="Arial" w:hAnsi="Arial" w:cs="Arial"/>
          <w:sz w:val="28"/>
          <w:szCs w:val="28"/>
        </w:rPr>
      </w:pPr>
      <w:r w:rsidRPr="002A72F4">
        <w:rPr>
          <w:rFonts w:ascii="Arial" w:hAnsi="Arial" w:cs="Arial"/>
          <w:sz w:val="28"/>
          <w:szCs w:val="28"/>
        </w:rPr>
        <w:t>Active engagement in physical, social, and mental activities is essential for successful ageing.</w:t>
      </w:r>
    </w:p>
    <w:p w14:paraId="380D91A0" w14:textId="77777777" w:rsidR="00851426" w:rsidRPr="002A72F4" w:rsidRDefault="00851426" w:rsidP="002A72F4">
      <w:pPr>
        <w:pStyle w:val="ListParagraph"/>
        <w:numPr>
          <w:ilvl w:val="0"/>
          <w:numId w:val="2"/>
        </w:numPr>
        <w:jc w:val="both"/>
        <w:rPr>
          <w:rFonts w:ascii="Arial" w:hAnsi="Arial" w:cs="Arial"/>
          <w:sz w:val="28"/>
          <w:szCs w:val="28"/>
        </w:rPr>
      </w:pPr>
      <w:r w:rsidRPr="002A72F4">
        <w:rPr>
          <w:rFonts w:ascii="Arial" w:hAnsi="Arial" w:cs="Arial"/>
          <w:sz w:val="28"/>
          <w:szCs w:val="28"/>
        </w:rPr>
        <w:t>Maintaining a continuous involvement in various pursuits contributes to a positive sense of self.</w:t>
      </w:r>
    </w:p>
    <w:p w14:paraId="7B98719A" w14:textId="77777777" w:rsidR="00851426" w:rsidRPr="00851426" w:rsidRDefault="00851426" w:rsidP="00851426">
      <w:pPr>
        <w:jc w:val="both"/>
        <w:rPr>
          <w:rFonts w:ascii="Arial" w:hAnsi="Arial" w:cs="Arial"/>
          <w:b/>
          <w:bCs/>
          <w:color w:val="0070C0"/>
          <w:sz w:val="28"/>
          <w:szCs w:val="28"/>
        </w:rPr>
      </w:pPr>
      <w:r w:rsidRPr="00851426">
        <w:rPr>
          <w:rFonts w:ascii="Arial" w:hAnsi="Arial" w:cs="Arial"/>
          <w:b/>
          <w:bCs/>
          <w:color w:val="0070C0"/>
          <w:sz w:val="28"/>
          <w:szCs w:val="28"/>
        </w:rPr>
        <w:t>Relevance Today:</w:t>
      </w:r>
    </w:p>
    <w:p w14:paraId="224B0FEB" w14:textId="77777777" w:rsidR="00851426" w:rsidRPr="00851426" w:rsidRDefault="00851426" w:rsidP="00851426">
      <w:pPr>
        <w:jc w:val="both"/>
        <w:rPr>
          <w:rFonts w:ascii="Arial" w:hAnsi="Arial" w:cs="Arial"/>
          <w:sz w:val="28"/>
          <w:szCs w:val="28"/>
        </w:rPr>
      </w:pPr>
      <w:r w:rsidRPr="00851426">
        <w:rPr>
          <w:rFonts w:ascii="Arial" w:hAnsi="Arial" w:cs="Arial"/>
          <w:sz w:val="28"/>
          <w:szCs w:val="28"/>
        </w:rPr>
        <w:t>Health and social care services can incorporate activities and social programs to enhance the overall well-being of older individuals.</w:t>
      </w:r>
    </w:p>
    <w:p w14:paraId="34AE5E4C" w14:textId="77777777" w:rsidR="00851426" w:rsidRDefault="00851426" w:rsidP="00851426">
      <w:pPr>
        <w:jc w:val="both"/>
        <w:rPr>
          <w:rFonts w:ascii="Arial" w:hAnsi="Arial" w:cs="Arial"/>
          <w:sz w:val="28"/>
          <w:szCs w:val="28"/>
        </w:rPr>
      </w:pPr>
      <w:r w:rsidRPr="00851426">
        <w:rPr>
          <w:rFonts w:ascii="Arial" w:hAnsi="Arial" w:cs="Arial"/>
          <w:sz w:val="28"/>
          <w:szCs w:val="28"/>
        </w:rPr>
        <w:t>Promoting lifelong learning and participation in community events can support the principles of the Activity Theory.</w:t>
      </w:r>
    </w:p>
    <w:p w14:paraId="359E4AF8" w14:textId="1EBA901D" w:rsidR="006A57CE" w:rsidRPr="006A57CE" w:rsidRDefault="006A57CE" w:rsidP="00851426">
      <w:pPr>
        <w:jc w:val="both"/>
        <w:rPr>
          <w:rFonts w:ascii="Arial" w:hAnsi="Arial" w:cs="Arial"/>
          <w:b/>
          <w:bCs/>
          <w:color w:val="0070C0"/>
          <w:sz w:val="28"/>
          <w:szCs w:val="28"/>
        </w:rPr>
      </w:pPr>
      <w:r w:rsidRPr="006A57CE">
        <w:rPr>
          <w:rFonts w:ascii="Arial" w:hAnsi="Arial" w:cs="Arial"/>
          <w:b/>
          <w:bCs/>
          <w:color w:val="0070C0"/>
          <w:sz w:val="28"/>
          <w:szCs w:val="28"/>
        </w:rPr>
        <w:t>Critical Evaluation of the Activity Theory</w:t>
      </w:r>
    </w:p>
    <w:p w14:paraId="7EEA9A87" w14:textId="77777777" w:rsidR="006A57CE" w:rsidRPr="006A57CE" w:rsidRDefault="006A57CE" w:rsidP="006A57CE">
      <w:pPr>
        <w:jc w:val="both"/>
        <w:rPr>
          <w:rFonts w:ascii="Arial" w:hAnsi="Arial" w:cs="Arial"/>
          <w:b/>
          <w:bCs/>
          <w:color w:val="0070C0"/>
          <w:sz w:val="28"/>
          <w:szCs w:val="28"/>
        </w:rPr>
      </w:pPr>
      <w:r w:rsidRPr="006A57CE">
        <w:rPr>
          <w:rFonts w:ascii="Arial" w:hAnsi="Arial" w:cs="Arial"/>
          <w:b/>
          <w:bCs/>
          <w:color w:val="0070C0"/>
          <w:sz w:val="28"/>
          <w:szCs w:val="28"/>
        </w:rPr>
        <w:t>Advantages:</w:t>
      </w:r>
    </w:p>
    <w:p w14:paraId="21C77E8E" w14:textId="77777777" w:rsidR="006A57CE" w:rsidRPr="006A57CE" w:rsidRDefault="006A57CE" w:rsidP="006A57CE">
      <w:pPr>
        <w:jc w:val="both"/>
        <w:rPr>
          <w:rFonts w:ascii="Arial" w:hAnsi="Arial" w:cs="Arial"/>
          <w:sz w:val="28"/>
          <w:szCs w:val="28"/>
        </w:rPr>
      </w:pPr>
      <w:r w:rsidRPr="006A57CE">
        <w:rPr>
          <w:rFonts w:ascii="Arial" w:hAnsi="Arial" w:cs="Arial"/>
          <w:b/>
          <w:bCs/>
          <w:color w:val="0070C0"/>
          <w:sz w:val="28"/>
          <w:szCs w:val="28"/>
        </w:rPr>
        <w:t>Promotion of Well-being:</w:t>
      </w:r>
      <w:r w:rsidRPr="006A57CE">
        <w:rPr>
          <w:rFonts w:ascii="Arial" w:hAnsi="Arial" w:cs="Arial"/>
          <w:sz w:val="28"/>
          <w:szCs w:val="28"/>
        </w:rPr>
        <w:t xml:space="preserve"> Encouraging activity and social engagement can contribute to physical and mental well-being in older age.</w:t>
      </w:r>
    </w:p>
    <w:p w14:paraId="7D4EC7BA" w14:textId="063A86B8" w:rsidR="006A57CE" w:rsidRPr="006A57CE" w:rsidRDefault="006A57CE" w:rsidP="006A57CE">
      <w:pPr>
        <w:jc w:val="both"/>
        <w:rPr>
          <w:rFonts w:ascii="Arial" w:hAnsi="Arial" w:cs="Arial"/>
          <w:sz w:val="28"/>
          <w:szCs w:val="28"/>
        </w:rPr>
      </w:pPr>
      <w:r w:rsidRPr="006A57CE">
        <w:rPr>
          <w:rFonts w:ascii="Arial" w:hAnsi="Arial" w:cs="Arial"/>
          <w:b/>
          <w:bCs/>
          <w:color w:val="0070C0"/>
          <w:sz w:val="28"/>
          <w:szCs w:val="28"/>
        </w:rPr>
        <w:t xml:space="preserve">Positive Outlook on Aging: </w:t>
      </w:r>
      <w:r w:rsidRPr="006A57CE">
        <w:rPr>
          <w:rFonts w:ascii="Arial" w:hAnsi="Arial" w:cs="Arial"/>
          <w:sz w:val="28"/>
          <w:szCs w:val="28"/>
        </w:rPr>
        <w:t>The theory presents a positive perspective on ageing, emphasi</w:t>
      </w:r>
      <w:r w:rsidR="00F9731F">
        <w:rPr>
          <w:rFonts w:ascii="Arial" w:hAnsi="Arial" w:cs="Arial"/>
          <w:sz w:val="28"/>
          <w:szCs w:val="28"/>
        </w:rPr>
        <w:t>s</w:t>
      </w:r>
      <w:r w:rsidRPr="006A57CE">
        <w:rPr>
          <w:rFonts w:ascii="Arial" w:hAnsi="Arial" w:cs="Arial"/>
          <w:sz w:val="28"/>
          <w:szCs w:val="28"/>
        </w:rPr>
        <w:t>ing the potential for continued growth and satisfaction through active participation.</w:t>
      </w:r>
    </w:p>
    <w:p w14:paraId="0E9DC2C9" w14:textId="67D354C7" w:rsidR="006A57CE" w:rsidRPr="006A57CE" w:rsidRDefault="006A57CE" w:rsidP="006A57CE">
      <w:pPr>
        <w:jc w:val="both"/>
        <w:rPr>
          <w:rFonts w:ascii="Arial" w:hAnsi="Arial" w:cs="Arial"/>
          <w:b/>
          <w:bCs/>
          <w:color w:val="0070C0"/>
          <w:sz w:val="28"/>
          <w:szCs w:val="28"/>
        </w:rPr>
      </w:pPr>
      <w:r w:rsidRPr="006A57CE">
        <w:rPr>
          <w:rFonts w:ascii="Arial" w:hAnsi="Arial" w:cs="Arial"/>
          <w:b/>
          <w:bCs/>
          <w:color w:val="0070C0"/>
          <w:sz w:val="28"/>
          <w:szCs w:val="28"/>
        </w:rPr>
        <w:t>Limitations:</w:t>
      </w:r>
    </w:p>
    <w:p w14:paraId="554642D4" w14:textId="77777777" w:rsidR="006A57CE" w:rsidRPr="006A57CE" w:rsidRDefault="006A57CE" w:rsidP="006A57CE">
      <w:pPr>
        <w:jc w:val="both"/>
        <w:rPr>
          <w:rFonts w:ascii="Arial" w:hAnsi="Arial" w:cs="Arial"/>
          <w:sz w:val="28"/>
          <w:szCs w:val="28"/>
        </w:rPr>
      </w:pPr>
      <w:r w:rsidRPr="006A57CE">
        <w:rPr>
          <w:rFonts w:ascii="Arial" w:hAnsi="Arial" w:cs="Arial"/>
          <w:b/>
          <w:bCs/>
          <w:color w:val="0070C0"/>
          <w:sz w:val="28"/>
          <w:szCs w:val="28"/>
        </w:rPr>
        <w:t xml:space="preserve">Individual Differences: </w:t>
      </w:r>
      <w:r w:rsidRPr="006A57CE">
        <w:rPr>
          <w:rFonts w:ascii="Arial" w:hAnsi="Arial" w:cs="Arial"/>
          <w:sz w:val="28"/>
          <w:szCs w:val="28"/>
        </w:rPr>
        <w:t>Not all older individuals may desire or be capable of maintaining high levels of activity. The theory may not adequately address variations in health status, preferences, or abilities.</w:t>
      </w:r>
    </w:p>
    <w:p w14:paraId="48DC8234" w14:textId="037EA67F" w:rsidR="006A57CE" w:rsidRDefault="006A57CE" w:rsidP="006A57CE">
      <w:pPr>
        <w:jc w:val="both"/>
        <w:rPr>
          <w:rFonts w:ascii="Arial" w:hAnsi="Arial" w:cs="Arial"/>
          <w:sz w:val="28"/>
          <w:szCs w:val="28"/>
        </w:rPr>
      </w:pPr>
      <w:r w:rsidRPr="006A57CE">
        <w:rPr>
          <w:rFonts w:ascii="Arial" w:hAnsi="Arial" w:cs="Arial"/>
          <w:b/>
          <w:bCs/>
          <w:color w:val="0070C0"/>
          <w:sz w:val="28"/>
          <w:szCs w:val="28"/>
        </w:rPr>
        <w:t xml:space="preserve">Overemphasis on Activity: </w:t>
      </w:r>
      <w:r w:rsidRPr="006A57CE">
        <w:rPr>
          <w:rFonts w:ascii="Arial" w:hAnsi="Arial" w:cs="Arial"/>
          <w:sz w:val="28"/>
          <w:szCs w:val="28"/>
        </w:rPr>
        <w:t>The theory may overlook the importance of internal processes such as reflection and contemplation in older age, focusing primarily on external activities.</w:t>
      </w:r>
    </w:p>
    <w:p w14:paraId="2482EFD0" w14:textId="77777777" w:rsidR="00851426" w:rsidRDefault="00851426" w:rsidP="00851426">
      <w:pPr>
        <w:jc w:val="both"/>
        <w:rPr>
          <w:rFonts w:ascii="Arial" w:hAnsi="Arial" w:cs="Arial"/>
          <w:sz w:val="28"/>
          <w:szCs w:val="28"/>
        </w:rPr>
      </w:pPr>
    </w:p>
    <w:p w14:paraId="0A5DDCBA" w14:textId="77777777" w:rsidR="006A57CE" w:rsidRDefault="006A57CE" w:rsidP="00851426">
      <w:pPr>
        <w:jc w:val="both"/>
        <w:rPr>
          <w:rFonts w:ascii="Arial" w:hAnsi="Arial" w:cs="Arial"/>
          <w:sz w:val="28"/>
          <w:szCs w:val="28"/>
        </w:rPr>
      </w:pPr>
    </w:p>
    <w:p w14:paraId="468B88CD" w14:textId="77777777" w:rsidR="002A72F4" w:rsidRDefault="002A72F4" w:rsidP="00851426">
      <w:pPr>
        <w:jc w:val="both"/>
        <w:rPr>
          <w:rFonts w:ascii="Arial" w:hAnsi="Arial" w:cs="Arial"/>
          <w:sz w:val="28"/>
          <w:szCs w:val="28"/>
        </w:rPr>
      </w:pPr>
    </w:p>
    <w:p w14:paraId="501BA5E8" w14:textId="77777777" w:rsidR="002A72F4" w:rsidRDefault="002A72F4" w:rsidP="00851426">
      <w:pPr>
        <w:jc w:val="both"/>
        <w:rPr>
          <w:rFonts w:ascii="Arial" w:hAnsi="Arial" w:cs="Arial"/>
          <w:sz w:val="28"/>
          <w:szCs w:val="28"/>
        </w:rPr>
      </w:pPr>
    </w:p>
    <w:p w14:paraId="12233C61" w14:textId="77777777" w:rsidR="006A57CE" w:rsidRPr="00851426" w:rsidRDefault="006A57CE" w:rsidP="00851426">
      <w:pPr>
        <w:jc w:val="both"/>
        <w:rPr>
          <w:rFonts w:ascii="Arial" w:hAnsi="Arial" w:cs="Arial"/>
          <w:sz w:val="28"/>
          <w:szCs w:val="28"/>
        </w:rPr>
      </w:pPr>
    </w:p>
    <w:p w14:paraId="20645EBB" w14:textId="77777777" w:rsidR="00851426" w:rsidRPr="00851426" w:rsidRDefault="00851426" w:rsidP="00851426">
      <w:pPr>
        <w:jc w:val="both"/>
        <w:rPr>
          <w:rFonts w:ascii="Arial" w:hAnsi="Arial" w:cs="Arial"/>
          <w:b/>
          <w:bCs/>
          <w:color w:val="00B050"/>
          <w:sz w:val="28"/>
          <w:szCs w:val="28"/>
        </w:rPr>
      </w:pPr>
      <w:r w:rsidRPr="00851426">
        <w:rPr>
          <w:rFonts w:ascii="Arial" w:hAnsi="Arial" w:cs="Arial"/>
          <w:b/>
          <w:bCs/>
          <w:color w:val="00B050"/>
          <w:sz w:val="28"/>
          <w:szCs w:val="28"/>
        </w:rPr>
        <w:t>3. Continuity Theory:</w:t>
      </w:r>
    </w:p>
    <w:p w14:paraId="308B7A0E" w14:textId="6CAC9BE1" w:rsidR="00851426" w:rsidRPr="00851426" w:rsidRDefault="00851426" w:rsidP="00851426">
      <w:pPr>
        <w:jc w:val="both"/>
        <w:rPr>
          <w:rFonts w:ascii="Arial" w:hAnsi="Arial" w:cs="Arial"/>
          <w:sz w:val="28"/>
          <w:szCs w:val="28"/>
        </w:rPr>
      </w:pPr>
      <w:r w:rsidRPr="00851426">
        <w:rPr>
          <w:rFonts w:ascii="Arial" w:hAnsi="Arial" w:cs="Arial"/>
          <w:b/>
          <w:bCs/>
          <w:color w:val="00B050"/>
          <w:sz w:val="28"/>
          <w:szCs w:val="28"/>
        </w:rPr>
        <w:t xml:space="preserve">Overview: </w:t>
      </w:r>
      <w:r w:rsidRPr="00851426">
        <w:rPr>
          <w:rFonts w:ascii="Arial" w:hAnsi="Arial" w:cs="Arial"/>
          <w:sz w:val="28"/>
          <w:szCs w:val="28"/>
        </w:rPr>
        <w:t>The Continuity Theory, proposed by Robert Atchley in 1989, suggests that individuals maintain a consistent pattern of behaviour throughout their lives, adapting and refining their lifestyle as they age.</w:t>
      </w:r>
    </w:p>
    <w:p w14:paraId="71D64812" w14:textId="77777777" w:rsidR="00851426" w:rsidRPr="00851426" w:rsidRDefault="00851426" w:rsidP="00851426">
      <w:pPr>
        <w:jc w:val="both"/>
        <w:rPr>
          <w:rFonts w:ascii="Arial" w:hAnsi="Arial" w:cs="Arial"/>
          <w:b/>
          <w:bCs/>
          <w:color w:val="00B050"/>
          <w:sz w:val="28"/>
          <w:szCs w:val="28"/>
        </w:rPr>
      </w:pPr>
      <w:r w:rsidRPr="00851426">
        <w:rPr>
          <w:rFonts w:ascii="Arial" w:hAnsi="Arial" w:cs="Arial"/>
          <w:b/>
          <w:bCs/>
          <w:color w:val="00B050"/>
          <w:sz w:val="28"/>
          <w:szCs w:val="28"/>
        </w:rPr>
        <w:t>Key Points:</w:t>
      </w:r>
    </w:p>
    <w:p w14:paraId="4497C456" w14:textId="77777777" w:rsidR="00851426" w:rsidRPr="002A72F4" w:rsidRDefault="00851426" w:rsidP="002A72F4">
      <w:pPr>
        <w:pStyle w:val="ListParagraph"/>
        <w:numPr>
          <w:ilvl w:val="0"/>
          <w:numId w:val="3"/>
        </w:numPr>
        <w:jc w:val="both"/>
        <w:rPr>
          <w:rFonts w:ascii="Arial" w:hAnsi="Arial" w:cs="Arial"/>
          <w:sz w:val="28"/>
          <w:szCs w:val="28"/>
        </w:rPr>
      </w:pPr>
      <w:r w:rsidRPr="002A72F4">
        <w:rPr>
          <w:rFonts w:ascii="Arial" w:hAnsi="Arial" w:cs="Arial"/>
          <w:sz w:val="28"/>
          <w:szCs w:val="28"/>
        </w:rPr>
        <w:t>Individuals strive to maintain a sense of continuity in their habits, preferences, and relationships.</w:t>
      </w:r>
    </w:p>
    <w:p w14:paraId="0D54035E" w14:textId="77777777" w:rsidR="00851426" w:rsidRPr="002A72F4" w:rsidRDefault="00851426" w:rsidP="002A72F4">
      <w:pPr>
        <w:pStyle w:val="ListParagraph"/>
        <w:numPr>
          <w:ilvl w:val="0"/>
          <w:numId w:val="3"/>
        </w:numPr>
        <w:jc w:val="both"/>
        <w:rPr>
          <w:rFonts w:ascii="Arial" w:hAnsi="Arial" w:cs="Arial"/>
          <w:sz w:val="28"/>
          <w:szCs w:val="28"/>
        </w:rPr>
      </w:pPr>
      <w:r w:rsidRPr="002A72F4">
        <w:rPr>
          <w:rFonts w:ascii="Arial" w:hAnsi="Arial" w:cs="Arial"/>
          <w:sz w:val="28"/>
          <w:szCs w:val="28"/>
        </w:rPr>
        <w:t>Successful adaptation to age-related changes involves building on existing life structures.</w:t>
      </w:r>
    </w:p>
    <w:p w14:paraId="6B11E4BE" w14:textId="77777777" w:rsidR="00851426" w:rsidRPr="00851426" w:rsidRDefault="00851426" w:rsidP="00851426">
      <w:pPr>
        <w:jc w:val="both"/>
        <w:rPr>
          <w:rFonts w:ascii="Arial" w:hAnsi="Arial" w:cs="Arial"/>
          <w:b/>
          <w:bCs/>
          <w:color w:val="00B050"/>
          <w:sz w:val="28"/>
          <w:szCs w:val="28"/>
        </w:rPr>
      </w:pPr>
      <w:r w:rsidRPr="00851426">
        <w:rPr>
          <w:rFonts w:ascii="Arial" w:hAnsi="Arial" w:cs="Arial"/>
          <w:b/>
          <w:bCs/>
          <w:color w:val="00B050"/>
          <w:sz w:val="28"/>
          <w:szCs w:val="28"/>
        </w:rPr>
        <w:t>Relevance Today:</w:t>
      </w:r>
    </w:p>
    <w:p w14:paraId="288144B0" w14:textId="51A43016" w:rsidR="00851426" w:rsidRPr="00851426" w:rsidRDefault="00851426" w:rsidP="00851426">
      <w:pPr>
        <w:jc w:val="both"/>
        <w:rPr>
          <w:rFonts w:ascii="Arial" w:hAnsi="Arial" w:cs="Arial"/>
          <w:sz w:val="28"/>
          <w:szCs w:val="28"/>
        </w:rPr>
      </w:pPr>
      <w:r w:rsidRPr="00851426">
        <w:rPr>
          <w:rFonts w:ascii="Arial" w:hAnsi="Arial" w:cs="Arial"/>
          <w:sz w:val="28"/>
          <w:szCs w:val="28"/>
        </w:rPr>
        <w:t>Health and social care services should recognise and support older individuals in maintaining continuity in their lives.</w:t>
      </w:r>
    </w:p>
    <w:p w14:paraId="518A64AC" w14:textId="654C6788" w:rsidR="00851426" w:rsidRDefault="00851426" w:rsidP="00851426">
      <w:pPr>
        <w:jc w:val="both"/>
        <w:rPr>
          <w:rFonts w:ascii="Arial" w:hAnsi="Arial" w:cs="Arial"/>
          <w:sz w:val="28"/>
          <w:szCs w:val="28"/>
        </w:rPr>
      </w:pPr>
      <w:r w:rsidRPr="00851426">
        <w:rPr>
          <w:rFonts w:ascii="Arial" w:hAnsi="Arial" w:cs="Arial"/>
          <w:sz w:val="28"/>
          <w:szCs w:val="28"/>
        </w:rPr>
        <w:t>Care plans might focus on preserving familiar routines, relationships, and cultural connections.</w:t>
      </w:r>
    </w:p>
    <w:p w14:paraId="049D5E23" w14:textId="5C105CD9" w:rsidR="006A57CE" w:rsidRDefault="006A57CE" w:rsidP="00851426">
      <w:pPr>
        <w:jc w:val="both"/>
        <w:rPr>
          <w:rFonts w:ascii="Arial" w:hAnsi="Arial" w:cs="Arial"/>
          <w:b/>
          <w:bCs/>
          <w:color w:val="00B050"/>
          <w:sz w:val="28"/>
          <w:szCs w:val="28"/>
        </w:rPr>
      </w:pPr>
      <w:r w:rsidRPr="006A57CE">
        <w:rPr>
          <w:rFonts w:ascii="Arial" w:hAnsi="Arial" w:cs="Arial"/>
          <w:b/>
          <w:bCs/>
          <w:color w:val="00B050"/>
          <w:sz w:val="28"/>
          <w:szCs w:val="28"/>
        </w:rPr>
        <w:t>Critical Evaluation of the Continuity Theory</w:t>
      </w:r>
    </w:p>
    <w:p w14:paraId="6366B7D8" w14:textId="67652D0F" w:rsidR="006A57CE" w:rsidRPr="006A57CE" w:rsidRDefault="006A57CE" w:rsidP="006A57CE">
      <w:pPr>
        <w:jc w:val="both"/>
        <w:rPr>
          <w:rFonts w:ascii="Arial" w:hAnsi="Arial" w:cs="Arial"/>
          <w:b/>
          <w:bCs/>
          <w:color w:val="00B050"/>
          <w:sz w:val="28"/>
          <w:szCs w:val="28"/>
        </w:rPr>
      </w:pPr>
      <w:r w:rsidRPr="006A57CE">
        <w:rPr>
          <w:rFonts w:ascii="Arial" w:hAnsi="Arial" w:cs="Arial"/>
          <w:b/>
          <w:bCs/>
          <w:color w:val="00B050"/>
          <w:sz w:val="28"/>
          <w:szCs w:val="28"/>
        </w:rPr>
        <w:t>Advantages:</w:t>
      </w:r>
    </w:p>
    <w:p w14:paraId="76A7CFA1" w14:textId="6F7EA7CD" w:rsidR="006A57CE" w:rsidRPr="006A57CE" w:rsidRDefault="006A57CE" w:rsidP="006A57CE">
      <w:pPr>
        <w:jc w:val="both"/>
        <w:rPr>
          <w:rFonts w:ascii="Arial" w:hAnsi="Arial" w:cs="Arial"/>
          <w:b/>
          <w:bCs/>
          <w:color w:val="00B050"/>
          <w:sz w:val="28"/>
          <w:szCs w:val="28"/>
        </w:rPr>
      </w:pPr>
      <w:r w:rsidRPr="006A57CE">
        <w:rPr>
          <w:rFonts w:ascii="Arial" w:hAnsi="Arial" w:cs="Arial"/>
          <w:b/>
          <w:bCs/>
          <w:color w:val="00B050"/>
          <w:sz w:val="28"/>
          <w:szCs w:val="28"/>
        </w:rPr>
        <w:t>Individuali</w:t>
      </w:r>
      <w:r w:rsidR="00F9731F">
        <w:rPr>
          <w:rFonts w:ascii="Arial" w:hAnsi="Arial" w:cs="Arial"/>
          <w:b/>
          <w:bCs/>
          <w:color w:val="00B050"/>
          <w:sz w:val="28"/>
          <w:szCs w:val="28"/>
        </w:rPr>
        <w:t>s</w:t>
      </w:r>
      <w:r w:rsidRPr="006A57CE">
        <w:rPr>
          <w:rFonts w:ascii="Arial" w:hAnsi="Arial" w:cs="Arial"/>
          <w:b/>
          <w:bCs/>
          <w:color w:val="00B050"/>
          <w:sz w:val="28"/>
          <w:szCs w:val="28"/>
        </w:rPr>
        <w:t xml:space="preserve">ed Approach: </w:t>
      </w:r>
      <w:r w:rsidRPr="006A57CE">
        <w:rPr>
          <w:rFonts w:ascii="Arial" w:hAnsi="Arial" w:cs="Arial"/>
          <w:sz w:val="28"/>
          <w:szCs w:val="28"/>
        </w:rPr>
        <w:t>Recogni</w:t>
      </w:r>
      <w:r w:rsidR="00F9731F">
        <w:rPr>
          <w:rFonts w:ascii="Arial" w:hAnsi="Arial" w:cs="Arial"/>
          <w:sz w:val="28"/>
          <w:szCs w:val="28"/>
        </w:rPr>
        <w:t>s</w:t>
      </w:r>
      <w:r w:rsidRPr="006A57CE">
        <w:rPr>
          <w:rFonts w:ascii="Arial" w:hAnsi="Arial" w:cs="Arial"/>
          <w:sz w:val="28"/>
          <w:szCs w:val="28"/>
        </w:rPr>
        <w:t>ing the importance of continuity allows for a more individuali</w:t>
      </w:r>
      <w:r w:rsidR="00F9731F">
        <w:rPr>
          <w:rFonts w:ascii="Arial" w:hAnsi="Arial" w:cs="Arial"/>
          <w:sz w:val="28"/>
          <w:szCs w:val="28"/>
        </w:rPr>
        <w:t>s</w:t>
      </w:r>
      <w:r w:rsidRPr="006A57CE">
        <w:rPr>
          <w:rFonts w:ascii="Arial" w:hAnsi="Arial" w:cs="Arial"/>
          <w:sz w:val="28"/>
          <w:szCs w:val="28"/>
        </w:rPr>
        <w:t>ed approach to care, acknowledging the unique life experiences and preferences of each older person.</w:t>
      </w:r>
    </w:p>
    <w:p w14:paraId="1ED53E7D" w14:textId="77777777" w:rsidR="006A57CE" w:rsidRPr="006A57CE" w:rsidRDefault="006A57CE" w:rsidP="006A57CE">
      <w:pPr>
        <w:jc w:val="both"/>
        <w:rPr>
          <w:rFonts w:ascii="Arial" w:hAnsi="Arial" w:cs="Arial"/>
          <w:b/>
          <w:bCs/>
          <w:color w:val="00B050"/>
          <w:sz w:val="28"/>
          <w:szCs w:val="28"/>
        </w:rPr>
      </w:pPr>
      <w:r w:rsidRPr="006A57CE">
        <w:rPr>
          <w:rFonts w:ascii="Arial" w:hAnsi="Arial" w:cs="Arial"/>
          <w:b/>
          <w:bCs/>
          <w:color w:val="00B050"/>
          <w:sz w:val="28"/>
          <w:szCs w:val="28"/>
        </w:rPr>
        <w:t xml:space="preserve">Adaptability: </w:t>
      </w:r>
      <w:r w:rsidRPr="006A57CE">
        <w:rPr>
          <w:rFonts w:ascii="Arial" w:hAnsi="Arial" w:cs="Arial"/>
          <w:sz w:val="28"/>
          <w:szCs w:val="28"/>
        </w:rPr>
        <w:t>The theory acknowledges that individuals can adapt and find new ways to maintain continuity, fostering resilience in the face of age-related changes.</w:t>
      </w:r>
    </w:p>
    <w:p w14:paraId="0854E0CB" w14:textId="67F970B1" w:rsidR="006A57CE" w:rsidRPr="006A57CE" w:rsidRDefault="006A57CE" w:rsidP="006A57CE">
      <w:pPr>
        <w:jc w:val="both"/>
        <w:rPr>
          <w:rFonts w:ascii="Arial" w:hAnsi="Arial" w:cs="Arial"/>
          <w:b/>
          <w:bCs/>
          <w:color w:val="00B050"/>
          <w:sz w:val="28"/>
          <w:szCs w:val="28"/>
        </w:rPr>
      </w:pPr>
      <w:r w:rsidRPr="006A57CE">
        <w:rPr>
          <w:rFonts w:ascii="Arial" w:hAnsi="Arial" w:cs="Arial"/>
          <w:b/>
          <w:bCs/>
          <w:color w:val="00B050"/>
          <w:sz w:val="28"/>
          <w:szCs w:val="28"/>
        </w:rPr>
        <w:t>Limitations:</w:t>
      </w:r>
    </w:p>
    <w:p w14:paraId="3B407CD3" w14:textId="77777777" w:rsidR="006A57CE" w:rsidRPr="006A57CE" w:rsidRDefault="006A57CE" w:rsidP="006A57CE">
      <w:pPr>
        <w:jc w:val="both"/>
        <w:rPr>
          <w:rFonts w:ascii="Arial" w:hAnsi="Arial" w:cs="Arial"/>
          <w:b/>
          <w:bCs/>
          <w:color w:val="00B050"/>
          <w:sz w:val="28"/>
          <w:szCs w:val="28"/>
        </w:rPr>
      </w:pPr>
      <w:r w:rsidRPr="006A57CE">
        <w:rPr>
          <w:rFonts w:ascii="Arial" w:hAnsi="Arial" w:cs="Arial"/>
          <w:b/>
          <w:bCs/>
          <w:color w:val="00B050"/>
          <w:sz w:val="28"/>
          <w:szCs w:val="28"/>
        </w:rPr>
        <w:t xml:space="preserve">Assumption of Stability: </w:t>
      </w:r>
      <w:r w:rsidRPr="006A57CE">
        <w:rPr>
          <w:rFonts w:ascii="Arial" w:hAnsi="Arial" w:cs="Arial"/>
          <w:sz w:val="28"/>
          <w:szCs w:val="28"/>
        </w:rPr>
        <w:t>The theory assumes a certain degree of stability in an individual's personality and preferences, which may not hold true for everyone, especially those experiencing significant life events or health challenges.</w:t>
      </w:r>
    </w:p>
    <w:p w14:paraId="6CB33B45" w14:textId="34018385" w:rsidR="006A57CE" w:rsidRDefault="006A57CE" w:rsidP="006A57CE">
      <w:pPr>
        <w:jc w:val="both"/>
        <w:rPr>
          <w:rFonts w:ascii="Arial" w:hAnsi="Arial" w:cs="Arial"/>
          <w:sz w:val="28"/>
          <w:szCs w:val="28"/>
        </w:rPr>
      </w:pPr>
      <w:r w:rsidRPr="006A57CE">
        <w:rPr>
          <w:rFonts w:ascii="Arial" w:hAnsi="Arial" w:cs="Arial"/>
          <w:b/>
          <w:bCs/>
          <w:color w:val="00B050"/>
          <w:sz w:val="28"/>
          <w:szCs w:val="28"/>
        </w:rPr>
        <w:t xml:space="preserve">Neglect of New Opportunities: </w:t>
      </w:r>
      <w:r w:rsidRPr="006A57CE">
        <w:rPr>
          <w:rFonts w:ascii="Arial" w:hAnsi="Arial" w:cs="Arial"/>
          <w:sz w:val="28"/>
          <w:szCs w:val="28"/>
        </w:rPr>
        <w:t>Overemphasis on continuity might discourage exploration of new opportunities or adaptations to changing circumstances in older age.</w:t>
      </w:r>
    </w:p>
    <w:p w14:paraId="7C84B950" w14:textId="77777777" w:rsidR="006A57CE" w:rsidRPr="006A57CE" w:rsidRDefault="006A57CE" w:rsidP="006A57CE">
      <w:pPr>
        <w:jc w:val="both"/>
        <w:rPr>
          <w:rFonts w:ascii="Arial" w:hAnsi="Arial" w:cs="Arial"/>
          <w:b/>
          <w:bCs/>
          <w:color w:val="00B050"/>
          <w:sz w:val="28"/>
          <w:szCs w:val="28"/>
        </w:rPr>
      </w:pPr>
    </w:p>
    <w:p w14:paraId="27B72900" w14:textId="532FA150" w:rsidR="00851426" w:rsidRPr="00851426" w:rsidRDefault="00851426" w:rsidP="00851426">
      <w:pPr>
        <w:jc w:val="both"/>
        <w:rPr>
          <w:rFonts w:ascii="Arial" w:hAnsi="Arial" w:cs="Arial"/>
          <w:b/>
          <w:bCs/>
          <w:sz w:val="28"/>
          <w:szCs w:val="28"/>
        </w:rPr>
      </w:pPr>
      <w:r w:rsidRPr="00851426">
        <w:rPr>
          <w:rFonts w:ascii="Arial" w:hAnsi="Arial" w:cs="Arial"/>
          <w:b/>
          <w:bCs/>
          <w:sz w:val="28"/>
          <w:szCs w:val="28"/>
        </w:rPr>
        <w:t>Examples of Relevance to Older People in Health and Social Care:</w:t>
      </w:r>
    </w:p>
    <w:p w14:paraId="55BC901B" w14:textId="27AFCD04" w:rsidR="00851426" w:rsidRPr="00851426" w:rsidRDefault="00851426" w:rsidP="00851426">
      <w:pPr>
        <w:jc w:val="both"/>
        <w:rPr>
          <w:rFonts w:ascii="Arial" w:hAnsi="Arial" w:cs="Arial"/>
          <w:b/>
          <w:bCs/>
          <w:color w:val="7030A0"/>
          <w:sz w:val="28"/>
          <w:szCs w:val="28"/>
        </w:rPr>
      </w:pPr>
      <w:r w:rsidRPr="00851426">
        <w:rPr>
          <w:rFonts w:ascii="Arial" w:hAnsi="Arial" w:cs="Arial"/>
          <w:b/>
          <w:bCs/>
          <w:color w:val="7030A0"/>
          <w:sz w:val="28"/>
          <w:szCs w:val="28"/>
        </w:rPr>
        <w:t>Disengagement Theory:</w:t>
      </w:r>
    </w:p>
    <w:p w14:paraId="3DF14096" w14:textId="643EBCC1" w:rsidR="00851426" w:rsidRPr="00851426" w:rsidRDefault="00851426" w:rsidP="00851426">
      <w:pPr>
        <w:jc w:val="both"/>
        <w:rPr>
          <w:rFonts w:ascii="Arial" w:hAnsi="Arial" w:cs="Arial"/>
          <w:sz w:val="28"/>
          <w:szCs w:val="28"/>
        </w:rPr>
      </w:pPr>
      <w:r w:rsidRPr="00851426">
        <w:rPr>
          <w:rFonts w:ascii="Arial" w:hAnsi="Arial" w:cs="Arial"/>
          <w:b/>
          <w:bCs/>
          <w:color w:val="7030A0"/>
          <w:sz w:val="28"/>
          <w:szCs w:val="28"/>
        </w:rPr>
        <w:t xml:space="preserve">Example: </w:t>
      </w:r>
      <w:r w:rsidRPr="00851426">
        <w:rPr>
          <w:rFonts w:ascii="Arial" w:hAnsi="Arial" w:cs="Arial"/>
          <w:sz w:val="28"/>
          <w:szCs w:val="28"/>
        </w:rPr>
        <w:t>An older individual in a care home may choose a more private lifestyle, and health and social care professionals should respect this choice, providing personalised care that aligns with their preferences for social engagement.</w:t>
      </w:r>
      <w:r w:rsidR="006A57CE" w:rsidRPr="006A57CE">
        <w:t xml:space="preserve"> </w:t>
      </w:r>
      <w:r w:rsidR="006A57CE" w:rsidRPr="006A57CE">
        <w:rPr>
          <w:rFonts w:ascii="Arial" w:hAnsi="Arial" w:cs="Arial"/>
          <w:sz w:val="28"/>
          <w:szCs w:val="28"/>
        </w:rPr>
        <w:t>This could involve providing a private living space, ensuring confidentiality in personal matters, and facilitating activities or interactions based on their level of comfort. The advantage lies in promoting the autonomy of the individual, allowing them to disengage to a degree that suits their preferences. However, the limitation arises when assumptions about willing disengagement are made; professionals should be attentive to potential factors like loneliness or health issues influencing the individual's choices.</w:t>
      </w:r>
    </w:p>
    <w:p w14:paraId="35D59E3F" w14:textId="343B3C75" w:rsidR="00851426" w:rsidRPr="00851426" w:rsidRDefault="00851426" w:rsidP="00851426">
      <w:pPr>
        <w:jc w:val="both"/>
        <w:rPr>
          <w:rFonts w:ascii="Arial" w:hAnsi="Arial" w:cs="Arial"/>
          <w:b/>
          <w:bCs/>
          <w:color w:val="0070C0"/>
          <w:sz w:val="28"/>
          <w:szCs w:val="28"/>
        </w:rPr>
      </w:pPr>
      <w:r w:rsidRPr="00851426">
        <w:rPr>
          <w:rFonts w:ascii="Arial" w:hAnsi="Arial" w:cs="Arial"/>
          <w:b/>
          <w:bCs/>
          <w:color w:val="0070C0"/>
          <w:sz w:val="28"/>
          <w:szCs w:val="28"/>
        </w:rPr>
        <w:t>Activity Theory:</w:t>
      </w:r>
    </w:p>
    <w:p w14:paraId="5F24B585" w14:textId="07AAB55F" w:rsidR="00851426" w:rsidRPr="00851426" w:rsidRDefault="00851426" w:rsidP="00851426">
      <w:pPr>
        <w:jc w:val="both"/>
        <w:rPr>
          <w:rFonts w:ascii="Arial" w:hAnsi="Arial" w:cs="Arial"/>
          <w:sz w:val="28"/>
          <w:szCs w:val="28"/>
        </w:rPr>
      </w:pPr>
      <w:r w:rsidRPr="00851426">
        <w:rPr>
          <w:rFonts w:ascii="Arial" w:hAnsi="Arial" w:cs="Arial"/>
          <w:b/>
          <w:bCs/>
          <w:color w:val="0070C0"/>
          <w:sz w:val="28"/>
          <w:szCs w:val="28"/>
        </w:rPr>
        <w:t>Example:</w:t>
      </w:r>
      <w:r w:rsidRPr="00851426">
        <w:rPr>
          <w:rFonts w:ascii="Arial" w:hAnsi="Arial" w:cs="Arial"/>
          <w:sz w:val="28"/>
          <w:szCs w:val="28"/>
        </w:rPr>
        <w:t xml:space="preserve"> Health and social care services may organise group activities, such as exercise classes or social events, to promote active engagement among older individuals, contributing to their physical and mental well-being.</w:t>
      </w:r>
      <w:r w:rsidR="006A57CE" w:rsidRPr="006A57CE">
        <w:t xml:space="preserve"> </w:t>
      </w:r>
      <w:r w:rsidR="006A57CE" w:rsidRPr="006A57CE">
        <w:rPr>
          <w:rFonts w:ascii="Arial" w:hAnsi="Arial" w:cs="Arial"/>
          <w:sz w:val="28"/>
          <w:szCs w:val="28"/>
        </w:rPr>
        <w:t>This could include exercise classes, art workshops, or social events. The advantage is the potential enhancement of overall well-being through active participation. However, the limitation lies in recogni</w:t>
      </w:r>
      <w:r w:rsidR="00F9731F">
        <w:rPr>
          <w:rFonts w:ascii="Arial" w:hAnsi="Arial" w:cs="Arial"/>
          <w:sz w:val="28"/>
          <w:szCs w:val="28"/>
        </w:rPr>
        <w:t>s</w:t>
      </w:r>
      <w:r w:rsidR="006A57CE" w:rsidRPr="006A57CE">
        <w:rPr>
          <w:rFonts w:ascii="Arial" w:hAnsi="Arial" w:cs="Arial"/>
          <w:sz w:val="28"/>
          <w:szCs w:val="28"/>
        </w:rPr>
        <w:t xml:space="preserve">ing the diversity of older individuals; not everyone may find the same activities appealing or feasible due to health conditions. Therefore, a tailored approach is necessary, considering individual preferences and abilities. </w:t>
      </w:r>
    </w:p>
    <w:p w14:paraId="2E7D19EB" w14:textId="7BB049B5" w:rsidR="00851426" w:rsidRPr="00851426" w:rsidRDefault="00851426" w:rsidP="00851426">
      <w:pPr>
        <w:jc w:val="both"/>
        <w:rPr>
          <w:rFonts w:ascii="Arial" w:hAnsi="Arial" w:cs="Arial"/>
          <w:b/>
          <w:bCs/>
          <w:color w:val="00B050"/>
          <w:sz w:val="28"/>
          <w:szCs w:val="28"/>
        </w:rPr>
      </w:pPr>
      <w:r w:rsidRPr="00851426">
        <w:rPr>
          <w:rFonts w:ascii="Arial" w:hAnsi="Arial" w:cs="Arial"/>
          <w:b/>
          <w:bCs/>
          <w:color w:val="00B050"/>
          <w:sz w:val="28"/>
          <w:szCs w:val="28"/>
        </w:rPr>
        <w:t>Continuity Theory:</w:t>
      </w:r>
    </w:p>
    <w:p w14:paraId="10580C37" w14:textId="29534598" w:rsidR="00851426" w:rsidRDefault="00851426" w:rsidP="00851426">
      <w:pPr>
        <w:jc w:val="both"/>
        <w:rPr>
          <w:rFonts w:ascii="Arial" w:hAnsi="Arial" w:cs="Arial"/>
          <w:sz w:val="28"/>
          <w:szCs w:val="28"/>
        </w:rPr>
      </w:pPr>
      <w:r w:rsidRPr="00851426">
        <w:rPr>
          <w:rFonts w:ascii="Arial" w:hAnsi="Arial" w:cs="Arial"/>
          <w:b/>
          <w:bCs/>
          <w:color w:val="00B050"/>
          <w:sz w:val="28"/>
          <w:szCs w:val="28"/>
        </w:rPr>
        <w:t xml:space="preserve">Example: </w:t>
      </w:r>
      <w:r w:rsidRPr="00851426">
        <w:rPr>
          <w:rFonts w:ascii="Arial" w:hAnsi="Arial" w:cs="Arial"/>
          <w:sz w:val="28"/>
          <w:szCs w:val="28"/>
        </w:rPr>
        <w:t>Recognising an older person's lifelong interest in a particular hobby, health and social care professionals can facilitate continued participation, ensuring a sense of continuity and purpose in their daily lives.</w:t>
      </w:r>
      <w:r w:rsidR="008F3F05" w:rsidRPr="008F3F05">
        <w:t xml:space="preserve"> </w:t>
      </w:r>
      <w:r w:rsidR="008F3F05" w:rsidRPr="008F3F05">
        <w:rPr>
          <w:rFonts w:ascii="Arial" w:hAnsi="Arial" w:cs="Arial"/>
          <w:sz w:val="28"/>
          <w:szCs w:val="28"/>
        </w:rPr>
        <w:t>For instance, if an individual has a lifelong interest in a specific hobby, health and social care services can facilitate continued participation. This contributes to a sense of familiarity and purpose. However, the limitation arises when there's an inflexible adherence to continuity, potentially hindering the exploration of new interests or adaptations to changing circumstances. Person centred care plans should balance continuity with the promotion of well-being through flexibility.</w:t>
      </w:r>
    </w:p>
    <w:p w14:paraId="65A1F618" w14:textId="77777777" w:rsidR="006A57CE" w:rsidRPr="00851426" w:rsidRDefault="006A57CE" w:rsidP="00851426">
      <w:pPr>
        <w:jc w:val="both"/>
        <w:rPr>
          <w:rFonts w:ascii="Arial" w:hAnsi="Arial" w:cs="Arial"/>
          <w:sz w:val="28"/>
          <w:szCs w:val="28"/>
        </w:rPr>
      </w:pPr>
    </w:p>
    <w:p w14:paraId="467F9A92" w14:textId="69BC41DA" w:rsidR="006A57CE" w:rsidRPr="006A57CE" w:rsidRDefault="006A57CE" w:rsidP="00851426">
      <w:pPr>
        <w:jc w:val="both"/>
        <w:rPr>
          <w:rFonts w:ascii="Arial" w:hAnsi="Arial" w:cs="Arial"/>
          <w:b/>
          <w:bCs/>
          <w:color w:val="FF0000"/>
          <w:sz w:val="28"/>
          <w:szCs w:val="28"/>
        </w:rPr>
      </w:pPr>
      <w:r w:rsidRPr="006A57CE">
        <w:rPr>
          <w:rFonts w:ascii="Arial" w:hAnsi="Arial" w:cs="Arial"/>
          <w:b/>
          <w:bCs/>
          <w:color w:val="FF0000"/>
          <w:sz w:val="28"/>
          <w:szCs w:val="28"/>
        </w:rPr>
        <w:t>Critique of the above theories</w:t>
      </w:r>
    </w:p>
    <w:p w14:paraId="423679E8" w14:textId="77777777" w:rsidR="006A57CE" w:rsidRPr="006A57CE" w:rsidRDefault="006A57CE" w:rsidP="006A57CE">
      <w:pPr>
        <w:jc w:val="both"/>
        <w:rPr>
          <w:rFonts w:ascii="Arial" w:hAnsi="Arial" w:cs="Arial"/>
          <w:b/>
          <w:bCs/>
          <w:sz w:val="28"/>
          <w:szCs w:val="28"/>
        </w:rPr>
      </w:pPr>
      <w:r w:rsidRPr="006A57CE">
        <w:rPr>
          <w:rFonts w:ascii="Arial" w:hAnsi="Arial" w:cs="Arial"/>
          <w:b/>
          <w:bCs/>
          <w:sz w:val="28"/>
          <w:szCs w:val="28"/>
        </w:rPr>
        <w:t xml:space="preserve">Diversity of Aging: </w:t>
      </w:r>
      <w:r w:rsidRPr="006A57CE">
        <w:rPr>
          <w:rFonts w:ascii="Arial" w:hAnsi="Arial" w:cs="Arial"/>
          <w:sz w:val="28"/>
          <w:szCs w:val="28"/>
        </w:rPr>
        <w:t>One common limitation across these theories is a potential oversimplification of the ageing process. Older individuals are a diverse group with varying needs, preferences, and experiences that cannot be fully captured by a single theory.</w:t>
      </w:r>
    </w:p>
    <w:p w14:paraId="3EEF8363" w14:textId="77777777" w:rsidR="006A57CE" w:rsidRPr="006A57CE" w:rsidRDefault="006A57CE" w:rsidP="006A57CE">
      <w:pPr>
        <w:jc w:val="both"/>
        <w:rPr>
          <w:rFonts w:ascii="Arial" w:hAnsi="Arial" w:cs="Arial"/>
          <w:b/>
          <w:bCs/>
          <w:sz w:val="28"/>
          <w:szCs w:val="28"/>
        </w:rPr>
      </w:pPr>
    </w:p>
    <w:p w14:paraId="05903919" w14:textId="77777777" w:rsidR="006A57CE" w:rsidRPr="006A57CE" w:rsidRDefault="006A57CE" w:rsidP="006A57CE">
      <w:pPr>
        <w:jc w:val="both"/>
        <w:rPr>
          <w:rFonts w:ascii="Arial" w:hAnsi="Arial" w:cs="Arial"/>
          <w:b/>
          <w:bCs/>
          <w:sz w:val="28"/>
          <w:szCs w:val="28"/>
        </w:rPr>
      </w:pPr>
      <w:r w:rsidRPr="006A57CE">
        <w:rPr>
          <w:rFonts w:ascii="Arial" w:hAnsi="Arial" w:cs="Arial"/>
          <w:b/>
          <w:bCs/>
          <w:sz w:val="28"/>
          <w:szCs w:val="28"/>
        </w:rPr>
        <w:t xml:space="preserve">Neglect of Social Factors: </w:t>
      </w:r>
      <w:r w:rsidRPr="006A57CE">
        <w:rPr>
          <w:rFonts w:ascii="Arial" w:hAnsi="Arial" w:cs="Arial"/>
          <w:sz w:val="28"/>
          <w:szCs w:val="28"/>
        </w:rPr>
        <w:t>While these theories provide valuable insights, they may not fully account for the impact of broader social, economic, and cultural factors on the experiences of ageing individuals.</w:t>
      </w:r>
    </w:p>
    <w:p w14:paraId="08EB162E" w14:textId="77777777" w:rsidR="006A57CE" w:rsidRPr="006A57CE" w:rsidRDefault="006A57CE" w:rsidP="006A57CE">
      <w:pPr>
        <w:jc w:val="both"/>
        <w:rPr>
          <w:rFonts w:ascii="Arial" w:hAnsi="Arial" w:cs="Arial"/>
          <w:b/>
          <w:bCs/>
          <w:sz w:val="28"/>
          <w:szCs w:val="28"/>
        </w:rPr>
      </w:pPr>
    </w:p>
    <w:p w14:paraId="3CAE5E9B" w14:textId="3DBE88A0" w:rsidR="006A57CE" w:rsidRDefault="006A57CE" w:rsidP="006A57CE">
      <w:pPr>
        <w:jc w:val="both"/>
        <w:rPr>
          <w:rFonts w:ascii="Arial" w:hAnsi="Arial" w:cs="Arial"/>
          <w:sz w:val="28"/>
          <w:szCs w:val="28"/>
        </w:rPr>
      </w:pPr>
      <w:r w:rsidRPr="006A57CE">
        <w:rPr>
          <w:rFonts w:ascii="Arial" w:hAnsi="Arial" w:cs="Arial"/>
          <w:b/>
          <w:bCs/>
          <w:sz w:val="28"/>
          <w:szCs w:val="28"/>
        </w:rPr>
        <w:t xml:space="preserve">Interconnectedness: </w:t>
      </w:r>
      <w:r w:rsidRPr="006A57CE">
        <w:rPr>
          <w:rFonts w:ascii="Arial" w:hAnsi="Arial" w:cs="Arial"/>
          <w:sz w:val="28"/>
          <w:szCs w:val="28"/>
        </w:rPr>
        <w:t>Combining aspects of these theories or considering them as complementary rather than exclusive frameworks may provide a more comprehensive understanding of ageing. An integrative approach allows for a more nuanced and adaptable model in health and social care settings.</w:t>
      </w:r>
    </w:p>
    <w:p w14:paraId="2C5DB120" w14:textId="77777777" w:rsidR="008F3F05" w:rsidRDefault="008F3F05" w:rsidP="008F3F05">
      <w:pPr>
        <w:jc w:val="both"/>
        <w:rPr>
          <w:rFonts w:ascii="Arial" w:hAnsi="Arial" w:cs="Arial"/>
          <w:b/>
          <w:bCs/>
          <w:sz w:val="28"/>
          <w:szCs w:val="28"/>
        </w:rPr>
      </w:pPr>
      <w:r w:rsidRPr="00851426">
        <w:rPr>
          <w:rFonts w:ascii="Arial" w:hAnsi="Arial" w:cs="Arial"/>
          <w:b/>
          <w:bCs/>
          <w:sz w:val="28"/>
          <w:szCs w:val="28"/>
        </w:rPr>
        <w:t>Conclusion:</w:t>
      </w:r>
    </w:p>
    <w:p w14:paraId="2160DAF0" w14:textId="77777777" w:rsidR="008F3F05" w:rsidRDefault="008F3F05" w:rsidP="008F3F05">
      <w:pPr>
        <w:jc w:val="both"/>
        <w:rPr>
          <w:rFonts w:ascii="Arial" w:hAnsi="Arial" w:cs="Arial"/>
          <w:sz w:val="28"/>
          <w:szCs w:val="28"/>
        </w:rPr>
      </w:pPr>
      <w:r w:rsidRPr="00851426">
        <w:rPr>
          <w:rFonts w:ascii="Arial" w:hAnsi="Arial" w:cs="Arial"/>
          <w:sz w:val="28"/>
          <w:szCs w:val="28"/>
        </w:rPr>
        <w:t>Understanding these social theories of ageing allows health and social care professionals to tailor their services to the unique needs and preferences of older individuals, fostering a more holistic and person-centred approach to care.</w:t>
      </w:r>
    </w:p>
    <w:p w14:paraId="72A12D8F" w14:textId="77777777" w:rsidR="008F3F05" w:rsidRPr="00851426" w:rsidRDefault="008F3F05" w:rsidP="006A57CE">
      <w:pPr>
        <w:jc w:val="both"/>
        <w:rPr>
          <w:rFonts w:ascii="Arial" w:hAnsi="Arial" w:cs="Arial"/>
          <w:b/>
          <w:bCs/>
          <w:sz w:val="28"/>
          <w:szCs w:val="28"/>
        </w:rPr>
      </w:pPr>
    </w:p>
    <w:sectPr w:rsidR="008F3F05" w:rsidRPr="0085142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968D5" w14:textId="77777777" w:rsidR="006A57CE" w:rsidRDefault="006A57CE" w:rsidP="006A57CE">
      <w:pPr>
        <w:spacing w:after="0" w:line="240" w:lineRule="auto"/>
      </w:pPr>
      <w:r>
        <w:separator/>
      </w:r>
    </w:p>
  </w:endnote>
  <w:endnote w:type="continuationSeparator" w:id="0">
    <w:p w14:paraId="2AAE89CA" w14:textId="77777777" w:rsidR="006A57CE" w:rsidRDefault="006A57CE" w:rsidP="006A5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371637"/>
      <w:docPartObj>
        <w:docPartGallery w:val="Page Numbers (Bottom of Page)"/>
        <w:docPartUnique/>
      </w:docPartObj>
    </w:sdtPr>
    <w:sdtEndPr>
      <w:rPr>
        <w:noProof/>
      </w:rPr>
    </w:sdtEndPr>
    <w:sdtContent>
      <w:p w14:paraId="2C356435" w14:textId="40A5B9C0" w:rsidR="006A57CE" w:rsidRDefault="006A57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696A98" w14:textId="77777777" w:rsidR="006A57CE" w:rsidRDefault="006A57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6BF70" w14:textId="77777777" w:rsidR="006A57CE" w:rsidRDefault="006A57CE" w:rsidP="006A57CE">
      <w:pPr>
        <w:spacing w:after="0" w:line="240" w:lineRule="auto"/>
      </w:pPr>
      <w:r>
        <w:separator/>
      </w:r>
    </w:p>
  </w:footnote>
  <w:footnote w:type="continuationSeparator" w:id="0">
    <w:p w14:paraId="1AE0CCC0" w14:textId="77777777" w:rsidR="006A57CE" w:rsidRDefault="006A57CE" w:rsidP="006A57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84A6E"/>
    <w:multiLevelType w:val="hybridMultilevel"/>
    <w:tmpl w:val="55809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523ADA"/>
    <w:multiLevelType w:val="hybridMultilevel"/>
    <w:tmpl w:val="1C228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F5BCA"/>
    <w:multiLevelType w:val="hybridMultilevel"/>
    <w:tmpl w:val="3D0A2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989910">
    <w:abstractNumId w:val="1"/>
  </w:num>
  <w:num w:numId="2" w16cid:durableId="825510718">
    <w:abstractNumId w:val="2"/>
  </w:num>
  <w:num w:numId="3" w16cid:durableId="670376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426"/>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A72F4"/>
    <w:rsid w:val="002B15B5"/>
    <w:rsid w:val="00366CC8"/>
    <w:rsid w:val="003F410C"/>
    <w:rsid w:val="0040533D"/>
    <w:rsid w:val="00414F1F"/>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A57CE"/>
    <w:rsid w:val="006D0368"/>
    <w:rsid w:val="006E53A2"/>
    <w:rsid w:val="006F0013"/>
    <w:rsid w:val="007059E6"/>
    <w:rsid w:val="0073495F"/>
    <w:rsid w:val="00751806"/>
    <w:rsid w:val="007A7DB7"/>
    <w:rsid w:val="007F68FB"/>
    <w:rsid w:val="0082701A"/>
    <w:rsid w:val="00844DF8"/>
    <w:rsid w:val="00851426"/>
    <w:rsid w:val="00861535"/>
    <w:rsid w:val="00863478"/>
    <w:rsid w:val="00880B59"/>
    <w:rsid w:val="008B29C5"/>
    <w:rsid w:val="008F3F05"/>
    <w:rsid w:val="00906ED3"/>
    <w:rsid w:val="00911437"/>
    <w:rsid w:val="009156F4"/>
    <w:rsid w:val="009344D7"/>
    <w:rsid w:val="00944527"/>
    <w:rsid w:val="00952CC5"/>
    <w:rsid w:val="00953CA7"/>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 w:val="00F973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46D4A2"/>
  <w15:chartTrackingRefBased/>
  <w15:docId w15:val="{262C1452-9256-44AB-9DC2-9EC12DFE6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7CE"/>
  </w:style>
  <w:style w:type="paragraph" w:styleId="Footer">
    <w:name w:val="footer"/>
    <w:basedOn w:val="Normal"/>
    <w:link w:val="FooterChar"/>
    <w:uiPriority w:val="99"/>
    <w:unhideWhenUsed/>
    <w:rsid w:val="006A5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7CE"/>
  </w:style>
  <w:style w:type="paragraph" w:styleId="ListParagraph">
    <w:name w:val="List Paragraph"/>
    <w:basedOn w:val="Normal"/>
    <w:uiPriority w:val="34"/>
    <w:qFormat/>
    <w:rsid w:val="002A72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362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7</Pages>
  <Words>1233</Words>
  <Characters>7031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3</cp:revision>
  <dcterms:created xsi:type="dcterms:W3CDTF">2023-11-11T14:06:00Z</dcterms:created>
  <dcterms:modified xsi:type="dcterms:W3CDTF">2023-11-20T16:36:00Z</dcterms:modified>
</cp:coreProperties>
</file>