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53D86" w14:textId="77777777" w:rsidR="00FF1719" w:rsidRPr="00F84BFB" w:rsidRDefault="00FF1719" w:rsidP="00FF1719">
      <w:pPr>
        <w:keepNext/>
        <w:keepLines/>
        <w:spacing w:before="320" w:after="80" w:line="276" w:lineRule="auto"/>
        <w:outlineLvl w:val="2"/>
        <w:rPr>
          <w:b/>
          <w:color w:val="000000"/>
          <w:sz w:val="36"/>
          <w:szCs w:val="36"/>
        </w:rPr>
      </w:pPr>
      <w:r w:rsidRPr="00F84BFB">
        <w:rPr>
          <w:b/>
          <w:color w:val="000000"/>
          <w:sz w:val="44"/>
          <w:szCs w:val="44"/>
        </w:rPr>
        <w:t xml:space="preserve">                  </w:t>
      </w:r>
      <w:r w:rsidRPr="00F84BFB">
        <w:rPr>
          <w:b/>
          <w:color w:val="000000"/>
          <w:sz w:val="28"/>
          <w:szCs w:val="28"/>
        </w:rPr>
        <w:t xml:space="preserve">      </w:t>
      </w:r>
      <w:r w:rsidRPr="00F84BFB">
        <w:rPr>
          <w:b/>
          <w:color w:val="000000"/>
          <w:sz w:val="36"/>
          <w:szCs w:val="36"/>
        </w:rPr>
        <w:t xml:space="preserve">BA(Hons) Business Management </w:t>
      </w:r>
    </w:p>
    <w:p w14:paraId="698623CE" w14:textId="77777777" w:rsidR="00FF1719" w:rsidRPr="00F84BFB" w:rsidRDefault="00FF1719" w:rsidP="00FF1719">
      <w:pPr>
        <w:keepNext/>
        <w:keepLines/>
        <w:spacing w:before="320" w:after="80" w:line="276" w:lineRule="auto"/>
        <w:outlineLvl w:val="2"/>
        <w:rPr>
          <w:b/>
          <w:color w:val="000000"/>
          <w:sz w:val="36"/>
          <w:szCs w:val="36"/>
        </w:rPr>
      </w:pPr>
      <w:r w:rsidRPr="00F84BFB">
        <w:rPr>
          <w:b/>
          <w:color w:val="000000"/>
          <w:sz w:val="36"/>
          <w:szCs w:val="36"/>
        </w:rPr>
        <w:t>Module Name :</w:t>
      </w:r>
      <w:r>
        <w:rPr>
          <w:b/>
          <w:color w:val="000000"/>
          <w:sz w:val="36"/>
          <w:szCs w:val="36"/>
        </w:rPr>
        <w:t>Strategic Management and Sustainability</w:t>
      </w:r>
      <w:r w:rsidRPr="00F84BFB">
        <w:rPr>
          <w:b/>
          <w:color w:val="000000"/>
          <w:sz w:val="36"/>
          <w:szCs w:val="36"/>
        </w:rPr>
        <w:t xml:space="preserve">  </w:t>
      </w:r>
    </w:p>
    <w:p w14:paraId="5A1885C7" w14:textId="77777777" w:rsidR="00FF1719" w:rsidRPr="00F84BFB" w:rsidRDefault="00FF1719" w:rsidP="00FF1719">
      <w:pPr>
        <w:keepNext/>
        <w:keepLines/>
        <w:spacing w:before="320" w:after="80" w:line="276" w:lineRule="auto"/>
        <w:outlineLvl w:val="2"/>
        <w:rPr>
          <w:b/>
          <w:color w:val="000000"/>
          <w:sz w:val="36"/>
          <w:szCs w:val="36"/>
        </w:rPr>
      </w:pPr>
      <w:r w:rsidRPr="00F84BFB">
        <w:rPr>
          <w:b/>
          <w:color w:val="000000"/>
          <w:sz w:val="36"/>
          <w:szCs w:val="36"/>
        </w:rPr>
        <w:t>Code Module:LCBB600</w:t>
      </w:r>
      <w:r>
        <w:rPr>
          <w:b/>
          <w:color w:val="000000"/>
          <w:sz w:val="36"/>
          <w:szCs w:val="36"/>
        </w:rPr>
        <w:t>4</w:t>
      </w:r>
    </w:p>
    <w:p w14:paraId="79D10B5D" w14:textId="77777777" w:rsidR="00FF1719" w:rsidRPr="00F84BFB" w:rsidRDefault="00FF1719" w:rsidP="00FF1719">
      <w:pPr>
        <w:keepNext/>
        <w:keepLines/>
        <w:spacing w:before="320" w:after="80" w:line="276" w:lineRule="auto"/>
        <w:outlineLvl w:val="2"/>
        <w:rPr>
          <w:b/>
          <w:color w:val="000000"/>
          <w:sz w:val="36"/>
          <w:szCs w:val="36"/>
        </w:rPr>
      </w:pPr>
      <w:r w:rsidRPr="00F84BFB">
        <w:rPr>
          <w:b/>
          <w:color w:val="000000"/>
          <w:sz w:val="36"/>
          <w:szCs w:val="36"/>
        </w:rPr>
        <w:t>Student Name :Daniela Gabriela Lisenche</w:t>
      </w:r>
    </w:p>
    <w:p w14:paraId="63ADFA73" w14:textId="77777777" w:rsidR="00FF1719" w:rsidRPr="00F84BFB" w:rsidRDefault="00FF1719" w:rsidP="00FF1719">
      <w:pPr>
        <w:keepNext/>
        <w:keepLines/>
        <w:spacing w:before="320" w:after="80" w:line="276" w:lineRule="auto"/>
        <w:outlineLvl w:val="2"/>
        <w:rPr>
          <w:b/>
          <w:color w:val="000000"/>
          <w:sz w:val="36"/>
          <w:szCs w:val="36"/>
        </w:rPr>
      </w:pPr>
      <w:r w:rsidRPr="00F84BFB">
        <w:rPr>
          <w:b/>
          <w:color w:val="000000"/>
          <w:sz w:val="36"/>
          <w:szCs w:val="36"/>
        </w:rPr>
        <w:t xml:space="preserve">Student Number:2029607 </w:t>
      </w:r>
    </w:p>
    <w:p w14:paraId="06B59AC4" w14:textId="1562CA00" w:rsidR="001E1DC6" w:rsidRPr="00FF1719" w:rsidRDefault="00FF1719" w:rsidP="00FF1719">
      <w:pPr>
        <w:keepNext/>
        <w:keepLines/>
        <w:spacing w:before="320" w:after="80" w:line="276" w:lineRule="auto"/>
        <w:outlineLvl w:val="2"/>
        <w:rPr>
          <w:b/>
          <w:color w:val="000000"/>
          <w:sz w:val="36"/>
          <w:szCs w:val="36"/>
        </w:rPr>
      </w:pPr>
      <w:r w:rsidRPr="00F84BFB">
        <w:rPr>
          <w:b/>
          <w:color w:val="000000"/>
          <w:sz w:val="36"/>
          <w:szCs w:val="36"/>
        </w:rPr>
        <w:t>Lecturer Name :</w:t>
      </w:r>
      <w:r>
        <w:rPr>
          <w:b/>
          <w:color w:val="000000"/>
          <w:sz w:val="36"/>
          <w:szCs w:val="36"/>
        </w:rPr>
        <w:t xml:space="preserve"> Hossein Shokri</w:t>
      </w:r>
      <w:bookmarkStart w:id="0" w:name="_ukvlfqa7txkz" w:colFirst="0" w:colLast="0"/>
      <w:bookmarkEnd w:id="0"/>
    </w:p>
    <w:p w14:paraId="700528D3" w14:textId="77777777" w:rsidR="00FF1719" w:rsidRDefault="00FF1719" w:rsidP="00FF1719"/>
    <w:p w14:paraId="30945D89" w14:textId="77777777" w:rsidR="00FF1719" w:rsidRPr="00FF1719" w:rsidRDefault="00FF1719" w:rsidP="00FF1719"/>
    <w:p w14:paraId="7FFEFF35" w14:textId="77777777" w:rsidR="001E1DC6" w:rsidRDefault="001E1DC6"/>
    <w:p w14:paraId="74918252" w14:textId="77777777" w:rsidR="001E1DC6" w:rsidRDefault="001E1DC6"/>
    <w:p w14:paraId="0D417D8D" w14:textId="77777777" w:rsidR="001E1DC6" w:rsidRDefault="001E1DC6"/>
    <w:p w14:paraId="247A4425" w14:textId="77777777" w:rsidR="001E1DC6" w:rsidRDefault="001E1DC6"/>
    <w:p w14:paraId="01950295" w14:textId="77777777" w:rsidR="001E1DC6" w:rsidRDefault="001E1DC6"/>
    <w:p w14:paraId="401225BA" w14:textId="77777777" w:rsidR="00FF1719" w:rsidRDefault="00FF1719">
      <w:pPr>
        <w:pStyle w:val="Title"/>
        <w:jc w:val="center"/>
      </w:pPr>
      <w:bookmarkStart w:id="1" w:name="_xn908pn8a9vs" w:colFirst="0" w:colLast="0"/>
      <w:bookmarkEnd w:id="1"/>
    </w:p>
    <w:p w14:paraId="5260F627" w14:textId="77777777" w:rsidR="00FF1719" w:rsidRDefault="00FF1719">
      <w:pPr>
        <w:pStyle w:val="Title"/>
        <w:jc w:val="center"/>
      </w:pPr>
    </w:p>
    <w:p w14:paraId="0675BDB8" w14:textId="77777777" w:rsidR="00FF1719" w:rsidRDefault="00FF1719">
      <w:pPr>
        <w:pStyle w:val="Title"/>
        <w:jc w:val="center"/>
      </w:pPr>
    </w:p>
    <w:p w14:paraId="75DC65AA" w14:textId="77777777" w:rsidR="00FF1719" w:rsidRDefault="00FF1719">
      <w:pPr>
        <w:pStyle w:val="Title"/>
        <w:jc w:val="center"/>
      </w:pPr>
    </w:p>
    <w:p w14:paraId="710C6915" w14:textId="77777777" w:rsidR="00FF1719" w:rsidRDefault="00FF1719" w:rsidP="00FF1719">
      <w:pPr>
        <w:pStyle w:val="Title"/>
      </w:pPr>
    </w:p>
    <w:p w14:paraId="4C90B803" w14:textId="0B8B10B3" w:rsidR="001E1DC6" w:rsidRDefault="009276B9" w:rsidP="00FF1719">
      <w:pPr>
        <w:pStyle w:val="Title"/>
      </w:pPr>
      <w:r>
        <w:t>A Comprehensive Analysis of AstraZeneca's Strategic Choices and Effectiveness in the Pharmaceutical Industry</w:t>
      </w:r>
    </w:p>
    <w:p w14:paraId="66F03989" w14:textId="77777777" w:rsidR="001E1DC6" w:rsidRDefault="001E1DC6"/>
    <w:p w14:paraId="28DC1809" w14:textId="77777777" w:rsidR="001E1DC6" w:rsidRDefault="001E1DC6"/>
    <w:p w14:paraId="1E92CDE4" w14:textId="77777777" w:rsidR="001E1DC6" w:rsidRDefault="001E1DC6"/>
    <w:p w14:paraId="00F15549" w14:textId="77777777" w:rsidR="001E1DC6" w:rsidRDefault="009276B9">
      <w:pPr>
        <w:jc w:val="center"/>
      </w:pPr>
      <w:r>
        <w:rPr>
          <w:noProof/>
        </w:rPr>
        <w:drawing>
          <wp:inline distT="114300" distB="114300" distL="114300" distR="114300" wp14:anchorId="2D20A56A" wp14:editId="5876AD7F">
            <wp:extent cx="5943600" cy="310705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17393" b="12978"/>
                    <a:stretch>
                      <a:fillRect/>
                    </a:stretch>
                  </pic:blipFill>
                  <pic:spPr>
                    <a:xfrm>
                      <a:off x="0" y="0"/>
                      <a:ext cx="5943600" cy="3107055"/>
                    </a:xfrm>
                    <a:prstGeom prst="rect">
                      <a:avLst/>
                    </a:prstGeom>
                    <a:ln/>
                  </pic:spPr>
                </pic:pic>
              </a:graphicData>
            </a:graphic>
          </wp:inline>
        </w:drawing>
      </w:r>
    </w:p>
    <w:p w14:paraId="45618080" w14:textId="77777777" w:rsidR="001E1DC6" w:rsidRDefault="009276B9">
      <w:pPr>
        <w:jc w:val="right"/>
        <w:rPr>
          <w:i/>
        </w:rPr>
      </w:pPr>
      <w:r>
        <w:rPr>
          <w:i/>
        </w:rPr>
        <w:t>Producer of the image: The Economic Times</w:t>
      </w:r>
    </w:p>
    <w:p w14:paraId="488B8412" w14:textId="77777777" w:rsidR="001E1DC6" w:rsidRDefault="001E1DC6"/>
    <w:p w14:paraId="2B56761D" w14:textId="77777777" w:rsidR="001E1DC6" w:rsidRDefault="009276B9">
      <w:pPr>
        <w:jc w:val="center"/>
      </w:pPr>
      <w:r>
        <w:br w:type="page"/>
      </w:r>
    </w:p>
    <w:p w14:paraId="2EFE0CA1" w14:textId="77777777" w:rsidR="001E1DC6" w:rsidRDefault="009276B9">
      <w:pPr>
        <w:jc w:val="center"/>
        <w:rPr>
          <w:b/>
          <w:sz w:val="28"/>
          <w:szCs w:val="28"/>
        </w:rPr>
      </w:pPr>
      <w:r>
        <w:rPr>
          <w:b/>
          <w:sz w:val="28"/>
          <w:szCs w:val="28"/>
        </w:rPr>
        <w:lastRenderedPageBreak/>
        <w:t>Table of contents</w:t>
      </w:r>
    </w:p>
    <w:p w14:paraId="63374B03" w14:textId="77777777" w:rsidR="001E1DC6" w:rsidRDefault="001E1DC6">
      <w:pPr>
        <w:jc w:val="left"/>
      </w:pPr>
    </w:p>
    <w:sdt>
      <w:sdtPr>
        <w:id w:val="-655763803"/>
        <w:docPartObj>
          <w:docPartGallery w:val="Table of Contents"/>
          <w:docPartUnique/>
        </w:docPartObj>
      </w:sdtPr>
      <w:sdtEndPr/>
      <w:sdtContent>
        <w:p w14:paraId="5B4599B7"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iywn2sdpg5m0">
            <w:r>
              <w:rPr>
                <w:b/>
                <w:color w:val="000000"/>
              </w:rPr>
              <w:t>1. Introduction</w:t>
            </w:r>
            <w:r>
              <w:rPr>
                <w:b/>
                <w:color w:val="000000"/>
              </w:rPr>
              <w:tab/>
              <w:t>3</w:t>
            </w:r>
          </w:hyperlink>
        </w:p>
        <w:p w14:paraId="1826E357"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hyperlink w:anchor="_gvlg881aco5">
            <w:r>
              <w:rPr>
                <w:b/>
                <w:color w:val="000000"/>
              </w:rPr>
              <w:t>2. Company Background</w:t>
            </w:r>
            <w:r>
              <w:rPr>
                <w:b/>
                <w:color w:val="000000"/>
              </w:rPr>
              <w:tab/>
              <w:t>3</w:t>
            </w:r>
          </w:hyperlink>
        </w:p>
        <w:p w14:paraId="26EC3CA0"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hyperlink w:anchor="_v279evc9qlq0">
            <w:r>
              <w:rPr>
                <w:b/>
                <w:color w:val="000000"/>
              </w:rPr>
              <w:t>3. Main Body</w:t>
            </w:r>
            <w:r>
              <w:rPr>
                <w:b/>
                <w:color w:val="000000"/>
              </w:rPr>
              <w:tab/>
              <w:t>3</w:t>
            </w:r>
          </w:hyperlink>
        </w:p>
        <w:p w14:paraId="4FDE8C8F" w14:textId="77777777" w:rsidR="001E1DC6" w:rsidRDefault="009276B9">
          <w:pPr>
            <w:widowControl w:val="0"/>
            <w:tabs>
              <w:tab w:val="right" w:leader="dot" w:pos="12000"/>
            </w:tabs>
            <w:spacing w:before="60" w:line="240" w:lineRule="auto"/>
            <w:ind w:left="360"/>
            <w:jc w:val="left"/>
            <w:rPr>
              <w:rFonts w:ascii="Arial" w:eastAsia="Arial" w:hAnsi="Arial" w:cs="Arial"/>
              <w:color w:val="000000"/>
              <w:sz w:val="22"/>
              <w:szCs w:val="22"/>
            </w:rPr>
          </w:pPr>
          <w:hyperlink w:anchor="_fktd41oes5dl">
            <w:r>
              <w:rPr>
                <w:color w:val="000000"/>
              </w:rPr>
              <w:t>3.1 Identifying Key Business and Corporate Strategies (Strategic Choice):</w:t>
            </w:r>
            <w:r>
              <w:rPr>
                <w:color w:val="000000"/>
              </w:rPr>
              <w:tab/>
              <w:t>3</w:t>
            </w:r>
          </w:hyperlink>
        </w:p>
        <w:p w14:paraId="27C319E6" w14:textId="77777777" w:rsidR="001E1DC6" w:rsidRDefault="009276B9">
          <w:pPr>
            <w:widowControl w:val="0"/>
            <w:tabs>
              <w:tab w:val="right" w:leader="dot" w:pos="12000"/>
            </w:tabs>
            <w:spacing w:before="60" w:line="240" w:lineRule="auto"/>
            <w:ind w:left="360"/>
            <w:jc w:val="left"/>
            <w:rPr>
              <w:rFonts w:ascii="Arial" w:eastAsia="Arial" w:hAnsi="Arial" w:cs="Arial"/>
              <w:color w:val="000000"/>
              <w:sz w:val="22"/>
              <w:szCs w:val="22"/>
            </w:rPr>
          </w:pPr>
          <w:hyperlink w:anchor="_qix5yblo2ydu">
            <w:r>
              <w:rPr>
                <w:color w:val="000000"/>
              </w:rPr>
              <w:t>3.2 Analysis of AstraZeneca Using Porter's Generic Strategies:</w:t>
            </w:r>
            <w:r>
              <w:rPr>
                <w:color w:val="000000"/>
              </w:rPr>
              <w:tab/>
              <w:t>4</w:t>
            </w:r>
          </w:hyperlink>
        </w:p>
        <w:p w14:paraId="02C55F21" w14:textId="77777777" w:rsidR="001E1DC6" w:rsidRDefault="009276B9">
          <w:pPr>
            <w:widowControl w:val="0"/>
            <w:tabs>
              <w:tab w:val="right" w:leader="dot" w:pos="12000"/>
            </w:tabs>
            <w:spacing w:before="60" w:line="240" w:lineRule="auto"/>
            <w:ind w:left="360"/>
            <w:jc w:val="left"/>
            <w:rPr>
              <w:rFonts w:ascii="Arial" w:eastAsia="Arial" w:hAnsi="Arial" w:cs="Arial"/>
              <w:color w:val="000000"/>
              <w:sz w:val="22"/>
              <w:szCs w:val="22"/>
            </w:rPr>
          </w:pPr>
          <w:hyperlink w:anchor="_ph12ia1w468h">
            <w:r>
              <w:rPr>
                <w:color w:val="000000"/>
              </w:rPr>
              <w:t>3.3 Apply the Ansoff Matrix:</w:t>
            </w:r>
            <w:r>
              <w:rPr>
                <w:color w:val="000000"/>
              </w:rPr>
              <w:tab/>
              <w:t>6</w:t>
            </w:r>
          </w:hyperlink>
        </w:p>
        <w:p w14:paraId="68DF2EE8" w14:textId="77777777" w:rsidR="001E1DC6" w:rsidRDefault="009276B9">
          <w:pPr>
            <w:widowControl w:val="0"/>
            <w:tabs>
              <w:tab w:val="right" w:leader="dot" w:pos="12000"/>
            </w:tabs>
            <w:spacing w:before="60" w:line="240" w:lineRule="auto"/>
            <w:ind w:left="360"/>
            <w:jc w:val="left"/>
            <w:rPr>
              <w:rFonts w:ascii="Arial" w:eastAsia="Arial" w:hAnsi="Arial" w:cs="Arial"/>
              <w:color w:val="000000"/>
              <w:sz w:val="22"/>
              <w:szCs w:val="22"/>
            </w:rPr>
          </w:pPr>
          <w:hyperlink w:anchor="_xencd54oeph">
            <w:r>
              <w:rPr>
                <w:color w:val="000000"/>
              </w:rPr>
              <w:t>3.4 Analysing Resources and Capabilities (Alignment with Strategy):</w:t>
            </w:r>
            <w:r>
              <w:rPr>
                <w:color w:val="000000"/>
              </w:rPr>
              <w:tab/>
              <w:t>6</w:t>
            </w:r>
          </w:hyperlink>
        </w:p>
        <w:p w14:paraId="551763C8" w14:textId="77777777" w:rsidR="001E1DC6" w:rsidRDefault="009276B9">
          <w:pPr>
            <w:widowControl w:val="0"/>
            <w:tabs>
              <w:tab w:val="right" w:leader="dot" w:pos="12000"/>
            </w:tabs>
            <w:spacing w:before="60" w:line="240" w:lineRule="auto"/>
            <w:ind w:left="360"/>
            <w:jc w:val="left"/>
            <w:rPr>
              <w:rFonts w:ascii="Arial" w:eastAsia="Arial" w:hAnsi="Arial" w:cs="Arial"/>
              <w:color w:val="000000"/>
              <w:sz w:val="22"/>
              <w:szCs w:val="22"/>
            </w:rPr>
          </w:pPr>
          <w:hyperlink w:anchor="_4ajp37s20607">
            <w:r>
              <w:rPr>
                <w:color w:val="000000"/>
              </w:rPr>
              <w:t>3.5 Value Chain Analysis:</w:t>
            </w:r>
            <w:r>
              <w:rPr>
                <w:color w:val="000000"/>
              </w:rPr>
              <w:tab/>
              <w:t>8</w:t>
            </w:r>
          </w:hyperlink>
        </w:p>
        <w:p w14:paraId="7D5BD6E7" w14:textId="77777777" w:rsidR="001E1DC6" w:rsidRDefault="009276B9">
          <w:pPr>
            <w:widowControl w:val="0"/>
            <w:tabs>
              <w:tab w:val="right" w:leader="dot" w:pos="12000"/>
            </w:tabs>
            <w:spacing w:before="60" w:line="240" w:lineRule="auto"/>
            <w:ind w:left="360"/>
            <w:jc w:val="left"/>
            <w:rPr>
              <w:rFonts w:ascii="Arial" w:eastAsia="Arial" w:hAnsi="Arial" w:cs="Arial"/>
              <w:color w:val="000000"/>
              <w:sz w:val="22"/>
              <w:szCs w:val="22"/>
            </w:rPr>
          </w:pPr>
          <w:hyperlink w:anchor="_5o80wvqb400x">
            <w:r>
              <w:rPr>
                <w:color w:val="000000"/>
              </w:rPr>
              <w:t>3.6 AstraZeneca's VRIO Analysis: Assessing Sustainable Competitive Advantages:</w:t>
            </w:r>
            <w:r>
              <w:rPr>
                <w:color w:val="000000"/>
              </w:rPr>
              <w:tab/>
              <w:t>9</w:t>
            </w:r>
          </w:hyperlink>
        </w:p>
        <w:p w14:paraId="475067A9"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hyperlink w:anchor="_vmvedxvmvb7x">
            <w:r>
              <w:rPr>
                <w:b/>
                <w:color w:val="000000"/>
              </w:rPr>
              <w:t>4. Evaluating AstraZeneca's Strategy in Action Using the SAF Framework:</w:t>
            </w:r>
            <w:r>
              <w:rPr>
                <w:b/>
                <w:color w:val="000000"/>
              </w:rPr>
              <w:tab/>
              <w:t>11</w:t>
            </w:r>
          </w:hyperlink>
        </w:p>
        <w:p w14:paraId="72A58F17"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hyperlink w:anchor="_lqxjbe50jgi9">
            <w:r>
              <w:rPr>
                <w:b/>
                <w:color w:val="000000"/>
              </w:rPr>
              <w:t>5. Evaluating Sustainability Efforts</w:t>
            </w:r>
            <w:r>
              <w:rPr>
                <w:b/>
                <w:color w:val="000000"/>
              </w:rPr>
              <w:tab/>
              <w:t>13</w:t>
            </w:r>
          </w:hyperlink>
        </w:p>
        <w:p w14:paraId="546F573F"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hyperlink w:anchor="_saxzyz157461">
            <w:r>
              <w:rPr>
                <w:b/>
                <w:color w:val="000000"/>
              </w:rPr>
              <w:t>6. Conclusion</w:t>
            </w:r>
            <w:r>
              <w:rPr>
                <w:b/>
                <w:color w:val="000000"/>
              </w:rPr>
              <w:tab/>
              <w:t>13</w:t>
            </w:r>
          </w:hyperlink>
        </w:p>
        <w:p w14:paraId="4E72E952" w14:textId="77777777" w:rsidR="001E1DC6" w:rsidRDefault="009276B9">
          <w:pPr>
            <w:widowControl w:val="0"/>
            <w:tabs>
              <w:tab w:val="right" w:leader="dot" w:pos="12000"/>
            </w:tabs>
            <w:spacing w:before="60" w:line="240" w:lineRule="auto"/>
            <w:jc w:val="left"/>
            <w:rPr>
              <w:rFonts w:ascii="Arial" w:eastAsia="Arial" w:hAnsi="Arial" w:cs="Arial"/>
              <w:b/>
              <w:color w:val="000000"/>
              <w:sz w:val="22"/>
              <w:szCs w:val="22"/>
            </w:rPr>
          </w:pPr>
          <w:hyperlink w:anchor="_cpjxc9cltlfs">
            <w:r>
              <w:rPr>
                <w:b/>
                <w:color w:val="000000"/>
              </w:rPr>
              <w:t>References</w:t>
            </w:r>
            <w:r>
              <w:rPr>
                <w:b/>
                <w:color w:val="000000"/>
              </w:rPr>
              <w:tab/>
              <w:t>14</w:t>
            </w:r>
          </w:hyperlink>
          <w:r>
            <w:fldChar w:fldCharType="end"/>
          </w:r>
        </w:p>
      </w:sdtContent>
    </w:sdt>
    <w:p w14:paraId="296DDC09" w14:textId="77777777" w:rsidR="001E1DC6" w:rsidRDefault="001E1DC6">
      <w:pPr>
        <w:jc w:val="left"/>
      </w:pPr>
    </w:p>
    <w:p w14:paraId="769F18A9" w14:textId="77777777" w:rsidR="001E1DC6" w:rsidRDefault="001E1DC6">
      <w:pPr>
        <w:jc w:val="left"/>
      </w:pPr>
    </w:p>
    <w:p w14:paraId="508211F7" w14:textId="77777777" w:rsidR="001E1DC6" w:rsidRDefault="009276B9">
      <w:pPr>
        <w:jc w:val="left"/>
      </w:pPr>
      <w:r>
        <w:br w:type="page"/>
      </w:r>
    </w:p>
    <w:p w14:paraId="28F81343" w14:textId="77777777" w:rsidR="001E1DC6" w:rsidRDefault="009276B9">
      <w:pPr>
        <w:pStyle w:val="Heading1"/>
      </w:pPr>
      <w:bookmarkStart w:id="2" w:name="_iywn2sdpg5m0" w:colFirst="0" w:colLast="0"/>
      <w:bookmarkEnd w:id="2"/>
      <w:r>
        <w:lastRenderedPageBreak/>
        <w:t>1. Introduction</w:t>
      </w:r>
    </w:p>
    <w:p w14:paraId="5007C5B5" w14:textId="77777777" w:rsidR="001E1DC6" w:rsidRDefault="009276B9">
      <w:r>
        <w:t xml:space="preserve">This report goes into detail about the business strategies of AstraZeneca Plc, a big name in the drug business that is traded on the London Stock Exchange. The main goal is to look closely at the company's main business and corporate strategies, seeing how </w:t>
      </w:r>
      <w:proofErr w:type="spellStart"/>
      <w:r>
        <w:t>it've</w:t>
      </w:r>
      <w:proofErr w:type="spellEnd"/>
      <w:r>
        <w:t xml:space="preserve"> been put into action and how well </w:t>
      </w:r>
      <w:proofErr w:type="spellStart"/>
      <w:r>
        <w:t>it've</w:t>
      </w:r>
      <w:proofErr w:type="spellEnd"/>
      <w:r>
        <w:t xml:space="preserve"> worked at keeping the company ahead of the competition in the market. The study also wants to look into how AstraZeneca aligns its resources and skills with its strategic decisions and how the company strikes a balance between its business goals and its commitment to sustainability. This report looks at AstraZeneca's strategic positioning and actions in detail to help one understand what makes the company successful and what problems it faces in the fast-paced p</w:t>
      </w:r>
      <w:r>
        <w:t>harmaceutical industry.</w:t>
      </w:r>
    </w:p>
    <w:p w14:paraId="55389ED3" w14:textId="77777777" w:rsidR="001E1DC6" w:rsidRDefault="009276B9">
      <w:pPr>
        <w:pStyle w:val="Heading1"/>
      </w:pPr>
      <w:bookmarkStart w:id="3" w:name="_gvlg881aco5" w:colFirst="0" w:colLast="0"/>
      <w:bookmarkEnd w:id="3"/>
      <w:r>
        <w:t>2. Company Background</w:t>
      </w:r>
    </w:p>
    <w:p w14:paraId="7831D7F8" w14:textId="77777777" w:rsidR="001E1DC6" w:rsidRDefault="009276B9">
      <w:r>
        <w:t>AstraZeneca plc, a multinational company of Anglo-Swedish origin, is headquartered in Cambridge, England. It is one of the largest companies in the global pharmaceutical and biotechnology industry. Following the merger of Astra AB and Zeneca Group in 1999, the resultant firm possesses a diverse array of medications that specifically address many significant problems in the fields of cancer, cardiology, gastrointestinal health, infection, neurology, respiratory health, and inflammation (AstraZeneca, 2023). T</w:t>
      </w:r>
      <w:r>
        <w:t>hese items are distributed globally. The business's total assets reached a valuation of $96.54 billion in 2022. During that period, the firm achieved $43 billion in sales, $3.757 billion in operating income, and $3.288 billion in net income (Macrotrends, 2023; Companies Market Cap, 2023). Macrotrends (2023) reports that the corporation has a workforce of 83,500 people who have gained recognition for their contributions to the development of the Oxford-AstraZeneca COVID-19 vaccine. The firm has strategic hub</w:t>
      </w:r>
      <w:r>
        <w:t>s in the United Kingdom, Sweden, and the United States, exclusively focused on research and development.</w:t>
      </w:r>
    </w:p>
    <w:p w14:paraId="2B3744B3" w14:textId="77777777" w:rsidR="001E1DC6" w:rsidRDefault="009276B9">
      <w:pPr>
        <w:pStyle w:val="Heading1"/>
      </w:pPr>
      <w:bookmarkStart w:id="4" w:name="_v279evc9qlq0" w:colFirst="0" w:colLast="0"/>
      <w:bookmarkEnd w:id="4"/>
      <w:r>
        <w:t>3. Main Body</w:t>
      </w:r>
    </w:p>
    <w:p w14:paraId="02534765" w14:textId="77777777" w:rsidR="001E1DC6" w:rsidRDefault="009276B9">
      <w:pPr>
        <w:pStyle w:val="Heading2"/>
      </w:pPr>
      <w:bookmarkStart w:id="5" w:name="_fktd41oes5dl" w:colFirst="0" w:colLast="0"/>
      <w:bookmarkEnd w:id="5"/>
      <w:r>
        <w:t>3.1 Identifying Key Business and Corporate Strategies (Strategic Choice):</w:t>
      </w:r>
    </w:p>
    <w:p w14:paraId="4FE6A24A" w14:textId="77777777" w:rsidR="001E1DC6" w:rsidRDefault="009276B9">
      <w:pPr>
        <w:rPr>
          <w:b/>
        </w:rPr>
      </w:pPr>
      <w:r>
        <w:rPr>
          <w:b/>
        </w:rPr>
        <w:t>1. R&amp;D Focus:</w:t>
      </w:r>
    </w:p>
    <w:p w14:paraId="5DECDE5B" w14:textId="77777777" w:rsidR="001E1DC6" w:rsidRDefault="009276B9">
      <w:r>
        <w:lastRenderedPageBreak/>
        <w:t>On purpose, AstraZeneca has become a leader in treatment areas that are growing quickly, such as neurology, cancer, respiratory, cardiovascular, and kidney illnesses, as well as metabolic disorders. According to the AstraZeneca R&amp;D Pipeline Overview, these areas took up a big 55% of the company's R&amp;D spending in 2023 (</w:t>
      </w:r>
      <w:proofErr w:type="spellStart"/>
      <w:r>
        <w:t>Astrazeneca</w:t>
      </w:r>
      <w:proofErr w:type="spellEnd"/>
      <w:r>
        <w:t xml:space="preserve">, 2023). This included illnesses of the heart, lungs, kidneys, and cancer. This method is used by medicines like </w:t>
      </w:r>
      <w:proofErr w:type="spellStart"/>
      <w:r>
        <w:t>Farxiga</w:t>
      </w:r>
      <w:proofErr w:type="spellEnd"/>
      <w:r>
        <w:t xml:space="preserve"> (for diabetes), </w:t>
      </w:r>
      <w:proofErr w:type="spellStart"/>
      <w:r>
        <w:t>Tagrisso</w:t>
      </w:r>
      <w:proofErr w:type="spellEnd"/>
      <w:r>
        <w:t xml:space="preserve"> (for lung cancer), and Fasenra (for serious eosinophilic asthma). AstraZeneca also spent 20% more on biologics and immunotherapies from 2020 to 2023, according to its Annual Report (</w:t>
      </w:r>
      <w:proofErr w:type="spellStart"/>
      <w:r>
        <w:t>Astrazeneca</w:t>
      </w:r>
      <w:proofErr w:type="spellEnd"/>
      <w:r>
        <w:t>, 2023). Important partnerships like the one between Merck and Imfinzi®, a vaccine for cancer that targets PD-L1, show this.</w:t>
      </w:r>
    </w:p>
    <w:p w14:paraId="631B21FF" w14:textId="77777777" w:rsidR="001E1DC6" w:rsidRDefault="009276B9">
      <w:pPr>
        <w:rPr>
          <w:b/>
        </w:rPr>
      </w:pPr>
      <w:r>
        <w:rPr>
          <w:b/>
        </w:rPr>
        <w:t>2. Partnerships and Acquisitions:</w:t>
      </w:r>
    </w:p>
    <w:p w14:paraId="22F424C8" w14:textId="77777777" w:rsidR="001E1DC6" w:rsidRDefault="009276B9">
      <w:r>
        <w:t>AstraZeneca has worked hard to make strategic partnerships and buy other companies. Collaborations with cancer giant Merck and IL-23 drug maker Regeneron stand out. One medicine that was made in partnership with Regeneron is Kevzara, an IL-23 inhibitor that is used to treat a number of inflammatory illnesses (Regeneron Pharmaceuticals Inc, 2021). The FDA has cleared the drug to treat people with moderate to severe plaque psoriasis, and it now sells more than $2 billion a year (</w:t>
      </w:r>
      <w:proofErr w:type="spellStart"/>
      <w:r>
        <w:t>ETHealthworld</w:t>
      </w:r>
      <w:proofErr w:type="spellEnd"/>
      <w:r>
        <w:t>, 2023). AstraZeneca has also been busy in targeted acquisitions, like when it bought Alexion Pharmaceuticals in 2020, to strengthen its place in rare diseases and improve the products it already sells.</w:t>
      </w:r>
    </w:p>
    <w:p w14:paraId="0B33CAC6" w14:textId="77777777" w:rsidR="001E1DC6" w:rsidRDefault="009276B9">
      <w:pPr>
        <w:rPr>
          <w:b/>
        </w:rPr>
      </w:pPr>
      <w:r>
        <w:rPr>
          <w:b/>
        </w:rPr>
        <w:t>3. Operational Efficiency and Commercial Strategy:</w:t>
      </w:r>
    </w:p>
    <w:p w14:paraId="5CF6D7A8" w14:textId="77777777" w:rsidR="001E1DC6" w:rsidRDefault="009276B9">
      <w:r>
        <w:t>To improve its research and development (R&amp;D) skills, AstraZeneca has been focusing on making its business plan better and streamlining its operations. The AstraZeneca (2023) Annual Report 2018–2023, can be used to find this information. The company has been able to save $1.5 billion a year by doing things like cutting back on management costs and shutting down factory sites. As savings were wisely put back into the business, research and development costs will rise by 10% in 2023 (</w:t>
      </w:r>
      <w:proofErr w:type="spellStart"/>
      <w:r>
        <w:t>Astrazeneca</w:t>
      </w:r>
      <w:proofErr w:type="spellEnd"/>
      <w:r>
        <w:t>, 2023). By running its business more efficiently, AstraZeneca has been able to put more money into its core research work, which has helped it stay ahead of the competition in the pharmaceutical industry. This was made possible by improving the way things are made and getting rid of unnecessary costs related to running the business.</w:t>
      </w:r>
    </w:p>
    <w:p w14:paraId="04BC3E0C" w14:textId="77777777" w:rsidR="001E1DC6" w:rsidRDefault="009276B9">
      <w:pPr>
        <w:pStyle w:val="Heading2"/>
      </w:pPr>
      <w:bookmarkStart w:id="6" w:name="_qix5yblo2ydu" w:colFirst="0" w:colLast="0"/>
      <w:bookmarkEnd w:id="6"/>
      <w:r>
        <w:t>3.2 Analysis of AstraZeneca Using Porter's Generic Strategies:</w:t>
      </w:r>
    </w:p>
    <w:p w14:paraId="44A5090F" w14:textId="77777777" w:rsidR="001E1DC6" w:rsidRDefault="001E1DC6"/>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781"/>
        <w:gridCol w:w="2626"/>
        <w:gridCol w:w="4953"/>
      </w:tblGrid>
      <w:tr w:rsidR="001E1DC6" w14:paraId="632B5946" w14:textId="77777777">
        <w:trPr>
          <w:trHeight w:val="710"/>
        </w:trPr>
        <w:tc>
          <w:tcPr>
            <w:tcW w:w="1781"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bottom"/>
          </w:tcPr>
          <w:p w14:paraId="0A594EDB" w14:textId="77777777" w:rsidR="001E1DC6" w:rsidRDefault="009276B9">
            <w:pPr>
              <w:spacing w:line="240" w:lineRule="auto"/>
              <w:rPr>
                <w:b/>
              </w:rPr>
            </w:pPr>
            <w:r>
              <w:rPr>
                <w:b/>
              </w:rPr>
              <w:lastRenderedPageBreak/>
              <w:t>Strategy</w:t>
            </w:r>
          </w:p>
        </w:tc>
        <w:tc>
          <w:tcPr>
            <w:tcW w:w="26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bottom"/>
          </w:tcPr>
          <w:p w14:paraId="1F32E933" w14:textId="77777777" w:rsidR="001E1DC6" w:rsidRDefault="009276B9">
            <w:pPr>
              <w:spacing w:line="240" w:lineRule="auto"/>
              <w:rPr>
                <w:b/>
              </w:rPr>
            </w:pPr>
            <w:r>
              <w:rPr>
                <w:b/>
              </w:rPr>
              <w:t>Description</w:t>
            </w:r>
          </w:p>
        </w:tc>
        <w:tc>
          <w:tcPr>
            <w:tcW w:w="4952"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bottom"/>
          </w:tcPr>
          <w:p w14:paraId="7F29017F" w14:textId="77777777" w:rsidR="001E1DC6" w:rsidRDefault="009276B9">
            <w:pPr>
              <w:spacing w:line="240" w:lineRule="auto"/>
              <w:rPr>
                <w:b/>
              </w:rPr>
            </w:pPr>
            <w:r>
              <w:rPr>
                <w:b/>
              </w:rPr>
              <w:t>Application to AstraZeneca</w:t>
            </w:r>
          </w:p>
        </w:tc>
      </w:tr>
      <w:tr w:rsidR="001E1DC6" w14:paraId="665939B8" w14:textId="77777777">
        <w:trPr>
          <w:trHeight w:val="1415"/>
        </w:trPr>
        <w:tc>
          <w:tcPr>
            <w:tcW w:w="1781"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110CC140" w14:textId="77777777" w:rsidR="001E1DC6" w:rsidRDefault="009276B9">
            <w:pPr>
              <w:spacing w:line="240" w:lineRule="auto"/>
              <w:rPr>
                <w:b/>
              </w:rPr>
            </w:pPr>
            <w:r>
              <w:rPr>
                <w:b/>
              </w:rPr>
              <w:t>Cost Leadership</w:t>
            </w:r>
          </w:p>
        </w:tc>
        <w:tc>
          <w:tcPr>
            <w:tcW w:w="26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315E8087" w14:textId="77777777" w:rsidR="001E1DC6" w:rsidRDefault="009276B9">
            <w:pPr>
              <w:spacing w:line="240" w:lineRule="auto"/>
              <w:jc w:val="left"/>
            </w:pPr>
            <w:r>
              <w:t>A strategy aimed at becoming the lowest cost producer in the industry.</w:t>
            </w:r>
          </w:p>
        </w:tc>
        <w:tc>
          <w:tcPr>
            <w:tcW w:w="4952"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11759170" w14:textId="77777777" w:rsidR="001E1DC6" w:rsidRDefault="009276B9">
            <w:pPr>
              <w:spacing w:line="240" w:lineRule="auto"/>
            </w:pPr>
            <w:r>
              <w:t>AstraZeneca does not primarily focus on cost leadership. Their emphasis on innovative drugs and R&amp;D in specialized areas often involves higher costs (</w:t>
            </w:r>
            <w:proofErr w:type="spellStart"/>
            <w:r>
              <w:t>Astrazeneca</w:t>
            </w:r>
            <w:proofErr w:type="spellEnd"/>
            <w:r>
              <w:t>, 2023).</w:t>
            </w:r>
          </w:p>
        </w:tc>
      </w:tr>
      <w:tr w:rsidR="001E1DC6" w14:paraId="71C8BC88" w14:textId="77777777">
        <w:trPr>
          <w:trHeight w:val="1530"/>
        </w:trPr>
        <w:tc>
          <w:tcPr>
            <w:tcW w:w="1781"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0808455A" w14:textId="77777777" w:rsidR="001E1DC6" w:rsidRDefault="009276B9">
            <w:pPr>
              <w:spacing w:line="240" w:lineRule="auto"/>
              <w:rPr>
                <w:b/>
              </w:rPr>
            </w:pPr>
            <w:r>
              <w:rPr>
                <w:b/>
              </w:rPr>
              <w:t>Differentiation</w:t>
            </w:r>
          </w:p>
        </w:tc>
        <w:tc>
          <w:tcPr>
            <w:tcW w:w="26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40594AB0" w14:textId="77777777" w:rsidR="001E1DC6" w:rsidRDefault="009276B9">
            <w:pPr>
              <w:spacing w:line="240" w:lineRule="auto"/>
              <w:jc w:val="left"/>
            </w:pPr>
            <w:r>
              <w:t>Focuses on offering unique products or services that are valued by customers.</w:t>
            </w:r>
          </w:p>
        </w:tc>
        <w:tc>
          <w:tcPr>
            <w:tcW w:w="4952"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3C93163B" w14:textId="77777777" w:rsidR="001E1DC6" w:rsidRDefault="009276B9">
            <w:pPr>
              <w:spacing w:line="240" w:lineRule="auto"/>
            </w:pPr>
            <w:r>
              <w:t>AstraZeneca excels in this area. Their investment in R&amp;D, particularly in oncology, respiratory, and other specialized fields, leads to the development of unique, high-quality drugs that stand out in the market.</w:t>
            </w:r>
          </w:p>
        </w:tc>
      </w:tr>
      <w:tr w:rsidR="001E1DC6" w14:paraId="62EBE30C" w14:textId="77777777">
        <w:trPr>
          <w:trHeight w:val="1902"/>
        </w:trPr>
        <w:tc>
          <w:tcPr>
            <w:tcW w:w="1781"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3CF5AB36" w14:textId="77777777" w:rsidR="001E1DC6" w:rsidRDefault="009276B9">
            <w:pPr>
              <w:spacing w:line="240" w:lineRule="auto"/>
              <w:rPr>
                <w:b/>
              </w:rPr>
            </w:pPr>
            <w:r>
              <w:rPr>
                <w:b/>
              </w:rPr>
              <w:t>Focus Strategy</w:t>
            </w:r>
          </w:p>
        </w:tc>
        <w:tc>
          <w:tcPr>
            <w:tcW w:w="26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37B60F8F" w14:textId="77777777" w:rsidR="001E1DC6" w:rsidRDefault="009276B9">
            <w:pPr>
              <w:spacing w:line="240" w:lineRule="auto"/>
              <w:jc w:val="left"/>
            </w:pPr>
            <w:r>
              <w:t>Concentrates on a narrow segment, offering tailored products or services.</w:t>
            </w:r>
          </w:p>
        </w:tc>
        <w:tc>
          <w:tcPr>
            <w:tcW w:w="4952"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5E7FABBA" w14:textId="77777777" w:rsidR="001E1DC6" w:rsidRDefault="009276B9">
            <w:pPr>
              <w:spacing w:line="240" w:lineRule="auto"/>
            </w:pPr>
            <w:r>
              <w:t>AstraZeneca employs a focus strategy by concentrating on high-growth therapy areas like oncology, respiratory, and cardiovascular diseases. it tailor their products to meet specific needs within these specialized segments.</w:t>
            </w:r>
          </w:p>
        </w:tc>
      </w:tr>
      <w:tr w:rsidR="001E1DC6" w14:paraId="0DC9B1D2" w14:textId="77777777">
        <w:trPr>
          <w:trHeight w:val="1182"/>
        </w:trPr>
        <w:tc>
          <w:tcPr>
            <w:tcW w:w="1781"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0E723375" w14:textId="77777777" w:rsidR="001E1DC6" w:rsidRDefault="009276B9">
            <w:pPr>
              <w:spacing w:line="240" w:lineRule="auto"/>
              <w:rPr>
                <w:b/>
              </w:rPr>
            </w:pPr>
            <w:r>
              <w:rPr>
                <w:b/>
              </w:rPr>
              <w:t>Cost Focus</w:t>
            </w:r>
          </w:p>
        </w:tc>
        <w:tc>
          <w:tcPr>
            <w:tcW w:w="26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4E2CB8CA" w14:textId="77777777" w:rsidR="001E1DC6" w:rsidRDefault="009276B9">
            <w:pPr>
              <w:spacing w:line="240" w:lineRule="auto"/>
              <w:jc w:val="left"/>
            </w:pPr>
            <w:r>
              <w:t>Similar to cost leadership but with a focus on a specific market segment.</w:t>
            </w:r>
          </w:p>
        </w:tc>
        <w:tc>
          <w:tcPr>
            <w:tcW w:w="4952"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24B9FA72" w14:textId="77777777" w:rsidR="001E1DC6" w:rsidRDefault="009276B9">
            <w:pPr>
              <w:spacing w:line="240" w:lineRule="auto"/>
            </w:pPr>
            <w:r>
              <w:t>Not a primary strategy for AstraZeneca. Their investment in high-cost, specialized R&amp;D does not align with a cost focus approach.</w:t>
            </w:r>
          </w:p>
        </w:tc>
      </w:tr>
      <w:tr w:rsidR="001E1DC6" w14:paraId="19FEEDC1" w14:textId="77777777">
        <w:trPr>
          <w:trHeight w:val="1775"/>
        </w:trPr>
        <w:tc>
          <w:tcPr>
            <w:tcW w:w="1781"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0DB786EE" w14:textId="77777777" w:rsidR="001E1DC6" w:rsidRDefault="009276B9">
            <w:pPr>
              <w:spacing w:line="240" w:lineRule="auto"/>
              <w:rPr>
                <w:b/>
              </w:rPr>
            </w:pPr>
            <w:r>
              <w:rPr>
                <w:b/>
              </w:rPr>
              <w:t>Differentiation Focus</w:t>
            </w:r>
          </w:p>
        </w:tc>
        <w:tc>
          <w:tcPr>
            <w:tcW w:w="26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54C0106E" w14:textId="77777777" w:rsidR="001E1DC6" w:rsidRDefault="009276B9">
            <w:pPr>
              <w:spacing w:line="240" w:lineRule="auto"/>
              <w:jc w:val="left"/>
            </w:pPr>
            <w:r>
              <w:t>Differentiation within a specific market segment.</w:t>
            </w:r>
          </w:p>
        </w:tc>
        <w:tc>
          <w:tcPr>
            <w:tcW w:w="4952"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vAlign w:val="center"/>
          </w:tcPr>
          <w:p w14:paraId="67434019" w14:textId="77777777" w:rsidR="001E1DC6" w:rsidRDefault="009276B9">
            <w:pPr>
              <w:spacing w:line="240" w:lineRule="auto"/>
            </w:pPr>
            <w:r>
              <w:t>AstraZeneca uses this approach in its targeted therapy areas. By focusing on diseases like cancer and diabetes, it offer differentiated products specifically designed for these segments.</w:t>
            </w:r>
          </w:p>
        </w:tc>
      </w:tr>
    </w:tbl>
    <w:p w14:paraId="63F3C374" w14:textId="77777777" w:rsidR="001E1DC6" w:rsidRDefault="001E1DC6"/>
    <w:p w14:paraId="199E17C7" w14:textId="77777777" w:rsidR="001E1DC6" w:rsidRDefault="001E1DC6">
      <w:pPr>
        <w:pStyle w:val="Heading2"/>
      </w:pPr>
      <w:bookmarkStart w:id="7" w:name="_u5ercai2afnt" w:colFirst="0" w:colLast="0"/>
      <w:bookmarkEnd w:id="7"/>
    </w:p>
    <w:p w14:paraId="6102F094" w14:textId="77777777" w:rsidR="001E1DC6" w:rsidRDefault="001E1DC6">
      <w:pPr>
        <w:pStyle w:val="Heading2"/>
      </w:pPr>
      <w:bookmarkStart w:id="8" w:name="_wek111bxydg9" w:colFirst="0" w:colLast="0"/>
      <w:bookmarkEnd w:id="8"/>
    </w:p>
    <w:p w14:paraId="48D43BF3" w14:textId="77777777" w:rsidR="001E1DC6" w:rsidRDefault="001E1DC6">
      <w:pPr>
        <w:pStyle w:val="Heading2"/>
      </w:pPr>
      <w:bookmarkStart w:id="9" w:name="_7cnjm8kt4dmy" w:colFirst="0" w:colLast="0"/>
      <w:bookmarkEnd w:id="9"/>
    </w:p>
    <w:p w14:paraId="110CBF7C" w14:textId="77777777" w:rsidR="001E1DC6" w:rsidRDefault="009276B9">
      <w:pPr>
        <w:pStyle w:val="Heading2"/>
      </w:pPr>
      <w:bookmarkStart w:id="10" w:name="_ph12ia1w468h" w:colFirst="0" w:colLast="0"/>
      <w:bookmarkEnd w:id="10"/>
      <w:r>
        <w:t>3.3 Apply the Ansoff Matrix:</w:t>
      </w:r>
    </w:p>
    <w:tbl>
      <w:tblPr>
        <w:tblStyle w:val="a0"/>
        <w:tblW w:w="9270" w:type="dxa"/>
        <w:tblBorders>
          <w:top w:val="nil"/>
          <w:left w:val="nil"/>
          <w:bottom w:val="nil"/>
          <w:right w:val="nil"/>
          <w:insideH w:val="nil"/>
          <w:insideV w:val="nil"/>
        </w:tblBorders>
        <w:tblLayout w:type="fixed"/>
        <w:tblLook w:val="0600" w:firstRow="0" w:lastRow="0" w:firstColumn="0" w:lastColumn="0" w:noHBand="1" w:noVBand="1"/>
      </w:tblPr>
      <w:tblGrid>
        <w:gridCol w:w="1446"/>
        <w:gridCol w:w="1164"/>
        <w:gridCol w:w="3300"/>
        <w:gridCol w:w="3360"/>
      </w:tblGrid>
      <w:tr w:rsidR="001E1DC6" w14:paraId="302E6C13" w14:textId="77777777">
        <w:trPr>
          <w:trHeight w:val="315"/>
        </w:trPr>
        <w:tc>
          <w:tcPr>
            <w:tcW w:w="1446" w:type="dxa"/>
            <w:tcBorders>
              <w:top w:val="nil"/>
              <w:left w:val="nil"/>
              <w:bottom w:val="nil"/>
              <w:right w:val="nil"/>
            </w:tcBorders>
            <w:tcMar>
              <w:top w:w="0" w:type="dxa"/>
              <w:left w:w="100" w:type="dxa"/>
              <w:bottom w:w="0" w:type="dxa"/>
              <w:right w:w="100" w:type="dxa"/>
            </w:tcMar>
            <w:vAlign w:val="bottom"/>
          </w:tcPr>
          <w:p w14:paraId="311AA23C" w14:textId="77777777" w:rsidR="001E1DC6" w:rsidRDefault="001E1DC6"/>
        </w:tc>
        <w:tc>
          <w:tcPr>
            <w:tcW w:w="1164" w:type="dxa"/>
            <w:tcBorders>
              <w:top w:val="nil"/>
              <w:left w:val="nil"/>
              <w:bottom w:val="nil"/>
              <w:right w:val="nil"/>
            </w:tcBorders>
            <w:tcMar>
              <w:top w:w="0" w:type="dxa"/>
              <w:left w:w="100" w:type="dxa"/>
              <w:bottom w:w="0" w:type="dxa"/>
              <w:right w:w="100" w:type="dxa"/>
            </w:tcMar>
            <w:vAlign w:val="bottom"/>
          </w:tcPr>
          <w:p w14:paraId="65CE9563" w14:textId="77777777" w:rsidR="001E1DC6" w:rsidRDefault="001E1DC6"/>
        </w:tc>
        <w:tc>
          <w:tcPr>
            <w:tcW w:w="6660" w:type="dxa"/>
            <w:gridSpan w:val="2"/>
            <w:tcBorders>
              <w:top w:val="nil"/>
              <w:left w:val="nil"/>
              <w:bottom w:val="single" w:sz="6" w:space="0" w:color="000000"/>
              <w:right w:val="nil"/>
            </w:tcBorders>
            <w:tcMar>
              <w:top w:w="0" w:type="dxa"/>
              <w:left w:w="100" w:type="dxa"/>
              <w:bottom w:w="0" w:type="dxa"/>
              <w:right w:w="100" w:type="dxa"/>
            </w:tcMar>
            <w:vAlign w:val="center"/>
          </w:tcPr>
          <w:p w14:paraId="4145DCA5" w14:textId="77777777" w:rsidR="001E1DC6" w:rsidRDefault="009276B9">
            <w:pPr>
              <w:spacing w:before="240" w:line="276" w:lineRule="auto"/>
              <w:jc w:val="center"/>
              <w:rPr>
                <w:b/>
              </w:rPr>
            </w:pPr>
            <w:r>
              <w:rPr>
                <w:b/>
              </w:rPr>
              <w:t>PRODUCTS</w:t>
            </w:r>
          </w:p>
        </w:tc>
      </w:tr>
      <w:tr w:rsidR="001E1DC6" w14:paraId="3BB0186B" w14:textId="77777777">
        <w:trPr>
          <w:trHeight w:val="315"/>
        </w:trPr>
        <w:tc>
          <w:tcPr>
            <w:tcW w:w="1446" w:type="dxa"/>
            <w:tcBorders>
              <w:top w:val="nil"/>
              <w:left w:val="nil"/>
              <w:bottom w:val="nil"/>
              <w:right w:val="nil"/>
            </w:tcBorders>
            <w:shd w:val="clear" w:color="auto" w:fill="auto"/>
            <w:tcMar>
              <w:top w:w="0" w:type="dxa"/>
              <w:left w:w="100" w:type="dxa"/>
              <w:bottom w:w="0" w:type="dxa"/>
              <w:right w:w="100" w:type="dxa"/>
            </w:tcMar>
            <w:vAlign w:val="bottom"/>
          </w:tcPr>
          <w:p w14:paraId="7FF4EF56" w14:textId="77777777" w:rsidR="001E1DC6" w:rsidRDefault="001E1DC6"/>
        </w:tc>
        <w:tc>
          <w:tcPr>
            <w:tcW w:w="1164" w:type="dxa"/>
            <w:tcBorders>
              <w:top w:val="nil"/>
              <w:left w:val="nil"/>
              <w:bottom w:val="nil"/>
              <w:right w:val="nil"/>
            </w:tcBorders>
            <w:shd w:val="clear" w:color="auto" w:fill="auto"/>
            <w:tcMar>
              <w:top w:w="0" w:type="dxa"/>
              <w:left w:w="100" w:type="dxa"/>
              <w:bottom w:w="0" w:type="dxa"/>
              <w:right w:w="100" w:type="dxa"/>
            </w:tcMar>
            <w:vAlign w:val="bottom"/>
          </w:tcPr>
          <w:p w14:paraId="728EBFA8" w14:textId="77777777" w:rsidR="001E1DC6" w:rsidRDefault="001E1DC6"/>
        </w:tc>
        <w:tc>
          <w:tcPr>
            <w:tcW w:w="3300" w:type="dxa"/>
            <w:tcBorders>
              <w:top w:val="nil"/>
              <w:left w:val="single" w:sz="6" w:space="0" w:color="000000"/>
              <w:bottom w:val="single" w:sz="6" w:space="0" w:color="000000"/>
              <w:right w:val="single" w:sz="6" w:space="0" w:color="000000"/>
            </w:tcBorders>
            <w:shd w:val="clear" w:color="auto" w:fill="FF9900"/>
            <w:tcMar>
              <w:top w:w="0" w:type="dxa"/>
              <w:left w:w="100" w:type="dxa"/>
              <w:bottom w:w="0" w:type="dxa"/>
              <w:right w:w="100" w:type="dxa"/>
            </w:tcMar>
            <w:vAlign w:val="bottom"/>
          </w:tcPr>
          <w:p w14:paraId="695B9554" w14:textId="77777777" w:rsidR="001E1DC6" w:rsidRDefault="009276B9">
            <w:pPr>
              <w:spacing w:before="240" w:line="276" w:lineRule="auto"/>
              <w:jc w:val="center"/>
              <w:rPr>
                <w:b/>
              </w:rPr>
            </w:pPr>
            <w:r>
              <w:rPr>
                <w:b/>
              </w:rPr>
              <w:t>Existing</w:t>
            </w:r>
          </w:p>
        </w:tc>
        <w:tc>
          <w:tcPr>
            <w:tcW w:w="3360"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vAlign w:val="bottom"/>
          </w:tcPr>
          <w:p w14:paraId="797C96BF" w14:textId="77777777" w:rsidR="001E1DC6" w:rsidRDefault="009276B9">
            <w:pPr>
              <w:spacing w:before="240" w:line="276" w:lineRule="auto"/>
              <w:jc w:val="center"/>
              <w:rPr>
                <w:b/>
              </w:rPr>
            </w:pPr>
            <w:r>
              <w:rPr>
                <w:b/>
              </w:rPr>
              <w:t>New</w:t>
            </w:r>
          </w:p>
        </w:tc>
      </w:tr>
      <w:tr w:rsidR="001E1DC6" w14:paraId="4F02B7C6" w14:textId="77777777">
        <w:trPr>
          <w:trHeight w:val="3150"/>
        </w:trPr>
        <w:tc>
          <w:tcPr>
            <w:tcW w:w="1446" w:type="dxa"/>
            <w:vMerge w:val="restart"/>
            <w:tcBorders>
              <w:top w:val="nil"/>
              <w:left w:val="nil"/>
              <w:bottom w:val="nil"/>
              <w:right w:val="single" w:sz="6" w:space="0" w:color="000000"/>
            </w:tcBorders>
            <w:shd w:val="clear" w:color="auto" w:fill="auto"/>
            <w:tcMar>
              <w:top w:w="0" w:type="dxa"/>
              <w:left w:w="100" w:type="dxa"/>
              <w:bottom w:w="0" w:type="dxa"/>
              <w:right w:w="100" w:type="dxa"/>
            </w:tcMar>
            <w:vAlign w:val="center"/>
          </w:tcPr>
          <w:p w14:paraId="6DA5A499" w14:textId="77777777" w:rsidR="001E1DC6" w:rsidRDefault="009276B9">
            <w:pPr>
              <w:spacing w:before="240" w:line="276" w:lineRule="auto"/>
              <w:jc w:val="center"/>
              <w:rPr>
                <w:b/>
              </w:rPr>
            </w:pPr>
            <w:r>
              <w:rPr>
                <w:b/>
              </w:rPr>
              <w:t>MARKATS</w:t>
            </w:r>
          </w:p>
        </w:tc>
        <w:tc>
          <w:tcPr>
            <w:tcW w:w="1164" w:type="dxa"/>
            <w:tcBorders>
              <w:top w:val="single" w:sz="6" w:space="0" w:color="000000"/>
              <w:left w:val="nil"/>
              <w:bottom w:val="single" w:sz="6" w:space="0" w:color="000000"/>
              <w:right w:val="single" w:sz="6" w:space="0" w:color="000000"/>
            </w:tcBorders>
            <w:shd w:val="clear" w:color="auto" w:fill="00FF00"/>
            <w:tcMar>
              <w:top w:w="0" w:type="dxa"/>
              <w:left w:w="100" w:type="dxa"/>
              <w:bottom w:w="0" w:type="dxa"/>
              <w:right w:w="100" w:type="dxa"/>
            </w:tcMar>
            <w:vAlign w:val="center"/>
          </w:tcPr>
          <w:p w14:paraId="06A878B9" w14:textId="77777777" w:rsidR="001E1DC6" w:rsidRDefault="009276B9">
            <w:pPr>
              <w:spacing w:before="240" w:line="276" w:lineRule="auto"/>
              <w:rPr>
                <w:b/>
              </w:rPr>
            </w:pPr>
            <w:r>
              <w:rPr>
                <w:b/>
              </w:rPr>
              <w:t>Existing</w:t>
            </w:r>
          </w:p>
        </w:tc>
        <w:tc>
          <w:tcPr>
            <w:tcW w:w="3300" w:type="dxa"/>
            <w:tcBorders>
              <w:top w:val="nil"/>
              <w:left w:val="nil"/>
              <w:bottom w:val="single" w:sz="6" w:space="0" w:color="000000"/>
              <w:right w:val="single" w:sz="6" w:space="0" w:color="000000"/>
            </w:tcBorders>
            <w:shd w:val="clear" w:color="auto" w:fill="FFD966"/>
            <w:tcMar>
              <w:top w:w="0" w:type="dxa"/>
              <w:left w:w="100" w:type="dxa"/>
              <w:bottom w:w="0" w:type="dxa"/>
              <w:right w:w="100" w:type="dxa"/>
            </w:tcMar>
          </w:tcPr>
          <w:p w14:paraId="082BFD7E" w14:textId="77777777" w:rsidR="001E1DC6" w:rsidRDefault="009276B9">
            <w:pPr>
              <w:spacing w:before="240" w:line="276" w:lineRule="auto"/>
            </w:pPr>
            <w:r>
              <w:t>AstraZeneca pursues market penetration by increasing sales of its existing pharmaceutical products, particularly in oncology, respiratory, and cardiovascular sectors, in existing markets through enhanced marketing efforts and sales strategies.</w:t>
            </w:r>
          </w:p>
        </w:tc>
        <w:tc>
          <w:tcPr>
            <w:tcW w:w="3360" w:type="dxa"/>
            <w:tcBorders>
              <w:top w:val="nil"/>
              <w:left w:val="nil"/>
              <w:bottom w:val="single" w:sz="6" w:space="0" w:color="000000"/>
              <w:right w:val="single" w:sz="6" w:space="0" w:color="000000"/>
            </w:tcBorders>
            <w:shd w:val="clear" w:color="auto" w:fill="EA9999"/>
            <w:tcMar>
              <w:top w:w="0" w:type="dxa"/>
              <w:left w:w="100" w:type="dxa"/>
              <w:bottom w:w="0" w:type="dxa"/>
              <w:right w:w="100" w:type="dxa"/>
            </w:tcMar>
          </w:tcPr>
          <w:p w14:paraId="1AA88BAA" w14:textId="77777777" w:rsidR="001E1DC6" w:rsidRDefault="009276B9">
            <w:pPr>
              <w:spacing w:before="240" w:line="276" w:lineRule="auto"/>
            </w:pPr>
            <w:r>
              <w:t>The company actively develops new drugs and therapies, especially in the high-growth areas of biologics and immunotherapies. AstraZeneca's robust R&amp;D pipeline focuses on bringing innovative treatments to market, catering to existing customer segments (</w:t>
            </w:r>
            <w:proofErr w:type="spellStart"/>
            <w:r>
              <w:t>Astrazeneca</w:t>
            </w:r>
            <w:proofErr w:type="spellEnd"/>
            <w:r>
              <w:t>, 2023).</w:t>
            </w:r>
          </w:p>
        </w:tc>
      </w:tr>
      <w:tr w:rsidR="001E1DC6" w14:paraId="539DB824" w14:textId="77777777">
        <w:trPr>
          <w:trHeight w:val="2835"/>
        </w:trPr>
        <w:tc>
          <w:tcPr>
            <w:tcW w:w="1446" w:type="dxa"/>
            <w:vMerge/>
            <w:tcBorders>
              <w:top w:val="nil"/>
              <w:left w:val="nil"/>
              <w:bottom w:val="nil"/>
              <w:right w:val="single" w:sz="6" w:space="0" w:color="000000"/>
            </w:tcBorders>
            <w:shd w:val="clear" w:color="auto" w:fill="auto"/>
            <w:tcMar>
              <w:top w:w="100" w:type="dxa"/>
              <w:left w:w="100" w:type="dxa"/>
              <w:bottom w:w="100" w:type="dxa"/>
              <w:right w:w="100" w:type="dxa"/>
            </w:tcMar>
            <w:vAlign w:val="center"/>
          </w:tcPr>
          <w:p w14:paraId="3650F78E" w14:textId="77777777" w:rsidR="001E1DC6" w:rsidRDefault="001E1DC6"/>
        </w:tc>
        <w:tc>
          <w:tcPr>
            <w:tcW w:w="1164" w:type="dxa"/>
            <w:tcBorders>
              <w:top w:val="nil"/>
              <w:left w:val="nil"/>
              <w:bottom w:val="single" w:sz="6" w:space="0" w:color="000000"/>
              <w:right w:val="single" w:sz="6" w:space="0" w:color="000000"/>
            </w:tcBorders>
            <w:shd w:val="clear" w:color="auto" w:fill="4A86E8"/>
            <w:tcMar>
              <w:top w:w="0" w:type="dxa"/>
              <w:left w:w="100" w:type="dxa"/>
              <w:bottom w:w="0" w:type="dxa"/>
              <w:right w:w="100" w:type="dxa"/>
            </w:tcMar>
            <w:vAlign w:val="center"/>
          </w:tcPr>
          <w:p w14:paraId="5B35C725" w14:textId="77777777" w:rsidR="001E1DC6" w:rsidRDefault="009276B9">
            <w:pPr>
              <w:spacing w:before="240" w:line="276" w:lineRule="auto"/>
              <w:rPr>
                <w:b/>
              </w:rPr>
            </w:pPr>
            <w:r>
              <w:rPr>
                <w:b/>
              </w:rPr>
              <w:t>New</w:t>
            </w:r>
          </w:p>
        </w:tc>
        <w:tc>
          <w:tcPr>
            <w:tcW w:w="3300" w:type="dxa"/>
            <w:tcBorders>
              <w:top w:val="nil"/>
              <w:left w:val="nil"/>
              <w:bottom w:val="single" w:sz="6" w:space="0" w:color="000000"/>
              <w:right w:val="single" w:sz="6" w:space="0" w:color="000000"/>
            </w:tcBorders>
            <w:shd w:val="clear" w:color="auto" w:fill="A2C4C9"/>
            <w:tcMar>
              <w:top w:w="0" w:type="dxa"/>
              <w:left w:w="100" w:type="dxa"/>
              <w:bottom w:w="0" w:type="dxa"/>
              <w:right w:w="100" w:type="dxa"/>
            </w:tcMar>
          </w:tcPr>
          <w:p w14:paraId="3925B800" w14:textId="77777777" w:rsidR="001E1DC6" w:rsidRDefault="009276B9">
            <w:pPr>
              <w:spacing w:before="240" w:line="276" w:lineRule="auto"/>
            </w:pPr>
            <w:r>
              <w:t>AstraZeneca is expanding its reach in emerging markets, increasing marketing and sales initiatives in regions with untapped potential, thereby gaining access to new customer segments with their current product lineup (</w:t>
            </w:r>
            <w:proofErr w:type="spellStart"/>
            <w:r>
              <w:t>Astrazeneca</w:t>
            </w:r>
            <w:proofErr w:type="spellEnd"/>
            <w:r>
              <w:t>, 2023).</w:t>
            </w:r>
          </w:p>
        </w:tc>
        <w:tc>
          <w:tcPr>
            <w:tcW w:w="3360" w:type="dxa"/>
            <w:tcBorders>
              <w:top w:val="nil"/>
              <w:left w:val="nil"/>
              <w:bottom w:val="single" w:sz="6" w:space="0" w:color="000000"/>
              <w:right w:val="single" w:sz="6" w:space="0" w:color="000000"/>
            </w:tcBorders>
            <w:shd w:val="clear" w:color="auto" w:fill="93C47D"/>
            <w:tcMar>
              <w:top w:w="0" w:type="dxa"/>
              <w:left w:w="100" w:type="dxa"/>
              <w:bottom w:w="0" w:type="dxa"/>
              <w:right w:w="100" w:type="dxa"/>
            </w:tcMar>
          </w:tcPr>
          <w:p w14:paraId="77109E81" w14:textId="77777777" w:rsidR="001E1DC6" w:rsidRDefault="009276B9">
            <w:pPr>
              <w:spacing w:before="240" w:line="276" w:lineRule="auto"/>
            </w:pPr>
            <w:r>
              <w:t>Through strategic acquisitions like Alexion Pharmaceuticals, AstraZeneca is diversifying into new therapeutic areas and markets. This move allows the company to explore new segments, particularly in rare diseases, with innovative products.</w:t>
            </w:r>
          </w:p>
        </w:tc>
      </w:tr>
    </w:tbl>
    <w:p w14:paraId="64AE31E4" w14:textId="77777777" w:rsidR="001E1DC6" w:rsidRDefault="001E1DC6"/>
    <w:p w14:paraId="09BCD87D" w14:textId="77777777" w:rsidR="001E1DC6" w:rsidRDefault="009276B9">
      <w:pPr>
        <w:pStyle w:val="Heading2"/>
      </w:pPr>
      <w:bookmarkStart w:id="11" w:name="_xencd54oeph" w:colFirst="0" w:colLast="0"/>
      <w:bookmarkEnd w:id="11"/>
      <w:r>
        <w:t xml:space="preserve">3.4 </w:t>
      </w:r>
      <w:proofErr w:type="spellStart"/>
      <w:r>
        <w:t>Analysing</w:t>
      </w:r>
      <w:proofErr w:type="spellEnd"/>
      <w:r>
        <w:t xml:space="preserve"> Resources and Capabilities (Alignment with Strategy):</w:t>
      </w:r>
    </w:p>
    <w:p w14:paraId="2CC9F307" w14:textId="77777777" w:rsidR="001E1DC6" w:rsidRDefault="001E1DC6"/>
    <w:p w14:paraId="5A7D0F2F" w14:textId="77777777" w:rsidR="001E1DC6" w:rsidRDefault="009276B9">
      <w:pPr>
        <w:rPr>
          <w:b/>
        </w:rPr>
      </w:pPr>
      <w:r>
        <w:rPr>
          <w:b/>
        </w:rPr>
        <w:lastRenderedPageBreak/>
        <w:t>1. R&amp;D Capabilities and High-Growth Therapy Areas</w:t>
      </w:r>
    </w:p>
    <w:p w14:paraId="0ABC6E65" w14:textId="77777777" w:rsidR="001E1DC6" w:rsidRDefault="009276B9">
      <w:r>
        <w:t>Talented Researchers and Global R&amp;D Infrastructure: AstraZeneca's commitment to oncology, respiratory, and cardiovascular therapies is backed by a global team of expert researchers (</w:t>
      </w:r>
      <w:r>
        <w:rPr>
          <w:rFonts w:ascii="Arial" w:eastAsia="Arial" w:hAnsi="Arial" w:cs="Arial"/>
          <w:color w:val="222222"/>
          <w:sz w:val="20"/>
          <w:szCs w:val="20"/>
          <w:highlight w:val="white"/>
        </w:rPr>
        <w:t>ELCC, 2017)</w:t>
      </w:r>
      <w:r>
        <w:t>. Their state-of-the-art research facilities worldwide enable innovative drug development and effective clinical trials. This alignment ensures continuous progress in their prioritized therapeutic areas. Investment in Cutting-edge Technologies: The company’s use of AI, big data, and advanced genomic technologies in drug discovery and development aligns with its focus on creating groundbreaking treatments (AstraZeneca, 2023). This tech-driven approach accelerates the R&amp;D process, ensuring a compet</w:t>
      </w:r>
      <w:r>
        <w:t>itive edge in the pharmaceutical industry.</w:t>
      </w:r>
    </w:p>
    <w:p w14:paraId="79E3D6E1" w14:textId="77777777" w:rsidR="001E1DC6" w:rsidRDefault="009276B9">
      <w:pPr>
        <w:rPr>
          <w:b/>
        </w:rPr>
      </w:pPr>
      <w:r>
        <w:rPr>
          <w:b/>
        </w:rPr>
        <w:t>2. Partnerships and Collaboration</w:t>
      </w:r>
    </w:p>
    <w:p w14:paraId="34B76CCD" w14:textId="77777777" w:rsidR="001E1DC6" w:rsidRDefault="009276B9">
      <w:r>
        <w:t>Through strategic alliances and acquisitions, like its partnership with Merck and its purchase of Alexion Pharmaceuticals, AstraZeneca (2023) has demonstrated that it is capable of using outside expertise to expand its therapeutic reach. The company's capable M&amp;A team has successfully integrated additional assets, strengthening its portfolio and advancing its strategic goals in high-growth therapeutic areas. Capability to AstraZeneca makes sure that acquired businesses are smoothly incorporated into their o</w:t>
      </w:r>
      <w:r>
        <w:t>perations in order to optimize the value of these agreements and strengthen their position in the market.</w:t>
      </w:r>
    </w:p>
    <w:p w14:paraId="7BD5C012" w14:textId="77777777" w:rsidR="001E1DC6" w:rsidRDefault="009276B9">
      <w:pPr>
        <w:rPr>
          <w:b/>
        </w:rPr>
      </w:pPr>
      <w:r>
        <w:rPr>
          <w:b/>
        </w:rPr>
        <w:t>3. Operational Efficiency and Streamlining</w:t>
      </w:r>
    </w:p>
    <w:p w14:paraId="52367D4E" w14:textId="77777777" w:rsidR="001E1DC6" w:rsidRDefault="009276B9">
      <w:r>
        <w:t>AstraZeneca shows its dedication to business efficiency by focusing on improving manufacturing processes and bringing lean management ideas to every part of the company. Through this strategy agreement, costs have been cut, and the money saved has been put into investments in R&amp;D and other important areas. Global transportation management: AstraZeneca's strong supply chain network makes sure that its medicines are sent around the world quickly and efficiently, which helps the company's plans to grow and exp</w:t>
      </w:r>
      <w:r>
        <w:t>and its markets (Pozniak et al., 2021).</w:t>
      </w:r>
    </w:p>
    <w:p w14:paraId="0F720277" w14:textId="77777777" w:rsidR="001E1DC6" w:rsidRDefault="009276B9">
      <w:pPr>
        <w:rPr>
          <w:b/>
        </w:rPr>
      </w:pPr>
      <w:r>
        <w:rPr>
          <w:b/>
        </w:rPr>
        <w:t>4. Digital Transformation and Emerging Markets</w:t>
      </w:r>
    </w:p>
    <w:p w14:paraId="23D53CA4" w14:textId="77777777" w:rsidR="001E1DC6" w:rsidRDefault="009276B9">
      <w:r>
        <w:t>AstraZeneca's choice to enter new markets is in line with its work on digital change and data analytics, showing that it is an expert in both. Businesses can better reach and serve a wide range of people by setting up multicultural marketing teams and using mobile health solutions.</w:t>
      </w:r>
    </w:p>
    <w:p w14:paraId="468415E7" w14:textId="77777777" w:rsidR="001E1DC6" w:rsidRDefault="001E1DC6"/>
    <w:p w14:paraId="54490CD8" w14:textId="77777777" w:rsidR="001E1DC6" w:rsidRDefault="009276B9">
      <w:pPr>
        <w:pStyle w:val="Heading2"/>
      </w:pPr>
      <w:bookmarkStart w:id="12" w:name="_4ajp37s20607" w:colFirst="0" w:colLast="0"/>
      <w:bookmarkEnd w:id="12"/>
      <w:r>
        <w:lastRenderedPageBreak/>
        <w:t>3.5 Value Chain Analysis:</w:t>
      </w:r>
    </w:p>
    <w:p w14:paraId="117E90B7" w14:textId="77777777" w:rsidR="001E1DC6" w:rsidRDefault="009276B9">
      <w:r>
        <w:t>More than 30% of AstraZeneca's (2022) annual sales go to research and development. The company focuses on areas that are growing quickly, like cancer and lung problems. With this huge investment behind them, it have a strong pipeline of more than 130 development possibilities, which shows how committed it are to coming up with new ideas. The drug company AstraZeneca has improved the efficiency of its output around the world by using digital tools and lean management methods. With this methodical approach, a</w:t>
      </w:r>
      <w:r>
        <w:t xml:space="preserve"> lot of money could be saved and things could run more easily. The company was able to grow its market share in important therapeutic areas by using focused marketing strategies and keeping good relationships with healthcare workers. This shows that sales and marketing resources were used well. AstraZeneca's (2023) large supply chain network makes sure that products are delivered quickly and cheaply around the world. This network is essential for keeping and getting new customers. AstraZeneca wants to build</w:t>
      </w:r>
      <w:r>
        <w:t xml:space="preserve"> relationships with customers and keep them loyal to the brand, so it put money into </w:t>
      </w:r>
      <w:proofErr w:type="spellStart"/>
      <w:r>
        <w:t>programmes</w:t>
      </w:r>
      <w:proofErr w:type="spellEnd"/>
      <w:r>
        <w:t xml:space="preserve"> that help patients and healthcare workers after the sale.</w:t>
      </w:r>
    </w:p>
    <w:p w14:paraId="3F827294" w14:textId="77777777" w:rsidR="001E1DC6" w:rsidRDefault="001E1DC6">
      <w:pPr>
        <w:rPr>
          <w:b/>
          <w:i/>
        </w:rPr>
      </w:pPr>
    </w:p>
    <w:p w14:paraId="0A727727" w14:textId="77777777" w:rsidR="001E1DC6" w:rsidRDefault="009276B9">
      <w:pPr>
        <w:rPr>
          <w:b/>
          <w:i/>
        </w:rPr>
      </w:pPr>
      <w:r>
        <w:rPr>
          <w:b/>
          <w:i/>
        </w:rPr>
        <w:t>Value System Analysis</w:t>
      </w:r>
    </w:p>
    <w:p w14:paraId="6451CF69" w14:textId="77777777" w:rsidR="001E1DC6" w:rsidRDefault="009276B9">
      <w:r>
        <w:t>Investors, the government, and academic institutions can be sure that AstraZeneca will always act in an honest and responsible way as it works to make healthcare more accessible and give people new treatments. The company's relationships show that it can make good use of its resources, which leads to new ideas and better operations (</w:t>
      </w:r>
      <w:proofErr w:type="spellStart"/>
      <w:r>
        <w:t>Ausat</w:t>
      </w:r>
      <w:proofErr w:type="spellEnd"/>
      <w:r>
        <w:t xml:space="preserve"> et al., 2022). These partnerships cover the whole value chain, from large deals to study projects.</w:t>
      </w:r>
    </w:p>
    <w:p w14:paraId="318ECA7C" w14:textId="77777777" w:rsidR="001E1DC6" w:rsidRDefault="001E1DC6">
      <w:pPr>
        <w:rPr>
          <w:b/>
          <w:i/>
        </w:rPr>
      </w:pPr>
    </w:p>
    <w:p w14:paraId="4DFABAA2" w14:textId="77777777" w:rsidR="001E1DC6" w:rsidRDefault="009276B9">
      <w:pPr>
        <w:rPr>
          <w:b/>
          <w:i/>
        </w:rPr>
      </w:pPr>
      <w:r>
        <w:rPr>
          <w:b/>
          <w:i/>
        </w:rPr>
        <w:t>Data-Driven Evaluation:</w:t>
      </w:r>
    </w:p>
    <w:p w14:paraId="26D6AC8C" w14:textId="77777777" w:rsidR="001E1DC6" w:rsidRDefault="009276B9">
      <w:r>
        <w:t>AstraZeneca puts a lot of effort into coming up with new ideas, as shown by the fact that it spends more than the average company on research and development. The ability to save more than $1.5 billion a year through business efficiency shows that resources are being used well. it worked hard at sales and marketing, and it got a bigger share of in areas like cancer. AstraZeneca will spend in emerging countries if it really wants to make healthcare more accessible and grow its business around the world (</w:t>
      </w:r>
      <w:proofErr w:type="spellStart"/>
      <w:r>
        <w:t>Ausat</w:t>
      </w:r>
      <w:proofErr w:type="spellEnd"/>
      <w:r>
        <w:t xml:space="preserve"> et al., 2022).</w:t>
      </w:r>
    </w:p>
    <w:p w14:paraId="14A64C95" w14:textId="77777777" w:rsidR="001E1DC6" w:rsidRDefault="009276B9">
      <w:pPr>
        <w:pStyle w:val="Heading2"/>
      </w:pPr>
      <w:bookmarkStart w:id="13" w:name="_5o80wvqb400x" w:colFirst="0" w:colLast="0"/>
      <w:bookmarkEnd w:id="13"/>
      <w:r>
        <w:lastRenderedPageBreak/>
        <w:t>3.6 AstraZeneca's VRIO Analysis: Assessing Sustainable Competitive Advantages:</w:t>
      </w:r>
    </w:p>
    <w:p w14:paraId="4AD49BD0" w14:textId="77777777" w:rsidR="001E1DC6" w:rsidRDefault="001E1DC6"/>
    <w:tbl>
      <w:tblPr>
        <w:tblStyle w:val="a1"/>
        <w:tblW w:w="9756" w:type="dxa"/>
        <w:tblBorders>
          <w:top w:val="nil"/>
          <w:left w:val="nil"/>
          <w:bottom w:val="nil"/>
          <w:right w:val="nil"/>
          <w:insideH w:val="nil"/>
          <w:insideV w:val="nil"/>
        </w:tblBorders>
        <w:tblLayout w:type="fixed"/>
        <w:tblLook w:val="0600" w:firstRow="0" w:lastRow="0" w:firstColumn="0" w:lastColumn="0" w:noHBand="1" w:noVBand="1"/>
      </w:tblPr>
      <w:tblGrid>
        <w:gridCol w:w="1381"/>
        <w:gridCol w:w="1200"/>
        <w:gridCol w:w="735"/>
        <w:gridCol w:w="1350"/>
        <w:gridCol w:w="1290"/>
        <w:gridCol w:w="3800"/>
      </w:tblGrid>
      <w:tr w:rsidR="001E1DC6" w14:paraId="3E002E31" w14:textId="77777777">
        <w:trPr>
          <w:trHeight w:val="1070"/>
        </w:trPr>
        <w:tc>
          <w:tcPr>
            <w:tcW w:w="1380" w:type="dxa"/>
            <w:tcBorders>
              <w:top w:val="single" w:sz="12" w:space="0" w:color="000000"/>
              <w:left w:val="single" w:sz="12" w:space="0" w:color="000000"/>
              <w:bottom w:val="single" w:sz="12" w:space="0" w:color="000000"/>
              <w:right w:val="single" w:sz="12" w:space="0" w:color="000000"/>
            </w:tcBorders>
            <w:shd w:val="clear" w:color="auto" w:fill="FF9900"/>
            <w:tcMar>
              <w:top w:w="100" w:type="dxa"/>
              <w:left w:w="100" w:type="dxa"/>
              <w:bottom w:w="100" w:type="dxa"/>
              <w:right w:w="100" w:type="dxa"/>
            </w:tcMar>
            <w:vAlign w:val="bottom"/>
          </w:tcPr>
          <w:p w14:paraId="596A506E" w14:textId="77777777" w:rsidR="001E1DC6" w:rsidRDefault="009276B9">
            <w:pPr>
              <w:spacing w:line="240" w:lineRule="auto"/>
              <w:jc w:val="center"/>
              <w:rPr>
                <w:b/>
              </w:rPr>
            </w:pPr>
            <w:r>
              <w:rPr>
                <w:b/>
              </w:rPr>
              <w:t>Resource/Capability</w:t>
            </w:r>
          </w:p>
        </w:tc>
        <w:tc>
          <w:tcPr>
            <w:tcW w:w="1200" w:type="dxa"/>
            <w:tcBorders>
              <w:top w:val="single" w:sz="12" w:space="0" w:color="000000"/>
              <w:left w:val="single" w:sz="12" w:space="0" w:color="000000"/>
              <w:bottom w:val="single" w:sz="12" w:space="0" w:color="000000"/>
              <w:right w:val="single" w:sz="12" w:space="0" w:color="000000"/>
            </w:tcBorders>
            <w:shd w:val="clear" w:color="auto" w:fill="FF9900"/>
            <w:tcMar>
              <w:top w:w="100" w:type="dxa"/>
              <w:left w:w="100" w:type="dxa"/>
              <w:bottom w:w="100" w:type="dxa"/>
              <w:right w:w="100" w:type="dxa"/>
            </w:tcMar>
            <w:vAlign w:val="bottom"/>
          </w:tcPr>
          <w:p w14:paraId="5E9C6BF1" w14:textId="77777777" w:rsidR="001E1DC6" w:rsidRDefault="009276B9">
            <w:pPr>
              <w:spacing w:line="240" w:lineRule="auto"/>
              <w:jc w:val="center"/>
              <w:rPr>
                <w:b/>
              </w:rPr>
            </w:pPr>
            <w:r>
              <w:rPr>
                <w:b/>
              </w:rPr>
              <w:t>Valuable</w:t>
            </w:r>
          </w:p>
        </w:tc>
        <w:tc>
          <w:tcPr>
            <w:tcW w:w="735" w:type="dxa"/>
            <w:tcBorders>
              <w:top w:val="single" w:sz="12" w:space="0" w:color="000000"/>
              <w:left w:val="single" w:sz="12" w:space="0" w:color="000000"/>
              <w:bottom w:val="single" w:sz="12" w:space="0" w:color="000000"/>
              <w:right w:val="single" w:sz="12" w:space="0" w:color="000000"/>
            </w:tcBorders>
            <w:shd w:val="clear" w:color="auto" w:fill="FF9900"/>
            <w:tcMar>
              <w:top w:w="100" w:type="dxa"/>
              <w:left w:w="100" w:type="dxa"/>
              <w:bottom w:w="100" w:type="dxa"/>
              <w:right w:w="100" w:type="dxa"/>
            </w:tcMar>
            <w:vAlign w:val="bottom"/>
          </w:tcPr>
          <w:p w14:paraId="31E5F08A" w14:textId="77777777" w:rsidR="001E1DC6" w:rsidRDefault="009276B9">
            <w:pPr>
              <w:spacing w:line="240" w:lineRule="auto"/>
              <w:jc w:val="center"/>
              <w:rPr>
                <w:b/>
              </w:rPr>
            </w:pPr>
            <w:r>
              <w:rPr>
                <w:b/>
              </w:rPr>
              <w:t>Rare</w:t>
            </w:r>
          </w:p>
        </w:tc>
        <w:tc>
          <w:tcPr>
            <w:tcW w:w="1350" w:type="dxa"/>
            <w:tcBorders>
              <w:top w:val="single" w:sz="12" w:space="0" w:color="000000"/>
              <w:left w:val="single" w:sz="12" w:space="0" w:color="000000"/>
              <w:bottom w:val="single" w:sz="12" w:space="0" w:color="000000"/>
              <w:right w:val="single" w:sz="12" w:space="0" w:color="000000"/>
            </w:tcBorders>
            <w:shd w:val="clear" w:color="auto" w:fill="FF9900"/>
            <w:tcMar>
              <w:top w:w="100" w:type="dxa"/>
              <w:left w:w="100" w:type="dxa"/>
              <w:bottom w:w="100" w:type="dxa"/>
              <w:right w:w="100" w:type="dxa"/>
            </w:tcMar>
            <w:vAlign w:val="bottom"/>
          </w:tcPr>
          <w:p w14:paraId="5D49BEDD" w14:textId="77777777" w:rsidR="001E1DC6" w:rsidRDefault="009276B9">
            <w:pPr>
              <w:spacing w:line="240" w:lineRule="auto"/>
              <w:jc w:val="center"/>
              <w:rPr>
                <w:b/>
              </w:rPr>
            </w:pPr>
            <w:r>
              <w:rPr>
                <w:b/>
              </w:rPr>
              <w:t>Inimitable</w:t>
            </w:r>
          </w:p>
        </w:tc>
        <w:tc>
          <w:tcPr>
            <w:tcW w:w="1290" w:type="dxa"/>
            <w:tcBorders>
              <w:top w:val="single" w:sz="12" w:space="0" w:color="000000"/>
              <w:left w:val="single" w:sz="12" w:space="0" w:color="000000"/>
              <w:bottom w:val="single" w:sz="12" w:space="0" w:color="000000"/>
              <w:right w:val="single" w:sz="12" w:space="0" w:color="000000"/>
            </w:tcBorders>
            <w:shd w:val="clear" w:color="auto" w:fill="FF9900"/>
            <w:tcMar>
              <w:top w:w="100" w:type="dxa"/>
              <w:left w:w="100" w:type="dxa"/>
              <w:bottom w:w="100" w:type="dxa"/>
              <w:right w:w="100" w:type="dxa"/>
            </w:tcMar>
            <w:vAlign w:val="bottom"/>
          </w:tcPr>
          <w:p w14:paraId="712C113A" w14:textId="77777777" w:rsidR="001E1DC6" w:rsidRDefault="009276B9">
            <w:pPr>
              <w:spacing w:line="240" w:lineRule="auto"/>
              <w:jc w:val="center"/>
              <w:rPr>
                <w:b/>
              </w:rPr>
            </w:pPr>
            <w:r>
              <w:rPr>
                <w:b/>
              </w:rPr>
              <w:t>Organized</w:t>
            </w:r>
          </w:p>
        </w:tc>
        <w:tc>
          <w:tcPr>
            <w:tcW w:w="3800" w:type="dxa"/>
            <w:tcBorders>
              <w:top w:val="single" w:sz="12" w:space="0" w:color="000000"/>
              <w:left w:val="single" w:sz="12" w:space="0" w:color="000000"/>
              <w:bottom w:val="single" w:sz="12" w:space="0" w:color="000000"/>
              <w:right w:val="single" w:sz="12" w:space="0" w:color="000000"/>
            </w:tcBorders>
            <w:shd w:val="clear" w:color="auto" w:fill="FF9900"/>
            <w:tcMar>
              <w:top w:w="100" w:type="dxa"/>
              <w:left w:w="100" w:type="dxa"/>
              <w:bottom w:w="100" w:type="dxa"/>
              <w:right w:w="100" w:type="dxa"/>
            </w:tcMar>
            <w:vAlign w:val="bottom"/>
          </w:tcPr>
          <w:p w14:paraId="429DE252" w14:textId="77777777" w:rsidR="001E1DC6" w:rsidRDefault="009276B9">
            <w:pPr>
              <w:spacing w:line="240" w:lineRule="auto"/>
              <w:jc w:val="center"/>
              <w:rPr>
                <w:b/>
              </w:rPr>
            </w:pPr>
            <w:r>
              <w:rPr>
                <w:b/>
              </w:rPr>
              <w:t>Sustainable Competitive Advantage</w:t>
            </w:r>
          </w:p>
        </w:tc>
      </w:tr>
      <w:tr w:rsidR="001E1DC6" w14:paraId="24232E59" w14:textId="77777777">
        <w:trPr>
          <w:trHeight w:val="285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27F8F5CE" w14:textId="77777777" w:rsidR="001E1DC6" w:rsidRDefault="009276B9">
            <w:pPr>
              <w:spacing w:line="240" w:lineRule="auto"/>
              <w:rPr>
                <w:b/>
                <w:sz w:val="18"/>
                <w:szCs w:val="18"/>
              </w:rPr>
            </w:pPr>
            <w:r>
              <w:rPr>
                <w:b/>
                <w:sz w:val="18"/>
                <w:szCs w:val="18"/>
              </w:rPr>
              <w:t>Strong R&amp;D Pipeline</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14FA97CF"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6C9EADF9"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1E851821"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72FB6867"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31E11D06" w14:textId="77777777" w:rsidR="001E1DC6" w:rsidRDefault="009276B9">
            <w:pPr>
              <w:spacing w:line="240" w:lineRule="auto"/>
            </w:pPr>
            <w:r>
              <w:t>AstraZeneca's extensive R&amp;D pipeline, particularly in high-growth areas, is a critical asset that offers a sustainable competitive advantage due to its uniqueness and depth.</w:t>
            </w:r>
          </w:p>
        </w:tc>
      </w:tr>
      <w:tr w:rsidR="001E1DC6" w14:paraId="1A44CEA8" w14:textId="77777777">
        <w:trPr>
          <w:trHeight w:val="249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74B5C486" w14:textId="77777777" w:rsidR="001E1DC6" w:rsidRDefault="009276B9">
            <w:pPr>
              <w:spacing w:line="240" w:lineRule="auto"/>
              <w:rPr>
                <w:b/>
                <w:sz w:val="18"/>
                <w:szCs w:val="18"/>
              </w:rPr>
            </w:pPr>
            <w:r>
              <w:rPr>
                <w:b/>
                <w:sz w:val="18"/>
                <w:szCs w:val="18"/>
              </w:rPr>
              <w:t>Global R&amp;D Infrastructure</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7C4151B8"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999999"/>
            <w:tcMar>
              <w:top w:w="100" w:type="dxa"/>
              <w:left w:w="100" w:type="dxa"/>
              <w:bottom w:w="100" w:type="dxa"/>
              <w:right w:w="100" w:type="dxa"/>
            </w:tcMar>
            <w:vAlign w:val="center"/>
          </w:tcPr>
          <w:p w14:paraId="70E90896" w14:textId="77777777" w:rsidR="001E1DC6" w:rsidRDefault="009276B9">
            <w:pPr>
              <w:spacing w:line="240" w:lineRule="auto"/>
            </w:pPr>
            <w:r>
              <w:t>No</w:t>
            </w:r>
          </w:p>
        </w:tc>
        <w:tc>
          <w:tcPr>
            <w:tcW w:w="1350" w:type="dxa"/>
            <w:tcBorders>
              <w:top w:val="single" w:sz="12" w:space="0" w:color="000000"/>
              <w:left w:val="single" w:sz="12" w:space="0" w:color="000000"/>
              <w:bottom w:val="single" w:sz="12" w:space="0" w:color="000000"/>
              <w:right w:val="single" w:sz="12" w:space="0" w:color="000000"/>
            </w:tcBorders>
            <w:shd w:val="clear" w:color="auto" w:fill="999999"/>
            <w:tcMar>
              <w:top w:w="100" w:type="dxa"/>
              <w:left w:w="100" w:type="dxa"/>
              <w:bottom w:w="100" w:type="dxa"/>
              <w:right w:w="100" w:type="dxa"/>
            </w:tcMar>
            <w:vAlign w:val="center"/>
          </w:tcPr>
          <w:p w14:paraId="36FB4F5D" w14:textId="77777777" w:rsidR="001E1DC6" w:rsidRDefault="009276B9">
            <w:pPr>
              <w:spacing w:line="240" w:lineRule="auto"/>
            </w:pPr>
            <w:r>
              <w:t>No</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622079C6"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12EC9CB7" w14:textId="77777777" w:rsidR="001E1DC6" w:rsidRDefault="009276B9">
            <w:pPr>
              <w:spacing w:line="240" w:lineRule="auto"/>
            </w:pPr>
            <w:r>
              <w:t>While valuable and organized efficiently, the global R&amp;D infrastructure is not uniquely rare or inimitable, slightly limiting its competitive advantage.</w:t>
            </w:r>
          </w:p>
        </w:tc>
      </w:tr>
      <w:tr w:rsidR="001E1DC6" w14:paraId="0239D4BD" w14:textId="77777777">
        <w:trPr>
          <w:trHeight w:val="249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5CB8C305" w14:textId="77777777" w:rsidR="001E1DC6" w:rsidRDefault="009276B9">
            <w:pPr>
              <w:spacing w:line="240" w:lineRule="auto"/>
              <w:rPr>
                <w:b/>
                <w:sz w:val="18"/>
                <w:szCs w:val="18"/>
              </w:rPr>
            </w:pPr>
            <w:r>
              <w:rPr>
                <w:b/>
                <w:sz w:val="18"/>
                <w:szCs w:val="18"/>
              </w:rPr>
              <w:t>Talented Researchers</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371E754D"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686E6B0"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04CAE01"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38BC1B74"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237608BC" w14:textId="77777777" w:rsidR="001E1DC6" w:rsidRDefault="009276B9">
            <w:pPr>
              <w:spacing w:line="240" w:lineRule="auto"/>
            </w:pPr>
            <w:r>
              <w:t>The expertise and creativity of AstraZeneca's researchers are rare and difficult to replicate, making this a strong competitive advantage.</w:t>
            </w:r>
          </w:p>
        </w:tc>
      </w:tr>
      <w:tr w:rsidR="001E1DC6" w14:paraId="296EA3FF" w14:textId="77777777">
        <w:trPr>
          <w:trHeight w:val="213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7FA31239" w14:textId="77777777" w:rsidR="001E1DC6" w:rsidRDefault="009276B9">
            <w:pPr>
              <w:spacing w:line="240" w:lineRule="auto"/>
              <w:rPr>
                <w:b/>
                <w:sz w:val="18"/>
                <w:szCs w:val="18"/>
              </w:rPr>
            </w:pPr>
            <w:r>
              <w:rPr>
                <w:b/>
                <w:sz w:val="18"/>
                <w:szCs w:val="18"/>
              </w:rPr>
              <w:lastRenderedPageBreak/>
              <w:t>Robust Manufacturing Network</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DFF246C"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999999"/>
            <w:tcMar>
              <w:top w:w="100" w:type="dxa"/>
              <w:left w:w="100" w:type="dxa"/>
              <w:bottom w:w="100" w:type="dxa"/>
              <w:right w:w="100" w:type="dxa"/>
            </w:tcMar>
            <w:vAlign w:val="center"/>
          </w:tcPr>
          <w:p w14:paraId="30251CA0" w14:textId="77777777" w:rsidR="001E1DC6" w:rsidRDefault="009276B9">
            <w:pPr>
              <w:spacing w:line="240" w:lineRule="auto"/>
            </w:pPr>
            <w:r>
              <w:t>No</w:t>
            </w:r>
          </w:p>
        </w:tc>
        <w:tc>
          <w:tcPr>
            <w:tcW w:w="1350" w:type="dxa"/>
            <w:tcBorders>
              <w:top w:val="single" w:sz="12" w:space="0" w:color="000000"/>
              <w:left w:val="single" w:sz="12" w:space="0" w:color="000000"/>
              <w:bottom w:val="single" w:sz="12" w:space="0" w:color="000000"/>
              <w:right w:val="single" w:sz="12" w:space="0" w:color="000000"/>
            </w:tcBorders>
            <w:shd w:val="clear" w:color="auto" w:fill="999999"/>
            <w:tcMar>
              <w:top w:w="100" w:type="dxa"/>
              <w:left w:w="100" w:type="dxa"/>
              <w:bottom w:w="100" w:type="dxa"/>
              <w:right w:w="100" w:type="dxa"/>
            </w:tcMar>
            <w:vAlign w:val="center"/>
          </w:tcPr>
          <w:p w14:paraId="1AC7F45A" w14:textId="77777777" w:rsidR="001E1DC6" w:rsidRDefault="009276B9">
            <w:pPr>
              <w:spacing w:line="240" w:lineRule="auto"/>
            </w:pPr>
            <w:r>
              <w:t>No</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03F5EC74"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0C7CC3C2" w14:textId="77777777" w:rsidR="001E1DC6" w:rsidRDefault="009276B9">
            <w:pPr>
              <w:spacing w:line="240" w:lineRule="auto"/>
            </w:pPr>
            <w:r>
              <w:t>This network is valuable and well-organized but not rare or inimitable in the industry, thus offering limited competitive advantage.</w:t>
            </w:r>
          </w:p>
        </w:tc>
      </w:tr>
      <w:tr w:rsidR="001E1DC6" w14:paraId="0033D833" w14:textId="77777777">
        <w:trPr>
          <w:trHeight w:val="249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14964229" w14:textId="77777777" w:rsidR="001E1DC6" w:rsidRDefault="009276B9">
            <w:pPr>
              <w:spacing w:line="240" w:lineRule="auto"/>
              <w:rPr>
                <w:b/>
                <w:sz w:val="18"/>
                <w:szCs w:val="18"/>
              </w:rPr>
            </w:pPr>
            <w:r>
              <w:rPr>
                <w:b/>
                <w:sz w:val="18"/>
                <w:szCs w:val="18"/>
              </w:rPr>
              <w:t>Expertise in High-Growth Areas</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6374CE2C"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13165F6E"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5C57B296"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B6B041A"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43892A98" w14:textId="77777777" w:rsidR="001E1DC6" w:rsidRDefault="009276B9">
            <w:pPr>
              <w:spacing w:line="240" w:lineRule="auto"/>
            </w:pPr>
            <w:r>
              <w:t>AstraZeneca's specialized knowledge in areas like oncology and respiratory diseases provides a significant sustainable competitive advantage.</w:t>
            </w:r>
          </w:p>
        </w:tc>
      </w:tr>
      <w:tr w:rsidR="001E1DC6" w14:paraId="448403A2" w14:textId="77777777">
        <w:trPr>
          <w:trHeight w:val="213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5FF9BADF" w14:textId="77777777" w:rsidR="001E1DC6" w:rsidRDefault="009276B9">
            <w:pPr>
              <w:spacing w:line="240" w:lineRule="auto"/>
              <w:rPr>
                <w:b/>
                <w:sz w:val="18"/>
                <w:szCs w:val="18"/>
              </w:rPr>
            </w:pPr>
            <w:r>
              <w:rPr>
                <w:b/>
                <w:sz w:val="18"/>
                <w:szCs w:val="18"/>
              </w:rPr>
              <w:t>Strategic Partnerships and Collaborations</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0A82EC83"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5BB803E0"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3D79A19C"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7E39B376"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06A6B540" w14:textId="77777777" w:rsidR="001E1DC6" w:rsidRDefault="009276B9">
            <w:pPr>
              <w:spacing w:line="240" w:lineRule="auto"/>
            </w:pPr>
            <w:r>
              <w:t>These partnerships are valuable, rare, and hard to imitate, strengthening AstraZeneca's competitive position.</w:t>
            </w:r>
          </w:p>
        </w:tc>
      </w:tr>
      <w:tr w:rsidR="001E1DC6" w14:paraId="34C6960B" w14:textId="77777777">
        <w:trPr>
          <w:trHeight w:val="213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178C3E36" w14:textId="77777777" w:rsidR="001E1DC6" w:rsidRDefault="009276B9">
            <w:pPr>
              <w:spacing w:line="240" w:lineRule="auto"/>
              <w:rPr>
                <w:b/>
                <w:sz w:val="18"/>
                <w:szCs w:val="18"/>
              </w:rPr>
            </w:pPr>
            <w:r>
              <w:rPr>
                <w:b/>
                <w:sz w:val="18"/>
                <w:szCs w:val="18"/>
              </w:rPr>
              <w:t>Digital Transformation Capabilities</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7A3B67B8"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5406F055"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93EDBB3"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6B7F2E4D"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09203CBB" w14:textId="77777777" w:rsidR="001E1DC6" w:rsidRDefault="009276B9">
            <w:pPr>
              <w:spacing w:line="240" w:lineRule="auto"/>
            </w:pPr>
            <w:r>
              <w:t>Their advanced digital capabilities offer a sustainable competitive edge in the rapidly evolving pharmaceutical landscape.</w:t>
            </w:r>
          </w:p>
        </w:tc>
      </w:tr>
      <w:tr w:rsidR="001E1DC6" w14:paraId="0E7C7AF4" w14:textId="77777777">
        <w:trPr>
          <w:trHeight w:val="213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4177021B" w14:textId="77777777" w:rsidR="001E1DC6" w:rsidRDefault="009276B9">
            <w:pPr>
              <w:spacing w:line="240" w:lineRule="auto"/>
              <w:rPr>
                <w:b/>
                <w:sz w:val="18"/>
                <w:szCs w:val="18"/>
              </w:rPr>
            </w:pPr>
            <w:r>
              <w:rPr>
                <w:b/>
                <w:sz w:val="18"/>
                <w:szCs w:val="18"/>
              </w:rPr>
              <w:t>Brand Reputation</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0D98A50C"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34006BAB"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0F2F3C57"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22A9872"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572701CA" w14:textId="77777777" w:rsidR="001E1DC6" w:rsidRDefault="009276B9">
            <w:pPr>
              <w:spacing w:line="240" w:lineRule="auto"/>
            </w:pPr>
            <w:r>
              <w:t>AstraZeneca's strong brand, built on scientific excellence and ethical practices, is a unique and sustainable competitive advantage.</w:t>
            </w:r>
          </w:p>
        </w:tc>
      </w:tr>
      <w:tr w:rsidR="001E1DC6" w14:paraId="35F17964" w14:textId="77777777">
        <w:trPr>
          <w:trHeight w:val="177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58858A94" w14:textId="77777777" w:rsidR="001E1DC6" w:rsidRDefault="009276B9">
            <w:pPr>
              <w:spacing w:line="240" w:lineRule="auto"/>
              <w:rPr>
                <w:b/>
                <w:sz w:val="18"/>
                <w:szCs w:val="18"/>
              </w:rPr>
            </w:pPr>
            <w:r>
              <w:rPr>
                <w:b/>
                <w:sz w:val="18"/>
                <w:szCs w:val="18"/>
              </w:rPr>
              <w:lastRenderedPageBreak/>
              <w:t>Intellectual Property Portfolio</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1622227D"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3691DD44"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14E25AF7"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4AC8605D"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0425B731" w14:textId="77777777" w:rsidR="001E1DC6" w:rsidRDefault="009276B9">
            <w:pPr>
              <w:spacing w:line="240" w:lineRule="auto"/>
            </w:pPr>
            <w:r>
              <w:t>Their extensive IP portfolio creates barriers for competitors and is a key sustainable advantage.</w:t>
            </w:r>
          </w:p>
        </w:tc>
      </w:tr>
      <w:tr w:rsidR="001E1DC6" w14:paraId="632DAB32" w14:textId="77777777">
        <w:trPr>
          <w:trHeight w:val="249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0BCAB9B6" w14:textId="77777777" w:rsidR="001E1DC6" w:rsidRDefault="009276B9">
            <w:pPr>
              <w:spacing w:line="240" w:lineRule="auto"/>
              <w:rPr>
                <w:b/>
                <w:sz w:val="18"/>
                <w:szCs w:val="18"/>
              </w:rPr>
            </w:pPr>
            <w:r>
              <w:rPr>
                <w:b/>
                <w:sz w:val="18"/>
                <w:szCs w:val="18"/>
              </w:rPr>
              <w:t>Organizational Culture</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7B43406C"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5E0B701C"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77D8CC31"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531E74D4"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5274BAC3" w14:textId="77777777" w:rsidR="001E1DC6" w:rsidRDefault="009276B9">
            <w:pPr>
              <w:spacing w:line="240" w:lineRule="auto"/>
            </w:pPr>
            <w:r>
              <w:t>The culture of innovation and collaboration is a significant competitive advantage that is challenging for competitors to replicate.</w:t>
            </w:r>
          </w:p>
        </w:tc>
      </w:tr>
      <w:tr w:rsidR="001E1DC6" w14:paraId="2663D9A5" w14:textId="77777777">
        <w:trPr>
          <w:trHeight w:val="249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6A0D8DA1" w14:textId="77777777" w:rsidR="001E1DC6" w:rsidRDefault="009276B9">
            <w:pPr>
              <w:spacing w:line="240" w:lineRule="auto"/>
              <w:rPr>
                <w:b/>
                <w:sz w:val="18"/>
                <w:szCs w:val="18"/>
              </w:rPr>
            </w:pPr>
            <w:r>
              <w:rPr>
                <w:b/>
                <w:sz w:val="18"/>
                <w:szCs w:val="18"/>
              </w:rPr>
              <w:t>Agile and Efficient Management</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24FF4BFB"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999999"/>
            <w:tcMar>
              <w:top w:w="100" w:type="dxa"/>
              <w:left w:w="100" w:type="dxa"/>
              <w:bottom w:w="100" w:type="dxa"/>
              <w:right w:w="100" w:type="dxa"/>
            </w:tcMar>
            <w:vAlign w:val="center"/>
          </w:tcPr>
          <w:p w14:paraId="7112A4A3" w14:textId="77777777" w:rsidR="001E1DC6" w:rsidRDefault="009276B9">
            <w:pPr>
              <w:spacing w:line="240" w:lineRule="auto"/>
            </w:pPr>
            <w:r>
              <w:t>No</w:t>
            </w:r>
          </w:p>
        </w:tc>
        <w:tc>
          <w:tcPr>
            <w:tcW w:w="1350" w:type="dxa"/>
            <w:tcBorders>
              <w:top w:val="single" w:sz="12" w:space="0" w:color="000000"/>
              <w:left w:val="single" w:sz="12" w:space="0" w:color="000000"/>
              <w:bottom w:val="single" w:sz="12" w:space="0" w:color="000000"/>
              <w:right w:val="single" w:sz="12" w:space="0" w:color="000000"/>
            </w:tcBorders>
            <w:shd w:val="clear" w:color="auto" w:fill="999999"/>
            <w:tcMar>
              <w:top w:w="100" w:type="dxa"/>
              <w:left w:w="100" w:type="dxa"/>
              <w:bottom w:w="100" w:type="dxa"/>
              <w:right w:w="100" w:type="dxa"/>
            </w:tcMar>
            <w:vAlign w:val="center"/>
          </w:tcPr>
          <w:p w14:paraId="7342F3DA" w14:textId="77777777" w:rsidR="001E1DC6" w:rsidRDefault="009276B9">
            <w:pPr>
              <w:spacing w:line="240" w:lineRule="auto"/>
            </w:pPr>
            <w:r>
              <w:t>No</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6A91EF19"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7B8E8A7D" w14:textId="77777777" w:rsidR="001E1DC6" w:rsidRDefault="009276B9">
            <w:pPr>
              <w:spacing w:line="240" w:lineRule="auto"/>
            </w:pPr>
            <w:r>
              <w:t>While valuable and well-organized, similar management practices can be developed by competitors, limiting its uniqueness.</w:t>
            </w:r>
          </w:p>
        </w:tc>
      </w:tr>
      <w:tr w:rsidR="001E1DC6" w14:paraId="30EF81AC" w14:textId="77777777">
        <w:trPr>
          <w:trHeight w:val="2495"/>
        </w:trPr>
        <w:tc>
          <w:tcPr>
            <w:tcW w:w="1380" w:type="dxa"/>
            <w:tcBorders>
              <w:top w:val="single" w:sz="12" w:space="0" w:color="000000"/>
              <w:left w:val="single" w:sz="12" w:space="0" w:color="000000"/>
              <w:bottom w:val="single" w:sz="12" w:space="0" w:color="000000"/>
              <w:right w:val="single" w:sz="12" w:space="0" w:color="000000"/>
            </w:tcBorders>
            <w:shd w:val="clear" w:color="auto" w:fill="FFD966"/>
            <w:tcMar>
              <w:top w:w="100" w:type="dxa"/>
              <w:left w:w="100" w:type="dxa"/>
              <w:bottom w:w="100" w:type="dxa"/>
              <w:right w:w="100" w:type="dxa"/>
            </w:tcMar>
            <w:vAlign w:val="center"/>
          </w:tcPr>
          <w:p w14:paraId="5FA148B6" w14:textId="77777777" w:rsidR="001E1DC6" w:rsidRDefault="009276B9">
            <w:pPr>
              <w:spacing w:line="240" w:lineRule="auto"/>
              <w:rPr>
                <w:b/>
                <w:sz w:val="18"/>
                <w:szCs w:val="18"/>
              </w:rPr>
            </w:pPr>
            <w:r>
              <w:rPr>
                <w:b/>
                <w:sz w:val="18"/>
                <w:szCs w:val="18"/>
              </w:rPr>
              <w:t>Sustainability Commitment</w:t>
            </w:r>
          </w:p>
        </w:tc>
        <w:tc>
          <w:tcPr>
            <w:tcW w:w="120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496F49AE" w14:textId="77777777" w:rsidR="001E1DC6" w:rsidRDefault="009276B9">
            <w:pPr>
              <w:spacing w:line="240" w:lineRule="auto"/>
            </w:pPr>
            <w:r>
              <w:t>Yes</w:t>
            </w:r>
          </w:p>
        </w:tc>
        <w:tc>
          <w:tcPr>
            <w:tcW w:w="735"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4D6A70B3" w14:textId="77777777" w:rsidR="001E1DC6" w:rsidRDefault="009276B9">
            <w:pPr>
              <w:spacing w:line="240" w:lineRule="auto"/>
            </w:pPr>
            <w:r>
              <w:t>Yes</w:t>
            </w:r>
          </w:p>
        </w:tc>
        <w:tc>
          <w:tcPr>
            <w:tcW w:w="135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077270BA" w14:textId="77777777" w:rsidR="001E1DC6" w:rsidRDefault="009276B9">
            <w:pPr>
              <w:spacing w:line="240" w:lineRule="auto"/>
            </w:pPr>
            <w:r>
              <w:t>Yes</w:t>
            </w:r>
          </w:p>
        </w:tc>
        <w:tc>
          <w:tcPr>
            <w:tcW w:w="1290" w:type="dxa"/>
            <w:tcBorders>
              <w:top w:val="single" w:sz="12" w:space="0" w:color="000000"/>
              <w:left w:val="single" w:sz="12" w:space="0" w:color="000000"/>
              <w:bottom w:val="single" w:sz="12" w:space="0" w:color="000000"/>
              <w:right w:val="single" w:sz="12" w:space="0" w:color="000000"/>
            </w:tcBorders>
            <w:shd w:val="clear" w:color="auto" w:fill="00FF00"/>
            <w:tcMar>
              <w:top w:w="100" w:type="dxa"/>
              <w:left w:w="100" w:type="dxa"/>
              <w:bottom w:w="100" w:type="dxa"/>
              <w:right w:w="100" w:type="dxa"/>
            </w:tcMar>
            <w:vAlign w:val="center"/>
          </w:tcPr>
          <w:p w14:paraId="4C5B400C" w14:textId="77777777" w:rsidR="001E1DC6" w:rsidRDefault="009276B9">
            <w:pPr>
              <w:spacing w:line="240" w:lineRule="auto"/>
            </w:pPr>
            <w:r>
              <w:t>Yes</w:t>
            </w:r>
          </w:p>
        </w:tc>
        <w:tc>
          <w:tcPr>
            <w:tcW w:w="3800" w:type="dxa"/>
            <w:tcBorders>
              <w:top w:val="single" w:sz="12" w:space="0" w:color="000000"/>
              <w:left w:val="single" w:sz="12" w:space="0" w:color="000000"/>
              <w:bottom w:val="single" w:sz="12" w:space="0" w:color="000000"/>
              <w:right w:val="single" w:sz="12" w:space="0" w:color="000000"/>
            </w:tcBorders>
            <w:shd w:val="clear" w:color="auto" w:fill="F1C232"/>
            <w:tcMar>
              <w:top w:w="100" w:type="dxa"/>
              <w:left w:w="100" w:type="dxa"/>
              <w:bottom w:w="100" w:type="dxa"/>
              <w:right w:w="100" w:type="dxa"/>
            </w:tcMar>
            <w:vAlign w:val="center"/>
          </w:tcPr>
          <w:p w14:paraId="63B4FA34" w14:textId="77777777" w:rsidR="001E1DC6" w:rsidRDefault="009276B9">
            <w:pPr>
              <w:spacing w:line="240" w:lineRule="auto"/>
            </w:pPr>
            <w:r>
              <w:t>Their focus on sustainability is increasingly important and offers a competitive advantage that aligns with global trends and stakeholder expectations.</w:t>
            </w:r>
          </w:p>
        </w:tc>
      </w:tr>
    </w:tbl>
    <w:p w14:paraId="6F4E62B9" w14:textId="77777777" w:rsidR="001E1DC6" w:rsidRDefault="001E1DC6"/>
    <w:p w14:paraId="2D2E38BD" w14:textId="77777777" w:rsidR="001E1DC6" w:rsidRDefault="009276B9">
      <w:pPr>
        <w:pStyle w:val="Heading1"/>
      </w:pPr>
      <w:bookmarkStart w:id="14" w:name="_vmvedxvmvb7x" w:colFirst="0" w:colLast="0"/>
      <w:bookmarkEnd w:id="14"/>
      <w:r>
        <w:t>4. Evaluating AstraZeneca's Strategy in Action Using the SAF Framework:</w:t>
      </w:r>
    </w:p>
    <w:p w14:paraId="614362EE" w14:textId="77777777" w:rsidR="001E1DC6" w:rsidRDefault="001E1DC6">
      <w:pPr>
        <w:rPr>
          <w: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E1DC6" w14:paraId="694CF5D5" w14:textId="77777777">
        <w:trPr>
          <w:trHeight w:val="467"/>
        </w:trPr>
        <w:tc>
          <w:tcPr>
            <w:tcW w:w="3120" w:type="dxa"/>
            <w:shd w:val="clear" w:color="auto" w:fill="auto"/>
            <w:tcMar>
              <w:top w:w="100" w:type="dxa"/>
              <w:left w:w="100" w:type="dxa"/>
              <w:bottom w:w="100" w:type="dxa"/>
              <w:right w:w="100" w:type="dxa"/>
            </w:tcMar>
          </w:tcPr>
          <w:p w14:paraId="71372E1B" w14:textId="77777777" w:rsidR="001E1DC6" w:rsidRDefault="009276B9">
            <w:pPr>
              <w:jc w:val="center"/>
              <w:rPr>
                <w:b/>
              </w:rPr>
            </w:pPr>
            <w:r>
              <w:rPr>
                <w:b/>
              </w:rPr>
              <w:t>Suitability</w:t>
            </w:r>
          </w:p>
        </w:tc>
        <w:tc>
          <w:tcPr>
            <w:tcW w:w="3120" w:type="dxa"/>
            <w:shd w:val="clear" w:color="auto" w:fill="auto"/>
            <w:tcMar>
              <w:top w:w="100" w:type="dxa"/>
              <w:left w:w="100" w:type="dxa"/>
              <w:bottom w:w="100" w:type="dxa"/>
              <w:right w:w="100" w:type="dxa"/>
            </w:tcMar>
          </w:tcPr>
          <w:p w14:paraId="6CF0C65B" w14:textId="77777777" w:rsidR="001E1DC6" w:rsidRDefault="009276B9">
            <w:pPr>
              <w:jc w:val="center"/>
              <w:rPr>
                <w:b/>
              </w:rPr>
            </w:pPr>
            <w:r>
              <w:rPr>
                <w:b/>
              </w:rPr>
              <w:t>Acceptability</w:t>
            </w:r>
          </w:p>
        </w:tc>
        <w:tc>
          <w:tcPr>
            <w:tcW w:w="3120" w:type="dxa"/>
            <w:shd w:val="clear" w:color="auto" w:fill="auto"/>
            <w:tcMar>
              <w:top w:w="100" w:type="dxa"/>
              <w:left w:w="100" w:type="dxa"/>
              <w:bottom w:w="100" w:type="dxa"/>
              <w:right w:w="100" w:type="dxa"/>
            </w:tcMar>
          </w:tcPr>
          <w:p w14:paraId="6BF67755" w14:textId="77777777" w:rsidR="001E1DC6" w:rsidRDefault="009276B9">
            <w:pPr>
              <w:jc w:val="center"/>
              <w:rPr>
                <w:b/>
              </w:rPr>
            </w:pPr>
            <w:r>
              <w:rPr>
                <w:b/>
              </w:rPr>
              <w:t>Feasibility</w:t>
            </w:r>
          </w:p>
        </w:tc>
      </w:tr>
      <w:tr w:rsidR="001E1DC6" w14:paraId="731518E5" w14:textId="77777777">
        <w:tc>
          <w:tcPr>
            <w:tcW w:w="3120" w:type="dxa"/>
            <w:shd w:val="clear" w:color="auto" w:fill="auto"/>
            <w:tcMar>
              <w:top w:w="100" w:type="dxa"/>
              <w:left w:w="100" w:type="dxa"/>
              <w:bottom w:w="100" w:type="dxa"/>
              <w:right w:w="100" w:type="dxa"/>
            </w:tcMar>
          </w:tcPr>
          <w:p w14:paraId="487FD341" w14:textId="77777777" w:rsidR="001E1DC6" w:rsidRDefault="009276B9">
            <w:r>
              <w:lastRenderedPageBreak/>
              <w:t xml:space="preserve">AstraZeneca focuses on high-growth areas like cancer and lung diseases because the need for specialized drugs is growing around the world. The current direction of the industry fits well with their commitment to research and development in these areas, as shown by their large investments and strong pipeline. it were able to take advantage of opportunities in chemotherapy by making </w:t>
            </w:r>
            <w:proofErr w:type="spellStart"/>
            <w:r>
              <w:t>Tagrisso</w:t>
            </w:r>
            <w:proofErr w:type="spellEnd"/>
            <w:r>
              <w:t>, a top treatment for lung cancer (Johnson et al., 2022).</w:t>
            </w:r>
          </w:p>
          <w:p w14:paraId="6AD84D83" w14:textId="77777777" w:rsidR="001E1DC6" w:rsidRDefault="001E1DC6"/>
          <w:p w14:paraId="07227FD2" w14:textId="77777777" w:rsidR="001E1DC6" w:rsidRDefault="001E1DC6"/>
          <w:p w14:paraId="518E5E0D" w14:textId="77777777" w:rsidR="001E1DC6" w:rsidRDefault="001E1DC6"/>
        </w:tc>
        <w:tc>
          <w:tcPr>
            <w:tcW w:w="3120" w:type="dxa"/>
            <w:shd w:val="clear" w:color="auto" w:fill="auto"/>
            <w:tcMar>
              <w:top w:w="100" w:type="dxa"/>
              <w:left w:w="100" w:type="dxa"/>
              <w:bottom w:w="100" w:type="dxa"/>
              <w:right w:w="100" w:type="dxa"/>
            </w:tcMar>
          </w:tcPr>
          <w:p w14:paraId="5DBAEC7E" w14:textId="77777777" w:rsidR="001E1DC6" w:rsidRDefault="009276B9">
            <w:r>
              <w:t>The purchase of Alexion Pharmaceuticals by AstraZeneca and other strategic partnerships and agreements help to lower risk while raising the chance of big gains. Because of these steps, it now offer products for more rare disorders, an area with big unmet medical needs and good business possibilities. By buying Alexion, AstraZeneca has improved its place in the lucrative market for rare diseases and added more products to its line (</w:t>
            </w:r>
            <w:proofErr w:type="spellStart"/>
            <w:r>
              <w:t>Campião</w:t>
            </w:r>
            <w:proofErr w:type="spellEnd"/>
            <w:r>
              <w:t>, 2023).</w:t>
            </w:r>
          </w:p>
          <w:p w14:paraId="670F7A75" w14:textId="77777777" w:rsidR="001E1DC6" w:rsidRDefault="001E1DC6"/>
          <w:p w14:paraId="57D9CECB" w14:textId="77777777" w:rsidR="001E1DC6" w:rsidRDefault="001E1DC6"/>
          <w:p w14:paraId="59DF17FD" w14:textId="77777777" w:rsidR="001E1DC6" w:rsidRDefault="001E1DC6"/>
        </w:tc>
        <w:tc>
          <w:tcPr>
            <w:tcW w:w="3120" w:type="dxa"/>
            <w:shd w:val="clear" w:color="auto" w:fill="auto"/>
            <w:tcMar>
              <w:top w:w="100" w:type="dxa"/>
              <w:left w:w="100" w:type="dxa"/>
              <w:bottom w:w="100" w:type="dxa"/>
              <w:right w:w="100" w:type="dxa"/>
            </w:tcMar>
          </w:tcPr>
          <w:p w14:paraId="5EA8215F" w14:textId="77777777" w:rsidR="001E1DC6" w:rsidRDefault="009276B9">
            <w:r>
              <w:t>The fact that a lot of the company's profits are put back into research and development shows that it does a great job of allocating its resources in this area. This is possible thanks to plans to strategically spend and cut costs in operations. it were able to build their pipeline because it put nearly $1.5 billion in running savings into research and development (AstraZeneca, 2023). AstraZeneca has been able to reach their goals thanks to their digital change and control of their global supply chain. it h</w:t>
            </w:r>
            <w:r>
              <w:t>ave great delivery skills because it can change and come up with new ideas even when things go wrong, like during the COVID-19 epidemic. it showed how quickly and well it could handle global health emergencies by making and sending out a COVID-19 vaccine very quickly.</w:t>
            </w:r>
          </w:p>
        </w:tc>
      </w:tr>
    </w:tbl>
    <w:p w14:paraId="0B68EBCD" w14:textId="77777777" w:rsidR="001E1DC6" w:rsidRDefault="001E1DC6">
      <w:pPr>
        <w:rPr>
          <w:b/>
        </w:rPr>
      </w:pPr>
    </w:p>
    <w:p w14:paraId="532ACC72" w14:textId="77777777" w:rsidR="001E1DC6" w:rsidRDefault="001E1DC6">
      <w:pPr>
        <w:rPr>
          <w:b/>
        </w:rPr>
      </w:pPr>
    </w:p>
    <w:p w14:paraId="2BF21B5D" w14:textId="77777777" w:rsidR="001E1DC6" w:rsidRDefault="001E1DC6"/>
    <w:p w14:paraId="0210927C" w14:textId="77777777" w:rsidR="001E1DC6" w:rsidRDefault="001E1DC6">
      <w:pPr>
        <w:rPr>
          <w:b/>
        </w:rPr>
      </w:pPr>
    </w:p>
    <w:p w14:paraId="50D04E67" w14:textId="77777777" w:rsidR="001E1DC6" w:rsidRDefault="001E1DC6"/>
    <w:p w14:paraId="625C9777" w14:textId="77777777" w:rsidR="001E1DC6" w:rsidRDefault="009276B9">
      <w:pPr>
        <w:pStyle w:val="Heading1"/>
      </w:pPr>
      <w:bookmarkStart w:id="15" w:name="_lqxjbe50jgi9" w:colFirst="0" w:colLast="0"/>
      <w:bookmarkEnd w:id="15"/>
      <w:r>
        <w:t>5. Evaluating Sustainability Efforts</w:t>
      </w:r>
    </w:p>
    <w:p w14:paraId="152B9D1B" w14:textId="77777777" w:rsidR="001E1DC6" w:rsidRDefault="009276B9">
      <w:r>
        <w:t>AstraZeneca integrates sustainability into its corporate strategy, focusing on environmental, social, and governance (ESG) aspects. Their efforts align with the broader goal of delivering value through scientific innovation while being mindful of their environmental and social impact.</w:t>
      </w:r>
    </w:p>
    <w:p w14:paraId="4536C55D" w14:textId="77777777" w:rsidR="001E1DC6" w:rsidRDefault="009276B9">
      <w:pPr>
        <w:numPr>
          <w:ilvl w:val="0"/>
          <w:numId w:val="1"/>
        </w:numPr>
      </w:pPr>
      <w:r>
        <w:rPr>
          <w:b/>
        </w:rPr>
        <w:t xml:space="preserve">Environmental Initiatives: </w:t>
      </w:r>
      <w:r>
        <w:t>The drug company AstraZeneca uses sustainable buying methods and energy-saving programs to have less of an impact on the earth. Not only do these things help people's health, but it also help reach world environmental goals.</w:t>
      </w:r>
    </w:p>
    <w:p w14:paraId="613E4F3C" w14:textId="77777777" w:rsidR="001E1DC6" w:rsidRDefault="009276B9">
      <w:pPr>
        <w:numPr>
          <w:ilvl w:val="0"/>
          <w:numId w:val="1"/>
        </w:numPr>
      </w:pPr>
      <w:r>
        <w:rPr>
          <w:b/>
        </w:rPr>
        <w:t>Social Responsibility</w:t>
      </w:r>
      <w:r>
        <w:t>: The group has a responsibility to give priority to health care services in areas with low incomes. There is no doubt that AZ Access wants to improve the health of people all over the world.</w:t>
      </w:r>
    </w:p>
    <w:p w14:paraId="2E729175" w14:textId="77777777" w:rsidR="001E1DC6" w:rsidRDefault="009276B9">
      <w:pPr>
        <w:numPr>
          <w:ilvl w:val="0"/>
          <w:numId w:val="1"/>
        </w:numPr>
      </w:pPr>
      <w:r>
        <w:rPr>
          <w:b/>
        </w:rPr>
        <w:t>Governance and Ethics</w:t>
      </w:r>
      <w:r>
        <w:t>: Ethical research and development are at the heart of AstraZeneca's company character when it comes to ethics and governance. This moral method helps build trust among partners and ensures long-term success.</w:t>
      </w:r>
    </w:p>
    <w:p w14:paraId="7C42F51D" w14:textId="77777777" w:rsidR="001E1DC6" w:rsidRDefault="009276B9">
      <w:pPr>
        <w:pStyle w:val="Heading1"/>
      </w:pPr>
      <w:bookmarkStart w:id="16" w:name="_saxzyz157461" w:colFirst="0" w:colLast="0"/>
      <w:bookmarkEnd w:id="16"/>
      <w:r>
        <w:t>6. Conclusion</w:t>
      </w:r>
    </w:p>
    <w:p w14:paraId="2FC261E8" w14:textId="77777777" w:rsidR="001E1DC6" w:rsidRDefault="009276B9">
      <w:r>
        <w:t>Three key tenets have driven AstraZeneca's strategic decisions: operational excellence, focused expansion, and scientific leadership. Their commitment to sustainability, significant partnerships, and robust R&amp;D pipeline all support their corporate goals. Their investments in rapidly expanding therapeutic areas and digital transformation projects attest to their forward-thinking attitude. Once these rules are established, AstraZeneca will become a leader in the pharmaceutical sector, respected for its creati</w:t>
      </w:r>
      <w:r>
        <w:t>ve thinking, dedication to environmental sustainability, and moral corporate conduct.</w:t>
      </w:r>
    </w:p>
    <w:p w14:paraId="4F32CB3C" w14:textId="77777777" w:rsidR="001E1DC6" w:rsidRDefault="001E1DC6"/>
    <w:p w14:paraId="6AABA159" w14:textId="77777777" w:rsidR="001E1DC6" w:rsidRDefault="001E1DC6"/>
    <w:p w14:paraId="5559CA64" w14:textId="77777777" w:rsidR="001E1DC6" w:rsidRDefault="001E1DC6"/>
    <w:p w14:paraId="70B65037" w14:textId="77777777" w:rsidR="001E1DC6" w:rsidRDefault="009276B9">
      <w:pPr>
        <w:pStyle w:val="Heading1"/>
      </w:pPr>
      <w:bookmarkStart w:id="17" w:name="_vii727n9md3o" w:colFirst="0" w:colLast="0"/>
      <w:bookmarkEnd w:id="17"/>
      <w:r>
        <w:br w:type="page"/>
      </w:r>
    </w:p>
    <w:p w14:paraId="1D3051C8" w14:textId="77777777" w:rsidR="001E1DC6" w:rsidRDefault="009276B9">
      <w:pPr>
        <w:pStyle w:val="Heading1"/>
      </w:pPr>
      <w:bookmarkStart w:id="18" w:name="_cpjxc9cltlfs" w:colFirst="0" w:colLast="0"/>
      <w:bookmarkEnd w:id="18"/>
      <w:r>
        <w:lastRenderedPageBreak/>
        <w:t>References</w:t>
      </w:r>
    </w:p>
    <w:p w14:paraId="61BE2C9D" w14:textId="77777777" w:rsidR="001E1DC6" w:rsidRDefault="009276B9">
      <w:pPr>
        <w:spacing w:before="200"/>
      </w:pPr>
      <w:r>
        <w:t xml:space="preserve">AstraZeneca. (2023). </w:t>
      </w:r>
      <w:r>
        <w:rPr>
          <w:i/>
        </w:rPr>
        <w:t xml:space="preserve">About Our Company. </w:t>
      </w:r>
      <w:r>
        <w:t xml:space="preserve">Available from: </w:t>
      </w:r>
      <w:hyperlink r:id="rId8">
        <w:r>
          <w:rPr>
            <w:color w:val="1155CC"/>
            <w:u w:val="single"/>
          </w:rPr>
          <w:t>https://www.astrazeneca.com/our-company.html</w:t>
        </w:r>
      </w:hyperlink>
      <w:r>
        <w:t xml:space="preserve"> [Accessed 18 December 2023]</w:t>
      </w:r>
    </w:p>
    <w:p w14:paraId="57C25D66" w14:textId="77777777" w:rsidR="001E1DC6" w:rsidRDefault="009276B9">
      <w:pPr>
        <w:widowControl w:val="0"/>
        <w:spacing w:before="200"/>
        <w:rPr>
          <w:color w:val="222222"/>
          <w:highlight w:val="white"/>
        </w:rPr>
      </w:pPr>
      <w:r>
        <w:rPr>
          <w:color w:val="222222"/>
          <w:highlight w:val="white"/>
        </w:rPr>
        <w:t xml:space="preserve">AstraZeneca. (2023). </w:t>
      </w:r>
      <w:r>
        <w:rPr>
          <w:i/>
          <w:color w:val="222222"/>
          <w:highlight w:val="white"/>
        </w:rPr>
        <w:t>AstraZeneca and Merck establish strategic oncology collaboration.</w:t>
      </w:r>
      <w:r>
        <w:rPr>
          <w:color w:val="222222"/>
          <w:highlight w:val="white"/>
        </w:rPr>
        <w:t xml:space="preserve"> [Online] Available at: </w:t>
      </w:r>
      <w:hyperlink r:id="rId9">
        <w:r>
          <w:rPr>
            <w:color w:val="1155CC"/>
            <w:highlight w:val="white"/>
            <w:u w:val="single"/>
          </w:rPr>
          <w:t>https://www.astrazeneca.com/media-centre/press-releases/2017/astrazeneca-and-merck-establish-strategic-oncology-collaboration-27072017.html#</w:t>
        </w:r>
      </w:hyperlink>
      <w:r>
        <w:rPr>
          <w:color w:val="222222"/>
          <w:highlight w:val="white"/>
        </w:rPr>
        <w:t xml:space="preserve"> </w:t>
      </w:r>
      <w:r>
        <w:t>[Accessed 18 December 2023]</w:t>
      </w:r>
    </w:p>
    <w:p w14:paraId="5685EE24" w14:textId="77777777" w:rsidR="001E1DC6" w:rsidRDefault="009276B9">
      <w:pPr>
        <w:widowControl w:val="0"/>
        <w:spacing w:before="200"/>
        <w:rPr>
          <w:color w:val="222222"/>
          <w:highlight w:val="white"/>
        </w:rPr>
      </w:pPr>
      <w:proofErr w:type="spellStart"/>
      <w:r>
        <w:rPr>
          <w:color w:val="222222"/>
          <w:highlight w:val="white"/>
        </w:rPr>
        <w:t>Astrazeneca</w:t>
      </w:r>
      <w:proofErr w:type="spellEnd"/>
      <w:r>
        <w:rPr>
          <w:color w:val="222222"/>
          <w:highlight w:val="white"/>
        </w:rPr>
        <w:t xml:space="preserve">. (2023). AstraZeneca launches </w:t>
      </w:r>
      <w:proofErr w:type="spellStart"/>
      <w:r>
        <w:rPr>
          <w:color w:val="222222"/>
          <w:highlight w:val="white"/>
        </w:rPr>
        <w:t>Evinova</w:t>
      </w:r>
      <w:proofErr w:type="spellEnd"/>
      <w:r>
        <w:rPr>
          <w:color w:val="222222"/>
          <w:highlight w:val="white"/>
        </w:rPr>
        <w:t xml:space="preserve">, a health-tech business to accelerate innovation across the life sciences sector, the delivery of clinical trials and better health outcomes. [Online] Available at: </w:t>
      </w:r>
      <w:hyperlink r:id="rId10">
        <w:r>
          <w:rPr>
            <w:color w:val="1155CC"/>
            <w:highlight w:val="white"/>
            <w:u w:val="single"/>
          </w:rPr>
          <w:t>https://www.astrazeneca.com/media-centre/press-releases/2023/astrazeneca-launches-evinova-health-tech-business-to-accelerate-innovation-across-the-life-sciences-sector.html</w:t>
        </w:r>
      </w:hyperlink>
      <w:r>
        <w:rPr>
          <w:color w:val="222222"/>
          <w:highlight w:val="white"/>
        </w:rPr>
        <w:t xml:space="preserve"> [Accessed 18 Dec. 2023].</w:t>
      </w:r>
    </w:p>
    <w:p w14:paraId="6B0DBDFB" w14:textId="77777777" w:rsidR="001E1DC6" w:rsidRDefault="009276B9">
      <w:pPr>
        <w:widowControl w:val="0"/>
        <w:spacing w:before="200"/>
        <w:rPr>
          <w:color w:val="222222"/>
          <w:highlight w:val="white"/>
        </w:rPr>
      </w:pPr>
      <w:r>
        <w:rPr>
          <w:color w:val="222222"/>
          <w:highlight w:val="white"/>
        </w:rPr>
        <w:t xml:space="preserve">AstraZeneca. (2023). Data Science &amp; Artificial Intelligence: Unlocking new science insights. [online] Available at: </w:t>
      </w:r>
      <w:hyperlink r:id="rId11">
        <w:r>
          <w:rPr>
            <w:color w:val="1155CC"/>
            <w:highlight w:val="white"/>
            <w:u w:val="single"/>
          </w:rPr>
          <w:t>https://www.astrazeneca.com/r-d/data-science-and-ai.html</w:t>
        </w:r>
      </w:hyperlink>
      <w:r>
        <w:rPr>
          <w:color w:val="222222"/>
          <w:highlight w:val="white"/>
        </w:rPr>
        <w:t xml:space="preserve"> </w:t>
      </w:r>
      <w:r>
        <w:t>[Accessed 18 December 2023]</w:t>
      </w:r>
    </w:p>
    <w:p w14:paraId="093E3D66" w14:textId="77777777" w:rsidR="001E1DC6" w:rsidRDefault="009276B9">
      <w:pPr>
        <w:widowControl w:val="0"/>
        <w:spacing w:before="200"/>
        <w:rPr>
          <w:color w:val="222222"/>
          <w:highlight w:val="white"/>
        </w:rPr>
      </w:pPr>
      <w:proofErr w:type="spellStart"/>
      <w:r>
        <w:rPr>
          <w:color w:val="222222"/>
          <w:highlight w:val="white"/>
        </w:rPr>
        <w:t>Astrazeneca</w:t>
      </w:r>
      <w:proofErr w:type="spellEnd"/>
      <w:r>
        <w:rPr>
          <w:color w:val="222222"/>
          <w:highlight w:val="white"/>
        </w:rPr>
        <w:t xml:space="preserve">. (2023). Pipeline - AstraZeneca. [online] Available at: </w:t>
      </w:r>
      <w:hyperlink r:id="rId12">
        <w:r>
          <w:rPr>
            <w:color w:val="1155CC"/>
            <w:highlight w:val="white"/>
            <w:u w:val="single"/>
          </w:rPr>
          <w:t>https://www.astrazeneca.com/our-therapy-areas/pipeline.html</w:t>
        </w:r>
      </w:hyperlink>
      <w:r>
        <w:rPr>
          <w:color w:val="222222"/>
          <w:highlight w:val="white"/>
        </w:rPr>
        <w:t xml:space="preserve">. </w:t>
      </w:r>
      <w:r>
        <w:t>[Accessed 18 December 2023]</w:t>
      </w:r>
    </w:p>
    <w:p w14:paraId="33C6253B" w14:textId="77777777" w:rsidR="001E1DC6" w:rsidRDefault="009276B9">
      <w:pPr>
        <w:widowControl w:val="0"/>
        <w:spacing w:before="200"/>
        <w:rPr>
          <w:color w:val="222222"/>
          <w:highlight w:val="white"/>
        </w:rPr>
      </w:pPr>
      <w:r>
        <w:rPr>
          <w:color w:val="222222"/>
          <w:highlight w:val="white"/>
        </w:rPr>
        <w:t>AstraZeneca (2023).</w:t>
      </w:r>
      <w:r>
        <w:rPr>
          <w:i/>
          <w:color w:val="222222"/>
          <w:highlight w:val="white"/>
        </w:rPr>
        <w:t xml:space="preserve"> Annual Reports. </w:t>
      </w:r>
      <w:r>
        <w:rPr>
          <w:color w:val="222222"/>
          <w:highlight w:val="white"/>
        </w:rPr>
        <w:t xml:space="preserve">[online] Astrazeneca.com. Available at: </w:t>
      </w:r>
      <w:hyperlink r:id="rId13">
        <w:r>
          <w:rPr>
            <w:color w:val="1155CC"/>
            <w:highlight w:val="white"/>
            <w:u w:val="single"/>
          </w:rPr>
          <w:t>https://www.astrazeneca.com/investor-relations/annual-reports.html</w:t>
        </w:r>
      </w:hyperlink>
      <w:r>
        <w:rPr>
          <w:color w:val="222222"/>
          <w:highlight w:val="white"/>
        </w:rPr>
        <w:t xml:space="preserve"> </w:t>
      </w:r>
      <w:r>
        <w:t>[Accessed 18 December 2023]</w:t>
      </w:r>
    </w:p>
    <w:p w14:paraId="538F2498" w14:textId="77777777" w:rsidR="001E1DC6" w:rsidRDefault="009276B9">
      <w:pPr>
        <w:widowControl w:val="0"/>
        <w:spacing w:before="200"/>
        <w:rPr>
          <w:color w:val="222222"/>
          <w:highlight w:val="white"/>
        </w:rPr>
      </w:pPr>
      <w:proofErr w:type="spellStart"/>
      <w:r>
        <w:rPr>
          <w:color w:val="222222"/>
          <w:highlight w:val="white"/>
        </w:rPr>
        <w:t>Ausat</w:t>
      </w:r>
      <w:proofErr w:type="spellEnd"/>
      <w:r>
        <w:rPr>
          <w:color w:val="222222"/>
          <w:highlight w:val="white"/>
        </w:rPr>
        <w:t xml:space="preserve">, A.M.A., </w:t>
      </w:r>
      <w:proofErr w:type="spellStart"/>
      <w:r>
        <w:rPr>
          <w:color w:val="222222"/>
          <w:highlight w:val="white"/>
        </w:rPr>
        <w:t>Widayani</w:t>
      </w:r>
      <w:proofErr w:type="spellEnd"/>
      <w:r>
        <w:rPr>
          <w:color w:val="222222"/>
          <w:highlight w:val="white"/>
        </w:rPr>
        <w:t xml:space="preserve">, A., </w:t>
      </w:r>
      <w:proofErr w:type="spellStart"/>
      <w:r>
        <w:rPr>
          <w:color w:val="222222"/>
          <w:highlight w:val="white"/>
        </w:rPr>
        <w:t>Rachmawati</w:t>
      </w:r>
      <w:proofErr w:type="spellEnd"/>
      <w:r>
        <w:rPr>
          <w:color w:val="222222"/>
          <w:highlight w:val="white"/>
        </w:rPr>
        <w:t xml:space="preserve">, I., Latifah, N. and </w:t>
      </w:r>
      <w:proofErr w:type="spellStart"/>
      <w:r>
        <w:rPr>
          <w:color w:val="222222"/>
          <w:highlight w:val="white"/>
        </w:rPr>
        <w:t>Suherlan</w:t>
      </w:r>
      <w:proofErr w:type="spellEnd"/>
      <w:r>
        <w:rPr>
          <w:color w:val="222222"/>
          <w:highlight w:val="white"/>
        </w:rPr>
        <w:t xml:space="preserve">, S., (2022). The Effect of Intellectual Capital and Innovative Work Behavior on Business Performance. </w:t>
      </w:r>
      <w:r>
        <w:rPr>
          <w:i/>
          <w:color w:val="222222"/>
          <w:highlight w:val="white"/>
        </w:rPr>
        <w:t>Journal of Economics, Business, &amp; Accountancy Ventura</w:t>
      </w:r>
      <w:r>
        <w:rPr>
          <w:color w:val="222222"/>
          <w:highlight w:val="white"/>
        </w:rPr>
        <w:t xml:space="preserve">, </w:t>
      </w:r>
      <w:r>
        <w:rPr>
          <w:i/>
          <w:color w:val="222222"/>
          <w:highlight w:val="white"/>
        </w:rPr>
        <w:t>24</w:t>
      </w:r>
      <w:r>
        <w:rPr>
          <w:color w:val="222222"/>
          <w:highlight w:val="white"/>
        </w:rPr>
        <w:t>(3), pp.363-378.</w:t>
      </w:r>
    </w:p>
    <w:p w14:paraId="357BC518" w14:textId="77777777" w:rsidR="001E1DC6" w:rsidRDefault="009276B9">
      <w:pPr>
        <w:widowControl w:val="0"/>
        <w:spacing w:before="200"/>
        <w:rPr>
          <w:color w:val="222222"/>
          <w:highlight w:val="white"/>
        </w:rPr>
      </w:pPr>
      <w:proofErr w:type="spellStart"/>
      <w:r>
        <w:rPr>
          <w:color w:val="222222"/>
          <w:highlight w:val="white"/>
        </w:rPr>
        <w:t>Campião</w:t>
      </w:r>
      <w:proofErr w:type="spellEnd"/>
      <w:r>
        <w:rPr>
          <w:color w:val="222222"/>
          <w:highlight w:val="white"/>
        </w:rPr>
        <w:t xml:space="preserve">, A. C. S. (2023). </w:t>
      </w:r>
      <w:r>
        <w:rPr>
          <w:i/>
          <w:color w:val="222222"/>
          <w:highlight w:val="white"/>
        </w:rPr>
        <w:t>Equity research: AstraZeneca PLC</w:t>
      </w:r>
      <w:r>
        <w:rPr>
          <w:color w:val="222222"/>
          <w:highlight w:val="white"/>
        </w:rPr>
        <w:t xml:space="preserve"> (Doctoral dissertation).</w:t>
      </w:r>
    </w:p>
    <w:p w14:paraId="6844F671" w14:textId="77777777" w:rsidR="001E1DC6" w:rsidRDefault="009276B9">
      <w:pPr>
        <w:spacing w:before="200"/>
      </w:pPr>
      <w:r>
        <w:t xml:space="preserve">Companies Market Cap. (2023). </w:t>
      </w:r>
      <w:r>
        <w:rPr>
          <w:i/>
        </w:rPr>
        <w:t xml:space="preserve">AstraZeneca (AZN) - Total assets. </w:t>
      </w:r>
      <w:r>
        <w:t xml:space="preserve">Available at: </w:t>
      </w:r>
      <w:hyperlink r:id="rId14">
        <w:r>
          <w:rPr>
            <w:color w:val="1155CC"/>
            <w:u w:val="single"/>
          </w:rPr>
          <w:t>https://companiesmarketcap.com/astrazeneca/total-assets/</w:t>
        </w:r>
      </w:hyperlink>
      <w:r>
        <w:t xml:space="preserve"> [Accessed 18 December 2023]</w:t>
      </w:r>
    </w:p>
    <w:p w14:paraId="38AF4D41" w14:textId="77777777" w:rsidR="001E1DC6" w:rsidRDefault="009276B9">
      <w:pPr>
        <w:widowControl w:val="0"/>
        <w:spacing w:before="200"/>
        <w:rPr>
          <w:color w:val="222222"/>
          <w:highlight w:val="white"/>
        </w:rPr>
      </w:pPr>
      <w:r>
        <w:rPr>
          <w:color w:val="222222"/>
          <w:highlight w:val="white"/>
        </w:rPr>
        <w:t xml:space="preserve">ELCC. (2017). ELCC 2017: </w:t>
      </w:r>
      <w:r>
        <w:rPr>
          <w:i/>
          <w:color w:val="222222"/>
          <w:highlight w:val="white"/>
        </w:rPr>
        <w:t>Sponsor &amp; Exhibitor Profiles</w:t>
      </w:r>
      <w:r>
        <w:rPr>
          <w:color w:val="222222"/>
          <w:highlight w:val="white"/>
        </w:rPr>
        <w:t xml:space="preserve">. {online] Available at: </w:t>
      </w:r>
      <w:hyperlink r:id="rId15">
        <w:r>
          <w:rPr>
            <w:color w:val="1155CC"/>
            <w:highlight w:val="white"/>
            <w:u w:val="single"/>
          </w:rPr>
          <w:t>https://www.esmo.org/meeting-calendar/past-meetings/elcc-2017-lung-cancer/exhibition/Sponsor-Exhibitor-Profiles</w:t>
        </w:r>
      </w:hyperlink>
      <w:r>
        <w:rPr>
          <w:color w:val="222222"/>
          <w:highlight w:val="white"/>
        </w:rPr>
        <w:t xml:space="preserve"> [Accessed 18 Dec. 2023].</w:t>
      </w:r>
    </w:p>
    <w:p w14:paraId="38338849" w14:textId="77777777" w:rsidR="001E1DC6" w:rsidRDefault="009276B9">
      <w:pPr>
        <w:widowControl w:val="0"/>
        <w:spacing w:before="200"/>
        <w:rPr>
          <w:color w:val="222222"/>
          <w:highlight w:val="white"/>
        </w:rPr>
      </w:pPr>
      <w:proofErr w:type="spellStart"/>
      <w:r>
        <w:rPr>
          <w:color w:val="222222"/>
          <w:highlight w:val="white"/>
        </w:rPr>
        <w:t>ETHealthworld</w:t>
      </w:r>
      <w:proofErr w:type="spellEnd"/>
      <w:r>
        <w:rPr>
          <w:color w:val="222222"/>
          <w:highlight w:val="white"/>
        </w:rPr>
        <w:t xml:space="preserve">. (2023). </w:t>
      </w:r>
      <w:r>
        <w:rPr>
          <w:i/>
          <w:color w:val="222222"/>
          <w:highlight w:val="white"/>
        </w:rPr>
        <w:t xml:space="preserve">AstraZeneca ups profit outlook on strong cancer drugs demand - ET </w:t>
      </w:r>
      <w:proofErr w:type="spellStart"/>
      <w:r>
        <w:rPr>
          <w:i/>
          <w:color w:val="222222"/>
          <w:highlight w:val="white"/>
        </w:rPr>
        <w:t>HealthWorld</w:t>
      </w:r>
      <w:proofErr w:type="spellEnd"/>
      <w:r>
        <w:rPr>
          <w:i/>
          <w:color w:val="222222"/>
          <w:highlight w:val="white"/>
        </w:rPr>
        <w:t xml:space="preserve"> | Pharma. [online] ETHealthworld.com | Pharma.</w:t>
      </w:r>
      <w:r>
        <w:rPr>
          <w:color w:val="222222"/>
          <w:highlight w:val="white"/>
        </w:rPr>
        <w:t xml:space="preserve"> Available at: https://health.economictimes.indiatimes.com/news/pharma/pharma-industry/astrazeneca-ups-profit-outlook-on-strong-cancer-drugs-demand/105093961 [Accessed 18 Dec. 2023].</w:t>
      </w:r>
    </w:p>
    <w:p w14:paraId="2C0031E9" w14:textId="77777777" w:rsidR="001E1DC6" w:rsidRDefault="009276B9">
      <w:pPr>
        <w:widowControl w:val="0"/>
        <w:spacing w:before="200"/>
        <w:rPr>
          <w:color w:val="222222"/>
          <w:highlight w:val="white"/>
        </w:rPr>
      </w:pPr>
      <w:r>
        <w:rPr>
          <w:color w:val="222222"/>
          <w:highlight w:val="white"/>
        </w:rPr>
        <w:t xml:space="preserve">Johnson, M., </w:t>
      </w:r>
      <w:proofErr w:type="spellStart"/>
      <w:r>
        <w:rPr>
          <w:color w:val="222222"/>
          <w:highlight w:val="white"/>
        </w:rPr>
        <w:t>Garassino</w:t>
      </w:r>
      <w:proofErr w:type="spellEnd"/>
      <w:r>
        <w:rPr>
          <w:color w:val="222222"/>
          <w:highlight w:val="white"/>
        </w:rPr>
        <w:t xml:space="preserve">, M. C., Mok, T., and </w:t>
      </w:r>
      <w:proofErr w:type="spellStart"/>
      <w:r>
        <w:rPr>
          <w:color w:val="222222"/>
          <w:highlight w:val="white"/>
        </w:rPr>
        <w:t>Mitsudomi</w:t>
      </w:r>
      <w:proofErr w:type="spellEnd"/>
      <w:r>
        <w:rPr>
          <w:color w:val="222222"/>
          <w:highlight w:val="white"/>
        </w:rPr>
        <w:t xml:space="preserve">, T. (2022). Treatment strategies and outcomes for patients with EGFR-mutant non-small cell lung cancer resistant to EGFR tyrosine kinase inhibitors: Focus on novel therapies. </w:t>
      </w:r>
      <w:r>
        <w:rPr>
          <w:i/>
          <w:color w:val="222222"/>
          <w:highlight w:val="white"/>
        </w:rPr>
        <w:t>Lung Cancer</w:t>
      </w:r>
      <w:r>
        <w:rPr>
          <w:color w:val="222222"/>
          <w:highlight w:val="white"/>
        </w:rPr>
        <w:t xml:space="preserve">, </w:t>
      </w:r>
      <w:r>
        <w:rPr>
          <w:i/>
          <w:color w:val="222222"/>
          <w:highlight w:val="white"/>
        </w:rPr>
        <w:t>170</w:t>
      </w:r>
      <w:r>
        <w:rPr>
          <w:color w:val="222222"/>
          <w:highlight w:val="white"/>
        </w:rPr>
        <w:t>, 41-51.</w:t>
      </w:r>
    </w:p>
    <w:p w14:paraId="1E8785DF" w14:textId="77777777" w:rsidR="001E1DC6" w:rsidRDefault="009276B9">
      <w:pPr>
        <w:spacing w:before="200"/>
      </w:pPr>
      <w:r>
        <w:t xml:space="preserve">Macrotrends. (2023). </w:t>
      </w:r>
      <w:r>
        <w:rPr>
          <w:i/>
        </w:rPr>
        <w:t xml:space="preserve">AstraZeneca Operating Income 2010-2023 | AZN. </w:t>
      </w:r>
      <w:r>
        <w:t xml:space="preserve">Available at: </w:t>
      </w:r>
      <w:hyperlink r:id="rId16" w:anchor=":~:text=AstraZeneca%20annual%20operating%20income%20for,a%20255.78%25%20increase%20from%202021">
        <w:r>
          <w:rPr>
            <w:color w:val="1155CC"/>
            <w:u w:val="single"/>
          </w:rPr>
          <w:t>https://www.macrotrends.net/stocks/charts/AZN/astrazeneca/operating-income#:~:text=AstraZeneca%20annual%20operating%20income%20for,a%20255.78%25%20increase%20from%202021</w:t>
        </w:r>
      </w:hyperlink>
      <w:r>
        <w:t>. [Accessed 18 December 2023]</w:t>
      </w:r>
    </w:p>
    <w:p w14:paraId="502787C3" w14:textId="77777777" w:rsidR="001E1DC6" w:rsidRDefault="009276B9">
      <w:pPr>
        <w:widowControl w:val="0"/>
        <w:spacing w:before="200"/>
        <w:rPr>
          <w:color w:val="222222"/>
          <w:highlight w:val="white"/>
        </w:rPr>
      </w:pPr>
      <w:r>
        <w:rPr>
          <w:color w:val="222222"/>
          <w:highlight w:val="white"/>
        </w:rPr>
        <w:t xml:space="preserve">Pozniak, O.V., </w:t>
      </w:r>
      <w:proofErr w:type="spellStart"/>
      <w:r>
        <w:rPr>
          <w:color w:val="222222"/>
          <w:highlight w:val="white"/>
        </w:rPr>
        <w:t>Khmylievska</w:t>
      </w:r>
      <w:proofErr w:type="spellEnd"/>
      <w:r>
        <w:rPr>
          <w:color w:val="222222"/>
          <w:highlight w:val="white"/>
        </w:rPr>
        <w:t xml:space="preserve">, V.V. and Jeanne, I.M., (2021). LOSSES IN PHARMACEUTICAL SUPPLY CHAINS: CHALLENGES IN EFFICIENT VACCINE DISTRIBUTION AND UTILIZATION. </w:t>
      </w:r>
      <w:r>
        <w:rPr>
          <w:i/>
          <w:color w:val="222222"/>
          <w:highlight w:val="white"/>
        </w:rPr>
        <w:t>Electronic scientific and practical publication in economic sciences</w:t>
      </w:r>
      <w:r>
        <w:rPr>
          <w:color w:val="222222"/>
          <w:highlight w:val="white"/>
        </w:rPr>
        <w:t>, p.20.</w:t>
      </w:r>
    </w:p>
    <w:p w14:paraId="1790362F" w14:textId="77777777" w:rsidR="001E1DC6" w:rsidRDefault="009276B9">
      <w:pPr>
        <w:widowControl w:val="0"/>
        <w:spacing w:before="200"/>
        <w:rPr>
          <w:color w:val="222222"/>
          <w:highlight w:val="white"/>
        </w:rPr>
      </w:pPr>
      <w:r>
        <w:rPr>
          <w:color w:val="222222"/>
          <w:highlight w:val="white"/>
        </w:rPr>
        <w:t xml:space="preserve">Regeneron Pharmaceuticals Inc. (2021). </w:t>
      </w:r>
      <w:r>
        <w:rPr>
          <w:i/>
          <w:color w:val="222222"/>
          <w:highlight w:val="white"/>
        </w:rPr>
        <w:t>Regeneron and AstraZeneca to Research, Develop and Commercialize New Small Molecule Medicines for Obesity | Regeneron Pharmaceuticals Inc</w:t>
      </w:r>
      <w:r>
        <w:rPr>
          <w:color w:val="222222"/>
          <w:highlight w:val="white"/>
        </w:rPr>
        <w:t>. [online] Available at: https://newsroom.regeneron.com/news-releases/news-release-details/regeneron-and-astrazeneca-research-develop-and-commercialize-new [Accessed 18 Dec. 2023].</w:t>
      </w:r>
    </w:p>
    <w:p w14:paraId="127B6399" w14:textId="77777777" w:rsidR="001E1DC6" w:rsidRDefault="001E1DC6"/>
    <w:p w14:paraId="22A892BD" w14:textId="77777777" w:rsidR="001E1DC6" w:rsidRDefault="001E1DC6"/>
    <w:p w14:paraId="3812324E" w14:textId="77777777" w:rsidR="001E1DC6" w:rsidRDefault="001E1DC6">
      <w:pPr>
        <w:widowControl w:val="0"/>
        <w:pBdr>
          <w:top w:val="nil"/>
          <w:left w:val="nil"/>
          <w:bottom w:val="nil"/>
          <w:right w:val="nil"/>
          <w:between w:val="nil"/>
        </w:pBdr>
        <w:spacing w:line="276" w:lineRule="auto"/>
        <w:jc w:val="left"/>
      </w:pPr>
    </w:p>
    <w:sectPr w:rsidR="001E1DC6">
      <w:headerReference w:type="default" r:id="rId17"/>
      <w:footerReference w:type="default" r:id="rId18"/>
      <w:headerReference w:type="first" r:id="rId19"/>
      <w:footerReference w:type="first" r:id="rId2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8C63F" w14:textId="77777777" w:rsidR="009276B9" w:rsidRDefault="009276B9">
      <w:pPr>
        <w:spacing w:line="240" w:lineRule="auto"/>
      </w:pPr>
      <w:r>
        <w:separator/>
      </w:r>
    </w:p>
  </w:endnote>
  <w:endnote w:type="continuationSeparator" w:id="0">
    <w:p w14:paraId="6E9BACFD" w14:textId="77777777" w:rsidR="009276B9" w:rsidRDefault="009276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17CEB" w14:textId="77777777" w:rsidR="001E1DC6" w:rsidRDefault="009276B9">
    <w:pPr>
      <w:jc w:val="right"/>
    </w:pPr>
    <w:r>
      <w:fldChar w:fldCharType="begin"/>
    </w:r>
    <w:r>
      <w:instrText>PAGE</w:instrText>
    </w:r>
    <w:r>
      <w:fldChar w:fldCharType="separate"/>
    </w:r>
    <w:r w:rsidR="00FF1719">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24DB6" w14:textId="77777777" w:rsidR="001E1DC6" w:rsidRDefault="001E1DC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13088" w14:textId="77777777" w:rsidR="009276B9" w:rsidRDefault="009276B9">
      <w:pPr>
        <w:spacing w:line="240" w:lineRule="auto"/>
      </w:pPr>
      <w:r>
        <w:separator/>
      </w:r>
    </w:p>
  </w:footnote>
  <w:footnote w:type="continuationSeparator" w:id="0">
    <w:p w14:paraId="55D85218" w14:textId="77777777" w:rsidR="009276B9" w:rsidRDefault="009276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A915B" w14:textId="77777777" w:rsidR="001E1DC6" w:rsidRDefault="001E1DC6"/>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1A3E6" w14:textId="77777777" w:rsidR="001E1DC6" w:rsidRDefault="009276B9">
    <w:r>
      <w:rPr>
        <w:noProof/>
      </w:rPr>
      <w:drawing>
        <wp:inline distT="114300" distB="114300" distL="114300" distR="114300" wp14:anchorId="1A1C210F" wp14:editId="442D0282">
          <wp:extent cx="1440108" cy="5695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40108" cy="56959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26590D"/>
    <w:multiLevelType w:val="multilevel"/>
    <w:tmpl w:val="2FB24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5038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DC6"/>
    <w:rsid w:val="001E1DC6"/>
    <w:rsid w:val="00314BA5"/>
    <w:rsid w:val="009276B9"/>
    <w:rsid w:val="00FF1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87BD8"/>
  <w15:docId w15:val="{9C33910C-FF97-4523-B4BE-9AE1220DA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343541"/>
    </w:tc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strazeneca.com/our-company.html" TargetMode="External"/><Relationship Id="rId13" Type="http://schemas.openxmlformats.org/officeDocument/2006/relationships/hyperlink" Target="https://www.astrazeneca.com/investor-relations/annual-reports.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strazeneca.com/our-therapy-areas/pipeline.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acrotrends.net/stocks/charts/AZN/astrazeneca/operating-incom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razeneca.com/r-d/data-science-and-ai.html" TargetMode="External"/><Relationship Id="rId5" Type="http://schemas.openxmlformats.org/officeDocument/2006/relationships/footnotes" Target="footnotes.xml"/><Relationship Id="rId15" Type="http://schemas.openxmlformats.org/officeDocument/2006/relationships/hyperlink" Target="https://www.esmo.org/meeting-calendar/past-meetings/elcc-2017-lung-cancer/exhibition/Sponsor-Exhibitor-Profiles" TargetMode="External"/><Relationship Id="rId10" Type="http://schemas.openxmlformats.org/officeDocument/2006/relationships/hyperlink" Target="https://www.astrazeneca.com/media-centre/press-releases/2023/astrazeneca-launches-evinova-health-tech-business-to-accelerate-innovation-across-the-life-sciences-sector.html"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astrazeneca.com/media-centre/press-releases/2017/astrazeneca-and-merck-establish-strategic-oncology-collaboration-27072017.html" TargetMode="External"/><Relationship Id="rId14" Type="http://schemas.openxmlformats.org/officeDocument/2006/relationships/hyperlink" Target="https://companiesmarketcap.com/astrazeneca/total-asset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3512</Words>
  <Characters>20019</Characters>
  <Application>Microsoft Office Word</Application>
  <DocSecurity>0</DocSecurity>
  <Lines>166</Lines>
  <Paragraphs>46</Paragraphs>
  <ScaleCrop>false</ScaleCrop>
  <Company/>
  <LinksUpToDate>false</LinksUpToDate>
  <CharactersWithSpaces>23485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Lisenche</dc:creator>
  <cp:lastModifiedBy>Daniela Lisenche</cp:lastModifiedBy>
  <cp:revision>2</cp:revision>
  <dcterms:created xsi:type="dcterms:W3CDTF">2023-12-18T20:10:00Z</dcterms:created>
  <dcterms:modified xsi:type="dcterms:W3CDTF">2023-12-18T20:10:00Z</dcterms:modified>
</cp:coreProperties>
</file>