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185E" w:rsidRDefault="00B01303" w:rsidP="00774B7E">
      <w:pPr>
        <w:spacing w:line="360" w:lineRule="auto"/>
        <w:jc w:val="center"/>
        <w:rPr>
          <w:rFonts w:ascii="Times New Roman" w:eastAsia="Times New Roman" w:hAnsi="Times New Roman" w:cs="Times New Roman"/>
          <w:b/>
          <w:sz w:val="32"/>
          <w:szCs w:val="32"/>
        </w:rPr>
      </w:pPr>
      <w:bookmarkStart w:id="0" w:name="_GoBack"/>
      <w:r>
        <w:rPr>
          <w:rFonts w:ascii="Times New Roman" w:eastAsia="Times New Roman" w:hAnsi="Times New Roman" w:cs="Times New Roman"/>
          <w:b/>
          <w:sz w:val="32"/>
          <w:szCs w:val="32"/>
        </w:rPr>
        <w:t>Module Code:LCBB6001</w:t>
      </w:r>
    </w:p>
    <w:p w:rsidR="00B01303" w:rsidRDefault="00B01303" w:rsidP="00774B7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w:t>
      </w:r>
      <w:r w:rsidR="001444AE">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International Business Commu</w:t>
      </w:r>
      <w:r w:rsidR="001444AE">
        <w:rPr>
          <w:rFonts w:ascii="Times New Roman" w:eastAsia="Times New Roman" w:hAnsi="Times New Roman" w:cs="Times New Roman"/>
          <w:b/>
          <w:sz w:val="32"/>
          <w:szCs w:val="32"/>
        </w:rPr>
        <w:t>nications</w:t>
      </w:r>
    </w:p>
    <w:p w:rsidR="001444AE" w:rsidRDefault="001444AE" w:rsidP="00774B7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Tutor: Dr Charles Nwaogwugwu</w:t>
      </w:r>
    </w:p>
    <w:p w:rsidR="001444AE" w:rsidRDefault="001444AE" w:rsidP="00774B7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 Component 1</w:t>
      </w:r>
    </w:p>
    <w:p w:rsidR="001444AE" w:rsidRDefault="001444AE" w:rsidP="00774B7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Coursework: Essay</w:t>
      </w:r>
    </w:p>
    <w:p w:rsidR="001444AE" w:rsidRDefault="001444AE" w:rsidP="00774B7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Angel Angelov</w:t>
      </w:r>
    </w:p>
    <w:p w:rsidR="001444AE" w:rsidRDefault="001444AE" w:rsidP="00774B7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Number:2120247</w:t>
      </w:r>
    </w:p>
    <w:p w:rsidR="001444AE" w:rsidRDefault="001444AE" w:rsidP="00774B7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University of Wales Trinity Saint David</w:t>
      </w:r>
    </w:p>
    <w:p w:rsidR="001444AE" w:rsidRDefault="001444AE" w:rsidP="00774B7E">
      <w:pPr>
        <w:spacing w:line="360" w:lineRule="auto"/>
        <w:jc w:val="center"/>
        <w:rPr>
          <w:rFonts w:ascii="Times New Roman" w:eastAsia="Times New Roman" w:hAnsi="Times New Roman" w:cs="Times New Roman"/>
          <w:b/>
          <w:sz w:val="32"/>
          <w:szCs w:val="32"/>
        </w:rPr>
      </w:pPr>
    </w:p>
    <w:p w:rsidR="001444AE" w:rsidRDefault="001444AE" w:rsidP="00774B7E">
      <w:pPr>
        <w:spacing w:line="360" w:lineRule="auto"/>
        <w:jc w:val="center"/>
        <w:rPr>
          <w:rFonts w:ascii="Times New Roman" w:eastAsia="Times New Roman" w:hAnsi="Times New Roman" w:cs="Times New Roman"/>
          <w:b/>
          <w:sz w:val="32"/>
          <w:szCs w:val="32"/>
        </w:rPr>
      </w:pPr>
    </w:p>
    <w:p w:rsidR="001444AE" w:rsidRDefault="001444AE" w:rsidP="00774B7E">
      <w:pPr>
        <w:spacing w:line="360" w:lineRule="auto"/>
        <w:jc w:val="center"/>
        <w:rPr>
          <w:rFonts w:ascii="Times New Roman" w:eastAsia="Times New Roman" w:hAnsi="Times New Roman" w:cs="Times New Roman"/>
          <w:b/>
          <w:sz w:val="32"/>
          <w:szCs w:val="32"/>
        </w:rPr>
      </w:pPr>
    </w:p>
    <w:p w:rsidR="0003185E" w:rsidRDefault="0003185E" w:rsidP="00774B7E">
      <w:pPr>
        <w:spacing w:line="360" w:lineRule="auto"/>
        <w:jc w:val="center"/>
        <w:rPr>
          <w:rFonts w:ascii="Times New Roman" w:eastAsia="Times New Roman" w:hAnsi="Times New Roman" w:cs="Times New Roman"/>
          <w:b/>
          <w:sz w:val="32"/>
          <w:szCs w:val="32"/>
        </w:rPr>
      </w:pPr>
    </w:p>
    <w:p w:rsidR="0003185E" w:rsidRDefault="0003185E" w:rsidP="00774B7E">
      <w:pPr>
        <w:spacing w:line="360" w:lineRule="auto"/>
        <w:jc w:val="center"/>
        <w:rPr>
          <w:rFonts w:ascii="Times New Roman" w:eastAsia="Times New Roman" w:hAnsi="Times New Roman" w:cs="Times New Roman"/>
          <w:b/>
          <w:sz w:val="32"/>
          <w:szCs w:val="32"/>
        </w:rPr>
      </w:pPr>
    </w:p>
    <w:p w:rsidR="0003185E" w:rsidRDefault="0003185E" w:rsidP="00774B7E">
      <w:pPr>
        <w:spacing w:line="360" w:lineRule="auto"/>
        <w:jc w:val="center"/>
        <w:rPr>
          <w:rFonts w:ascii="Times New Roman" w:eastAsia="Times New Roman" w:hAnsi="Times New Roman" w:cs="Times New Roman"/>
          <w:b/>
          <w:sz w:val="32"/>
          <w:szCs w:val="32"/>
        </w:rPr>
      </w:pPr>
    </w:p>
    <w:p w:rsidR="0003185E" w:rsidRDefault="0003185E" w:rsidP="00774B7E">
      <w:pPr>
        <w:spacing w:line="360" w:lineRule="auto"/>
        <w:jc w:val="center"/>
        <w:rPr>
          <w:rFonts w:ascii="Times New Roman" w:eastAsia="Times New Roman" w:hAnsi="Times New Roman" w:cs="Times New Roman"/>
          <w:b/>
          <w:sz w:val="32"/>
          <w:szCs w:val="32"/>
        </w:rPr>
      </w:pPr>
    </w:p>
    <w:p w:rsidR="00E92CFC" w:rsidRDefault="00E92CFC" w:rsidP="00774B7E">
      <w:pPr>
        <w:spacing w:line="360" w:lineRule="auto"/>
        <w:jc w:val="center"/>
        <w:rPr>
          <w:rFonts w:ascii="Times New Roman" w:eastAsia="Times New Roman" w:hAnsi="Times New Roman" w:cs="Times New Roman"/>
          <w:b/>
          <w:sz w:val="32"/>
          <w:szCs w:val="32"/>
        </w:rPr>
      </w:pPr>
    </w:p>
    <w:p w:rsidR="00E92CFC" w:rsidRDefault="00E92CFC" w:rsidP="00774B7E">
      <w:pPr>
        <w:spacing w:line="360" w:lineRule="auto"/>
        <w:jc w:val="center"/>
        <w:rPr>
          <w:rFonts w:ascii="Times New Roman" w:eastAsia="Times New Roman" w:hAnsi="Times New Roman" w:cs="Times New Roman"/>
          <w:b/>
          <w:sz w:val="32"/>
          <w:szCs w:val="32"/>
        </w:rPr>
      </w:pPr>
    </w:p>
    <w:p w:rsidR="004E5240" w:rsidRDefault="004E5240" w:rsidP="00774B7E">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lang w:eastAsia="en-US"/>
        </w:rPr>
        <w:id w:val="1277524142"/>
        <w:docPartObj>
          <w:docPartGallery w:val="Table of Contents"/>
          <w:docPartUnique/>
        </w:docPartObj>
      </w:sdtPr>
      <w:sdtEndPr>
        <w:rPr>
          <w:rFonts w:ascii="Times New Roman" w:hAnsi="Times New Roman" w:cs="Times New Roman"/>
          <w:noProof/>
          <w:sz w:val="24"/>
          <w:szCs w:val="24"/>
        </w:rPr>
      </w:sdtEndPr>
      <w:sdtContent>
        <w:p w:rsidR="004E5240" w:rsidRPr="004E5240" w:rsidRDefault="004E5240" w:rsidP="00774B7E">
          <w:pPr>
            <w:pStyle w:val="ab"/>
            <w:spacing w:line="360" w:lineRule="auto"/>
            <w:jc w:val="center"/>
            <w:rPr>
              <w:rFonts w:ascii="Times New Roman" w:hAnsi="Times New Roman" w:cs="Times New Roman"/>
              <w:color w:val="000000" w:themeColor="text1"/>
              <w:szCs w:val="24"/>
            </w:rPr>
          </w:pPr>
          <w:r w:rsidRPr="004E5240">
            <w:rPr>
              <w:rFonts w:ascii="Times New Roman" w:hAnsi="Times New Roman" w:cs="Times New Roman"/>
              <w:color w:val="000000" w:themeColor="text1"/>
              <w:szCs w:val="24"/>
            </w:rPr>
            <w:t>Table of Contents</w:t>
          </w:r>
        </w:p>
        <w:p w:rsidR="001D18F7" w:rsidRPr="001D18F7" w:rsidRDefault="000E3E8F" w:rsidP="001D18F7">
          <w:pPr>
            <w:pStyle w:val="10"/>
            <w:tabs>
              <w:tab w:val="right" w:leader="dot" w:pos="9350"/>
            </w:tabs>
            <w:spacing w:line="360" w:lineRule="auto"/>
            <w:jc w:val="both"/>
            <w:rPr>
              <w:rFonts w:ascii="Times New Roman" w:eastAsiaTheme="minorEastAsia" w:hAnsi="Times New Roman" w:cs="Times New Roman"/>
              <w:noProof/>
              <w:sz w:val="24"/>
              <w:szCs w:val="24"/>
              <w:lang w:val="en-US"/>
            </w:rPr>
          </w:pPr>
          <w:r w:rsidRPr="000E3E8F">
            <w:rPr>
              <w:rFonts w:ascii="Times New Roman" w:hAnsi="Times New Roman" w:cs="Times New Roman"/>
              <w:color w:val="000000" w:themeColor="text1"/>
              <w:sz w:val="24"/>
              <w:szCs w:val="24"/>
            </w:rPr>
            <w:fldChar w:fldCharType="begin"/>
          </w:r>
          <w:r w:rsidR="004E5240" w:rsidRPr="001D18F7">
            <w:rPr>
              <w:rFonts w:ascii="Times New Roman" w:hAnsi="Times New Roman" w:cs="Times New Roman"/>
              <w:color w:val="000000" w:themeColor="text1"/>
              <w:sz w:val="24"/>
              <w:szCs w:val="24"/>
            </w:rPr>
            <w:instrText xml:space="preserve"> TOC \o "1-3" \h \z \u </w:instrText>
          </w:r>
          <w:r w:rsidRPr="000E3E8F">
            <w:rPr>
              <w:rFonts w:ascii="Times New Roman" w:hAnsi="Times New Roman" w:cs="Times New Roman"/>
              <w:color w:val="000000" w:themeColor="text1"/>
              <w:sz w:val="24"/>
              <w:szCs w:val="24"/>
            </w:rPr>
            <w:fldChar w:fldCharType="separate"/>
          </w:r>
          <w:hyperlink w:anchor="_Toc164968892" w:history="1">
            <w:r w:rsidR="001D18F7" w:rsidRPr="001D18F7">
              <w:rPr>
                <w:rStyle w:val="ac"/>
                <w:rFonts w:ascii="Times New Roman" w:hAnsi="Times New Roman" w:cs="Times New Roman"/>
                <w:noProof/>
                <w:sz w:val="24"/>
                <w:szCs w:val="24"/>
              </w:rPr>
              <w:t>1. Introduction</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_Toc164968892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3</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1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893" w:history="1">
            <w:r w:rsidR="001D18F7" w:rsidRPr="001D18F7">
              <w:rPr>
                <w:rStyle w:val="ac"/>
                <w:rFonts w:ascii="Times New Roman" w:hAnsi="Times New Roman" w:cs="Times New Roman"/>
                <w:noProof/>
                <w:sz w:val="24"/>
                <w:szCs w:val="24"/>
              </w:rPr>
              <w:t>2. Evaluation of Two EU countries</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_Toc164968893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3</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2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894" w:history="1">
            <w:r w:rsidR="001D18F7" w:rsidRPr="001D18F7">
              <w:rPr>
                <w:rStyle w:val="ac"/>
                <w:rFonts w:ascii="Times New Roman" w:hAnsi="Times New Roman" w:cs="Times New Roman"/>
                <w:noProof/>
                <w:sz w:val="24"/>
                <w:szCs w:val="24"/>
              </w:rPr>
              <w:t>Cultural differences</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_Toc164968894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3</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2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895" w:history="1">
            <w:r w:rsidR="001D18F7" w:rsidRPr="001D18F7">
              <w:rPr>
                <w:rStyle w:val="ac"/>
                <w:rFonts w:ascii="Times New Roman" w:hAnsi="Times New Roman" w:cs="Times New Roman"/>
                <w:noProof/>
                <w:sz w:val="24"/>
                <w:szCs w:val="24"/>
              </w:rPr>
              <w:t>Social context</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_Toc164968895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4</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2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896" w:history="1">
            <w:r w:rsidR="001D18F7" w:rsidRPr="001D18F7">
              <w:rPr>
                <w:rStyle w:val="ac"/>
                <w:rFonts w:ascii="Times New Roman" w:hAnsi="Times New Roman" w:cs="Times New Roman"/>
                <w:noProof/>
                <w:sz w:val="24"/>
                <w:szCs w:val="24"/>
              </w:rPr>
              <w:t>Cultural theory</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_Toc164968896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6</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1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897" w:history="1">
            <w:r w:rsidR="001D18F7" w:rsidRPr="001D18F7">
              <w:rPr>
                <w:rStyle w:val="ac"/>
                <w:rFonts w:ascii="Times New Roman" w:hAnsi="Times New Roman" w:cs="Times New Roman"/>
                <w:noProof/>
                <w:sz w:val="24"/>
                <w:szCs w:val="24"/>
              </w:rPr>
              <w:t>3. Barriers to communication</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_Toc164968897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7</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1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898" w:history="1">
            <w:r w:rsidR="001D18F7" w:rsidRPr="001D18F7">
              <w:rPr>
                <w:rStyle w:val="ac"/>
                <w:rFonts w:ascii="Times New Roman" w:hAnsi="Times New Roman" w:cs="Times New Roman"/>
                <w:noProof/>
                <w:sz w:val="24"/>
                <w:szCs w:val="24"/>
              </w:rPr>
              <w:t>4. Recommendations</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_Toc164968898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10</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2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899" w:history="1">
            <w:r w:rsidR="001D18F7" w:rsidRPr="001D18F7">
              <w:rPr>
                <w:rStyle w:val="ac"/>
                <w:rFonts w:ascii="Times New Roman" w:hAnsi="Times New Roman" w:cs="Times New Roman"/>
                <w:noProof/>
                <w:sz w:val="24"/>
                <w:szCs w:val="24"/>
              </w:rPr>
              <w:t>Appropriate recommendations on which country should the British business expand</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_Toc164968899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10</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2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900" w:history="1">
            <w:r w:rsidR="001D18F7" w:rsidRPr="001D18F7">
              <w:rPr>
                <w:rStyle w:val="ac"/>
                <w:rFonts w:ascii="Times New Roman" w:hAnsi="Times New Roman" w:cs="Times New Roman"/>
                <w:noProof/>
                <w:sz w:val="24"/>
                <w:szCs w:val="24"/>
              </w:rPr>
              <w:t>Strategies to overcome communication challenges</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_Toc164968900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10</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1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901" w:history="1">
            <w:r w:rsidR="001D18F7" w:rsidRPr="001D18F7">
              <w:rPr>
                <w:rStyle w:val="ac"/>
                <w:rFonts w:ascii="Times New Roman" w:hAnsi="Times New Roman" w:cs="Times New Roman"/>
                <w:noProof/>
                <w:sz w:val="24"/>
                <w:szCs w:val="24"/>
              </w:rPr>
              <w:t>5. Conclusion</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_Toc164968901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11</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2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902" w:history="1">
            <w:r w:rsidR="001D18F7" w:rsidRPr="001D18F7">
              <w:rPr>
                <w:rStyle w:val="ac"/>
                <w:rFonts w:ascii="Times New Roman" w:hAnsi="Times New Roman" w:cs="Times New Roman"/>
                <w:noProof/>
                <w:sz w:val="24"/>
                <w:szCs w:val="24"/>
              </w:rPr>
              <w:t>Summary of the essay</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_Toc164968902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11</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2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903" w:history="1">
            <w:r w:rsidR="001D18F7" w:rsidRPr="001D18F7">
              <w:rPr>
                <w:rStyle w:val="ac"/>
                <w:rFonts w:ascii="Times New Roman" w:hAnsi="Times New Roman" w:cs="Times New Roman"/>
                <w:noProof/>
                <w:sz w:val="24"/>
                <w:szCs w:val="24"/>
              </w:rPr>
              <w:t>Key recommendations</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_Toc164968903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11</w:t>
            </w:r>
            <w:r w:rsidRPr="001D18F7">
              <w:rPr>
                <w:rFonts w:ascii="Times New Roman" w:hAnsi="Times New Roman" w:cs="Times New Roman"/>
                <w:noProof/>
                <w:webHidden/>
                <w:sz w:val="24"/>
                <w:szCs w:val="24"/>
              </w:rPr>
              <w:fldChar w:fldCharType="end"/>
            </w:r>
          </w:hyperlink>
        </w:p>
        <w:p w:rsidR="001D18F7" w:rsidRPr="001D18F7" w:rsidRDefault="000E3E8F" w:rsidP="001D18F7">
          <w:pPr>
            <w:pStyle w:val="10"/>
            <w:tabs>
              <w:tab w:val="right" w:leader="dot" w:pos="9350"/>
            </w:tabs>
            <w:spacing w:line="360" w:lineRule="auto"/>
            <w:jc w:val="both"/>
            <w:rPr>
              <w:rFonts w:ascii="Times New Roman" w:eastAsiaTheme="minorEastAsia" w:hAnsi="Times New Roman" w:cs="Times New Roman"/>
              <w:noProof/>
              <w:sz w:val="24"/>
              <w:szCs w:val="24"/>
              <w:lang w:val="en-US"/>
            </w:rPr>
          </w:pPr>
          <w:hyperlink w:anchor="_Toc164968904" w:history="1">
            <w:r w:rsidR="001D18F7" w:rsidRPr="001D18F7">
              <w:rPr>
                <w:rStyle w:val="ac"/>
                <w:rFonts w:ascii="Times New Roman" w:hAnsi="Times New Roman" w:cs="Times New Roman"/>
                <w:noProof/>
                <w:sz w:val="24"/>
                <w:szCs w:val="24"/>
              </w:rPr>
              <w:t>References</w:t>
            </w:r>
            <w:r w:rsidR="001D18F7" w:rsidRPr="001D18F7">
              <w:rPr>
                <w:rFonts w:ascii="Times New Roman" w:hAnsi="Times New Roman" w:cs="Times New Roman"/>
                <w:noProof/>
                <w:webHidden/>
                <w:sz w:val="24"/>
                <w:szCs w:val="24"/>
              </w:rPr>
              <w:tab/>
            </w:r>
            <w:r w:rsidRPr="001D18F7">
              <w:rPr>
                <w:rFonts w:ascii="Times New Roman" w:hAnsi="Times New Roman" w:cs="Times New Roman"/>
                <w:noProof/>
                <w:webHidden/>
                <w:sz w:val="24"/>
                <w:szCs w:val="24"/>
              </w:rPr>
              <w:fldChar w:fldCharType="begin"/>
            </w:r>
            <w:r w:rsidR="001D18F7" w:rsidRPr="001D18F7">
              <w:rPr>
                <w:rFonts w:ascii="Times New Roman" w:hAnsi="Times New Roman" w:cs="Times New Roman"/>
                <w:noProof/>
                <w:webHidden/>
                <w:sz w:val="24"/>
                <w:szCs w:val="24"/>
              </w:rPr>
              <w:instrText xml:space="preserve"> PAGEREF _Toc164968904 \h </w:instrText>
            </w:r>
            <w:r w:rsidRPr="001D18F7">
              <w:rPr>
                <w:rFonts w:ascii="Times New Roman" w:hAnsi="Times New Roman" w:cs="Times New Roman"/>
                <w:noProof/>
                <w:webHidden/>
                <w:sz w:val="24"/>
                <w:szCs w:val="24"/>
              </w:rPr>
            </w:r>
            <w:r w:rsidRPr="001D18F7">
              <w:rPr>
                <w:rFonts w:ascii="Times New Roman" w:hAnsi="Times New Roman" w:cs="Times New Roman"/>
                <w:noProof/>
                <w:webHidden/>
                <w:sz w:val="24"/>
                <w:szCs w:val="24"/>
              </w:rPr>
              <w:fldChar w:fldCharType="separate"/>
            </w:r>
            <w:r w:rsidR="001D18F7" w:rsidRPr="001D18F7">
              <w:rPr>
                <w:rFonts w:ascii="Times New Roman" w:hAnsi="Times New Roman" w:cs="Times New Roman"/>
                <w:noProof/>
                <w:webHidden/>
                <w:sz w:val="24"/>
                <w:szCs w:val="24"/>
              </w:rPr>
              <w:t>12</w:t>
            </w:r>
            <w:r w:rsidRPr="001D18F7">
              <w:rPr>
                <w:rFonts w:ascii="Times New Roman" w:hAnsi="Times New Roman" w:cs="Times New Roman"/>
                <w:noProof/>
                <w:webHidden/>
                <w:sz w:val="24"/>
                <w:szCs w:val="24"/>
              </w:rPr>
              <w:fldChar w:fldCharType="end"/>
            </w:r>
          </w:hyperlink>
        </w:p>
        <w:p w:rsidR="004E5240" w:rsidRPr="001D18F7" w:rsidRDefault="000E3E8F" w:rsidP="001D18F7">
          <w:pPr>
            <w:spacing w:line="360" w:lineRule="auto"/>
            <w:jc w:val="both"/>
            <w:rPr>
              <w:rFonts w:ascii="Times New Roman" w:hAnsi="Times New Roman" w:cs="Times New Roman"/>
              <w:sz w:val="24"/>
              <w:szCs w:val="24"/>
            </w:rPr>
          </w:pPr>
          <w:r w:rsidRPr="001D18F7">
            <w:rPr>
              <w:rFonts w:ascii="Times New Roman" w:hAnsi="Times New Roman" w:cs="Times New Roman"/>
              <w:b/>
              <w:bCs/>
              <w:noProof/>
              <w:color w:val="000000" w:themeColor="text1"/>
              <w:sz w:val="24"/>
              <w:szCs w:val="24"/>
            </w:rPr>
            <w:fldChar w:fldCharType="end"/>
          </w:r>
        </w:p>
      </w:sdtContent>
    </w:sdt>
    <w:p w:rsidR="00E92CFC" w:rsidRPr="001D18F7" w:rsidRDefault="00E92CFC" w:rsidP="001D18F7">
      <w:pPr>
        <w:spacing w:line="360" w:lineRule="auto"/>
        <w:jc w:val="both"/>
        <w:rPr>
          <w:rFonts w:ascii="Times New Roman" w:eastAsia="Times New Roman" w:hAnsi="Times New Roman" w:cs="Times New Roman"/>
          <w:b/>
          <w:sz w:val="24"/>
          <w:szCs w:val="24"/>
        </w:rPr>
      </w:pPr>
    </w:p>
    <w:p w:rsidR="00E92CFC" w:rsidRDefault="00E01469" w:rsidP="00774B7E">
      <w:pPr>
        <w:spacing w:line="360" w:lineRule="auto"/>
        <w:jc w:val="both"/>
        <w:rPr>
          <w:rFonts w:ascii="Times New Roman" w:eastAsia="Times New Roman" w:hAnsi="Times New Roman" w:cs="Times New Roman"/>
          <w:b/>
          <w:sz w:val="24"/>
          <w:szCs w:val="24"/>
        </w:rPr>
      </w:pPr>
      <w:r>
        <w:br w:type="page"/>
      </w:r>
    </w:p>
    <w:p w:rsidR="00E92CFC" w:rsidRDefault="00E01469" w:rsidP="00774B7E">
      <w:pPr>
        <w:pStyle w:val="1"/>
      </w:pPr>
      <w:bookmarkStart w:id="1" w:name="_Toc164968892"/>
      <w:r>
        <w:lastRenderedPageBreak/>
        <w:t>1. Introduction</w:t>
      </w:r>
      <w:bookmarkEnd w:id="1"/>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BP </w:t>
      </w:r>
      <w:r w:rsidR="00874059">
        <w:rPr>
          <w:rFonts w:ascii="Times New Roman" w:eastAsia="Times New Roman" w:hAnsi="Times New Roman" w:cs="Times New Roman"/>
          <w:sz w:val="24"/>
          <w:szCs w:val="24"/>
        </w:rPr>
        <w:t>plc,</w:t>
      </w:r>
      <w:r>
        <w:rPr>
          <w:rFonts w:ascii="Times New Roman" w:eastAsia="Times New Roman" w:hAnsi="Times New Roman" w:cs="Times New Roman"/>
          <w:sz w:val="24"/>
          <w:szCs w:val="24"/>
        </w:rPr>
        <w:t xml:space="preserve"> the essay assesses social circumstances, communication difficulties, and cultural differences and makes recommendations for British businesses looking to expand into Ireland and Bulgaria. According to Hofstede's cultural dimensions, Ireland displays a high power distance and a tendency toward uncertainty avoidance, whereas Bulgaria tends to have a low power distance and a high individuality. Language, demographics, and other hazards differ between the two nations. Socially, Bulgaria is renowned for its egalitarian culture and work perspective, whereas Ireland boasts a workforce with a varied range of people and backgrounds. </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UK corporate communication, politeness, clarity, and professionalism are prioritized. Written communication is formal and frequently uses formal grammar and exact wording. Nonverbal cues, including making eye contact and shaking hands, are important in building rapport and trust. In order to facilitate successful cross-cultural communication, strategies should include building trust, providing cultural sensitivity training, and utilizing technology. This strategy guarantees that BP will be successful in creating a welcoming atmosphere for all parties involved despite communication difficulties and cultural diversity. </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BP plc is an openly traded oil and gas business that is part of the FTSE 100 and is listed as BP on the LSE. London serves as its headquarters, and it was founded in 1909 and operates worldwide. BP, which employs 87,800 people and produces fuels, natural gas, and petroleum, had US$210.13 billion in sales in 2023 (bp.com, 2024). BP is open to growing its company into Bulgaria and Ireland. Thus, a study will be conducted to determine how suitable these nations are for expansion.</w:t>
      </w:r>
    </w:p>
    <w:p w:rsidR="00E92CFC" w:rsidRDefault="00E01469" w:rsidP="00774B7E">
      <w:pPr>
        <w:pStyle w:val="1"/>
      </w:pPr>
      <w:bookmarkStart w:id="2" w:name="_Toc164968893"/>
      <w:r>
        <w:t>2. Evaluation of Two EU countries</w:t>
      </w:r>
      <w:bookmarkEnd w:id="2"/>
    </w:p>
    <w:p w:rsidR="00E92CFC" w:rsidRDefault="00E01469" w:rsidP="00774B7E">
      <w:pPr>
        <w:pStyle w:val="2"/>
      </w:pPr>
      <w:bookmarkStart w:id="3" w:name="_Toc164968894"/>
      <w:r>
        <w:t>Cultural differences</w:t>
      </w:r>
      <w:bookmarkEnd w:id="3"/>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 Ireland:</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Language:</w:t>
      </w:r>
      <w:r>
        <w:rPr>
          <w:rFonts w:ascii="Times New Roman" w:eastAsia="Times New Roman" w:hAnsi="Times New Roman" w:cs="Times New Roman"/>
          <w:sz w:val="24"/>
          <w:szCs w:val="24"/>
        </w:rPr>
        <w:t xml:space="preserve"> English and Irish (Gaeilge), Ireland's official languages, demonstrate the country's linguistic variety. Ulster-Scots, or Ullans, enrich the linguistic fabric of Northern Ireland. The west coast's Gaeltacht regions follow Irish-speaking customs. The cultural history of the nation is </w:t>
      </w:r>
      <w:r>
        <w:rPr>
          <w:rFonts w:ascii="Times New Roman" w:eastAsia="Times New Roman" w:hAnsi="Times New Roman" w:cs="Times New Roman"/>
          <w:sz w:val="24"/>
          <w:szCs w:val="24"/>
        </w:rPr>
        <w:lastRenderedPageBreak/>
        <w:t>strongly influenced by its language, with a focus on humor, tradition, and strong family values (Cornelissen, 2020).</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Profile: </w:t>
      </w:r>
      <w:r>
        <w:rPr>
          <w:rFonts w:ascii="Times New Roman" w:eastAsia="Times New Roman" w:hAnsi="Times New Roman" w:cs="Times New Roman"/>
          <w:sz w:val="24"/>
          <w:szCs w:val="24"/>
        </w:rPr>
        <w:t xml:space="preserve">The myths, literature, music, dancing, and food that make up Irish culture are a mosaic. It changed from its original Gaelic language through contact with the English, Scots, Normans, and Vikings. Scottish influences can be seen in Northern Ireland's cultural identity. Exploring the depth and diversity of Irish culture is a rewarding experience (Yu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rsidR="00E92CFC" w:rsidRDefault="00E01469" w:rsidP="00774B7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Potential risks: </w:t>
      </w:r>
      <w:r>
        <w:rPr>
          <w:rFonts w:ascii="Times New Roman" w:eastAsia="Times New Roman" w:hAnsi="Times New Roman" w:cs="Times New Roman"/>
          <w:sz w:val="24"/>
          <w:szCs w:val="24"/>
        </w:rPr>
        <w:t>Although Ireland is proud of its culture, its complexity presents difficulties. It takes great thought to navigate cultural sensitivities and comprehend the subtleties of Gaelic tradition. Misunderstanding customs pose a risk and cause misunderstandings.</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 Bulgaria:</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Language: </w:t>
      </w:r>
      <w:r>
        <w:rPr>
          <w:rFonts w:ascii="Times New Roman" w:eastAsia="Times New Roman" w:hAnsi="Times New Roman" w:cs="Times New Roman"/>
          <w:sz w:val="24"/>
          <w:szCs w:val="24"/>
        </w:rPr>
        <w:t xml:space="preserve">The official language of Bulgaria is Bulgarian, which reflects the rich history of the nation shaped by a number of civilizations, including the Thracians, Greeks, Romans, Goths, Slavs, and Bulgars (Tinh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currency of the country is the Bulgarian lev.</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Profile: </w:t>
      </w:r>
      <w:r>
        <w:rPr>
          <w:rFonts w:ascii="Times New Roman" w:eastAsia="Times New Roman" w:hAnsi="Times New Roman" w:cs="Times New Roman"/>
          <w:sz w:val="24"/>
          <w:szCs w:val="24"/>
        </w:rPr>
        <w:t>The history, legacy, and identity of Bulgaria are shaped by the cultural fabric that carries the imprints of past civilizations. Bulgaria's distinct cultural environment is shaped by a multiplicity of influences, ranging from the Thracians to the Bulgars. The history of the nation is reflected in the architecture, customs, and artistic expressions, which combine Eastern and Western elements.</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Potential risks: </w:t>
      </w:r>
      <w:r>
        <w:rPr>
          <w:rFonts w:ascii="Times New Roman" w:eastAsia="Times New Roman" w:hAnsi="Times New Roman" w:cs="Times New Roman"/>
          <w:sz w:val="24"/>
          <w:szCs w:val="24"/>
        </w:rPr>
        <w:t>In order to adapt to Bulgarian culture, one must be aware of pragmatic issues like language, healthcare, and currency. Unlike the Euro, transactions involving the Bulgarian lev require financial knowledge. Due to coverage limitations, travel insurance is required for access to healthcare (Agustina and Setiawan, 2020). However, it is imperative for long-term residents to remain knowledgeable about tax residency requirements.</w:t>
      </w:r>
    </w:p>
    <w:p w:rsidR="00E92CFC" w:rsidRDefault="00E01469" w:rsidP="00774B7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A blend of past civilizations may be seen in Bulgaria's cultural tapestry, whereas Ireland is proud of its Gaelic heritage and cultural variety. Engaging in good communication in both countries requires navigating the complexities of language, tradition, and pragmatic concerns.</w:t>
      </w:r>
    </w:p>
    <w:p w:rsidR="00E92CFC" w:rsidRDefault="00E01469" w:rsidP="00774B7E">
      <w:pPr>
        <w:pStyle w:val="2"/>
      </w:pPr>
      <w:bookmarkStart w:id="4" w:name="_Toc164968895"/>
      <w:r>
        <w:t>Social context</w:t>
      </w:r>
      <w:bookmarkEnd w:id="4"/>
    </w:p>
    <w:p w:rsidR="00E92CFC" w:rsidRDefault="00E01469" w:rsidP="00774B7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Ireland:</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Population Diversity: </w:t>
      </w:r>
      <w:r>
        <w:rPr>
          <w:rFonts w:ascii="Times New Roman" w:eastAsia="Times New Roman" w:hAnsi="Times New Roman" w:cs="Times New Roman"/>
          <w:sz w:val="24"/>
          <w:szCs w:val="24"/>
        </w:rPr>
        <w:t xml:space="preserve">With a population of about 5 million, Ireland has a notably diverse mix of nationalities and ethnicities as a result of past migrations and current immigration patterns (Siri </w:t>
      </w:r>
      <w:r>
        <w:rPr>
          <w:rFonts w:ascii="Times New Roman" w:eastAsia="Times New Roman" w:hAnsi="Times New Roman" w:cs="Times New Roman"/>
          <w:i/>
          <w:sz w:val="24"/>
          <w:szCs w:val="24"/>
        </w:rPr>
        <w:lastRenderedPageBreak/>
        <w:t>et al.,</w:t>
      </w:r>
      <w:r>
        <w:rPr>
          <w:rFonts w:ascii="Times New Roman" w:eastAsia="Times New Roman" w:hAnsi="Times New Roman" w:cs="Times New Roman"/>
          <w:sz w:val="24"/>
          <w:szCs w:val="24"/>
        </w:rPr>
        <w:t xml:space="preserve"> 2022). The country's heterogeneous fabric is enhanced by sizable groups from Eastern Europe, Asia, and Africa, even though the majority are of Irish heritage.</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Workforce Backgrounds: </w:t>
      </w:r>
      <w:r>
        <w:rPr>
          <w:rFonts w:ascii="Times New Roman" w:eastAsia="Times New Roman" w:hAnsi="Times New Roman" w:cs="Times New Roman"/>
          <w:sz w:val="24"/>
          <w:szCs w:val="24"/>
        </w:rPr>
        <w:t>The workforce in Ireland is representative of the country's heterogeneous population, with members hailing from a range of professional, educational, and cultural backgrounds. A vibrant and inclusive work environment is fostered by industries like technology, finance, healthcare, and hospitality, which draw both talented migrants and local talent.</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Labor Outlook: </w:t>
      </w:r>
      <w:r>
        <w:rPr>
          <w:rFonts w:ascii="Times New Roman" w:eastAsia="Times New Roman" w:hAnsi="Times New Roman" w:cs="Times New Roman"/>
          <w:sz w:val="24"/>
          <w:szCs w:val="24"/>
        </w:rPr>
        <w:t>The financial, pharmaceutical, and technological sectors have helped Ireland's economy grow strongly in recent years. The need for skilled labor has grown as a result of this expansion, especially in specialized industries like STEM (Sahradyan, 2022). Therefore, issues like income inequality have an effect on the dynamics of the labor market.</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Labor hazards: </w:t>
      </w:r>
      <w:r>
        <w:rPr>
          <w:rFonts w:ascii="Times New Roman" w:eastAsia="Times New Roman" w:hAnsi="Times New Roman" w:cs="Times New Roman"/>
          <w:sz w:val="24"/>
          <w:szCs w:val="24"/>
        </w:rPr>
        <w:t>Precarious employment, insufficient worker rights, and income inequality are among the labor hazards that Ireland faces despite its economic progress. Policymakers and employers must continue to pay attention to issues like gender pay inequalities, unstable contracts, and inadequate social safety nets in order to maintain fair and equitable labor practices.</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Bulgaria:</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Population Diversity: </w:t>
      </w:r>
      <w:r>
        <w:rPr>
          <w:rFonts w:ascii="Times New Roman" w:eastAsia="Times New Roman" w:hAnsi="Times New Roman" w:cs="Times New Roman"/>
          <w:sz w:val="24"/>
          <w:szCs w:val="24"/>
        </w:rPr>
        <w:t>The majority of Bulgaria's 7.5 million inhabitants are ethnic Bulgarians, although there are also sizable minority populations, including Turks and Roma. There is religious diversity, including Muslim and other faith communities, even though the majority identify as Bulgarian Orthodox Christians.</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Workforce Backgrounds:</w:t>
      </w:r>
      <w:r>
        <w:rPr>
          <w:rFonts w:ascii="Times New Roman" w:eastAsia="Times New Roman" w:hAnsi="Times New Roman" w:cs="Times New Roman"/>
          <w:sz w:val="24"/>
          <w:szCs w:val="24"/>
        </w:rPr>
        <w:t xml:space="preserve"> The workforce in Bulgaria is made up of individuals with a variety of professional and educational backgrounds (Nghia  and Vu, 2023). The economy of the nation is varied, with industries including manufacturing, agriculture, tourism, and services offering jobs for a wide range of training and experience levels.</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Employment Prospects: </w:t>
      </w:r>
      <w:r>
        <w:rPr>
          <w:rFonts w:ascii="Times New Roman" w:eastAsia="Times New Roman" w:hAnsi="Times New Roman" w:cs="Times New Roman"/>
          <w:sz w:val="24"/>
          <w:szCs w:val="24"/>
        </w:rPr>
        <w:t>Bulgaria's economy has grown moderately in recent years, but there are still issues, such high unemployment rates, especially for young people and underprivileged groups. In an effort to boost economic growth and the creation of jobs, initiatives are being made to encourage entrepreneurship and draw in foreign investment.</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Labor hazards: </w:t>
      </w:r>
      <w:r>
        <w:rPr>
          <w:rFonts w:ascii="Times New Roman" w:eastAsia="Times New Roman" w:hAnsi="Times New Roman" w:cs="Times New Roman"/>
          <w:sz w:val="24"/>
          <w:szCs w:val="24"/>
        </w:rPr>
        <w:t xml:space="preserve">Unofficial employment, a lack of enforcement of labor laws, and the exodus of talented workers in search of opportunities overseas are some of the labor hazards that Bulgaria must deal with (Cerna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It is imperative to tackle concerns including labor market </w:t>
      </w:r>
      <w:r>
        <w:rPr>
          <w:rFonts w:ascii="Times New Roman" w:eastAsia="Times New Roman" w:hAnsi="Times New Roman" w:cs="Times New Roman"/>
          <w:sz w:val="24"/>
          <w:szCs w:val="24"/>
        </w:rPr>
        <w:lastRenderedPageBreak/>
        <w:t>segmentation, social protection reforms, and skills enhancement in order to foster inclusive growth and mitigate vulnerabilities within the labor force.</w:t>
      </w:r>
    </w:p>
    <w:p w:rsidR="00E92CFC" w:rsidRDefault="00E01469" w:rsidP="00774B7E">
      <w:pPr>
        <w:pStyle w:val="2"/>
      </w:pPr>
      <w:bookmarkStart w:id="5" w:name="_Toc164968896"/>
      <w:r>
        <w:t>Cultural theory</w:t>
      </w:r>
      <w:bookmarkEnd w:id="5"/>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Hofstede's cultural dimensions theory</w:t>
      </w:r>
      <w:r>
        <w:rPr>
          <w:rFonts w:ascii="Times New Roman" w:eastAsia="Times New Roman" w:hAnsi="Times New Roman" w:cs="Times New Roman"/>
          <w:sz w:val="24"/>
          <w:szCs w:val="24"/>
        </w:rPr>
        <w:t xml:space="preserve"> provides valuable insights into the cultural differences between Ireland and Bulgaria, as well as their impact on various aspects of society.</w:t>
      </w:r>
    </w:p>
    <w:p w:rsidR="00E92CFC" w:rsidRDefault="00E01469" w:rsidP="00774B7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bg-BG" w:eastAsia="bg-BG"/>
        </w:rPr>
        <w:drawing>
          <wp:inline distT="114300" distB="114300" distL="114300" distR="114300">
            <wp:extent cx="4242215" cy="434619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242215" cy="4346191"/>
                    </a:xfrm>
                    <a:prstGeom prst="rect">
                      <a:avLst/>
                    </a:prstGeom>
                    <a:ln/>
                  </pic:spPr>
                </pic:pic>
              </a:graphicData>
            </a:graphic>
          </wp:inline>
        </w:drawing>
      </w:r>
    </w:p>
    <w:p w:rsidR="00E92CFC" w:rsidRDefault="00E01469" w:rsidP="00774B7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Hofstede's cultural dimensions theory</w:t>
      </w:r>
    </w:p>
    <w:p w:rsidR="00E92CFC" w:rsidRDefault="00E01469" w:rsidP="00774B7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Escandon-Barbosa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rsidR="00E92CFC" w:rsidRDefault="00E01469" w:rsidP="00774B7E">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Power Distance:</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Ireland's comparatively low power distance can be attributed to its emphasis on individual autonomy and egalitarianism. Its inclusive work environment and social structures that encourage cooperation and honest communication make this clear. Bulgariahas historically experienced authoritarian regimes and hierarchical organizational structures, which have </w:t>
      </w:r>
      <w:r>
        <w:rPr>
          <w:rFonts w:ascii="Times New Roman" w:eastAsia="Times New Roman" w:hAnsi="Times New Roman" w:cs="Times New Roman"/>
          <w:sz w:val="24"/>
          <w:szCs w:val="24"/>
        </w:rPr>
        <w:lastRenderedPageBreak/>
        <w:t xml:space="preserve">contributed to a higher power distance (Betzler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This could show up as a more formal workplace and respect for those in positions of leadership.</w:t>
      </w:r>
    </w:p>
    <w:p w:rsidR="00E92CFC" w:rsidRDefault="00E01469" w:rsidP="00774B7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Individualism vs. Collectivism:</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Ireland has a tendency toward individualism and values autonomy and self-actualization. Its emphasis on personal accountability and entrepreneurial spirit are reflections of this. On the contrary, Bulgaria values interdependence and community cohesion more and tends to be more collectivist. decision-making processes, often favoring consensus over individual preferences.</w:t>
      </w:r>
    </w:p>
    <w:p w:rsidR="00E92CFC" w:rsidRDefault="00E01469" w:rsidP="00774B7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Uncertainty Avoidance:</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two nations exhibit differing degrees of hedging against uncertainty. While Bulgaria's inclination for stability and obedience to norms may lead to a more risk-averse approach in economic and social contexts, Ireland's cultural adaptability and tolerance for uncertainty contribute to its innovative and entrepreneurial spirit (Ray, 2023).</w:t>
      </w:r>
    </w:p>
    <w:p w:rsidR="00E92CFC" w:rsidRDefault="00E01469" w:rsidP="00774B7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Masculinity vs. Femininity:</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cultural values of Bulgaria and Ireland exhibit varying degrees of masculinity. A more feminine attitude is supported by Ireland's emphasis on valuing relationships and quality of life, which promotes collaboration and empathy. On the contrary, Bulgaria exhibits a more masculine orientation with its emphasis on achievement and material success, placing a premium on aggressiveness and competition in social and professional contexts (Schukking and Kircher, 2022). All things considered, Hofstede's cultural dimensions provide insightful information on the complex cultural environments of Bulgaria and Ireland, directing cross-cultural communication and understanding in a variety of settings.</w:t>
      </w:r>
    </w:p>
    <w:p w:rsidR="00E92CFC" w:rsidRDefault="00E01469" w:rsidP="00774B7E">
      <w:pPr>
        <w:pStyle w:val="1"/>
      </w:pPr>
      <w:bookmarkStart w:id="6" w:name="_Toc164968897"/>
      <w:r>
        <w:t>3. Barriers to communication</w:t>
      </w:r>
      <w:bookmarkEnd w:id="6"/>
    </w:p>
    <w:p w:rsidR="00E92CFC" w:rsidRDefault="00E01469" w:rsidP="00774B7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Several communication difficulties may appear when a British company expands into Bulgaria and Ireland, two separate EU nations. The efficiency of cross-cultural communication can be greatly impacted by these obstacles, which include mistrust issues and the interpretation of body language.</w:t>
      </w:r>
    </w:p>
    <w:p w:rsidR="00E92CFC" w:rsidRDefault="00E01469" w:rsidP="00774B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Trust issues in communication</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communication requires trust, which is especially important for British companies like BP plc that are entering the Irish and Bulgarian markets (Oliver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In Bulgaria, trust is based on relationships and existing networks; reliability and sincerity are highly valued in </w:t>
      </w:r>
      <w:r>
        <w:rPr>
          <w:rFonts w:ascii="Times New Roman" w:eastAsia="Times New Roman" w:hAnsi="Times New Roman" w:cs="Times New Roman"/>
          <w:sz w:val="24"/>
          <w:szCs w:val="24"/>
        </w:rPr>
        <w:lastRenderedPageBreak/>
        <w:t xml:space="preserve">commercial interactions. British companies, like BP plc, must overcome hierarchical organizational systems, show genuine interest in building relationships, and spend time developing relationships in order to gain the trust of their Bulgarian counterparts. Ireland's business culture places a strong emphasis on consensus-building and transparency, which are the foundations of trust. Transparent communication and collaboration within equitable norms are critical for BP plc to gain the trust of Irish partners (Ho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Resolving trust-related issues requires putting relationship-building first, being genuine, and modifying communication strategies to fit culture norms. By interacting with people in person, actively listening, and honoring regional traditions and customs, BP plc can build trust that will promote successful commercial partnerships in Ireland and Bulgaria as well as efficient communication.</w:t>
      </w:r>
    </w:p>
    <w:p w:rsidR="00E92CFC" w:rsidRDefault="00E01469" w:rsidP="00774B7E">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Body language </w:t>
      </w:r>
    </w:p>
    <w:p w:rsidR="00E92CFC" w:rsidRDefault="00E01469" w:rsidP="00774B7E">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Ireland's cultural emphasis on warmth, expressiveness, and non-verbal clues may cause communication problems pertaining to the perception of body language. Irish people frequently communicate their emotions and carry on conversations using gestures, facial expressions, and physical proximity. But misunderstandings could happen if British companies, like BP plc cannot understand the subtleties of Irish body language, like the importance of eye contact, hand gestures, and personal space (Alaql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BP plc's communication efforts and business connections in Ireland may be negatively impacted by misinterpretations or perceptions of insensitivity resulting from a failure to comprehend these cultural cues.</w:t>
      </w:r>
    </w:p>
    <w:p w:rsidR="00E92CFC" w:rsidRDefault="00E01469" w:rsidP="00774B7E">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Bulgaria, cultural context may influence how different people interpret body language, which can lead to communication obstacles. Body language-wise, Bulgarians are more likely to be reserved, using quieter gestures and a tendency for preserving personal space. It could be difficult for British companies, like BP plc, to correctly decipher nonverbal clues in Bulgarian, such as the nuances of posture, gestures, and facial expressions (Miao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exp</w:t>
      </w:r>
      <w:r w:rsidR="003C0470">
        <w:rPr>
          <w:rFonts w:ascii="Times New Roman" w:eastAsia="Times New Roman" w:hAnsi="Times New Roman" w:cs="Times New Roman"/>
          <w:sz w:val="24"/>
          <w:szCs w:val="24"/>
        </w:rPr>
        <w:t>ansion and activities of BP plc</w:t>
      </w:r>
      <w:r>
        <w:rPr>
          <w:rFonts w:ascii="Times New Roman" w:eastAsia="Times New Roman" w:hAnsi="Times New Roman" w:cs="Times New Roman"/>
          <w:sz w:val="24"/>
          <w:szCs w:val="24"/>
        </w:rPr>
        <w:t xml:space="preserve"> in Bulgaria may be impacted by misinterpreting these cues, which could impede successful communication and relationship-building efforts with peers in Bulgaria.</w:t>
      </w:r>
    </w:p>
    <w:p w:rsidR="00E92CFC" w:rsidRDefault="00E01469" w:rsidP="00774B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Non-verbal communication </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Irish environment of BP plc, nonverbal cues including gestures, facial expressions, and context are often highly contextualized and convey important meaning during interactions. BP personnel from Ireland efficiently communicate through common cultural awareness and subliminal clues. British companies miss these subtle cues or misunderstand what they signify, communication hurdles could arise, particularly for BP plc (Giorgi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Additionally, the Irish perspective on time and space in BP typically reflects a more casual and laid-back attitude, with social situations being the primary venue for conversations and a somewhat flexible attitude toward timeliness.</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nonverbal communication tends to be low-contextual in Bulgaria, where BP plc is also active, with an emphasis on message clarity and directness. Bulgarian workers at BP might value clear verbal communication over context and subliminal clues (Ferri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If British companies, like BP plc, rely too much on nonverbal clues or do not adjust to Bulgaria's propensity for direct and unambiguous communication, they could face difficulties. In addition, Bulgarians in BP are prompt and demand meetings to start and end on time, in contrast to Ireland where people take a more casual approach. </w:t>
      </w:r>
    </w:p>
    <w:p w:rsidR="00E92CFC" w:rsidRDefault="00E01469" w:rsidP="00774B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Attribution</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inclinations seen in BP plc's expansion efforts may give rise to attribution-related communication hurdles in Ireland. Because of BP's corporate philosophy, Irish people frequently display humility and modesty and attribute success to luck or outside forces rather than to their own hard work. This cultural characteristic, which is visible in BP's relationships with its workers, could cause British enterprises to misunderstand Irish modesty as a lack of confidence (Rizos and Bryhn, 2022).</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 attributional communication difficulties exist in Bulgaria as a result of BP plc's cultural preferences and dealings with Bulgarian counterparts. BP's collectivist beliefs are embodied by Bulgarians, who place more priority on social harmony than individual recognition. The collaborative efforts of BP are indicative of a cultural norm that could provide difficulties for British corporations that are used to individualistic work environments (Hongal and Kinange, 2020). Inaccuracies about attribution may hinder cooperation and the development of relationships between BP and its Bulgarian partners, which could affect joint ventures and corporate operations.</w:t>
      </w:r>
    </w:p>
    <w:p w:rsidR="00E92CFC" w:rsidRDefault="00E01469" w:rsidP="00774B7E">
      <w:pPr>
        <w:pStyle w:val="1"/>
      </w:pPr>
      <w:bookmarkStart w:id="7" w:name="_Toc164968898"/>
      <w:r>
        <w:lastRenderedPageBreak/>
        <w:t>4. Recommendations</w:t>
      </w:r>
      <w:bookmarkEnd w:id="7"/>
    </w:p>
    <w:p w:rsidR="00E92CFC" w:rsidRDefault="00E01469" w:rsidP="00774B7E">
      <w:pPr>
        <w:pStyle w:val="2"/>
      </w:pPr>
      <w:bookmarkStart w:id="8" w:name="_Toc164968899"/>
      <w:r>
        <w:t>Appropriate recommendations on which country should the British business expand</w:t>
      </w:r>
      <w:bookmarkEnd w:id="8"/>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proposal for British company expansion leans towards Ireland based on the comparison of the strategic objectives of BP plc with the examination of communication hurdles and cultural nuances in Ireland and Bulgaria. Ireland has a cultural milieu that is very compatible with British communication conventions, which is an essential component of BP plc's effective expansion plan. As </w:t>
      </w:r>
      <w:r w:rsidR="00AC60FD">
        <w:rPr>
          <w:rFonts w:ascii="Times New Roman" w:eastAsia="Times New Roman" w:hAnsi="Times New Roman" w:cs="Times New Roman"/>
          <w:sz w:val="24"/>
          <w:szCs w:val="24"/>
        </w:rPr>
        <w:t>opined by</w:t>
      </w:r>
      <w:r>
        <w:rPr>
          <w:rFonts w:ascii="Times New Roman" w:eastAsia="Times New Roman" w:hAnsi="Times New Roman" w:cs="Times New Roman"/>
          <w:sz w:val="24"/>
          <w:szCs w:val="24"/>
        </w:rPr>
        <w:t xml:space="preserve"> Caligiuri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assuming that BP will generate US$210.13 billion in revenue in 2023 and employ 87,800 people, Ireland's robust economy and business-friendly climate offer many prospects for expansion and cooperation. Ireland's high-context communication style and emphasis on warmth and expressiveness, along with its cultural resemblance to the UK, lower the likelihood of misunderstandings and promote more seamless interactions for BP plc. According to Kaushik and Guleria, (2020), BP's ideals of trust and rapport-building, two prerequisites for fruitful commercial partnerships, align with Ireland's rather flexible attitude toward time and emphasis on fostering personal relationships.</w:t>
      </w:r>
      <w:r w:rsidR="0095653B" w:rsidRPr="00292B28">
        <w:rPr>
          <w:rFonts w:ascii="Times New Roman" w:eastAsia="Times New Roman" w:hAnsi="Times New Roman" w:cs="Times New Roman"/>
          <w:sz w:val="24"/>
          <w:szCs w:val="24"/>
        </w:rPr>
        <w:t>As</w:t>
      </w:r>
      <w:r w:rsidR="00292B28" w:rsidRPr="00292B28">
        <w:rPr>
          <w:rFonts w:ascii="Times New Roman" w:eastAsia="Times New Roman" w:hAnsi="Times New Roman" w:cs="Times New Roman"/>
          <w:sz w:val="24"/>
          <w:szCs w:val="24"/>
        </w:rPr>
        <w:t xml:space="preserve"> a global management consultant</w:t>
      </w:r>
      <w:r w:rsidR="00292B28">
        <w:rPr>
          <w:rFonts w:ascii="Times New Roman" w:eastAsia="Times New Roman" w:hAnsi="Times New Roman" w:cs="Times New Roman"/>
          <w:sz w:val="24"/>
          <w:szCs w:val="24"/>
        </w:rPr>
        <w:t>, I can say that</w:t>
      </w:r>
      <w:r>
        <w:rPr>
          <w:rFonts w:ascii="Times New Roman" w:eastAsia="Times New Roman" w:hAnsi="Times New Roman" w:cs="Times New Roman"/>
          <w:b/>
          <w:i/>
          <w:sz w:val="24"/>
          <w:szCs w:val="24"/>
        </w:rPr>
        <w:t xml:space="preserve"> Ireland is a desirable option for BP plc's expansion plans because of these considerations.</w:t>
      </w:r>
      <w:r>
        <w:rPr>
          <w:rFonts w:ascii="Times New Roman" w:eastAsia="Times New Roman" w:hAnsi="Times New Roman" w:cs="Times New Roman"/>
          <w:sz w:val="24"/>
          <w:szCs w:val="24"/>
        </w:rPr>
        <w:t xml:space="preserve"> On the other hand, due to cultural differences in communication patterns, including a preference for low-context communication and a more reserved demeanor, Bulgaria poses potential obstacles for BP plc (Dwivedi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rsidR="00E92CFC" w:rsidRDefault="00E01469" w:rsidP="00774B7E">
      <w:pPr>
        <w:pStyle w:val="2"/>
      </w:pPr>
      <w:bookmarkStart w:id="9" w:name="_Toc164968900"/>
      <w:r>
        <w:t>Strategies to overcome communication challenges</w:t>
      </w:r>
      <w:bookmarkEnd w:id="9"/>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Cultural Sensitivity Training:</w:t>
      </w:r>
      <w:r>
        <w:rPr>
          <w:rFonts w:ascii="Times New Roman" w:eastAsia="Times New Roman" w:hAnsi="Times New Roman" w:cs="Times New Roman"/>
          <w:sz w:val="24"/>
          <w:szCs w:val="24"/>
        </w:rPr>
        <w:t xml:space="preserve"> BP plc may offer staff </w:t>
      </w:r>
      <w:r w:rsidR="00FC5795">
        <w:rPr>
          <w:rFonts w:ascii="Times New Roman" w:eastAsia="Times New Roman" w:hAnsi="Times New Roman" w:cs="Times New Roman"/>
          <w:sz w:val="24"/>
          <w:szCs w:val="24"/>
        </w:rPr>
        <w:t>member’s</w:t>
      </w:r>
      <w:r>
        <w:rPr>
          <w:rFonts w:ascii="Times New Roman" w:eastAsia="Times New Roman" w:hAnsi="Times New Roman" w:cs="Times New Roman"/>
          <w:sz w:val="24"/>
          <w:szCs w:val="24"/>
        </w:rPr>
        <w:t xml:space="preserve"> thorough instruction on how to communicate in Ireland and Bulgaria as well as on cultural differences and business etiquette (Biden, 2021). They will be better equipped to recognize and comprehend cultural quirks as a result of this training, which will help them modify their communication tactics. </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Workshops on Cross-Cultural Communication:</w:t>
      </w:r>
      <w:r>
        <w:rPr>
          <w:rFonts w:ascii="Times New Roman" w:eastAsia="Times New Roman" w:hAnsi="Times New Roman" w:cs="Times New Roman"/>
          <w:sz w:val="24"/>
          <w:szCs w:val="24"/>
        </w:rPr>
        <w:t xml:space="preserve"> It is crucial to </w:t>
      </w:r>
      <w:r w:rsidR="00FC5795">
        <w:rPr>
          <w:rFonts w:ascii="Times New Roman" w:eastAsia="Times New Roman" w:hAnsi="Times New Roman" w:cs="Times New Roman"/>
          <w:sz w:val="24"/>
          <w:szCs w:val="24"/>
        </w:rPr>
        <w:t>conduct seminars</w:t>
      </w:r>
      <w:r>
        <w:rPr>
          <w:rFonts w:ascii="Times New Roman" w:eastAsia="Times New Roman" w:hAnsi="Times New Roman" w:cs="Times New Roman"/>
          <w:sz w:val="24"/>
          <w:szCs w:val="24"/>
        </w:rPr>
        <w:t xml:space="preserve"> that emphasize the practical skills needed for cross-cultural communication. In order to encourage a culture of learning and cooperation among its staff, BP plc should place a strong emphasis on active listening, empathy, and cultural empathy (Ghani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Language Support:</w:t>
      </w:r>
      <w:r>
        <w:rPr>
          <w:rFonts w:ascii="Times New Roman" w:eastAsia="Times New Roman" w:hAnsi="Times New Roman" w:cs="Times New Roman"/>
          <w:sz w:val="24"/>
          <w:szCs w:val="24"/>
        </w:rPr>
        <w:t xml:space="preserve"> It is critical to provide training to staff by which they become more fluent in the regional languages of Bulgaria and Ireland. BP plc offers language learning courses to enable staff members interact with regional stakeholders more successfully (Anshari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p w:rsidR="00E92CFC" w:rsidRDefault="00E01469" w:rsidP="00774B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Initiatives for Diversity and Inclusion:</w:t>
      </w:r>
      <w:r>
        <w:rPr>
          <w:rFonts w:ascii="Times New Roman" w:eastAsia="Times New Roman" w:hAnsi="Times New Roman" w:cs="Times New Roman"/>
          <w:sz w:val="24"/>
          <w:szCs w:val="24"/>
        </w:rPr>
        <w:t xml:space="preserve"> It is crucial to focus the value of these aspects inside BP plc. Collaboration and good communication are encouraged in an inclusive workplace where all staff members are treated with respect and feel appreciated. In order to enhance the overall business strategy, BP plc should promote diversity in the decision-making processes and give personnel from all cultural backgrounds the chance to share their viewpoints.</w:t>
      </w:r>
    </w:p>
    <w:p w:rsidR="00E92CFC" w:rsidRDefault="00E01469" w:rsidP="00774B7E">
      <w:pPr>
        <w:pStyle w:val="1"/>
      </w:pPr>
      <w:bookmarkStart w:id="10" w:name="_Toc164968901"/>
      <w:r>
        <w:t>5. Conclusion</w:t>
      </w:r>
      <w:bookmarkEnd w:id="10"/>
    </w:p>
    <w:p w:rsidR="004636FB" w:rsidRPr="004636FB" w:rsidRDefault="004636FB" w:rsidP="00774B7E">
      <w:pPr>
        <w:pStyle w:val="2"/>
      </w:pPr>
      <w:bookmarkStart w:id="11" w:name="_Toc164968902"/>
      <w:r>
        <w:t>Summary of the essay</w:t>
      </w:r>
      <w:bookmarkEnd w:id="11"/>
    </w:p>
    <w:p w:rsidR="00E92CFC" w:rsidRDefault="00E01469" w:rsidP="00774B7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Ireland and Bulgaria are compared in terms of communication, society, and culture. The two main obstacles to communication are trust and body language. Ireland's growth is advised due to compatibility and less obstacles. Language assistance, diversity programs, cross-cultural communication seminars, and cultural sensitivity training are advised to guarantee success.</w:t>
      </w:r>
    </w:p>
    <w:p w:rsidR="00E92CFC" w:rsidRDefault="00E01469" w:rsidP="00774B7E">
      <w:pPr>
        <w:pStyle w:val="2"/>
      </w:pPr>
      <w:bookmarkStart w:id="12" w:name="_Toc164968903"/>
      <w:r>
        <w:t>Key recommendations</w:t>
      </w:r>
      <w:bookmarkEnd w:id="12"/>
    </w:p>
    <w:p w:rsidR="00E92CFC" w:rsidRDefault="00E01469" w:rsidP="00774B7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succeed in fostering a positive environment amidst cultural diversity, BP plc should prioritize tailored strategies. Cultural sensitivity training, cross-cultural communication workshops, and language support are essential investments. Additionally, BP can foster diversity and inclusion through initiatives like employee resource groups. Clear communication channels, facilitated by technology, ensure seamless information flow. Appointing cultural liaisons or ambassadors within BP fosters understanding and bridges cultural gaps. These measures align with BP's commitment to excellence, with revenue totaling US$210.13 billion in 2023 and a workforce of 87,800 employees. By implementing these strategies, BP can navigate cultural nuances, overcome communication barriers, and establish prosperous partnerships, contributing to its global success and expansion into diverse cultural contexts like Ireland and beyond.</w:t>
      </w:r>
      <w:r>
        <w:br w:type="page"/>
      </w:r>
    </w:p>
    <w:p w:rsidR="00E92CFC" w:rsidRDefault="00E01469" w:rsidP="001D18F7">
      <w:pPr>
        <w:pStyle w:val="1"/>
        <w:rPr>
          <w:highlight w:val="white"/>
        </w:rPr>
      </w:pPr>
      <w:bookmarkStart w:id="13" w:name="_Toc164968904"/>
      <w:r>
        <w:rPr>
          <w:highlight w:val="white"/>
        </w:rPr>
        <w:lastRenderedPageBreak/>
        <w:t>References</w:t>
      </w:r>
      <w:bookmarkEnd w:id="13"/>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Agustina, L. and Setiawan, R., (2020). Fostering a natural atmosphere; improving students’ communication skill in a business meeting. Journal of Languages and Language Teaching, 8(3), pp.307-314.</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Alaql, A.A., Alqurashi, F. and Mehmood, R., (2023). Multi-generational labour markets: data-driven discovery of multi-perspective system parameters using machine learning. Science Progress, 106(4), p.00368504231213788.</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Anshari, M., Syafrudin, M., Fitriyani, N.L. and Razzaq, A., (2022). Ethical responsibility and sustainability (ERS) development in a metaverse business model. Sustainability, 14(23), p.15805.</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Betzler, D., Loots, E., Prokůpek, M., Marques, L. and Grafenauer, P., (2021). COVID-19 and the arts and cultural sectors: Investigating countries’ contextual factors and early policy measures. International journal of cultural policy, 27(6), pp.796-814.</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Biden, J.R., (2021). Interim national security strategic guidance. The White House, 8.</w:t>
      </w:r>
    </w:p>
    <w:p w:rsidR="00E92CFC" w:rsidRDefault="00E01469" w:rsidP="00774B7E">
      <w:pPr>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sz w:val="24"/>
          <w:szCs w:val="24"/>
          <w:highlight w:val="white"/>
        </w:rPr>
        <w:t xml:space="preserve">bp.com (2024), </w:t>
      </w:r>
      <w:r>
        <w:rPr>
          <w:rFonts w:ascii="Times New Roman" w:eastAsia="Times New Roman" w:hAnsi="Times New Roman" w:cs="Times New Roman"/>
          <w:i/>
          <w:sz w:val="24"/>
          <w:szCs w:val="24"/>
          <w:highlight w:val="white"/>
        </w:rPr>
        <w:t>BP PLC British corporation</w:t>
      </w:r>
      <w:hyperlink r:id="rId8"/>
      <w:hyperlink r:id="rId9">
        <w:r>
          <w:rPr>
            <w:rFonts w:ascii="Times New Roman" w:eastAsia="Times New Roman" w:hAnsi="Times New Roman" w:cs="Times New Roman"/>
            <w:color w:val="1155CC"/>
            <w:sz w:val="24"/>
            <w:szCs w:val="24"/>
            <w:highlight w:val="white"/>
            <w:u w:val="single"/>
          </w:rPr>
          <w:t>https://www.bp.com/</w:t>
        </w:r>
      </w:hyperlink>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Caligiuri, P., De Cieri, H., Minbaeva, D., Verbeke, A. and Zimmermann, A., (2020). International HRM insights for navigating the COVID-19 pandemic: Implications for future research and practice. Journal of international business studies, 51, pp.697-713.</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Cerna, L., Mezzanotte, C., Rutigliano, A., Brussino, O., Santiago, P., Borgonovi, F. and Guthrie, C., (2021). Promoting inclusive education for diverse societies: A conceptual framework.</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Cornelissen, J.P., (2020). Corporate communication: A guide to theory and practice.</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Dwivedi, Y.K., Kshetri, N., Hughes, L., Slade, E.L., Jeyaraj, A., Kar, A.K., Baabdullah, A.M., Koohang, A., Raghavan, V., Ahuja, M. and Albanna, H., (2023). “So what if ChatGPT wrote it?” Multidisciplinary perspectives on opportunities, challenges and implications of generative </w:t>
      </w:r>
      <w:r>
        <w:rPr>
          <w:rFonts w:ascii="Times New Roman" w:eastAsia="Times New Roman" w:hAnsi="Times New Roman" w:cs="Times New Roman"/>
          <w:sz w:val="24"/>
          <w:szCs w:val="24"/>
          <w:highlight w:val="white"/>
        </w:rPr>
        <w:lastRenderedPageBreak/>
        <w:t>conversational AI for research, practice and policy. International Journal of Information Management, 71, p.102642.</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Escandon-Barbosa, D., Ramirez, A. and Salas-Paramo, J., (2022). The effect of cultural orientations on country innovation performance: Hofstede cultural dimensions revisited?. Sustainability, 14(10), p.5851.</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Ferri, F., Grifoni, P. and Guzzo, T., (2020). Online learning and emergency remote teaching: Opportunities and challenges in emergency situations. Societies, 10(4), p.86.</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Ghani, B., Zada, M., Memon, K.R., Ullah, R., Khattak, A., Han, H., Ariza-Montes, A. and Araya-Castillo, L., (2022). Challenges and strategies for employee retention in the hospitality industry: A review. Sustainability, 14(5), p.2885.</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Giorgi, S., Lavagna, M., Wang, K., Osmani, M., Liu, G. and Campioli, A., (2022). Drivers and barriers towards circular economy in the building sector: Stakeholder interviews and analysis of five European countries policies and practices. Journal of cleaner production, 336, p.130395.</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Ho, M.T., Mantello, P., Ghotbi, N., Nguyen, M.H., Nguyen, H.K.T. and Vuong, Q.H., (2022). Rethinking technological acceptance in the age of emotional AI: surveying Gen Z (Zoomer) attitudes toward non-conscious data collection. Technology in Society, 70, p.102011.</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Hongal, P. and Kinange, U., (2020). A study on talent management and its impact on organization performance-an empirical review. International Journal of Engineering and Management Research, 10.</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Kaushik, M. and Guleria, N., (2020). The impact of pandemic COVID-19 in workplace. European Journal of Business and Management, 12(15), pp.1-10.</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Miao, F., Holmes, W., Huang, R. and Zhang, H., (2021). AI and education: A guidance for policymakers. UNESCO Publishing.\</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Nghia, T.L.H. and Vu, N.T., (2023). The emergence of English language education in non-English speaking Asian countries. In English Language Education for Graduate Employability in Vietnam (pp. 25-48). Singapore: Springer Nature Singapore.</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Oliver, C., Geuijen, K. and Dekker, R., (2023). Challenging the ‘youth gaze’: building diversity into refugee and asylum reception and integration programmes. Journal of Refugee Studies.</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Ray, P.P., (2023). ChatGPT: A comprehensive review on background, applications, key challenges, bias, ethics, limitations and future scope. Internet of Things and Cyber-Physical Systems.</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Rizos, V. and Bryhn, J., (2022). Implementation of circular economy approaches in the electrical and electronic equipment (EEE) sector: Barriers, enablers and policy insights. Journal of Cleaner Production, 338, p.130617.</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Sahradyan, S., (2022). Personal and institutional trajectories of language, employment and integration: an ethnography with migrant NGO practitioners. JYU dissertations.</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Schukking, A.F. and Kircher, R., (2022). Professional intercultural communicative competence and labour market integration among highly-educated refugees in the Netherlands. European Journal of Applied Linguistics, 10(1), pp.31-56.</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Siri, A., Leone, C. and Bencivenga, R., (2022). Equality, diversity, and inclusion strategies adopted in a European University Alliance to facilitate the higher education-to-work transition. Societies, 12(5), p.140.</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Tinh, D.T., Thuy, N.T. and Ngoc Huy, D.T., (2021). Doing Business Research and Teaching Methodology for Undergraduate, Postgraduate and Doctoral Students-Case in Various Markets Including Vietnam. Ilkogretim Online, 20(1).</w:t>
      </w:r>
    </w:p>
    <w:p w:rsidR="00E92CFC" w:rsidRDefault="00E01469" w:rsidP="00774B7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Yu, S., Abbas, J., Draghici, A., Negulescu, O.H. and Ain, N.U., (2022). Social media application as a new paradigm for business communication: the role of COVID-19 knowledge, social distancing, and preventive attitudes. Frontiers in Psychology, 13, p.903082.</w:t>
      </w:r>
    </w:p>
    <w:bookmarkEnd w:id="0"/>
    <w:p w:rsidR="00E92CFC" w:rsidRDefault="00E92CFC" w:rsidP="00774B7E">
      <w:pPr>
        <w:spacing w:line="360" w:lineRule="auto"/>
        <w:jc w:val="both"/>
        <w:rPr>
          <w:rFonts w:ascii="Times New Roman" w:eastAsia="Times New Roman" w:hAnsi="Times New Roman" w:cs="Times New Roman"/>
          <w:sz w:val="24"/>
          <w:szCs w:val="24"/>
          <w:highlight w:val="white"/>
        </w:rPr>
      </w:pPr>
    </w:p>
    <w:sectPr w:rsidR="00E92CFC" w:rsidSect="000E3E8F">
      <w:footerReference w:type="default" r:id="rId10"/>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028A5" w:rsidRDefault="008028A5" w:rsidP="0003185E">
      <w:pPr>
        <w:spacing w:line="240" w:lineRule="auto"/>
      </w:pPr>
      <w:r>
        <w:separator/>
      </w:r>
    </w:p>
  </w:endnote>
  <w:endnote w:type="continuationSeparator" w:id="1">
    <w:p w:rsidR="008028A5" w:rsidRDefault="008028A5" w:rsidP="0003185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3448081"/>
      <w:docPartObj>
        <w:docPartGallery w:val="Page Numbers (Bottom of Page)"/>
        <w:docPartUnique/>
      </w:docPartObj>
    </w:sdtPr>
    <w:sdtEndPr>
      <w:rPr>
        <w:rFonts w:ascii="Times New Roman" w:hAnsi="Times New Roman" w:cs="Times New Roman"/>
        <w:sz w:val="20"/>
      </w:rPr>
    </w:sdtEndPr>
    <w:sdtContent>
      <w:p w:rsidR="0003185E" w:rsidRPr="0003185E" w:rsidRDefault="0003185E">
        <w:pPr>
          <w:pStyle w:val="a7"/>
          <w:jc w:val="right"/>
          <w:rPr>
            <w:rFonts w:ascii="Times New Roman" w:hAnsi="Times New Roman" w:cs="Times New Roman"/>
            <w:sz w:val="20"/>
          </w:rPr>
        </w:pPr>
        <w:r w:rsidRPr="0003185E">
          <w:rPr>
            <w:rFonts w:ascii="Times New Roman" w:hAnsi="Times New Roman" w:cs="Times New Roman"/>
            <w:sz w:val="20"/>
          </w:rPr>
          <w:t xml:space="preserve">Page | </w:t>
        </w:r>
        <w:r w:rsidR="000E3E8F" w:rsidRPr="0003185E">
          <w:rPr>
            <w:rFonts w:ascii="Times New Roman" w:hAnsi="Times New Roman" w:cs="Times New Roman"/>
            <w:sz w:val="20"/>
          </w:rPr>
          <w:fldChar w:fldCharType="begin"/>
        </w:r>
        <w:r w:rsidRPr="0003185E">
          <w:rPr>
            <w:rFonts w:ascii="Times New Roman" w:hAnsi="Times New Roman" w:cs="Times New Roman"/>
            <w:sz w:val="20"/>
          </w:rPr>
          <w:instrText xml:space="preserve"> PAGE   \* MERGEFORMAT </w:instrText>
        </w:r>
        <w:r w:rsidR="000E3E8F" w:rsidRPr="0003185E">
          <w:rPr>
            <w:rFonts w:ascii="Times New Roman" w:hAnsi="Times New Roman" w:cs="Times New Roman"/>
            <w:sz w:val="20"/>
          </w:rPr>
          <w:fldChar w:fldCharType="separate"/>
        </w:r>
        <w:r w:rsidR="001444AE">
          <w:rPr>
            <w:rFonts w:ascii="Times New Roman" w:hAnsi="Times New Roman" w:cs="Times New Roman"/>
            <w:noProof/>
            <w:sz w:val="20"/>
          </w:rPr>
          <w:t>1</w:t>
        </w:r>
        <w:r w:rsidR="000E3E8F" w:rsidRPr="0003185E">
          <w:rPr>
            <w:rFonts w:ascii="Times New Roman" w:hAnsi="Times New Roman" w:cs="Times New Roman"/>
            <w:noProof/>
            <w:sz w:val="20"/>
          </w:rPr>
          <w:fldChar w:fldCharType="end"/>
        </w:r>
      </w:p>
    </w:sdtContent>
  </w:sdt>
  <w:p w:rsidR="0003185E" w:rsidRDefault="0003185E">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028A5" w:rsidRDefault="008028A5" w:rsidP="0003185E">
      <w:pPr>
        <w:spacing w:line="240" w:lineRule="auto"/>
      </w:pPr>
      <w:r>
        <w:separator/>
      </w:r>
    </w:p>
  </w:footnote>
  <w:footnote w:type="continuationSeparator" w:id="1">
    <w:p w:rsidR="008028A5" w:rsidRDefault="008028A5" w:rsidP="0003185E">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E92CFC"/>
    <w:rsid w:val="0003185E"/>
    <w:rsid w:val="000E3E8F"/>
    <w:rsid w:val="001444AE"/>
    <w:rsid w:val="001D18F7"/>
    <w:rsid w:val="002511CB"/>
    <w:rsid w:val="00292B28"/>
    <w:rsid w:val="003C0470"/>
    <w:rsid w:val="004636FB"/>
    <w:rsid w:val="004E5240"/>
    <w:rsid w:val="007717D0"/>
    <w:rsid w:val="00774B7E"/>
    <w:rsid w:val="008028A5"/>
    <w:rsid w:val="00874059"/>
    <w:rsid w:val="0095653B"/>
    <w:rsid w:val="00A43728"/>
    <w:rsid w:val="00AC60FD"/>
    <w:rsid w:val="00B01303"/>
    <w:rsid w:val="00C30034"/>
    <w:rsid w:val="00CB25C2"/>
    <w:rsid w:val="00D24747"/>
    <w:rsid w:val="00E01469"/>
    <w:rsid w:val="00E92CFC"/>
    <w:rsid w:val="00FC5795"/>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sid w:val="000E3E8F"/>
  </w:style>
  <w:style w:type="paragraph" w:styleId="1">
    <w:name w:val="heading 1"/>
    <w:basedOn w:val="a"/>
    <w:next w:val="a"/>
    <w:autoRedefine/>
    <w:rsid w:val="00874059"/>
    <w:pPr>
      <w:keepNext/>
      <w:keepLines/>
      <w:spacing w:before="400" w:after="120" w:line="360" w:lineRule="auto"/>
      <w:jc w:val="both"/>
      <w:outlineLvl w:val="0"/>
    </w:pPr>
    <w:rPr>
      <w:rFonts w:ascii="Times New Roman" w:hAnsi="Times New Roman"/>
      <w:b/>
      <w:sz w:val="28"/>
      <w:szCs w:val="40"/>
    </w:rPr>
  </w:style>
  <w:style w:type="paragraph" w:styleId="2">
    <w:name w:val="heading 2"/>
    <w:basedOn w:val="a"/>
    <w:next w:val="a"/>
    <w:autoRedefine/>
    <w:rsid w:val="00CB25C2"/>
    <w:pPr>
      <w:keepNext/>
      <w:keepLines/>
      <w:spacing w:before="360" w:after="120" w:line="360" w:lineRule="auto"/>
      <w:jc w:val="both"/>
      <w:outlineLvl w:val="1"/>
    </w:pPr>
    <w:rPr>
      <w:rFonts w:ascii="Times New Roman" w:hAnsi="Times New Roman"/>
      <w:b/>
      <w:sz w:val="24"/>
      <w:szCs w:val="32"/>
    </w:rPr>
  </w:style>
  <w:style w:type="paragraph" w:styleId="3">
    <w:name w:val="heading 3"/>
    <w:basedOn w:val="a"/>
    <w:next w:val="a"/>
    <w:rsid w:val="000E3E8F"/>
    <w:pPr>
      <w:keepNext/>
      <w:keepLines/>
      <w:spacing w:before="320" w:after="80"/>
      <w:outlineLvl w:val="2"/>
    </w:pPr>
    <w:rPr>
      <w:color w:val="434343"/>
      <w:sz w:val="28"/>
      <w:szCs w:val="28"/>
    </w:rPr>
  </w:style>
  <w:style w:type="paragraph" w:styleId="4">
    <w:name w:val="heading 4"/>
    <w:basedOn w:val="a"/>
    <w:next w:val="a"/>
    <w:rsid w:val="000E3E8F"/>
    <w:pPr>
      <w:keepNext/>
      <w:keepLines/>
      <w:spacing w:before="280" w:after="80"/>
      <w:outlineLvl w:val="3"/>
    </w:pPr>
    <w:rPr>
      <w:color w:val="666666"/>
      <w:sz w:val="24"/>
      <w:szCs w:val="24"/>
    </w:rPr>
  </w:style>
  <w:style w:type="paragraph" w:styleId="5">
    <w:name w:val="heading 5"/>
    <w:basedOn w:val="a"/>
    <w:next w:val="a"/>
    <w:rsid w:val="000E3E8F"/>
    <w:pPr>
      <w:keepNext/>
      <w:keepLines/>
      <w:spacing w:before="240" w:after="80"/>
      <w:outlineLvl w:val="4"/>
    </w:pPr>
    <w:rPr>
      <w:color w:val="666666"/>
    </w:rPr>
  </w:style>
  <w:style w:type="paragraph" w:styleId="6">
    <w:name w:val="heading 6"/>
    <w:basedOn w:val="a"/>
    <w:next w:val="a"/>
    <w:rsid w:val="000E3E8F"/>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0E3E8F"/>
    <w:pPr>
      <w:keepNext/>
      <w:keepLines/>
      <w:spacing w:after="60"/>
    </w:pPr>
    <w:rPr>
      <w:sz w:val="52"/>
      <w:szCs w:val="52"/>
    </w:rPr>
  </w:style>
  <w:style w:type="paragraph" w:styleId="a4">
    <w:name w:val="Subtitle"/>
    <w:basedOn w:val="a"/>
    <w:next w:val="a"/>
    <w:rsid w:val="000E3E8F"/>
    <w:pPr>
      <w:keepNext/>
      <w:keepLines/>
      <w:spacing w:after="320"/>
    </w:pPr>
    <w:rPr>
      <w:color w:val="666666"/>
      <w:sz w:val="30"/>
      <w:szCs w:val="30"/>
    </w:rPr>
  </w:style>
  <w:style w:type="paragraph" w:styleId="a5">
    <w:name w:val="header"/>
    <w:basedOn w:val="a"/>
    <w:link w:val="a6"/>
    <w:uiPriority w:val="99"/>
    <w:unhideWhenUsed/>
    <w:rsid w:val="0003185E"/>
    <w:pPr>
      <w:tabs>
        <w:tab w:val="center" w:pos="4680"/>
        <w:tab w:val="right" w:pos="9360"/>
      </w:tabs>
      <w:spacing w:line="240" w:lineRule="auto"/>
    </w:pPr>
  </w:style>
  <w:style w:type="character" w:customStyle="1" w:styleId="a6">
    <w:name w:val="Горен колонтитул Знак"/>
    <w:basedOn w:val="a0"/>
    <w:link w:val="a5"/>
    <w:uiPriority w:val="99"/>
    <w:rsid w:val="0003185E"/>
  </w:style>
  <w:style w:type="paragraph" w:styleId="a7">
    <w:name w:val="footer"/>
    <w:basedOn w:val="a"/>
    <w:link w:val="a8"/>
    <w:uiPriority w:val="99"/>
    <w:unhideWhenUsed/>
    <w:rsid w:val="0003185E"/>
    <w:pPr>
      <w:tabs>
        <w:tab w:val="center" w:pos="4680"/>
        <w:tab w:val="right" w:pos="9360"/>
      </w:tabs>
      <w:spacing w:line="240" w:lineRule="auto"/>
    </w:pPr>
  </w:style>
  <w:style w:type="character" w:customStyle="1" w:styleId="a8">
    <w:name w:val="Долен колонтитул Знак"/>
    <w:basedOn w:val="a0"/>
    <w:link w:val="a7"/>
    <w:uiPriority w:val="99"/>
    <w:rsid w:val="0003185E"/>
  </w:style>
  <w:style w:type="paragraph" w:styleId="a9">
    <w:name w:val="Balloon Text"/>
    <w:basedOn w:val="a"/>
    <w:link w:val="aa"/>
    <w:uiPriority w:val="99"/>
    <w:semiHidden/>
    <w:unhideWhenUsed/>
    <w:rsid w:val="00A43728"/>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A43728"/>
    <w:rPr>
      <w:rFonts w:ascii="Tahoma" w:hAnsi="Tahoma" w:cs="Tahoma"/>
      <w:sz w:val="16"/>
      <w:szCs w:val="16"/>
    </w:rPr>
  </w:style>
  <w:style w:type="paragraph" w:styleId="ab">
    <w:name w:val="TOC Heading"/>
    <w:basedOn w:val="1"/>
    <w:next w:val="a"/>
    <w:uiPriority w:val="39"/>
    <w:semiHidden/>
    <w:unhideWhenUsed/>
    <w:qFormat/>
    <w:rsid w:val="004E5240"/>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10">
    <w:name w:val="toc 1"/>
    <w:basedOn w:val="a"/>
    <w:next w:val="a"/>
    <w:autoRedefine/>
    <w:uiPriority w:val="39"/>
    <w:unhideWhenUsed/>
    <w:rsid w:val="004E5240"/>
    <w:pPr>
      <w:spacing w:after="100"/>
    </w:pPr>
  </w:style>
  <w:style w:type="paragraph" w:styleId="20">
    <w:name w:val="toc 2"/>
    <w:basedOn w:val="a"/>
    <w:next w:val="a"/>
    <w:autoRedefine/>
    <w:uiPriority w:val="39"/>
    <w:unhideWhenUsed/>
    <w:rsid w:val="004E5240"/>
    <w:pPr>
      <w:spacing w:after="100"/>
      <w:ind w:left="220"/>
    </w:pPr>
  </w:style>
  <w:style w:type="character" w:styleId="ac">
    <w:name w:val="Hyperlink"/>
    <w:basedOn w:val="a0"/>
    <w:uiPriority w:val="99"/>
    <w:unhideWhenUsed/>
    <w:rsid w:val="004E524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autoRedefine/>
    <w:rsid w:val="0087405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rsid w:val="00CB25C2"/>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3185E"/>
    <w:pPr>
      <w:tabs>
        <w:tab w:val="center" w:pos="4680"/>
        <w:tab w:val="right" w:pos="9360"/>
      </w:tabs>
      <w:spacing w:line="240" w:lineRule="auto"/>
    </w:pPr>
  </w:style>
  <w:style w:type="character" w:customStyle="1" w:styleId="HeaderChar">
    <w:name w:val="Header Char"/>
    <w:basedOn w:val="DefaultParagraphFont"/>
    <w:link w:val="Header"/>
    <w:uiPriority w:val="99"/>
    <w:rsid w:val="0003185E"/>
  </w:style>
  <w:style w:type="paragraph" w:styleId="Footer">
    <w:name w:val="footer"/>
    <w:basedOn w:val="Normal"/>
    <w:link w:val="FooterChar"/>
    <w:uiPriority w:val="99"/>
    <w:unhideWhenUsed/>
    <w:rsid w:val="0003185E"/>
    <w:pPr>
      <w:tabs>
        <w:tab w:val="center" w:pos="4680"/>
        <w:tab w:val="right" w:pos="9360"/>
      </w:tabs>
      <w:spacing w:line="240" w:lineRule="auto"/>
    </w:pPr>
  </w:style>
  <w:style w:type="character" w:customStyle="1" w:styleId="FooterChar">
    <w:name w:val="Footer Char"/>
    <w:basedOn w:val="DefaultParagraphFont"/>
    <w:link w:val="Footer"/>
    <w:uiPriority w:val="99"/>
    <w:rsid w:val="0003185E"/>
  </w:style>
  <w:style w:type="paragraph" w:styleId="BalloonText">
    <w:name w:val="Balloon Text"/>
    <w:basedOn w:val="Normal"/>
    <w:link w:val="BalloonTextChar"/>
    <w:uiPriority w:val="99"/>
    <w:semiHidden/>
    <w:unhideWhenUsed/>
    <w:rsid w:val="00A437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728"/>
    <w:rPr>
      <w:rFonts w:ascii="Tahoma" w:hAnsi="Tahoma" w:cs="Tahoma"/>
      <w:sz w:val="16"/>
      <w:szCs w:val="16"/>
    </w:rPr>
  </w:style>
  <w:style w:type="paragraph" w:styleId="TOCHeading">
    <w:name w:val="TOC Heading"/>
    <w:basedOn w:val="Heading1"/>
    <w:next w:val="Normal"/>
    <w:uiPriority w:val="39"/>
    <w:semiHidden/>
    <w:unhideWhenUsed/>
    <w:qFormat/>
    <w:rsid w:val="004E5240"/>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4E5240"/>
    <w:pPr>
      <w:spacing w:after="100"/>
    </w:pPr>
  </w:style>
  <w:style w:type="paragraph" w:styleId="TOC2">
    <w:name w:val="toc 2"/>
    <w:basedOn w:val="Normal"/>
    <w:next w:val="Normal"/>
    <w:autoRedefine/>
    <w:uiPriority w:val="39"/>
    <w:unhideWhenUsed/>
    <w:rsid w:val="004E5240"/>
    <w:pPr>
      <w:spacing w:after="100"/>
      <w:ind w:left="220"/>
    </w:pPr>
  </w:style>
  <w:style w:type="character" w:styleId="Hyperlink">
    <w:name w:val="Hyperlink"/>
    <w:basedOn w:val="DefaultParagraphFont"/>
    <w:uiPriority w:val="99"/>
    <w:unhideWhenUsed/>
    <w:rsid w:val="004E5240"/>
    <w:rPr>
      <w:color w:val="0000FF" w:themeColor="hyperlink"/>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com/" TargetMode="External"/><Relationship Id="rId13" Type="http://schemas.microsoft.com/office/2007/relationships/stylesWithEffects" Target="stylesWithEffects.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11F75F-8DA1-4C88-BF82-E778E004A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3959</Words>
  <Characters>22570</Characters>
  <Application>Microsoft Office Word</Application>
  <DocSecurity>0</DocSecurity>
  <Lines>188</Lines>
  <Paragraphs>52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26477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20141009</cp:lastModifiedBy>
  <cp:revision>17</cp:revision>
  <dcterms:created xsi:type="dcterms:W3CDTF">2024-04-25T14:43:00Z</dcterms:created>
  <dcterms:modified xsi:type="dcterms:W3CDTF">2024-04-26T22:18:00Z</dcterms:modified>
</cp:coreProperties>
</file>